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6EEAD" w14:textId="1D7C1065" w:rsidR="00F27518" w:rsidRDefault="00FA2DDB" w:rsidP="00FA2DDB">
      <w:pPr>
        <w:rPr>
          <w:rFonts w:ascii="Verdana" w:hAnsi="Verdana"/>
        </w:rPr>
      </w:pPr>
      <w:bookmarkStart w:id="0" w:name="_top"/>
      <w:bookmarkStart w:id="1" w:name="OLE_LINK9"/>
      <w:bookmarkEnd w:id="0"/>
      <w:r w:rsidRPr="00FA2DDB">
        <w:rPr>
          <w:rFonts w:ascii="Verdana" w:hAnsi="Verdana" w:cs="Arial"/>
          <w:b/>
          <w:color w:val="000000"/>
          <w:sz w:val="36"/>
          <w:szCs w:val="36"/>
        </w:rPr>
        <w:t>New York State (NYS) Medicaid Pharmacy Billing Guidance for At Home COVID-19 Test</w:t>
      </w:r>
      <w:r w:rsidR="004209C0">
        <w:rPr>
          <w:rFonts w:ascii="Verdana" w:hAnsi="Verdana" w:cs="Arial"/>
          <w:b/>
          <w:color w:val="000000"/>
          <w:sz w:val="36"/>
          <w:szCs w:val="36"/>
        </w:rPr>
        <w:t>s</w:t>
      </w:r>
    </w:p>
    <w:p w14:paraId="7C7F2B13" w14:textId="77777777" w:rsidR="00146371" w:rsidRDefault="00146371" w:rsidP="00146371">
      <w:pPr>
        <w:rPr>
          <w:rFonts w:ascii="Verdana" w:hAnsi="Verdana"/>
          <w:b/>
        </w:rPr>
      </w:pPr>
      <w:bookmarkStart w:id="2" w:name="_Various_Work_Instructions"/>
      <w:bookmarkStart w:id="3" w:name="_Process"/>
      <w:bookmarkStart w:id="4" w:name="_Various_Work_Instructions1"/>
      <w:bookmarkStart w:id="5" w:name="_Various_Work_Instructions_1"/>
      <w:bookmarkStart w:id="6" w:name="_Qualifying_the_Call"/>
      <w:bookmarkStart w:id="7" w:name="_Determining_if_an"/>
      <w:bookmarkEnd w:id="1"/>
      <w:bookmarkEnd w:id="2"/>
      <w:bookmarkEnd w:id="3"/>
      <w:bookmarkEnd w:id="4"/>
      <w:bookmarkEnd w:id="5"/>
      <w:bookmarkEnd w:id="6"/>
      <w:bookmarkEnd w:id="7"/>
    </w:p>
    <w:p w14:paraId="32088800" w14:textId="77777777" w:rsidR="00E943DF" w:rsidRDefault="00E943DF">
      <w:pPr>
        <w:pStyle w:val="TOC2"/>
        <w:rPr>
          <w:color w:val="000000"/>
        </w:rPr>
      </w:pPr>
    </w:p>
    <w:p w14:paraId="5C0FBD8E" w14:textId="3B9E405F" w:rsidR="008D1C3B" w:rsidRDefault="009356AF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"2-2" \n \p " " \h \z \u </w:instrText>
      </w:r>
      <w:r>
        <w:rPr>
          <w:color w:val="000000"/>
        </w:rPr>
        <w:fldChar w:fldCharType="separate"/>
      </w:r>
      <w:hyperlink w:anchor="_Toc171930436" w:history="1">
        <w:r w:rsidR="008D1C3B" w:rsidRPr="00A33674">
          <w:rPr>
            <w:rStyle w:val="Hyperlink"/>
          </w:rPr>
          <w:t>Reminders</w:t>
        </w:r>
      </w:hyperlink>
    </w:p>
    <w:p w14:paraId="62E7C88D" w14:textId="5C4B5CA9" w:rsidR="008D1C3B" w:rsidRDefault="002B4B1F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71930437" w:history="1">
        <w:r w:rsidR="008D1C3B" w:rsidRPr="00A33674">
          <w:rPr>
            <w:rStyle w:val="Hyperlink"/>
          </w:rPr>
          <w:t>Requirements for Coverage</w:t>
        </w:r>
      </w:hyperlink>
    </w:p>
    <w:p w14:paraId="7105AC80" w14:textId="63BBC1CF" w:rsidR="008D1C3B" w:rsidRDefault="002B4B1F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71930438" w:history="1">
        <w:r w:rsidR="008D1C3B" w:rsidRPr="00A33674">
          <w:rPr>
            <w:rStyle w:val="Hyperlink"/>
          </w:rPr>
          <w:t>Quantity Limits</w:t>
        </w:r>
      </w:hyperlink>
    </w:p>
    <w:p w14:paraId="01B79E32" w14:textId="6925101C" w:rsidR="008D1C3B" w:rsidRDefault="002B4B1F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71930439" w:history="1">
        <w:r w:rsidR="008D1C3B" w:rsidRPr="00A33674">
          <w:rPr>
            <w:rStyle w:val="Hyperlink"/>
          </w:rPr>
          <w:t>NYS FFS Pharmacy Billing for COVID-19 Test Kits</w:t>
        </w:r>
      </w:hyperlink>
    </w:p>
    <w:p w14:paraId="7C3C82A8" w14:textId="58DDEC7A" w:rsidR="008D1C3B" w:rsidRDefault="002B4B1F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71930440" w:history="1">
        <w:r w:rsidR="008D1C3B" w:rsidRPr="00A33674">
          <w:rPr>
            <w:rStyle w:val="Hyperlink"/>
          </w:rPr>
          <w:t>Billing Instructions and OTC COVID-19 Tests</w:t>
        </w:r>
      </w:hyperlink>
    </w:p>
    <w:p w14:paraId="386D6477" w14:textId="47754AB8" w:rsidR="008D1C3B" w:rsidRDefault="002B4B1F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71930441" w:history="1">
        <w:r w:rsidR="008D1C3B" w:rsidRPr="00A33674">
          <w:rPr>
            <w:rStyle w:val="Hyperlink"/>
          </w:rPr>
          <w:t>Medicaid Managed Care (MMC) Coverage and Billing</w:t>
        </w:r>
      </w:hyperlink>
    </w:p>
    <w:p w14:paraId="57B3F655" w14:textId="6288D662" w:rsidR="008D1C3B" w:rsidRDefault="002B4B1F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171930442" w:history="1">
        <w:r w:rsidR="008D1C3B" w:rsidRPr="00A33674">
          <w:rPr>
            <w:rStyle w:val="Hyperlink"/>
          </w:rPr>
          <w:t>Related Documents</w:t>
        </w:r>
      </w:hyperlink>
    </w:p>
    <w:p w14:paraId="35A47C00" w14:textId="2DFDF133" w:rsidR="00146371" w:rsidRDefault="009356AF" w:rsidP="0000681C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fldChar w:fldCharType="end"/>
      </w:r>
    </w:p>
    <w:p w14:paraId="0235EED6" w14:textId="77777777" w:rsidR="00146371" w:rsidRDefault="00146371" w:rsidP="0000681C">
      <w:pPr>
        <w:spacing w:before="120" w:after="120"/>
        <w:rPr>
          <w:rFonts w:ascii="Verdana" w:hAnsi="Verdana"/>
          <w:color w:val="000000"/>
        </w:rPr>
      </w:pPr>
    </w:p>
    <w:p w14:paraId="5A1EA4E2" w14:textId="7F13064E" w:rsidR="009356AF" w:rsidRDefault="006E57BE" w:rsidP="009356AF">
      <w:pPr>
        <w:spacing w:before="120" w:after="120"/>
        <w:rPr>
          <w:rFonts w:ascii="Verdana" w:hAnsi="Verdana"/>
          <w:bCs/>
          <w:color w:val="000000"/>
        </w:rPr>
      </w:pPr>
      <w:r>
        <w:rPr>
          <w:rFonts w:ascii="Verdana" w:hAnsi="Verdana"/>
          <w:b/>
          <w:color w:val="000000"/>
        </w:rPr>
        <w:t xml:space="preserve">Description:  </w:t>
      </w:r>
      <w:bookmarkStart w:id="8" w:name="OLE_LINK1"/>
      <w:r w:rsidR="00E4292B">
        <w:rPr>
          <w:rFonts w:ascii="Verdana" w:hAnsi="Verdana"/>
          <w:bCs/>
          <w:color w:val="000000"/>
        </w:rPr>
        <w:t>P</w:t>
      </w:r>
      <w:r w:rsidRPr="006E57BE">
        <w:rPr>
          <w:rFonts w:ascii="Verdana" w:hAnsi="Verdana"/>
          <w:bCs/>
          <w:color w:val="000000"/>
        </w:rPr>
        <w:t xml:space="preserve">rovides </w:t>
      </w:r>
      <w:r>
        <w:rPr>
          <w:rFonts w:ascii="Verdana" w:hAnsi="Verdana"/>
          <w:bCs/>
          <w:color w:val="000000"/>
        </w:rPr>
        <w:t>information when answering questions related to the</w:t>
      </w:r>
      <w:r w:rsidRPr="006E57BE">
        <w:rPr>
          <w:rFonts w:ascii="Verdana" w:hAnsi="Verdana"/>
          <w:bCs/>
          <w:color w:val="000000"/>
        </w:rPr>
        <w:t xml:space="preserve"> </w:t>
      </w:r>
      <w:r>
        <w:rPr>
          <w:rFonts w:ascii="Verdana" w:hAnsi="Verdana"/>
          <w:bCs/>
          <w:color w:val="000000"/>
        </w:rPr>
        <w:t xml:space="preserve">New York City </w:t>
      </w:r>
      <w:r w:rsidRPr="006E57BE">
        <w:rPr>
          <w:rFonts w:ascii="Verdana" w:hAnsi="Verdana"/>
          <w:bCs/>
          <w:color w:val="000000"/>
        </w:rPr>
        <w:t>Medicaid Pharmacy Billing Guidance for at Home COVID-19 Tests</w:t>
      </w:r>
      <w:r>
        <w:rPr>
          <w:rFonts w:ascii="Verdana" w:hAnsi="Verdana"/>
          <w:bCs/>
          <w:color w:val="000000"/>
        </w:rPr>
        <w:t>.</w:t>
      </w:r>
      <w:bookmarkEnd w:id="8"/>
    </w:p>
    <w:p w14:paraId="45CF561D" w14:textId="77777777" w:rsidR="00E4292B" w:rsidRDefault="00E4292B" w:rsidP="009356AF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356AF" w14:paraId="2B5BA159" w14:textId="77777777" w:rsidTr="009356A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4A865F0" w14:textId="07827102" w:rsidR="009356AF" w:rsidRDefault="009356AF" w:rsidP="009356A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Toc171930436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9"/>
          </w:p>
        </w:tc>
      </w:tr>
    </w:tbl>
    <w:p w14:paraId="045FF610" w14:textId="783F3746" w:rsidR="00680570" w:rsidRDefault="00680570" w:rsidP="00680570">
      <w:pPr>
        <w:rPr>
          <w:rFonts w:ascii="Verdana" w:hAnsi="Verdana" w:cstheme="minorHAnsi"/>
        </w:rPr>
      </w:pPr>
      <w:bookmarkStart w:id="10" w:name="OLE_LINK20"/>
    </w:p>
    <w:p w14:paraId="117A0C43" w14:textId="77777777" w:rsidR="00680570" w:rsidRDefault="00680570" w:rsidP="00680570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The Biden Administration announced that the two national emergencies addressing COVID-19, the public health emergency (PHE) and the national emergency, ended on May 11, 2023. </w:t>
      </w:r>
      <w:bookmarkEnd w:id="10"/>
      <w:r>
        <w:rPr>
          <w:rFonts w:ascii="Verdana" w:hAnsi="Verdana" w:cstheme="minorHAnsi"/>
        </w:rPr>
        <w:t>We shared anticipated process changes with CVS Caremark clients on March 22, 2023, so clients had time to decide what is best for their individual plan design and coverage.</w:t>
      </w:r>
    </w:p>
    <w:p w14:paraId="123525A8" w14:textId="77777777" w:rsidR="00680570" w:rsidRDefault="00680570" w:rsidP="00680570">
      <w:pPr>
        <w:rPr>
          <w:rFonts w:ascii="Verdana" w:hAnsi="Verdana" w:cstheme="minorHAnsi"/>
          <w:color w:val="FF0000"/>
          <w:sz w:val="28"/>
          <w:szCs w:val="28"/>
        </w:rPr>
      </w:pPr>
      <w:r>
        <w:rPr>
          <w:rFonts w:ascii="Verdana" w:hAnsi="Verdana" w:cstheme="minorHAnsi"/>
        </w:rPr>
        <w:t>Effective May 12, 2023, processes to cover OTC COVID-19 test kits (with or without prescription) will be discontinued unless the client elects to continue coverage.</w:t>
      </w:r>
    </w:p>
    <w:p w14:paraId="1BF2642B" w14:textId="77777777" w:rsidR="00680570" w:rsidRDefault="00680570" w:rsidP="00680570">
      <w:pPr>
        <w:spacing w:before="120" w:after="120"/>
        <w:rPr>
          <w:rFonts w:ascii="Verdana" w:hAnsi="Verdana" w:cs="Calibri"/>
          <w:color w:val="000000"/>
          <w:sz w:val="28"/>
          <w:szCs w:val="28"/>
        </w:rPr>
      </w:pPr>
    </w:p>
    <w:p w14:paraId="3CF979B2" w14:textId="77777777" w:rsidR="00680570" w:rsidRDefault="00680570" w:rsidP="00680570">
      <w:pPr>
        <w:rPr>
          <w:rFonts w:ascii="Verdana" w:hAnsi="Verdana" w:cstheme="minorHAnsi"/>
          <w:color w:val="FF0000"/>
          <w:sz w:val="28"/>
          <w:szCs w:val="28"/>
        </w:rPr>
      </w:pPr>
      <w:r>
        <w:rPr>
          <w:rFonts w:ascii="Verdana" w:hAnsi="Verdana" w:cstheme="minorHAnsi"/>
        </w:rPr>
        <w:t xml:space="preserve">If a client does not elect to continue coverage, OTC COVID-19 test kits (with or without a prescription) will no longer be covered under the client’s prescription drug plan. Members can, however, continue to purchase COVID-19 test kits out of pocket. For some plans, members may be able to use funds from a health savings account or a flexible spending account toward OTC COVID-19 test kits. </w:t>
      </w:r>
    </w:p>
    <w:p w14:paraId="49BE84B8" w14:textId="77777777" w:rsidR="00680570" w:rsidRDefault="00680570" w:rsidP="00680570">
      <w:pPr>
        <w:spacing w:before="120" w:after="120"/>
        <w:rPr>
          <w:rFonts w:ascii="Verdana" w:hAnsi="Verdana" w:cs="Calibri"/>
          <w:color w:val="000000"/>
        </w:rPr>
      </w:pPr>
    </w:p>
    <w:p w14:paraId="2CF665A1" w14:textId="77777777" w:rsidR="00680570" w:rsidRDefault="00680570" w:rsidP="00680570">
      <w:pPr>
        <w:rPr>
          <w:rFonts w:ascii="Verdana" w:eastAsiaTheme="minorHAnsi" w:hAnsi="Verdana"/>
          <w:b/>
          <w:bCs/>
        </w:rPr>
      </w:pPr>
      <w:r>
        <w:rPr>
          <w:rFonts w:ascii="Verdana" w:hAnsi="Verdana"/>
          <w:b/>
          <w:bCs/>
          <w:color w:val="000000"/>
        </w:rPr>
        <w:t>Note:</w:t>
      </w:r>
      <w:r>
        <w:rPr>
          <w:rFonts w:ascii="Verdana" w:hAnsi="Verdana"/>
          <w:color w:val="000000"/>
        </w:rPr>
        <w:t xml:space="preserve">  Government at-home test kits are no longer available.</w:t>
      </w:r>
    </w:p>
    <w:p w14:paraId="638DDBEA" w14:textId="77777777" w:rsidR="003D22A0" w:rsidRDefault="003D22A0" w:rsidP="009356AF">
      <w:pPr>
        <w:spacing w:before="120" w:after="120"/>
        <w:rPr>
          <w:rFonts w:ascii="Verdana" w:hAnsi="Verdana"/>
          <w:b/>
          <w:bCs/>
        </w:rPr>
      </w:pPr>
    </w:p>
    <w:p w14:paraId="659C9C7E" w14:textId="3E1A0EF0" w:rsidR="006E57BE" w:rsidRDefault="003D22A0" w:rsidP="009356AF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  <w:bCs/>
        </w:rPr>
        <w:t>Refer to the CIF to determine if the member’s plan has this benefit.</w:t>
      </w:r>
    </w:p>
    <w:p w14:paraId="1B19B8E6" w14:textId="77777777" w:rsidR="009356AF" w:rsidRDefault="009356AF" w:rsidP="009356AF">
      <w:pPr>
        <w:spacing w:before="120" w:after="120"/>
        <w:rPr>
          <w:rFonts w:ascii="Verdana" w:hAnsi="Verdana"/>
          <w:b/>
        </w:rPr>
      </w:pPr>
    </w:p>
    <w:p w14:paraId="6837FF6A" w14:textId="56269D4B" w:rsidR="009356AF" w:rsidRDefault="006E57BE" w:rsidP="009356AF">
      <w:pPr>
        <w:spacing w:before="120" w:after="120"/>
        <w:rPr>
          <w:rFonts w:ascii="Verdana" w:hAnsi="Verdana"/>
        </w:rPr>
      </w:pPr>
      <w:r>
        <w:rPr>
          <w:rFonts w:ascii="Verdana" w:hAnsi="Verdana"/>
          <w:b/>
        </w:rPr>
        <w:t xml:space="preserve">LOB:  </w:t>
      </w:r>
      <w:r>
        <w:rPr>
          <w:rFonts w:ascii="Verdana" w:hAnsi="Verdana"/>
          <w:bCs/>
        </w:rPr>
        <w:t>PHD Commercial and Medicaid</w:t>
      </w:r>
    </w:p>
    <w:bookmarkStart w:id="11" w:name="OLE_LINK12"/>
    <w:bookmarkStart w:id="12" w:name="OLE_LINK8"/>
    <w:p w14:paraId="26087B5B" w14:textId="32810163" w:rsidR="009356AF" w:rsidRDefault="00B337EA" w:rsidP="00DC50AD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DC50AD" w:rsidRPr="00B337EA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356AF" w14:paraId="469F88E0" w14:textId="77777777" w:rsidTr="009356A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E712B86" w14:textId="08BBEADA" w:rsidR="009356AF" w:rsidRDefault="009356AF" w:rsidP="009356A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Toc171930437"/>
            <w:bookmarkEnd w:id="11"/>
            <w:r>
              <w:rPr>
                <w:rFonts w:ascii="Verdana" w:hAnsi="Verdana"/>
                <w:i w:val="0"/>
                <w:iCs w:val="0"/>
              </w:rPr>
              <w:t>Requirements for Coverage</w:t>
            </w:r>
            <w:bookmarkEnd w:id="13"/>
          </w:p>
        </w:tc>
      </w:tr>
    </w:tbl>
    <w:bookmarkEnd w:id="12"/>
    <w:p w14:paraId="0B05E0CE" w14:textId="05C49B28" w:rsidR="00FA2DDB" w:rsidRDefault="00FA2DDB" w:rsidP="008D1C3B">
      <w:pPr>
        <w:spacing w:before="120" w:after="120"/>
        <w:rPr>
          <w:rFonts w:ascii="Verdana" w:hAnsi="Verdana"/>
          <w:color w:val="000000"/>
        </w:rPr>
      </w:pPr>
      <w:r w:rsidRPr="00FA2DDB">
        <w:rPr>
          <w:rFonts w:ascii="Verdana" w:hAnsi="Verdana"/>
          <w:color w:val="000000"/>
        </w:rPr>
        <w:t>Covered “at home” test kits</w:t>
      </w:r>
      <w:r w:rsidR="00F545E6">
        <w:rPr>
          <w:rFonts w:ascii="Verdana" w:hAnsi="Verdana"/>
          <w:color w:val="000000"/>
        </w:rPr>
        <w:t xml:space="preserve"> (one test kit </w:t>
      </w:r>
      <w:r w:rsidR="008E46B7">
        <w:rPr>
          <w:rFonts w:ascii="Verdana" w:hAnsi="Verdana"/>
          <w:color w:val="000000"/>
        </w:rPr>
        <w:t xml:space="preserve">of two tests </w:t>
      </w:r>
      <w:r w:rsidR="00F545E6">
        <w:rPr>
          <w:rFonts w:ascii="Verdana" w:hAnsi="Verdana"/>
          <w:color w:val="000000"/>
        </w:rPr>
        <w:t xml:space="preserve">or two </w:t>
      </w:r>
      <w:r w:rsidR="008E46B7">
        <w:rPr>
          <w:rFonts w:ascii="Verdana" w:hAnsi="Verdana"/>
          <w:color w:val="000000"/>
        </w:rPr>
        <w:t xml:space="preserve">individual </w:t>
      </w:r>
      <w:r w:rsidR="00F545E6">
        <w:rPr>
          <w:rFonts w:ascii="Verdana" w:hAnsi="Verdana"/>
          <w:color w:val="000000"/>
        </w:rPr>
        <w:t>tests per person per week)</w:t>
      </w:r>
      <w:r w:rsidRPr="00FA2DDB">
        <w:rPr>
          <w:rFonts w:ascii="Verdana" w:hAnsi="Verdana"/>
          <w:color w:val="000000"/>
        </w:rPr>
        <w:t xml:space="preserve"> must be authorized by the FDA for use in both symptomatic and asymptomatic patients and allow for self-collection without medical observation.  </w:t>
      </w:r>
    </w:p>
    <w:p w14:paraId="37D9A634" w14:textId="3A89F8DB" w:rsidR="00F545E6" w:rsidRPr="009356AF" w:rsidRDefault="00F545E6" w:rsidP="008D1C3B">
      <w:pPr>
        <w:pStyle w:val="Default"/>
        <w:spacing w:before="120" w:after="120" w:line="252" w:lineRule="auto"/>
        <w:rPr>
          <w:rFonts w:ascii="Verdana" w:eastAsia="Times New Roman" w:hAnsi="Verdana"/>
          <w:color w:val="auto"/>
        </w:rPr>
      </w:pPr>
      <w:r w:rsidRPr="009356AF">
        <w:rPr>
          <w:rFonts w:ascii="Verdana" w:hAnsi="Verdana"/>
          <w:b/>
          <w:bCs/>
        </w:rPr>
        <w:t>Note:</w:t>
      </w:r>
      <w:r w:rsidRPr="00F545E6">
        <w:rPr>
          <w:rFonts w:ascii="Verdana" w:hAnsi="Verdana"/>
        </w:rPr>
        <w:t xml:space="preserve">  </w:t>
      </w:r>
      <w:r w:rsidRPr="009356AF">
        <w:rPr>
          <w:rFonts w:ascii="Verdana" w:eastAsia="Times New Roman" w:hAnsi="Verdana"/>
          <w:color w:val="auto"/>
        </w:rPr>
        <w:t xml:space="preserve">For a list of tests that are covered, providers can perform a search using the </w:t>
      </w:r>
      <w:hyperlink r:id="rId12" w:history="1">
        <w:proofErr w:type="spellStart"/>
        <w:r w:rsidRPr="009356AF">
          <w:rPr>
            <w:rStyle w:val="Hyperlink"/>
            <w:rFonts w:ascii="Verdana" w:hAnsi="Verdana"/>
          </w:rPr>
          <w:t>eMedNY</w:t>
        </w:r>
        <w:proofErr w:type="spellEnd"/>
        <w:r w:rsidRPr="009356AF">
          <w:rPr>
            <w:rStyle w:val="Hyperlink"/>
            <w:rFonts w:ascii="Verdana" w:hAnsi="Verdana"/>
          </w:rPr>
          <w:t xml:space="preserve"> formulary search page</w:t>
        </w:r>
      </w:hyperlink>
      <w:r w:rsidRPr="009356AF">
        <w:rPr>
          <w:rFonts w:ascii="Verdana" w:eastAsia="Times New Roman" w:hAnsi="Verdana"/>
          <w:color w:val="auto"/>
        </w:rPr>
        <w:t xml:space="preserve">. </w:t>
      </w:r>
      <w:r w:rsidR="009356AF">
        <w:rPr>
          <w:rFonts w:ascii="Verdana" w:eastAsia="Times New Roman" w:hAnsi="Verdana"/>
          <w:color w:val="auto"/>
        </w:rPr>
        <w:t xml:space="preserve"> </w:t>
      </w:r>
      <w:r w:rsidRPr="009356AF">
        <w:rPr>
          <w:rFonts w:ascii="Verdana" w:eastAsia="Times New Roman" w:hAnsi="Verdana"/>
          <w:color w:val="auto"/>
        </w:rPr>
        <w:t xml:space="preserve">Select </w:t>
      </w:r>
      <w:r w:rsidRPr="009356AF">
        <w:rPr>
          <w:rFonts w:ascii="Verdana" w:eastAsia="Times New Roman" w:hAnsi="Verdana"/>
          <w:b/>
          <w:bCs/>
          <w:color w:val="auto"/>
        </w:rPr>
        <w:t>Description</w:t>
      </w:r>
      <w:r w:rsidRPr="009356AF">
        <w:rPr>
          <w:rFonts w:ascii="Verdana" w:eastAsia="Times New Roman" w:hAnsi="Verdana"/>
          <w:color w:val="auto"/>
        </w:rPr>
        <w:t xml:space="preserve"> in the dropdown field and type in “COVID” to return all tests on the formulary.</w:t>
      </w:r>
    </w:p>
    <w:p w14:paraId="4CB4D9B4" w14:textId="33C9F2BB" w:rsidR="00F545E6" w:rsidRPr="00FA2DDB" w:rsidRDefault="00F545E6" w:rsidP="009356AF">
      <w:pPr>
        <w:spacing w:before="120" w:after="120"/>
        <w:ind w:left="360"/>
        <w:rPr>
          <w:rFonts w:ascii="Verdana" w:hAnsi="Verdana"/>
          <w:color w:val="000000"/>
        </w:rPr>
      </w:pPr>
    </w:p>
    <w:p w14:paraId="04FDDEAE" w14:textId="0EC57BC6" w:rsidR="009356AF" w:rsidRDefault="002B4B1F" w:rsidP="00DC50AD">
      <w:pPr>
        <w:spacing w:before="120" w:after="120"/>
        <w:jc w:val="right"/>
        <w:rPr>
          <w:rFonts w:ascii="Verdana" w:hAnsi="Verdana"/>
        </w:rPr>
      </w:pPr>
      <w:hyperlink w:anchor="_top" w:history="1">
        <w:r w:rsidR="00DC50AD" w:rsidRPr="00B337E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356AF" w14:paraId="334D93F3" w14:textId="77777777" w:rsidTr="009356A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A546905" w14:textId="3A1AA43B" w:rsidR="009356AF" w:rsidRDefault="009356AF" w:rsidP="009356A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_Toc171930438"/>
            <w:r>
              <w:rPr>
                <w:rFonts w:ascii="Verdana" w:hAnsi="Verdana"/>
                <w:i w:val="0"/>
                <w:iCs w:val="0"/>
              </w:rPr>
              <w:t>Quantity Limits</w:t>
            </w:r>
            <w:bookmarkEnd w:id="14"/>
          </w:p>
        </w:tc>
      </w:tr>
    </w:tbl>
    <w:p w14:paraId="17F43DD4" w14:textId="77777777" w:rsidR="00E943DF" w:rsidRDefault="00E943DF" w:rsidP="004F553F">
      <w:pPr>
        <w:rPr>
          <w:rFonts w:ascii="Verdana" w:hAnsi="Verdana"/>
        </w:rPr>
      </w:pPr>
    </w:p>
    <w:p w14:paraId="44D3D15D" w14:textId="74BAF896" w:rsidR="00F545E6" w:rsidRPr="00E943DF" w:rsidRDefault="004F553F" w:rsidP="00E943DF">
      <w:pPr>
        <w:rPr>
          <w:rFonts w:ascii="Verdana" w:hAnsi="Verdana"/>
          <w:color w:val="000000"/>
        </w:rPr>
      </w:pPr>
      <w:r w:rsidRPr="00E943DF">
        <w:rPr>
          <w:rFonts w:ascii="Verdana" w:hAnsi="Verdana"/>
        </w:rPr>
        <w:t>Refer to the CIF</w:t>
      </w:r>
      <w:r w:rsidR="008C425E">
        <w:rPr>
          <w:rFonts w:ascii="Verdana" w:hAnsi="Verdana"/>
        </w:rPr>
        <w:t>.</w:t>
      </w:r>
    </w:p>
    <w:p w14:paraId="391D8399" w14:textId="36882B76" w:rsidR="00DC50AD" w:rsidRPr="00DC50AD" w:rsidRDefault="002B4B1F" w:rsidP="00DC50AD">
      <w:pPr>
        <w:pStyle w:val="ListParagraph"/>
        <w:spacing w:before="120" w:after="120"/>
        <w:ind w:left="1080" w:firstLine="360"/>
        <w:jc w:val="right"/>
        <w:rPr>
          <w:rFonts w:ascii="Verdana" w:hAnsi="Verdana"/>
        </w:rPr>
      </w:pPr>
      <w:hyperlink w:anchor="_top" w:history="1">
        <w:r w:rsidR="00DC50AD" w:rsidRPr="00B337E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356AF" w14:paraId="5BA2E8B8" w14:textId="77777777" w:rsidTr="00DC50A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A3F5B6B" w14:textId="317C510C" w:rsidR="009356AF" w:rsidRDefault="009356AF" w:rsidP="009356A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Toc171930439"/>
            <w:r>
              <w:rPr>
                <w:rFonts w:ascii="Verdana" w:hAnsi="Verdana"/>
                <w:i w:val="0"/>
                <w:iCs w:val="0"/>
              </w:rPr>
              <w:t>NYS FFS Pharmacy Billing for COVID-19 Test Kits</w:t>
            </w:r>
            <w:bookmarkEnd w:id="15"/>
          </w:p>
        </w:tc>
      </w:tr>
    </w:tbl>
    <w:p w14:paraId="5DC71F35" w14:textId="77777777" w:rsidR="0000681C" w:rsidRDefault="0000681C" w:rsidP="009356AF">
      <w:pPr>
        <w:spacing w:before="120" w:after="120"/>
        <w:rPr>
          <w:rFonts w:ascii="Verdana" w:hAnsi="Verdana"/>
          <w:color w:val="000000"/>
        </w:rPr>
      </w:pPr>
    </w:p>
    <w:p w14:paraId="4C4E7F20" w14:textId="0D240287" w:rsidR="00FA2DDB" w:rsidRPr="00FA2DDB" w:rsidRDefault="00FA2DDB" w:rsidP="009356AF">
      <w:pPr>
        <w:spacing w:before="120" w:after="120"/>
        <w:rPr>
          <w:rFonts w:ascii="Verdana" w:hAnsi="Verdana"/>
          <w:color w:val="000000"/>
        </w:rPr>
      </w:pPr>
      <w:r w:rsidRPr="00FA2DDB">
        <w:rPr>
          <w:rFonts w:ascii="Verdana" w:hAnsi="Verdana"/>
          <w:color w:val="000000"/>
        </w:rPr>
        <w:t xml:space="preserve">Pharmacies may bill using the National Drug Codes (NDCs) provided, which have been derived by using the Universal Product Code (UPC). </w:t>
      </w:r>
      <w:r w:rsidR="0000681C">
        <w:rPr>
          <w:rFonts w:ascii="Verdana" w:hAnsi="Verdana"/>
          <w:color w:val="000000"/>
        </w:rPr>
        <w:t xml:space="preserve"> </w:t>
      </w:r>
      <w:r w:rsidRPr="00FA2DDB">
        <w:rPr>
          <w:rFonts w:ascii="Verdana" w:hAnsi="Verdana"/>
          <w:color w:val="000000"/>
        </w:rPr>
        <w:t xml:space="preserve">The test kits that are eligible for coverage are listed </w:t>
      </w:r>
      <w:r w:rsidRPr="006E57BE">
        <w:rPr>
          <w:rFonts w:ascii="Verdana" w:hAnsi="Verdana"/>
          <w:color w:val="000000"/>
        </w:rPr>
        <w:t xml:space="preserve">in </w:t>
      </w:r>
      <w:hyperlink w:anchor="Table2" w:history="1">
        <w:r w:rsidRPr="006E57BE">
          <w:rPr>
            <w:rStyle w:val="Hyperlink"/>
            <w:rFonts w:ascii="Verdana" w:hAnsi="Verdana"/>
          </w:rPr>
          <w:t>Table 2</w:t>
        </w:r>
      </w:hyperlink>
      <w:r w:rsidRPr="00FA2DDB">
        <w:rPr>
          <w:rFonts w:ascii="Verdana" w:hAnsi="Verdana"/>
          <w:color w:val="000000"/>
        </w:rPr>
        <w:t xml:space="preserve">. </w:t>
      </w:r>
      <w:r w:rsidR="0000681C">
        <w:rPr>
          <w:rFonts w:ascii="Verdana" w:hAnsi="Verdana"/>
          <w:color w:val="000000"/>
        </w:rPr>
        <w:t xml:space="preserve"> </w:t>
      </w:r>
      <w:r w:rsidRPr="00FA2DDB">
        <w:rPr>
          <w:rFonts w:ascii="Verdana" w:hAnsi="Verdana"/>
          <w:color w:val="000000"/>
        </w:rPr>
        <w:t xml:space="preserve">As more products become available this guidance will be updated. </w:t>
      </w:r>
      <w:r w:rsidR="0000681C">
        <w:rPr>
          <w:rFonts w:ascii="Verdana" w:hAnsi="Verdana"/>
          <w:color w:val="000000"/>
        </w:rPr>
        <w:t xml:space="preserve"> </w:t>
      </w:r>
      <w:r w:rsidRPr="00FA2DDB">
        <w:rPr>
          <w:rFonts w:ascii="Verdana" w:hAnsi="Verdana"/>
          <w:color w:val="000000"/>
        </w:rPr>
        <w:t xml:space="preserve">For a list of tests that are covered, providers can perform a search using the </w:t>
      </w:r>
      <w:hyperlink r:id="rId13" w:history="1">
        <w:proofErr w:type="spellStart"/>
        <w:r w:rsidRPr="00FA2DDB">
          <w:rPr>
            <w:rStyle w:val="Hyperlink"/>
            <w:rFonts w:ascii="Verdana" w:hAnsi="Verdana"/>
          </w:rPr>
          <w:t>eMedNY</w:t>
        </w:r>
        <w:proofErr w:type="spellEnd"/>
        <w:r w:rsidRPr="00FA2DDB">
          <w:rPr>
            <w:rStyle w:val="Hyperlink"/>
            <w:rFonts w:ascii="Verdana" w:hAnsi="Verdana"/>
          </w:rPr>
          <w:t xml:space="preserve"> formulary search page</w:t>
        </w:r>
      </w:hyperlink>
      <w:hyperlink r:id="rId14" w:history="1">
        <w:r w:rsidRPr="00FA2DDB">
          <w:rPr>
            <w:rStyle w:val="Hyperlink"/>
            <w:rFonts w:ascii="Verdana" w:hAnsi="Verdana"/>
          </w:rPr>
          <w:t>.</w:t>
        </w:r>
      </w:hyperlink>
      <w:r w:rsidRPr="00FA2DDB">
        <w:rPr>
          <w:rFonts w:ascii="Verdana" w:hAnsi="Verdana"/>
          <w:color w:val="000000"/>
        </w:rPr>
        <w:t xml:space="preserve">  </w:t>
      </w:r>
    </w:p>
    <w:p w14:paraId="16EB0BFD" w14:textId="5AB779D6" w:rsidR="00347E53" w:rsidRDefault="00347E53" w:rsidP="00347E53">
      <w:pPr>
        <w:jc w:val="right"/>
        <w:rPr>
          <w:rFonts w:ascii="Verdana" w:hAnsi="Verdana"/>
        </w:rPr>
      </w:pPr>
    </w:p>
    <w:p w14:paraId="3CD76D26" w14:textId="029344DF" w:rsidR="00DC50AD" w:rsidRDefault="002B4B1F" w:rsidP="00DC50AD">
      <w:pPr>
        <w:spacing w:before="120" w:after="120"/>
        <w:jc w:val="right"/>
        <w:rPr>
          <w:rFonts w:ascii="Verdana" w:hAnsi="Verdana"/>
        </w:rPr>
      </w:pPr>
      <w:hyperlink w:anchor="_top" w:history="1">
        <w:r w:rsidR="00DC50AD" w:rsidRPr="00B337E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356AF" w14:paraId="74D7A008" w14:textId="77777777" w:rsidTr="00DC50A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431C822" w14:textId="25BAB003" w:rsidR="009356AF" w:rsidRDefault="009356AF" w:rsidP="009356A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Toc171930440"/>
            <w:r>
              <w:rPr>
                <w:rFonts w:ascii="Verdana" w:hAnsi="Verdana"/>
                <w:i w:val="0"/>
                <w:iCs w:val="0"/>
              </w:rPr>
              <w:t>Billing Instructions and OTC COVID-19 Tests</w:t>
            </w:r>
            <w:bookmarkEnd w:id="16"/>
          </w:p>
        </w:tc>
      </w:tr>
    </w:tbl>
    <w:p w14:paraId="7A6FBD39" w14:textId="0F235163" w:rsidR="00FA2DDB" w:rsidRPr="00FA2DDB" w:rsidRDefault="00FA2DDB" w:rsidP="009356AF">
      <w:pPr>
        <w:spacing w:before="120" w:after="120"/>
        <w:rPr>
          <w:rFonts w:ascii="Verdana" w:hAnsi="Verdana"/>
          <w:color w:val="000000"/>
        </w:rPr>
      </w:pPr>
    </w:p>
    <w:p w14:paraId="2BBB224E" w14:textId="46AFA195" w:rsidR="00FA2DDB" w:rsidRDefault="00FA2DDB" w:rsidP="009356AF">
      <w:pPr>
        <w:spacing w:before="120" w:after="120"/>
        <w:rPr>
          <w:rFonts w:ascii="Verdana" w:hAnsi="Verdana"/>
          <w:b/>
          <w:color w:val="000000"/>
        </w:rPr>
      </w:pPr>
      <w:r w:rsidRPr="00FA2DDB">
        <w:rPr>
          <w:rFonts w:ascii="Verdana" w:hAnsi="Verdana"/>
          <w:b/>
          <w:color w:val="000000"/>
        </w:rPr>
        <w:t>Table 1</w:t>
      </w:r>
      <w:r w:rsidR="0000681C">
        <w:rPr>
          <w:rFonts w:ascii="Verdana" w:hAnsi="Verdana"/>
          <w:b/>
          <w:color w:val="000000"/>
        </w:rPr>
        <w:t xml:space="preserve"> </w:t>
      </w:r>
      <w:r w:rsidR="009356AF">
        <w:rPr>
          <w:rFonts w:ascii="Verdana" w:hAnsi="Verdana"/>
          <w:b/>
          <w:color w:val="000000"/>
        </w:rPr>
        <w:t xml:space="preserve"> </w:t>
      </w:r>
      <w:r w:rsidR="00CD689F">
        <w:rPr>
          <w:rFonts w:ascii="Verdana" w:hAnsi="Verdana"/>
          <w:b/>
          <w:color w:val="000000"/>
        </w:rPr>
        <w:t>- Billing Instructions for COVID-19 Tests</w:t>
      </w:r>
    </w:p>
    <w:p w14:paraId="7E188E35" w14:textId="442C70D4" w:rsidR="0000681C" w:rsidRPr="00FA2DDB" w:rsidRDefault="00D65DFF" w:rsidP="009356AF">
      <w:pPr>
        <w:spacing w:before="120" w:after="12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 xml:space="preserve">Note: </w:t>
      </w:r>
      <w:r w:rsidR="0000681C">
        <w:rPr>
          <w:rFonts w:ascii="Verdana" w:hAnsi="Verdana"/>
          <w:b/>
          <w:color w:val="000000"/>
        </w:rPr>
        <w:t xml:space="preserve"> </w:t>
      </w:r>
      <w:r w:rsidRPr="0000681C">
        <w:rPr>
          <w:rFonts w:ascii="Verdana" w:hAnsi="Verdana"/>
          <w:bCs/>
          <w:color w:val="000000"/>
        </w:rPr>
        <w:t xml:space="preserve">The provider must input the information as </w:t>
      </w:r>
      <w:proofErr w:type="gramStart"/>
      <w:r w:rsidRPr="0000681C">
        <w:rPr>
          <w:rFonts w:ascii="Verdana" w:hAnsi="Verdana"/>
          <w:bCs/>
          <w:color w:val="000000"/>
        </w:rPr>
        <w:t>listed</w:t>
      </w:r>
      <w:proofErr w:type="gramEnd"/>
      <w:r w:rsidRPr="0000681C">
        <w:rPr>
          <w:rFonts w:ascii="Verdana" w:hAnsi="Verdana"/>
          <w:bCs/>
          <w:color w:val="000000"/>
        </w:rPr>
        <w:t xml:space="preserve"> </w:t>
      </w:r>
      <w:r w:rsidR="0000681C">
        <w:rPr>
          <w:rFonts w:ascii="Verdana" w:hAnsi="Verdana"/>
          <w:bCs/>
          <w:color w:val="000000"/>
        </w:rPr>
        <w:t>this table.</w:t>
      </w:r>
    </w:p>
    <w:tbl>
      <w:tblPr>
        <w:tblW w:w="5000" w:type="pct"/>
        <w:tblCellMar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6426"/>
        <w:gridCol w:w="6514"/>
      </w:tblGrid>
      <w:tr w:rsidR="00FA2DDB" w:rsidRPr="00FA2DDB" w14:paraId="4F4B9491" w14:textId="77777777" w:rsidTr="00347E53">
        <w:trPr>
          <w:trHeight w:val="283"/>
        </w:trPr>
        <w:tc>
          <w:tcPr>
            <w:tcW w:w="24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1F60A781" w14:textId="0F1485F6" w:rsidR="00FA2DDB" w:rsidRPr="00FA2DDB" w:rsidRDefault="00FA2DDB" w:rsidP="009356AF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b/>
                <w:color w:val="000000"/>
              </w:rPr>
              <w:t>NCPDP D.0. Claim Segment Field*</w:t>
            </w:r>
          </w:p>
        </w:tc>
        <w:tc>
          <w:tcPr>
            <w:tcW w:w="25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hideMark/>
          </w:tcPr>
          <w:p w14:paraId="5A06BB48" w14:textId="2163E7D7" w:rsidR="00FA2DDB" w:rsidRPr="00FA2DDB" w:rsidRDefault="00FA2DDB" w:rsidP="009356AF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b/>
                <w:color w:val="000000"/>
              </w:rPr>
              <w:t>Value</w:t>
            </w:r>
          </w:p>
        </w:tc>
      </w:tr>
      <w:tr w:rsidR="00FA2DDB" w:rsidRPr="00FA2DDB" w14:paraId="4EEDE6D7" w14:textId="77777777" w:rsidTr="009356AF">
        <w:trPr>
          <w:trHeight w:val="586"/>
        </w:trPr>
        <w:tc>
          <w:tcPr>
            <w:tcW w:w="24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8F6F98" w14:textId="77777777" w:rsidR="00FA2DDB" w:rsidRPr="00FA2DDB" w:rsidRDefault="00FA2DDB" w:rsidP="009356AF">
            <w:pPr>
              <w:spacing w:before="120" w:after="120"/>
              <w:ind w:left="165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color w:val="000000"/>
              </w:rPr>
              <w:t xml:space="preserve">436-E1 (Product/Service ID Qualifier) </w:t>
            </w:r>
          </w:p>
        </w:tc>
        <w:tc>
          <w:tcPr>
            <w:tcW w:w="25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B8E9CC" w14:textId="1D644A21" w:rsidR="00FA2DDB" w:rsidRPr="00FA2DDB" w:rsidRDefault="00FA2DDB" w:rsidP="009356AF">
            <w:pPr>
              <w:spacing w:before="120" w:after="120"/>
              <w:ind w:left="121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color w:val="000000"/>
              </w:rPr>
              <w:t>Enter a value of "03" (NDC)</w:t>
            </w:r>
            <w:r w:rsidR="006E57BE">
              <w:rPr>
                <w:rFonts w:ascii="Verdana" w:hAnsi="Verdana"/>
                <w:color w:val="000000"/>
              </w:rPr>
              <w:t>.</w:t>
            </w:r>
            <w:r w:rsidRPr="00FA2DDB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FA2DDB" w:rsidRPr="00FA2DDB" w14:paraId="7CD25663" w14:textId="77777777" w:rsidTr="009356AF">
        <w:trPr>
          <w:trHeight w:val="559"/>
        </w:trPr>
        <w:tc>
          <w:tcPr>
            <w:tcW w:w="24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BD94A2" w14:textId="77777777" w:rsidR="00FA2DDB" w:rsidRPr="00FA2DDB" w:rsidRDefault="00FA2DDB" w:rsidP="009356AF">
            <w:pPr>
              <w:spacing w:before="120" w:after="120"/>
              <w:ind w:left="165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color w:val="000000"/>
              </w:rPr>
              <w:t xml:space="preserve">407-D7 (Product/Service ID) </w:t>
            </w:r>
          </w:p>
        </w:tc>
        <w:tc>
          <w:tcPr>
            <w:tcW w:w="25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FBCC1D" w14:textId="727DD99C" w:rsidR="00FA2DDB" w:rsidRPr="00FA2DDB" w:rsidRDefault="00FA2DDB" w:rsidP="009356AF">
            <w:pPr>
              <w:spacing w:before="120" w:after="120"/>
              <w:ind w:left="121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color w:val="000000"/>
              </w:rPr>
              <w:t xml:space="preserve">Enter one applicable NDC from </w:t>
            </w:r>
            <w:hyperlink w:anchor="Table2" w:history="1">
              <w:r w:rsidRPr="006E57BE">
                <w:rPr>
                  <w:rStyle w:val="Hyperlink"/>
                  <w:rFonts w:ascii="Verdana" w:hAnsi="Verdana"/>
                </w:rPr>
                <w:t>Table 2</w:t>
              </w:r>
            </w:hyperlink>
            <w:r w:rsidR="006E57BE">
              <w:rPr>
                <w:rFonts w:ascii="Verdana" w:hAnsi="Verdana"/>
                <w:b/>
                <w:bCs/>
                <w:color w:val="000000"/>
              </w:rPr>
              <w:t>.</w:t>
            </w:r>
            <w:r w:rsidRPr="00FA2DDB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8E5DBE" w:rsidRPr="00FA2DDB" w14:paraId="39E0F563" w14:textId="77777777" w:rsidTr="009356AF">
        <w:trPr>
          <w:trHeight w:val="559"/>
        </w:trPr>
        <w:tc>
          <w:tcPr>
            <w:tcW w:w="24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E7B761" w14:textId="7DEF164F" w:rsidR="008E5DBE" w:rsidRPr="00FA2DDB" w:rsidRDefault="008E5DBE" w:rsidP="009356AF">
            <w:pPr>
              <w:spacing w:before="120" w:after="120"/>
              <w:ind w:left="165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444-E9</w:t>
            </w:r>
          </w:p>
        </w:tc>
        <w:tc>
          <w:tcPr>
            <w:tcW w:w="25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72DEFB" w14:textId="626FA0A6" w:rsidR="008E5DBE" w:rsidRPr="00FA2DDB" w:rsidRDefault="008E5DBE" w:rsidP="009356AF">
            <w:pPr>
              <w:spacing w:before="120" w:after="120"/>
              <w:ind w:left="121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Enter Pharmacist National Provider Identifier (NPI) Number</w:t>
            </w:r>
          </w:p>
        </w:tc>
      </w:tr>
      <w:tr w:rsidR="00FA2DDB" w:rsidRPr="00FA2DDB" w14:paraId="0D8C290C" w14:textId="77777777" w:rsidTr="009356AF">
        <w:trPr>
          <w:trHeight w:val="533"/>
        </w:trPr>
        <w:tc>
          <w:tcPr>
            <w:tcW w:w="24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491CB6" w14:textId="77777777" w:rsidR="00FA2DDB" w:rsidRPr="00FA2DDB" w:rsidRDefault="00FA2DDB" w:rsidP="009356AF">
            <w:pPr>
              <w:spacing w:before="120" w:after="120"/>
              <w:ind w:left="165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color w:val="000000"/>
              </w:rPr>
              <w:t xml:space="preserve">411-DB (Prescriber ID) </w:t>
            </w:r>
          </w:p>
        </w:tc>
        <w:tc>
          <w:tcPr>
            <w:tcW w:w="25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DF38A1" w14:textId="2BA4331E" w:rsidR="00FA2DDB" w:rsidRPr="00FA2DDB" w:rsidRDefault="009356AF" w:rsidP="009356AF">
            <w:pPr>
              <w:spacing w:before="120" w:after="120"/>
              <w:ind w:left="121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</w:t>
            </w:r>
            <w:r w:rsidR="008E5DBE">
              <w:rPr>
                <w:rFonts w:ascii="Verdana" w:hAnsi="Verdana"/>
                <w:color w:val="000000"/>
              </w:rPr>
              <w:t>eave field blank*</w:t>
            </w:r>
          </w:p>
        </w:tc>
      </w:tr>
    </w:tbl>
    <w:p w14:paraId="48E74B12" w14:textId="77777777" w:rsidR="00FA2DDB" w:rsidRPr="00FA2DDB" w:rsidRDefault="00FA2DDB" w:rsidP="0000681C">
      <w:pPr>
        <w:spacing w:before="120" w:after="120"/>
        <w:rPr>
          <w:rFonts w:ascii="Verdana" w:hAnsi="Verdana"/>
          <w:color w:val="000000"/>
        </w:rPr>
      </w:pPr>
    </w:p>
    <w:p w14:paraId="79266EB8" w14:textId="6112259D" w:rsidR="0000681C" w:rsidRPr="00FA2DDB" w:rsidRDefault="00FA2DDB" w:rsidP="00CD689F">
      <w:pPr>
        <w:spacing w:before="120" w:after="120"/>
        <w:rPr>
          <w:rFonts w:ascii="Verdana" w:hAnsi="Verdana"/>
          <w:b/>
          <w:color w:val="000000"/>
        </w:rPr>
      </w:pPr>
      <w:bookmarkStart w:id="17" w:name="Table2"/>
      <w:r w:rsidRPr="00FA2DDB">
        <w:rPr>
          <w:rFonts w:ascii="Verdana" w:hAnsi="Verdana"/>
          <w:b/>
          <w:color w:val="000000"/>
        </w:rPr>
        <w:t>Table 2</w:t>
      </w:r>
      <w:r w:rsidR="0000681C">
        <w:rPr>
          <w:rFonts w:ascii="Verdana" w:hAnsi="Verdana"/>
          <w:b/>
          <w:color w:val="000000"/>
        </w:rPr>
        <w:t xml:space="preserve"> </w:t>
      </w:r>
      <w:bookmarkEnd w:id="17"/>
      <w:r w:rsidRPr="00FA2DDB">
        <w:rPr>
          <w:rFonts w:ascii="Verdana" w:hAnsi="Verdana"/>
          <w:b/>
          <w:color w:val="000000"/>
        </w:rPr>
        <w:t xml:space="preserve">- OTC COVID-19 Tests* </w:t>
      </w:r>
    </w:p>
    <w:tbl>
      <w:tblPr>
        <w:tblW w:w="5000" w:type="pct"/>
        <w:tblCellMar>
          <w:top w:w="34" w:type="dxa"/>
          <w:left w:w="106" w:type="dxa"/>
          <w:right w:w="80" w:type="dxa"/>
        </w:tblCellMar>
        <w:tblLook w:val="04A0" w:firstRow="1" w:lastRow="0" w:firstColumn="1" w:lastColumn="0" w:noHBand="0" w:noVBand="1"/>
      </w:tblPr>
      <w:tblGrid>
        <w:gridCol w:w="4209"/>
        <w:gridCol w:w="1264"/>
        <w:gridCol w:w="2664"/>
        <w:gridCol w:w="4813"/>
      </w:tblGrid>
      <w:tr w:rsidR="00FA2DDB" w:rsidRPr="00FA2DDB" w14:paraId="3402D0A6" w14:textId="77777777" w:rsidTr="00347E53">
        <w:trPr>
          <w:trHeight w:val="353"/>
        </w:trPr>
        <w:tc>
          <w:tcPr>
            <w:tcW w:w="1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553C4F6" w14:textId="5272750A" w:rsidR="00FA2DDB" w:rsidRPr="00FA2DDB" w:rsidRDefault="00FA2DDB" w:rsidP="00CD689F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b/>
                <w:color w:val="000000"/>
              </w:rPr>
              <w:t>Test Name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9B7DB52" w14:textId="0C00E591" w:rsidR="00FA2DDB" w:rsidRPr="00FA2DDB" w:rsidRDefault="00FA2DDB" w:rsidP="00CD689F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b/>
                <w:color w:val="000000"/>
              </w:rPr>
              <w:t>OTC/RX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D65BD58" w14:textId="6B3EB208" w:rsidR="00FA2DDB" w:rsidRPr="00FA2DDB" w:rsidRDefault="00FA2DDB" w:rsidP="00CD689F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b/>
                <w:color w:val="000000"/>
              </w:rPr>
              <w:t>Reimbursement**</w:t>
            </w:r>
          </w:p>
        </w:tc>
        <w:tc>
          <w:tcPr>
            <w:tcW w:w="1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31DA9AA" w14:textId="01C7A2B3" w:rsidR="00FA2DDB" w:rsidRPr="00FA2DDB" w:rsidRDefault="00FA2DDB" w:rsidP="00CD689F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b/>
                <w:color w:val="000000"/>
              </w:rPr>
              <w:t>NDC</w:t>
            </w:r>
          </w:p>
        </w:tc>
      </w:tr>
      <w:tr w:rsidR="00FA2DDB" w:rsidRPr="00FA2DDB" w14:paraId="7935EF8B" w14:textId="77777777" w:rsidTr="009356AF">
        <w:trPr>
          <w:trHeight w:val="553"/>
        </w:trPr>
        <w:tc>
          <w:tcPr>
            <w:tcW w:w="1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B4DBD" w14:textId="77777777" w:rsidR="00FA2DDB" w:rsidRPr="00FA2DDB" w:rsidRDefault="00FA2DDB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color w:val="000000"/>
              </w:rPr>
              <w:t xml:space="preserve">BinaxNOW COVID-19 Antigen Self- Test 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238E8" w14:textId="77777777" w:rsidR="00FA2DDB" w:rsidRPr="00FA2DDB" w:rsidRDefault="00FA2DDB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color w:val="000000"/>
              </w:rPr>
              <w:t xml:space="preserve">OTC 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DEFD3" w14:textId="40A1685C" w:rsidR="00FA2DDB" w:rsidRPr="00FA2DDB" w:rsidRDefault="00FA2DDB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color w:val="000000"/>
              </w:rPr>
              <w:t>Up to $2</w:t>
            </w:r>
            <w:r w:rsidR="008E5DBE">
              <w:rPr>
                <w:rFonts w:ascii="Verdana" w:hAnsi="Verdana"/>
                <w:color w:val="000000"/>
              </w:rPr>
              <w:t>4</w:t>
            </w:r>
            <w:r w:rsidRPr="00FA2DDB"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1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65FCC" w14:textId="23B4B02A" w:rsidR="00FA2DDB" w:rsidRPr="00FA2DDB" w:rsidRDefault="00FA2DDB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color w:val="000000"/>
              </w:rPr>
              <w:t xml:space="preserve">11877001140 </w:t>
            </w:r>
          </w:p>
        </w:tc>
      </w:tr>
      <w:tr w:rsidR="00FA2DDB" w:rsidRPr="00FA2DDB" w14:paraId="15B957A1" w14:textId="77777777" w:rsidTr="009356AF">
        <w:trPr>
          <w:trHeight w:val="552"/>
        </w:trPr>
        <w:tc>
          <w:tcPr>
            <w:tcW w:w="1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33B0EB" w14:textId="77777777" w:rsidR="00FA2DDB" w:rsidRPr="00FA2DDB" w:rsidRDefault="00FA2DDB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18" w:name="_Hlk94878945"/>
            <w:proofErr w:type="spellStart"/>
            <w:r w:rsidRPr="00FA2DDB">
              <w:rPr>
                <w:rFonts w:ascii="Verdana" w:hAnsi="Verdana"/>
                <w:color w:val="000000"/>
              </w:rPr>
              <w:t>QuickVue</w:t>
            </w:r>
            <w:proofErr w:type="spellEnd"/>
            <w:r w:rsidRPr="00FA2DDB">
              <w:rPr>
                <w:rFonts w:ascii="Verdana" w:hAnsi="Verdana"/>
                <w:color w:val="000000"/>
              </w:rPr>
              <w:t xml:space="preserve"> At-Home COVID-19 Test 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16DFF1" w14:textId="77777777" w:rsidR="00FA2DDB" w:rsidRPr="00FA2DDB" w:rsidRDefault="00FA2DDB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color w:val="000000"/>
              </w:rPr>
              <w:t xml:space="preserve">OTC 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99FFB6" w14:textId="027D295E" w:rsidR="00FA2DDB" w:rsidRPr="00FA2DDB" w:rsidRDefault="00FA2DDB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color w:val="000000"/>
              </w:rPr>
              <w:t>Up to $</w:t>
            </w:r>
            <w:r w:rsidR="008E5DBE" w:rsidRPr="00FA2DDB">
              <w:rPr>
                <w:rFonts w:ascii="Verdana" w:hAnsi="Verdana"/>
                <w:color w:val="000000"/>
              </w:rPr>
              <w:t>2</w:t>
            </w:r>
            <w:r w:rsidR="008E5DBE">
              <w:rPr>
                <w:rFonts w:ascii="Verdana" w:hAnsi="Verdana"/>
                <w:color w:val="000000"/>
              </w:rPr>
              <w:t>4</w:t>
            </w:r>
            <w:r w:rsidR="008E5DBE" w:rsidRPr="00FA2DDB"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1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F3B6D1" w14:textId="614875E6" w:rsidR="00FA2DDB" w:rsidRPr="00FA2DDB" w:rsidRDefault="00FA2DDB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color w:val="000000"/>
              </w:rPr>
              <w:t xml:space="preserve">14613033972 </w:t>
            </w:r>
          </w:p>
        </w:tc>
      </w:tr>
      <w:tr w:rsidR="00FA2DDB" w:rsidRPr="00FA2DDB" w14:paraId="48A20172" w14:textId="77777777" w:rsidTr="009356AF">
        <w:trPr>
          <w:trHeight w:val="554"/>
        </w:trPr>
        <w:tc>
          <w:tcPr>
            <w:tcW w:w="1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37DF4" w14:textId="77777777" w:rsidR="00FA2DDB" w:rsidRPr="00FA2DDB" w:rsidRDefault="00FA2DDB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FA2DDB">
              <w:rPr>
                <w:rFonts w:ascii="Verdana" w:hAnsi="Verdana"/>
                <w:color w:val="000000"/>
              </w:rPr>
              <w:t>InteliSwab</w:t>
            </w:r>
            <w:proofErr w:type="spellEnd"/>
            <w:r w:rsidRPr="00FA2DDB">
              <w:rPr>
                <w:rFonts w:ascii="Verdana" w:hAnsi="Verdana"/>
                <w:color w:val="000000"/>
              </w:rPr>
              <w:t xml:space="preserve"> COVID-19 Rapid Test 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E3B18A" w14:textId="77777777" w:rsidR="00FA2DDB" w:rsidRPr="00FA2DDB" w:rsidRDefault="00FA2DDB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color w:val="000000"/>
              </w:rPr>
              <w:t xml:space="preserve">OTC 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EC1F1" w14:textId="30A4EFAE" w:rsidR="00FA2DDB" w:rsidRPr="00FA2DDB" w:rsidRDefault="00FA2DDB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color w:val="000000"/>
              </w:rPr>
              <w:t>Up to $</w:t>
            </w:r>
            <w:r w:rsidR="008E5DBE" w:rsidRPr="00FA2DDB">
              <w:rPr>
                <w:rFonts w:ascii="Verdana" w:hAnsi="Verdana"/>
                <w:color w:val="000000"/>
              </w:rPr>
              <w:t>2</w:t>
            </w:r>
            <w:r w:rsidR="008E5DBE">
              <w:rPr>
                <w:rFonts w:ascii="Verdana" w:hAnsi="Verdana"/>
                <w:color w:val="000000"/>
              </w:rPr>
              <w:t>4</w:t>
            </w:r>
            <w:r w:rsidR="008E5DBE" w:rsidRPr="00FA2DDB"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1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31DFB" w14:textId="01C758C7" w:rsidR="00FA2DDB" w:rsidRPr="00FA2DDB" w:rsidRDefault="00FA2DDB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color w:val="000000"/>
              </w:rPr>
              <w:t xml:space="preserve">08337000158 </w:t>
            </w:r>
          </w:p>
        </w:tc>
      </w:tr>
      <w:tr w:rsidR="00FA2DDB" w:rsidRPr="00FA2DDB" w14:paraId="7D0559C7" w14:textId="77777777" w:rsidTr="009356AF">
        <w:trPr>
          <w:trHeight w:val="552"/>
        </w:trPr>
        <w:tc>
          <w:tcPr>
            <w:tcW w:w="1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1E5566" w14:textId="77777777" w:rsidR="00FA2DDB" w:rsidRPr="00FA2DDB" w:rsidRDefault="00FA2DDB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spellStart"/>
            <w:r w:rsidRPr="00FA2DDB">
              <w:rPr>
                <w:rFonts w:ascii="Verdana" w:hAnsi="Verdana"/>
                <w:color w:val="000000"/>
              </w:rPr>
              <w:t>CareStart</w:t>
            </w:r>
            <w:proofErr w:type="spellEnd"/>
            <w:r w:rsidRPr="00FA2DDB">
              <w:rPr>
                <w:rFonts w:ascii="Verdana" w:hAnsi="Verdana"/>
                <w:color w:val="000000"/>
              </w:rPr>
              <w:t xml:space="preserve"> COVID-19 Antigen Home Test 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EDB82" w14:textId="77777777" w:rsidR="00FA2DDB" w:rsidRPr="00FA2DDB" w:rsidRDefault="00FA2DDB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color w:val="000000"/>
              </w:rPr>
              <w:t xml:space="preserve">OTC 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7DF92" w14:textId="6946EC4D" w:rsidR="00FA2DDB" w:rsidRPr="00FA2DDB" w:rsidRDefault="00FA2DDB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19" w:name="OLE_LINK23"/>
            <w:r w:rsidRPr="00FA2DDB">
              <w:rPr>
                <w:rFonts w:ascii="Verdana" w:hAnsi="Verdana"/>
                <w:color w:val="000000"/>
              </w:rPr>
              <w:t>Up to $</w:t>
            </w:r>
            <w:r w:rsidR="008E5DBE" w:rsidRPr="00FA2DDB">
              <w:rPr>
                <w:rFonts w:ascii="Verdana" w:hAnsi="Verdana"/>
                <w:color w:val="000000"/>
              </w:rPr>
              <w:t>2</w:t>
            </w:r>
            <w:r w:rsidR="008E5DBE">
              <w:rPr>
                <w:rFonts w:ascii="Verdana" w:hAnsi="Verdana"/>
                <w:color w:val="000000"/>
              </w:rPr>
              <w:t>4</w:t>
            </w:r>
            <w:r w:rsidR="008E5DBE" w:rsidRPr="00FA2DDB">
              <w:rPr>
                <w:rFonts w:ascii="Verdana" w:hAnsi="Verdana"/>
                <w:color w:val="000000"/>
                <w:vertAlign w:val="subscript"/>
              </w:rPr>
              <w:t xml:space="preserve"> </w:t>
            </w:r>
            <w:r w:rsidR="008E5DBE" w:rsidRPr="00FA2DDB">
              <w:rPr>
                <w:rFonts w:ascii="Verdana" w:hAnsi="Verdana"/>
                <w:color w:val="000000"/>
              </w:rPr>
              <w:t xml:space="preserve"> </w:t>
            </w:r>
            <w:bookmarkEnd w:id="19"/>
          </w:p>
        </w:tc>
        <w:tc>
          <w:tcPr>
            <w:tcW w:w="1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8B99C" w14:textId="2E2BD7A1" w:rsidR="00FA2DDB" w:rsidRPr="00FA2DDB" w:rsidRDefault="00FA2DDB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A2DDB">
              <w:rPr>
                <w:rFonts w:ascii="Verdana" w:hAnsi="Verdana"/>
                <w:color w:val="000000"/>
              </w:rPr>
              <w:t xml:space="preserve">50010022431 </w:t>
            </w:r>
          </w:p>
        </w:tc>
      </w:tr>
      <w:bookmarkEnd w:id="18"/>
      <w:tr w:rsidR="003205CF" w:rsidRPr="00FA2DDB" w14:paraId="16E2C2BB" w14:textId="77777777" w:rsidTr="009356AF">
        <w:trPr>
          <w:trHeight w:val="552"/>
        </w:trPr>
        <w:tc>
          <w:tcPr>
            <w:tcW w:w="1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D77DE" w14:textId="74D72181" w:rsidR="003205CF" w:rsidRPr="00FA2DDB" w:rsidRDefault="003205CF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IHEALTH COVID-19 AG HOME TEST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76EF" w14:textId="16D84679" w:rsidR="003205CF" w:rsidRPr="003205CF" w:rsidRDefault="003205CF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356AF">
              <w:rPr>
                <w:rFonts w:ascii="Verdana" w:hAnsi="Verdana"/>
              </w:rPr>
              <w:t xml:space="preserve">OTC 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B8F42" w14:textId="7F81D289" w:rsidR="003205CF" w:rsidRPr="00FA2DDB" w:rsidRDefault="003205CF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Up to $24</w:t>
            </w:r>
            <w:r>
              <w:rPr>
                <w:rFonts w:ascii="Verdana" w:hAnsi="Verdana"/>
                <w:color w:val="000000"/>
                <w:vertAlign w:val="subscript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1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3A80D" w14:textId="738235A2" w:rsidR="003205CF" w:rsidRPr="00FA2DDB" w:rsidRDefault="003205CF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56362000589</w:t>
            </w:r>
          </w:p>
        </w:tc>
      </w:tr>
      <w:tr w:rsidR="003205CF" w:rsidRPr="00FA2DDB" w14:paraId="50F34595" w14:textId="77777777" w:rsidTr="009356AF">
        <w:trPr>
          <w:trHeight w:val="552"/>
        </w:trPr>
        <w:tc>
          <w:tcPr>
            <w:tcW w:w="1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24A95" w14:textId="4B6B411A" w:rsidR="003205CF" w:rsidRPr="00FA2DDB" w:rsidRDefault="003205CF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FLOWFLEX COVID-19 AG HOME TEST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258B" w14:textId="02145C2A" w:rsidR="003205CF" w:rsidRPr="003205CF" w:rsidRDefault="003205CF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356AF">
              <w:rPr>
                <w:rFonts w:ascii="Verdana" w:hAnsi="Verdana"/>
              </w:rPr>
              <w:t xml:space="preserve">OTC 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985" w14:textId="3276D9FE" w:rsidR="003205CF" w:rsidRPr="00FA2DDB" w:rsidRDefault="003205CF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Up to $24</w:t>
            </w:r>
            <w:r>
              <w:rPr>
                <w:rFonts w:ascii="Verdana" w:hAnsi="Verdana"/>
                <w:color w:val="000000"/>
                <w:vertAlign w:val="subscript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1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E4F40" w14:textId="655079E4" w:rsidR="003205CF" w:rsidRPr="00FA2DDB" w:rsidRDefault="003205CF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82607066026</w:t>
            </w:r>
          </w:p>
        </w:tc>
      </w:tr>
      <w:tr w:rsidR="003205CF" w:rsidRPr="00FA2DDB" w14:paraId="71679607" w14:textId="77777777" w:rsidTr="009356AF">
        <w:trPr>
          <w:trHeight w:val="552"/>
        </w:trPr>
        <w:tc>
          <w:tcPr>
            <w:tcW w:w="16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98F4C" w14:textId="1DA993CB" w:rsidR="003205CF" w:rsidRPr="00FA2DDB" w:rsidRDefault="003205CF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FLOWFLEX COVID-19 AG HOME TEST</w:t>
            </w:r>
          </w:p>
        </w:tc>
        <w:tc>
          <w:tcPr>
            <w:tcW w:w="4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2A9A" w14:textId="62206051" w:rsidR="003205CF" w:rsidRPr="003205CF" w:rsidRDefault="003205CF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356AF">
              <w:rPr>
                <w:rFonts w:ascii="Verdana" w:hAnsi="Verdana"/>
              </w:rPr>
              <w:t xml:space="preserve">OTC 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E4789" w14:textId="7F6E0596" w:rsidR="003205CF" w:rsidRPr="00FA2DDB" w:rsidRDefault="003205CF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Up to $24</w:t>
            </w:r>
            <w:r>
              <w:rPr>
                <w:rFonts w:ascii="Verdana" w:hAnsi="Verdana"/>
                <w:color w:val="000000"/>
                <w:vertAlign w:val="subscript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1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B3AB2" w14:textId="5B610B59" w:rsidR="003205CF" w:rsidRPr="00FA2DDB" w:rsidRDefault="003205CF" w:rsidP="00CD689F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82607066027</w:t>
            </w:r>
          </w:p>
        </w:tc>
      </w:tr>
    </w:tbl>
    <w:p w14:paraId="51522BC4" w14:textId="77777777" w:rsidR="00FA2DDB" w:rsidRPr="00FA2DDB" w:rsidRDefault="00FA2DDB" w:rsidP="00CD689F">
      <w:pPr>
        <w:spacing w:before="120" w:after="120"/>
        <w:rPr>
          <w:rFonts w:ascii="Verdana" w:hAnsi="Verdana"/>
          <w:color w:val="000000"/>
        </w:rPr>
      </w:pPr>
      <w:r w:rsidRPr="00FA2DDB">
        <w:rPr>
          <w:rFonts w:ascii="Verdana" w:hAnsi="Verdana"/>
          <w:color w:val="000000"/>
        </w:rPr>
        <w:t>*As more test kits become available this table will be updated</w:t>
      </w:r>
      <w:r>
        <w:rPr>
          <w:rFonts w:ascii="Verdana" w:hAnsi="Verdana"/>
          <w:color w:val="000000"/>
        </w:rPr>
        <w:t>*</w:t>
      </w:r>
    </w:p>
    <w:p w14:paraId="5865DD70" w14:textId="77777777" w:rsidR="00FA2DDB" w:rsidRPr="00FA2DDB" w:rsidRDefault="00FA2DDB" w:rsidP="00CD689F">
      <w:pPr>
        <w:spacing w:before="120" w:after="120"/>
        <w:rPr>
          <w:rFonts w:ascii="Verdana" w:hAnsi="Verdana"/>
          <w:color w:val="000000"/>
        </w:rPr>
      </w:pPr>
      <w:r w:rsidRPr="00FA2DDB">
        <w:rPr>
          <w:rFonts w:ascii="Verdana" w:hAnsi="Verdana"/>
          <w:color w:val="000000"/>
        </w:rPr>
        <w:t xml:space="preserve"> </w:t>
      </w:r>
    </w:p>
    <w:p w14:paraId="01324F39" w14:textId="2821B4B9" w:rsidR="00DC50AD" w:rsidRDefault="002B4B1F" w:rsidP="00DC50AD">
      <w:pPr>
        <w:spacing w:before="120" w:after="120"/>
        <w:jc w:val="right"/>
        <w:rPr>
          <w:rFonts w:ascii="Verdana" w:hAnsi="Verdana"/>
        </w:rPr>
      </w:pPr>
      <w:hyperlink w:anchor="_top" w:history="1">
        <w:r w:rsidR="00DC50AD" w:rsidRPr="00B337E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356AF" w14:paraId="2DD7EE18" w14:textId="77777777" w:rsidTr="00DC50A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AE3BD0A" w14:textId="5AD6A532" w:rsidR="009356AF" w:rsidRDefault="009356AF" w:rsidP="00CD689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Toc171930441"/>
            <w:r>
              <w:rPr>
                <w:rFonts w:ascii="Verdana" w:hAnsi="Verdana"/>
                <w:i w:val="0"/>
                <w:iCs w:val="0"/>
              </w:rPr>
              <w:t>Medicaid Managed Care (MMC) Coverage and Billing</w:t>
            </w:r>
            <w:bookmarkEnd w:id="20"/>
          </w:p>
        </w:tc>
      </w:tr>
    </w:tbl>
    <w:p w14:paraId="2CF3D82F" w14:textId="77777777" w:rsidR="0000681C" w:rsidRDefault="00FA2DDB" w:rsidP="00CD689F">
      <w:pPr>
        <w:numPr>
          <w:ilvl w:val="0"/>
          <w:numId w:val="33"/>
        </w:numPr>
        <w:spacing w:before="120" w:after="120"/>
        <w:ind w:left="360"/>
        <w:rPr>
          <w:rFonts w:ascii="Verdana" w:hAnsi="Verdana"/>
          <w:color w:val="000000"/>
        </w:rPr>
      </w:pPr>
      <w:r w:rsidRPr="00FA2DDB">
        <w:rPr>
          <w:rFonts w:ascii="Verdana" w:hAnsi="Verdana"/>
          <w:color w:val="000000"/>
        </w:rPr>
        <w:t xml:space="preserve">The Medicaid coverage policy applies to all types of plans. </w:t>
      </w:r>
      <w:r w:rsidR="0000681C">
        <w:rPr>
          <w:rFonts w:ascii="Verdana" w:hAnsi="Verdana"/>
          <w:color w:val="000000"/>
        </w:rPr>
        <w:t xml:space="preserve"> </w:t>
      </w:r>
    </w:p>
    <w:p w14:paraId="6C74A69A" w14:textId="77777777" w:rsidR="0000681C" w:rsidRDefault="00FA2DDB" w:rsidP="00CD689F">
      <w:pPr>
        <w:numPr>
          <w:ilvl w:val="0"/>
          <w:numId w:val="33"/>
        </w:numPr>
        <w:spacing w:before="120" w:after="120"/>
        <w:ind w:left="360"/>
        <w:rPr>
          <w:rFonts w:ascii="Verdana" w:hAnsi="Verdana"/>
          <w:color w:val="000000"/>
        </w:rPr>
      </w:pPr>
      <w:r w:rsidRPr="00FA2DDB">
        <w:rPr>
          <w:rFonts w:ascii="Verdana" w:hAnsi="Verdana"/>
          <w:color w:val="000000"/>
        </w:rPr>
        <w:t xml:space="preserve">The COVID-19 testing billing instructions and reimbursement amounts above are specific to Medicaid FFS. </w:t>
      </w:r>
    </w:p>
    <w:p w14:paraId="73405EF0" w14:textId="77777777" w:rsidR="0000681C" w:rsidRDefault="00FA2DDB" w:rsidP="00CD689F">
      <w:pPr>
        <w:numPr>
          <w:ilvl w:val="0"/>
          <w:numId w:val="33"/>
        </w:numPr>
        <w:spacing w:before="120" w:after="120"/>
        <w:ind w:left="360"/>
        <w:rPr>
          <w:rFonts w:ascii="Verdana" w:hAnsi="Verdana"/>
          <w:color w:val="000000"/>
        </w:rPr>
      </w:pPr>
      <w:r w:rsidRPr="00FA2DDB">
        <w:rPr>
          <w:rFonts w:ascii="Verdana" w:hAnsi="Verdana"/>
          <w:color w:val="000000"/>
        </w:rPr>
        <w:t xml:space="preserve">Individual MMC plan billing guidance for COVID-19 testing and specimen collection for pharmacies, is posted on the </w:t>
      </w:r>
      <w:hyperlink r:id="rId15" w:history="1">
        <w:r w:rsidRPr="00FA2DDB">
          <w:rPr>
            <w:rStyle w:val="Hyperlink"/>
            <w:rFonts w:ascii="Verdana" w:hAnsi="Verdana"/>
          </w:rPr>
          <w:t>Medicaid Managed Care Pharmacy Benefit Information</w:t>
        </w:r>
      </w:hyperlink>
      <w:hyperlink r:id="rId16" w:history="1">
        <w:r w:rsidRPr="00FA2DDB">
          <w:rPr>
            <w:rStyle w:val="Hyperlink"/>
            <w:rFonts w:ascii="Verdana" w:hAnsi="Verdana"/>
          </w:rPr>
          <w:t xml:space="preserve"> </w:t>
        </w:r>
      </w:hyperlink>
      <w:hyperlink r:id="rId17" w:history="1">
        <w:r w:rsidRPr="00FA2DDB">
          <w:rPr>
            <w:rStyle w:val="Hyperlink"/>
            <w:rFonts w:ascii="Verdana" w:hAnsi="Verdana"/>
          </w:rPr>
          <w:t>Center</w:t>
        </w:r>
      </w:hyperlink>
      <w:hyperlink r:id="rId18" w:history="1">
        <w:r w:rsidRPr="00FA2DDB">
          <w:rPr>
            <w:rStyle w:val="Hyperlink"/>
            <w:rFonts w:ascii="Verdana" w:hAnsi="Verdana"/>
          </w:rPr>
          <w:t>.</w:t>
        </w:r>
      </w:hyperlink>
      <w:r w:rsidRPr="00FA2DDB">
        <w:rPr>
          <w:rFonts w:ascii="Verdana" w:hAnsi="Verdana"/>
          <w:color w:val="000000"/>
        </w:rPr>
        <w:t xml:space="preserve"> </w:t>
      </w:r>
    </w:p>
    <w:p w14:paraId="66AA499F" w14:textId="77777777" w:rsidR="0000681C" w:rsidRDefault="00FA2DDB" w:rsidP="00CD689F">
      <w:pPr>
        <w:numPr>
          <w:ilvl w:val="0"/>
          <w:numId w:val="33"/>
        </w:numPr>
        <w:spacing w:before="120" w:after="120"/>
        <w:ind w:left="360"/>
        <w:rPr>
          <w:rFonts w:ascii="Verdana" w:hAnsi="Verdana"/>
          <w:color w:val="000000"/>
        </w:rPr>
      </w:pPr>
      <w:r w:rsidRPr="00FA2DDB">
        <w:rPr>
          <w:rFonts w:ascii="Verdana" w:hAnsi="Verdana"/>
          <w:color w:val="000000"/>
        </w:rPr>
        <w:t xml:space="preserve">Providers can select the MMC plan in question and then select the </w:t>
      </w:r>
      <w:r w:rsidRPr="00FA2DDB">
        <w:rPr>
          <w:rFonts w:ascii="Verdana" w:hAnsi="Verdana"/>
          <w:b/>
          <w:color w:val="000000"/>
        </w:rPr>
        <w:t xml:space="preserve">COVID Testing- Pharmacy Billing Guidance </w:t>
      </w:r>
      <w:r w:rsidRPr="00FA2DDB">
        <w:rPr>
          <w:rFonts w:ascii="Verdana" w:hAnsi="Verdana"/>
          <w:color w:val="000000"/>
        </w:rPr>
        <w:t xml:space="preserve">hyperlink to get the plan specific guidance page on their website. </w:t>
      </w:r>
    </w:p>
    <w:p w14:paraId="3979ED88" w14:textId="77777777" w:rsidR="0000681C" w:rsidRDefault="00FA2DDB" w:rsidP="00CD689F">
      <w:pPr>
        <w:numPr>
          <w:ilvl w:val="0"/>
          <w:numId w:val="33"/>
        </w:numPr>
        <w:spacing w:before="120" w:after="120"/>
        <w:ind w:left="360"/>
        <w:rPr>
          <w:rFonts w:ascii="Verdana" w:hAnsi="Verdana"/>
          <w:color w:val="000000"/>
        </w:rPr>
      </w:pPr>
      <w:r w:rsidRPr="00FA2DDB">
        <w:rPr>
          <w:rFonts w:ascii="Verdana" w:hAnsi="Verdana"/>
          <w:color w:val="000000"/>
        </w:rPr>
        <w:t xml:space="preserve">Providers can also access this information on the individual MMC plan websites. </w:t>
      </w:r>
    </w:p>
    <w:p w14:paraId="222C5DF6" w14:textId="0A14C0E5" w:rsidR="006E57BE" w:rsidRPr="006E57BE" w:rsidRDefault="00FA2DDB" w:rsidP="00CD689F">
      <w:pPr>
        <w:numPr>
          <w:ilvl w:val="0"/>
          <w:numId w:val="33"/>
        </w:numPr>
        <w:spacing w:before="120" w:after="120"/>
        <w:ind w:left="360"/>
        <w:rPr>
          <w:rFonts w:ascii="Verdana" w:hAnsi="Verdana"/>
          <w:color w:val="000000"/>
        </w:rPr>
      </w:pPr>
      <w:r w:rsidRPr="006E57BE">
        <w:rPr>
          <w:rFonts w:ascii="Verdana" w:hAnsi="Verdana"/>
          <w:color w:val="000000"/>
        </w:rPr>
        <w:t xml:space="preserve">For MMC billing questions unanswered by using these resources, please contact the individual plan using the information in the link above. </w:t>
      </w:r>
    </w:p>
    <w:p w14:paraId="048D8FAE" w14:textId="77777777" w:rsidR="006E57BE" w:rsidRDefault="006E57BE" w:rsidP="006E57BE">
      <w:pPr>
        <w:rPr>
          <w:rFonts w:ascii="Verdana" w:hAnsi="Verdana"/>
        </w:rPr>
      </w:pPr>
      <w:bookmarkStart w:id="21" w:name="OLE_LINK7"/>
    </w:p>
    <w:bookmarkStart w:id="22" w:name="_Hlk75760717"/>
    <w:bookmarkStart w:id="23" w:name="_Hlk75760658"/>
    <w:p w14:paraId="0CDDED78" w14:textId="58CD8F3C" w:rsidR="00DC50AD" w:rsidRDefault="00B337EA" w:rsidP="00DC50AD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DC50AD" w:rsidRPr="00B337EA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E57BE" w:rsidRPr="0038070C" w14:paraId="074FA83F" w14:textId="77777777" w:rsidTr="00DC50AD">
        <w:tc>
          <w:tcPr>
            <w:tcW w:w="5000" w:type="pct"/>
            <w:shd w:val="clear" w:color="auto" w:fill="C0C0C0"/>
          </w:tcPr>
          <w:p w14:paraId="68B87439" w14:textId="77777777" w:rsidR="006E57BE" w:rsidRPr="0038070C" w:rsidRDefault="006E57BE" w:rsidP="00CD689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4" w:name="_Toc63863807"/>
            <w:bookmarkStart w:id="25" w:name="_Toc171930442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4"/>
            <w:bookmarkEnd w:id="25"/>
          </w:p>
        </w:tc>
      </w:tr>
    </w:tbl>
    <w:bookmarkStart w:id="26" w:name="OLE_LINK2"/>
    <w:bookmarkEnd w:id="21"/>
    <w:bookmarkEnd w:id="22"/>
    <w:p w14:paraId="21558ED8" w14:textId="039FA4C9" w:rsidR="006E57BE" w:rsidRPr="0069748B" w:rsidRDefault="0069748B" w:rsidP="00CD689F">
      <w:pPr>
        <w:spacing w:before="120" w:after="120"/>
        <w:rPr>
          <w:rStyle w:val="Hyperlink"/>
          <w:rFonts w:ascii="Verdana" w:hAnsi="Verdana"/>
        </w:rPr>
      </w:pPr>
      <w:r w:rsidRPr="5F9C235B">
        <w:rPr>
          <w:rFonts w:ascii="Verdana" w:hAnsi="Verdana"/>
        </w:rPr>
        <w:fldChar w:fldCharType="begin"/>
      </w:r>
      <w:r w:rsidRPr="5F9C235B">
        <w:rPr>
          <w:rFonts w:ascii="Verdana" w:hAnsi="Verdana"/>
        </w:rPr>
        <w:instrText>HYPERLINK "https://thesource.cvshealth.com/nuxeo/thesource/" \l "!/view?docid=c1f1028b-e42c-4b4f-a4cf-cc0b42c91606"</w:instrText>
      </w:r>
      <w:r w:rsidRPr="5F9C235B">
        <w:rPr>
          <w:rFonts w:ascii="Verdana" w:hAnsi="Verdana"/>
        </w:rPr>
      </w:r>
      <w:r w:rsidRPr="5F9C235B">
        <w:rPr>
          <w:rFonts w:ascii="Verdana" w:hAnsi="Verdana"/>
        </w:rPr>
        <w:fldChar w:fldCharType="separate"/>
      </w:r>
      <w:r w:rsidR="006E57BE" w:rsidRPr="5F9C235B">
        <w:rPr>
          <w:rStyle w:val="Hyperlink"/>
          <w:rFonts w:ascii="Verdana" w:hAnsi="Verdana"/>
        </w:rPr>
        <w:t>Customer Care Abbreviations, Definitions, and Term</w:t>
      </w:r>
      <w:r w:rsidR="00E943DF" w:rsidRPr="5F9C235B">
        <w:rPr>
          <w:rStyle w:val="Hyperlink"/>
          <w:rFonts w:ascii="Verdana" w:hAnsi="Verdana"/>
        </w:rPr>
        <w:t>s Index</w:t>
      </w:r>
      <w:bookmarkEnd w:id="26"/>
      <w:r w:rsidRPr="5F9C235B">
        <w:rPr>
          <w:rStyle w:val="Hyperlink"/>
          <w:rFonts w:ascii="Verdana" w:hAnsi="Verdana"/>
        </w:rPr>
        <w:t xml:space="preserve"> (017428)</w:t>
      </w:r>
    </w:p>
    <w:bookmarkStart w:id="27" w:name="OLE_LINK11"/>
    <w:bookmarkEnd w:id="23"/>
    <w:p w14:paraId="6967A60D" w14:textId="0AD9BA71" w:rsidR="00DC50AD" w:rsidRDefault="0069748B" w:rsidP="00DC50AD">
      <w:pPr>
        <w:spacing w:before="120" w:after="120"/>
        <w:jc w:val="right"/>
        <w:rPr>
          <w:rFonts w:ascii="Verdana" w:hAnsi="Verdana"/>
        </w:rPr>
      </w:pPr>
      <w:r w:rsidRPr="5F9C235B">
        <w:rPr>
          <w:rFonts w:ascii="Verdana" w:hAnsi="Verdana"/>
        </w:rPr>
        <w:fldChar w:fldCharType="end"/>
      </w:r>
      <w:hyperlink w:anchor="_top" w:history="1">
        <w:r w:rsidR="002B4B1F" w:rsidRPr="002B4B1F">
          <w:rPr>
            <w:rStyle w:val="Hyperlink"/>
            <w:rFonts w:ascii="Verdana" w:hAnsi="Verdana"/>
          </w:rPr>
          <w:t>Top of the Document</w:t>
        </w:r>
      </w:hyperlink>
    </w:p>
    <w:bookmarkEnd w:id="27"/>
    <w:p w14:paraId="3182AF3F" w14:textId="1E24BC99" w:rsidR="003414D9" w:rsidRPr="0071457B" w:rsidRDefault="003414D9" w:rsidP="003414D9">
      <w:pPr>
        <w:jc w:val="center"/>
        <w:rPr>
          <w:rFonts w:ascii="Verdana" w:hAnsi="Verdana"/>
          <w:sz w:val="16"/>
          <w:szCs w:val="16"/>
        </w:rPr>
      </w:pPr>
      <w:r w:rsidRPr="0071457B">
        <w:rPr>
          <w:rFonts w:ascii="Verdana" w:hAnsi="Verdana"/>
          <w:sz w:val="16"/>
          <w:szCs w:val="16"/>
        </w:rPr>
        <w:t xml:space="preserve">Not To Be Reproduced </w:t>
      </w:r>
      <w:r w:rsidR="00BC453D" w:rsidRPr="0071457B">
        <w:rPr>
          <w:rFonts w:ascii="Verdana" w:hAnsi="Verdana"/>
          <w:sz w:val="16"/>
          <w:szCs w:val="16"/>
        </w:rPr>
        <w:t>or</w:t>
      </w:r>
      <w:r w:rsidRPr="0071457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7D89DC73" w14:textId="77777777" w:rsidR="003414D9" w:rsidRPr="0071457B" w:rsidRDefault="003414D9" w:rsidP="003414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71457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0C2A30">
        <w:rPr>
          <w:rFonts w:ascii="Verdana" w:hAnsi="Verdana"/>
          <w:b/>
          <w:color w:val="000000"/>
          <w:sz w:val="16"/>
          <w:szCs w:val="16"/>
        </w:rPr>
        <w:t>/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0C2A30">
        <w:rPr>
          <w:rFonts w:ascii="Verdana" w:hAnsi="Verdana"/>
          <w:b/>
          <w:color w:val="000000"/>
          <w:sz w:val="16"/>
          <w:szCs w:val="16"/>
        </w:rPr>
        <w:t>=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2CDB1C71" w14:textId="77777777" w:rsidR="003414D9" w:rsidRDefault="003414D9" w:rsidP="00BC326F">
      <w:pPr>
        <w:jc w:val="right"/>
      </w:pPr>
    </w:p>
    <w:sectPr w:rsidR="003414D9" w:rsidSect="00F27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62" w14:textId="77777777" w:rsidR="00117E60" w:rsidRDefault="00117E60" w:rsidP="00D65DFF">
      <w:r>
        <w:separator/>
      </w:r>
    </w:p>
  </w:endnote>
  <w:endnote w:type="continuationSeparator" w:id="0">
    <w:p w14:paraId="1C6437D1" w14:textId="77777777" w:rsidR="00117E60" w:rsidRDefault="00117E60" w:rsidP="00D65DFF">
      <w:r>
        <w:continuationSeparator/>
      </w:r>
    </w:p>
  </w:endnote>
  <w:endnote w:type="continuationNotice" w:id="1">
    <w:p w14:paraId="57976DBF" w14:textId="77777777" w:rsidR="00117E60" w:rsidRDefault="00117E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ABBD5" w14:textId="77777777" w:rsidR="00117E60" w:rsidRDefault="00117E60" w:rsidP="00D65DFF">
      <w:r>
        <w:separator/>
      </w:r>
    </w:p>
  </w:footnote>
  <w:footnote w:type="continuationSeparator" w:id="0">
    <w:p w14:paraId="77EFE166" w14:textId="77777777" w:rsidR="00117E60" w:rsidRDefault="00117E60" w:rsidP="00D65DFF">
      <w:r>
        <w:continuationSeparator/>
      </w:r>
    </w:p>
  </w:footnote>
  <w:footnote w:type="continuationNotice" w:id="1">
    <w:p w14:paraId="4C4B90D7" w14:textId="77777777" w:rsidR="00117E60" w:rsidRDefault="00117E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47F2"/>
    <w:multiLevelType w:val="hybridMultilevel"/>
    <w:tmpl w:val="7D6E5C98"/>
    <w:lvl w:ilvl="0" w:tplc="BA2238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22788"/>
    <w:multiLevelType w:val="hybridMultilevel"/>
    <w:tmpl w:val="ECC6E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D029C7"/>
    <w:multiLevelType w:val="hybridMultilevel"/>
    <w:tmpl w:val="005E5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C629F"/>
    <w:multiLevelType w:val="hybridMultilevel"/>
    <w:tmpl w:val="6B10D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970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F30FB"/>
    <w:multiLevelType w:val="hybridMultilevel"/>
    <w:tmpl w:val="99B08D60"/>
    <w:lvl w:ilvl="0" w:tplc="04090001">
      <w:start w:val="1"/>
      <w:numFmt w:val="bullet"/>
      <w:lvlText w:val=""/>
      <w:lvlJc w:val="left"/>
      <w:pPr>
        <w:ind w:left="436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FF05712">
      <w:start w:val="1"/>
      <w:numFmt w:val="bullet"/>
      <w:lvlText w:val="o"/>
      <w:lvlJc w:val="left"/>
      <w:pPr>
        <w:ind w:left="117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5665C2E">
      <w:start w:val="1"/>
      <w:numFmt w:val="bullet"/>
      <w:lvlText w:val="▪"/>
      <w:lvlJc w:val="left"/>
      <w:pPr>
        <w:ind w:left="189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C848CBE">
      <w:start w:val="1"/>
      <w:numFmt w:val="bullet"/>
      <w:lvlText w:val="•"/>
      <w:lvlJc w:val="left"/>
      <w:pPr>
        <w:ind w:left="26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DEE9DC2">
      <w:start w:val="1"/>
      <w:numFmt w:val="bullet"/>
      <w:lvlText w:val="o"/>
      <w:lvlJc w:val="left"/>
      <w:pPr>
        <w:ind w:left="333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5681442">
      <w:start w:val="1"/>
      <w:numFmt w:val="bullet"/>
      <w:lvlText w:val="▪"/>
      <w:lvlJc w:val="left"/>
      <w:pPr>
        <w:ind w:left="405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1F288D4">
      <w:start w:val="1"/>
      <w:numFmt w:val="bullet"/>
      <w:lvlText w:val="•"/>
      <w:lvlJc w:val="left"/>
      <w:pPr>
        <w:ind w:left="47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BD22616">
      <w:start w:val="1"/>
      <w:numFmt w:val="bullet"/>
      <w:lvlText w:val="o"/>
      <w:lvlJc w:val="left"/>
      <w:pPr>
        <w:ind w:left="549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A0687EA">
      <w:start w:val="1"/>
      <w:numFmt w:val="bullet"/>
      <w:lvlText w:val="▪"/>
      <w:lvlJc w:val="left"/>
      <w:pPr>
        <w:ind w:left="621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D951B6B"/>
    <w:multiLevelType w:val="multilevel"/>
    <w:tmpl w:val="3420F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FAF3C1F"/>
    <w:multiLevelType w:val="hybridMultilevel"/>
    <w:tmpl w:val="5BC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9C00C6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7B56CA"/>
    <w:multiLevelType w:val="hybridMultilevel"/>
    <w:tmpl w:val="959A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1689C"/>
    <w:multiLevelType w:val="hybridMultilevel"/>
    <w:tmpl w:val="F8F0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4C17B9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B46832"/>
    <w:multiLevelType w:val="hybridMultilevel"/>
    <w:tmpl w:val="45705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D8636A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BE57B4"/>
    <w:multiLevelType w:val="hybridMultilevel"/>
    <w:tmpl w:val="C972D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662F21"/>
    <w:multiLevelType w:val="hybridMultilevel"/>
    <w:tmpl w:val="A4C813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D72AB9"/>
    <w:multiLevelType w:val="hybridMultilevel"/>
    <w:tmpl w:val="4EAA25B0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854113"/>
    <w:multiLevelType w:val="hybridMultilevel"/>
    <w:tmpl w:val="9BA0E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A75572"/>
    <w:multiLevelType w:val="multilevel"/>
    <w:tmpl w:val="771CF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3764DAB"/>
    <w:multiLevelType w:val="hybridMultilevel"/>
    <w:tmpl w:val="9DCE8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00ECB"/>
    <w:multiLevelType w:val="hybridMultilevel"/>
    <w:tmpl w:val="66181894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3762D7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FC0563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49022C"/>
    <w:multiLevelType w:val="hybridMultilevel"/>
    <w:tmpl w:val="AA8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291223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5058F9"/>
    <w:multiLevelType w:val="hybridMultilevel"/>
    <w:tmpl w:val="B0D0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CB41DA"/>
    <w:multiLevelType w:val="hybridMultilevel"/>
    <w:tmpl w:val="E20C9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1722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EB5EE9"/>
    <w:multiLevelType w:val="hybridMultilevel"/>
    <w:tmpl w:val="967A7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1B519E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D43565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AD5989"/>
    <w:multiLevelType w:val="hybridMultilevel"/>
    <w:tmpl w:val="5EC2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1E6D4D"/>
    <w:multiLevelType w:val="hybridMultilevel"/>
    <w:tmpl w:val="C6486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F2E6AAF"/>
    <w:multiLevelType w:val="hybridMultilevel"/>
    <w:tmpl w:val="FEBC2EFA"/>
    <w:lvl w:ilvl="0" w:tplc="AC20D1D4">
      <w:start w:val="1"/>
      <w:numFmt w:val="bullet"/>
      <w:lvlText w:val="•"/>
      <w:lvlJc w:val="left"/>
      <w:pPr>
        <w:ind w:left="4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FF05712">
      <w:start w:val="1"/>
      <w:numFmt w:val="bullet"/>
      <w:lvlText w:val="o"/>
      <w:lvlJc w:val="left"/>
      <w:pPr>
        <w:ind w:left="117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5665C2E">
      <w:start w:val="1"/>
      <w:numFmt w:val="bullet"/>
      <w:lvlText w:val="▪"/>
      <w:lvlJc w:val="left"/>
      <w:pPr>
        <w:ind w:left="189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C848CBE">
      <w:start w:val="1"/>
      <w:numFmt w:val="bullet"/>
      <w:lvlText w:val="•"/>
      <w:lvlJc w:val="left"/>
      <w:pPr>
        <w:ind w:left="26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DEE9DC2">
      <w:start w:val="1"/>
      <w:numFmt w:val="bullet"/>
      <w:lvlText w:val="o"/>
      <w:lvlJc w:val="left"/>
      <w:pPr>
        <w:ind w:left="333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5681442">
      <w:start w:val="1"/>
      <w:numFmt w:val="bullet"/>
      <w:lvlText w:val="▪"/>
      <w:lvlJc w:val="left"/>
      <w:pPr>
        <w:ind w:left="405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1F288D4">
      <w:start w:val="1"/>
      <w:numFmt w:val="bullet"/>
      <w:lvlText w:val="•"/>
      <w:lvlJc w:val="left"/>
      <w:pPr>
        <w:ind w:left="47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BD22616">
      <w:start w:val="1"/>
      <w:numFmt w:val="bullet"/>
      <w:lvlText w:val="o"/>
      <w:lvlJc w:val="left"/>
      <w:pPr>
        <w:ind w:left="549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A0687EA">
      <w:start w:val="1"/>
      <w:numFmt w:val="bullet"/>
      <w:lvlText w:val="▪"/>
      <w:lvlJc w:val="left"/>
      <w:pPr>
        <w:ind w:left="621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6" w15:restartNumberingAfterBreak="0">
    <w:nsid w:val="7F826D12"/>
    <w:multiLevelType w:val="hybridMultilevel"/>
    <w:tmpl w:val="31866E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4296570">
    <w:abstractNumId w:val="4"/>
  </w:num>
  <w:num w:numId="2" w16cid:durableId="1297299347">
    <w:abstractNumId w:val="26"/>
  </w:num>
  <w:num w:numId="3" w16cid:durableId="1997342456">
    <w:abstractNumId w:val="1"/>
  </w:num>
  <w:num w:numId="4" w16cid:durableId="1127429488">
    <w:abstractNumId w:val="15"/>
  </w:num>
  <w:num w:numId="5" w16cid:durableId="806430755">
    <w:abstractNumId w:val="34"/>
  </w:num>
  <w:num w:numId="6" w16cid:durableId="2138596809">
    <w:abstractNumId w:val="2"/>
  </w:num>
  <w:num w:numId="7" w16cid:durableId="599023715">
    <w:abstractNumId w:val="31"/>
  </w:num>
  <w:num w:numId="8" w16cid:durableId="1347634720">
    <w:abstractNumId w:val="25"/>
  </w:num>
  <w:num w:numId="9" w16cid:durableId="1463421497">
    <w:abstractNumId w:val="11"/>
  </w:num>
  <w:num w:numId="10" w16cid:durableId="1422870524">
    <w:abstractNumId w:val="14"/>
  </w:num>
  <w:num w:numId="11" w16cid:durableId="966206271">
    <w:abstractNumId w:val="27"/>
  </w:num>
  <w:num w:numId="12" w16cid:durableId="660039435">
    <w:abstractNumId w:val="22"/>
  </w:num>
  <w:num w:numId="13" w16cid:durableId="1943799495">
    <w:abstractNumId w:val="32"/>
  </w:num>
  <w:num w:numId="14" w16cid:durableId="1130703259">
    <w:abstractNumId w:val="18"/>
  </w:num>
  <w:num w:numId="15" w16cid:durableId="2083023745">
    <w:abstractNumId w:val="21"/>
  </w:num>
  <w:num w:numId="16" w16cid:durableId="228227702">
    <w:abstractNumId w:val="17"/>
  </w:num>
  <w:num w:numId="17" w16cid:durableId="2056928414">
    <w:abstractNumId w:val="8"/>
  </w:num>
  <w:num w:numId="18" w16cid:durableId="187718517">
    <w:abstractNumId w:val="0"/>
  </w:num>
  <w:num w:numId="19" w16cid:durableId="1676809144">
    <w:abstractNumId w:val="23"/>
  </w:num>
  <w:num w:numId="20" w16cid:durableId="1474829965">
    <w:abstractNumId w:val="12"/>
  </w:num>
  <w:num w:numId="21" w16cid:durableId="353576645">
    <w:abstractNumId w:val="19"/>
  </w:num>
  <w:num w:numId="22" w16cid:durableId="634214540">
    <w:abstractNumId w:val="7"/>
  </w:num>
  <w:num w:numId="23" w16cid:durableId="1105658075">
    <w:abstractNumId w:val="16"/>
  </w:num>
  <w:num w:numId="24" w16cid:durableId="340201761">
    <w:abstractNumId w:val="28"/>
  </w:num>
  <w:num w:numId="25" w16cid:durableId="393890634">
    <w:abstractNumId w:val="30"/>
  </w:num>
  <w:num w:numId="26" w16cid:durableId="631054416">
    <w:abstractNumId w:val="5"/>
  </w:num>
  <w:num w:numId="27" w16cid:durableId="1193835196">
    <w:abstractNumId w:val="10"/>
  </w:num>
  <w:num w:numId="28" w16cid:durableId="858347581">
    <w:abstractNumId w:val="9"/>
  </w:num>
  <w:num w:numId="29" w16cid:durableId="1704283997">
    <w:abstractNumId w:val="29"/>
  </w:num>
  <w:num w:numId="30" w16cid:durableId="195041471">
    <w:abstractNumId w:val="24"/>
  </w:num>
  <w:num w:numId="31" w16cid:durableId="1159611529">
    <w:abstractNumId w:val="36"/>
  </w:num>
  <w:num w:numId="32" w16cid:durableId="845754872">
    <w:abstractNumId w:val="35"/>
  </w:num>
  <w:num w:numId="33" w16cid:durableId="784930531">
    <w:abstractNumId w:val="33"/>
  </w:num>
  <w:num w:numId="34" w16cid:durableId="1886328096">
    <w:abstractNumId w:val="35"/>
  </w:num>
  <w:num w:numId="35" w16cid:durableId="1296137173">
    <w:abstractNumId w:val="6"/>
  </w:num>
  <w:num w:numId="36" w16cid:durableId="1845237976">
    <w:abstractNumId w:val="13"/>
  </w:num>
  <w:num w:numId="37" w16cid:durableId="1700275614">
    <w:abstractNumId w:val="3"/>
  </w:num>
  <w:num w:numId="38" w16cid:durableId="714160453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0681C"/>
    <w:rsid w:val="00013963"/>
    <w:rsid w:val="00024F7B"/>
    <w:rsid w:val="00026528"/>
    <w:rsid w:val="00040535"/>
    <w:rsid w:val="00040C00"/>
    <w:rsid w:val="00041376"/>
    <w:rsid w:val="000462AC"/>
    <w:rsid w:val="0005013F"/>
    <w:rsid w:val="000516C5"/>
    <w:rsid w:val="000572B4"/>
    <w:rsid w:val="0005745E"/>
    <w:rsid w:val="00064098"/>
    <w:rsid w:val="00070749"/>
    <w:rsid w:val="00075C5A"/>
    <w:rsid w:val="00076553"/>
    <w:rsid w:val="00080F66"/>
    <w:rsid w:val="0008177D"/>
    <w:rsid w:val="0008674F"/>
    <w:rsid w:val="000938D7"/>
    <w:rsid w:val="000968C8"/>
    <w:rsid w:val="000A544C"/>
    <w:rsid w:val="000B13B9"/>
    <w:rsid w:val="000B32AE"/>
    <w:rsid w:val="000C0FE6"/>
    <w:rsid w:val="000C2A30"/>
    <w:rsid w:val="000C39C7"/>
    <w:rsid w:val="000C3FF3"/>
    <w:rsid w:val="000C50A4"/>
    <w:rsid w:val="000C7A9A"/>
    <w:rsid w:val="000D63DB"/>
    <w:rsid w:val="000D6A01"/>
    <w:rsid w:val="000E4552"/>
    <w:rsid w:val="0010140B"/>
    <w:rsid w:val="0010381E"/>
    <w:rsid w:val="00103AEC"/>
    <w:rsid w:val="00111D9C"/>
    <w:rsid w:val="00112998"/>
    <w:rsid w:val="00113A5A"/>
    <w:rsid w:val="00117E60"/>
    <w:rsid w:val="0013218F"/>
    <w:rsid w:val="00136C1D"/>
    <w:rsid w:val="001427CE"/>
    <w:rsid w:val="0014369A"/>
    <w:rsid w:val="00146371"/>
    <w:rsid w:val="00146CA0"/>
    <w:rsid w:val="00147812"/>
    <w:rsid w:val="00152FA6"/>
    <w:rsid w:val="00165A5A"/>
    <w:rsid w:val="00173802"/>
    <w:rsid w:val="001A0587"/>
    <w:rsid w:val="001A304D"/>
    <w:rsid w:val="001B1470"/>
    <w:rsid w:val="001B77D8"/>
    <w:rsid w:val="001C673B"/>
    <w:rsid w:val="001C7D59"/>
    <w:rsid w:val="001C7F03"/>
    <w:rsid w:val="001D1C30"/>
    <w:rsid w:val="001D4A19"/>
    <w:rsid w:val="001E1951"/>
    <w:rsid w:val="001E2A52"/>
    <w:rsid w:val="0020122B"/>
    <w:rsid w:val="00202B1A"/>
    <w:rsid w:val="00204217"/>
    <w:rsid w:val="002075AD"/>
    <w:rsid w:val="00210602"/>
    <w:rsid w:val="00211DE7"/>
    <w:rsid w:val="00212235"/>
    <w:rsid w:val="00216C1B"/>
    <w:rsid w:val="00222EB4"/>
    <w:rsid w:val="002304FB"/>
    <w:rsid w:val="00232153"/>
    <w:rsid w:val="002355B1"/>
    <w:rsid w:val="00243946"/>
    <w:rsid w:val="002525D0"/>
    <w:rsid w:val="002600E9"/>
    <w:rsid w:val="002629A6"/>
    <w:rsid w:val="00264B75"/>
    <w:rsid w:val="00273550"/>
    <w:rsid w:val="00275458"/>
    <w:rsid w:val="00280BAA"/>
    <w:rsid w:val="00284B3F"/>
    <w:rsid w:val="00286443"/>
    <w:rsid w:val="00296708"/>
    <w:rsid w:val="002A6088"/>
    <w:rsid w:val="002A645C"/>
    <w:rsid w:val="002A72EB"/>
    <w:rsid w:val="002B4B1F"/>
    <w:rsid w:val="002C0ADF"/>
    <w:rsid w:val="002C19C5"/>
    <w:rsid w:val="002C4304"/>
    <w:rsid w:val="002C6229"/>
    <w:rsid w:val="002D24A2"/>
    <w:rsid w:val="002E2228"/>
    <w:rsid w:val="002E494D"/>
    <w:rsid w:val="002E4EE3"/>
    <w:rsid w:val="00300BA3"/>
    <w:rsid w:val="00300C93"/>
    <w:rsid w:val="003205CF"/>
    <w:rsid w:val="00322732"/>
    <w:rsid w:val="00326317"/>
    <w:rsid w:val="00330185"/>
    <w:rsid w:val="003340E5"/>
    <w:rsid w:val="003414D9"/>
    <w:rsid w:val="003419A3"/>
    <w:rsid w:val="0034502F"/>
    <w:rsid w:val="00345CAA"/>
    <w:rsid w:val="00347E53"/>
    <w:rsid w:val="00350697"/>
    <w:rsid w:val="00350E95"/>
    <w:rsid w:val="003571EF"/>
    <w:rsid w:val="00382EF8"/>
    <w:rsid w:val="00393C93"/>
    <w:rsid w:val="00394369"/>
    <w:rsid w:val="003A13B3"/>
    <w:rsid w:val="003A14BA"/>
    <w:rsid w:val="003A7A02"/>
    <w:rsid w:val="003B04B2"/>
    <w:rsid w:val="003B0EC7"/>
    <w:rsid w:val="003B1FF4"/>
    <w:rsid w:val="003C37DC"/>
    <w:rsid w:val="003D02B8"/>
    <w:rsid w:val="003D03C6"/>
    <w:rsid w:val="003D22A0"/>
    <w:rsid w:val="003D38FC"/>
    <w:rsid w:val="003F04D9"/>
    <w:rsid w:val="003F05CD"/>
    <w:rsid w:val="003F5F0F"/>
    <w:rsid w:val="00400F94"/>
    <w:rsid w:val="00411197"/>
    <w:rsid w:val="004135B9"/>
    <w:rsid w:val="004209C0"/>
    <w:rsid w:val="004279E0"/>
    <w:rsid w:val="00440B72"/>
    <w:rsid w:val="004419F2"/>
    <w:rsid w:val="0046564E"/>
    <w:rsid w:val="00496A93"/>
    <w:rsid w:val="004A050A"/>
    <w:rsid w:val="004A0B39"/>
    <w:rsid w:val="004A7880"/>
    <w:rsid w:val="004B6149"/>
    <w:rsid w:val="004C7C74"/>
    <w:rsid w:val="004D2459"/>
    <w:rsid w:val="004D4F7D"/>
    <w:rsid w:val="004D6F62"/>
    <w:rsid w:val="004D7121"/>
    <w:rsid w:val="004E1C73"/>
    <w:rsid w:val="004E7199"/>
    <w:rsid w:val="004F553F"/>
    <w:rsid w:val="004F66D6"/>
    <w:rsid w:val="00500780"/>
    <w:rsid w:val="0050262B"/>
    <w:rsid w:val="005065BB"/>
    <w:rsid w:val="00512A0A"/>
    <w:rsid w:val="0051309D"/>
    <w:rsid w:val="00523CD3"/>
    <w:rsid w:val="00526672"/>
    <w:rsid w:val="0053267E"/>
    <w:rsid w:val="00541F9B"/>
    <w:rsid w:val="0054248A"/>
    <w:rsid w:val="005428F1"/>
    <w:rsid w:val="005557B9"/>
    <w:rsid w:val="00563AAE"/>
    <w:rsid w:val="00565247"/>
    <w:rsid w:val="005769A3"/>
    <w:rsid w:val="00577C14"/>
    <w:rsid w:val="0059366A"/>
    <w:rsid w:val="00593EA4"/>
    <w:rsid w:val="005B07DA"/>
    <w:rsid w:val="005B1455"/>
    <w:rsid w:val="005B34AE"/>
    <w:rsid w:val="005C2079"/>
    <w:rsid w:val="005C2F28"/>
    <w:rsid w:val="005C3003"/>
    <w:rsid w:val="005C708A"/>
    <w:rsid w:val="005D127B"/>
    <w:rsid w:val="005D42D0"/>
    <w:rsid w:val="005E11ED"/>
    <w:rsid w:val="005E602B"/>
    <w:rsid w:val="005E6994"/>
    <w:rsid w:val="005F2E73"/>
    <w:rsid w:val="005F2EFA"/>
    <w:rsid w:val="005F714C"/>
    <w:rsid w:val="00605A77"/>
    <w:rsid w:val="006120A1"/>
    <w:rsid w:val="00626007"/>
    <w:rsid w:val="0062723F"/>
    <w:rsid w:val="00630FE9"/>
    <w:rsid w:val="00644370"/>
    <w:rsid w:val="0067441D"/>
    <w:rsid w:val="006778FA"/>
    <w:rsid w:val="00680570"/>
    <w:rsid w:val="00686541"/>
    <w:rsid w:val="00691F28"/>
    <w:rsid w:val="00693CA2"/>
    <w:rsid w:val="006966E6"/>
    <w:rsid w:val="0069748B"/>
    <w:rsid w:val="00697CD6"/>
    <w:rsid w:val="006A7774"/>
    <w:rsid w:val="006B5F6D"/>
    <w:rsid w:val="006C1CBD"/>
    <w:rsid w:val="006E32DD"/>
    <w:rsid w:val="006E57BE"/>
    <w:rsid w:val="0070152F"/>
    <w:rsid w:val="00701FF0"/>
    <w:rsid w:val="00715DA1"/>
    <w:rsid w:val="00716297"/>
    <w:rsid w:val="00716884"/>
    <w:rsid w:val="00725672"/>
    <w:rsid w:val="00727D08"/>
    <w:rsid w:val="00744273"/>
    <w:rsid w:val="00751244"/>
    <w:rsid w:val="00756D3C"/>
    <w:rsid w:val="00761F5A"/>
    <w:rsid w:val="00767F96"/>
    <w:rsid w:val="007710BA"/>
    <w:rsid w:val="00775C3B"/>
    <w:rsid w:val="007779E9"/>
    <w:rsid w:val="00780205"/>
    <w:rsid w:val="007861B1"/>
    <w:rsid w:val="007A0C21"/>
    <w:rsid w:val="007B177E"/>
    <w:rsid w:val="007C327C"/>
    <w:rsid w:val="007C3E54"/>
    <w:rsid w:val="007C5D8D"/>
    <w:rsid w:val="007D7922"/>
    <w:rsid w:val="007E0ADF"/>
    <w:rsid w:val="007E1C14"/>
    <w:rsid w:val="007E5A14"/>
    <w:rsid w:val="007E6138"/>
    <w:rsid w:val="007E784D"/>
    <w:rsid w:val="007F4625"/>
    <w:rsid w:val="007F7E6C"/>
    <w:rsid w:val="00802BF9"/>
    <w:rsid w:val="00803488"/>
    <w:rsid w:val="008076B8"/>
    <w:rsid w:val="0081032D"/>
    <w:rsid w:val="00813649"/>
    <w:rsid w:val="008155EE"/>
    <w:rsid w:val="00815753"/>
    <w:rsid w:val="00815DAD"/>
    <w:rsid w:val="00816230"/>
    <w:rsid w:val="00816E27"/>
    <w:rsid w:val="00817281"/>
    <w:rsid w:val="00821F69"/>
    <w:rsid w:val="00824C8E"/>
    <w:rsid w:val="00830930"/>
    <w:rsid w:val="00841910"/>
    <w:rsid w:val="008517F0"/>
    <w:rsid w:val="00854F55"/>
    <w:rsid w:val="00856A87"/>
    <w:rsid w:val="00864578"/>
    <w:rsid w:val="00866E0A"/>
    <w:rsid w:val="00873A48"/>
    <w:rsid w:val="008741DE"/>
    <w:rsid w:val="00875302"/>
    <w:rsid w:val="00880DC5"/>
    <w:rsid w:val="00896B8B"/>
    <w:rsid w:val="008A2EBF"/>
    <w:rsid w:val="008C19AE"/>
    <w:rsid w:val="008C2C32"/>
    <w:rsid w:val="008C3B97"/>
    <w:rsid w:val="008C425E"/>
    <w:rsid w:val="008C4DAC"/>
    <w:rsid w:val="008C6277"/>
    <w:rsid w:val="008D1C3B"/>
    <w:rsid w:val="008E099A"/>
    <w:rsid w:val="008E46B7"/>
    <w:rsid w:val="008E571F"/>
    <w:rsid w:val="008E5B5B"/>
    <w:rsid w:val="008E5DBE"/>
    <w:rsid w:val="008F1178"/>
    <w:rsid w:val="008F2AB4"/>
    <w:rsid w:val="008F5A39"/>
    <w:rsid w:val="008F6819"/>
    <w:rsid w:val="00907665"/>
    <w:rsid w:val="00907E67"/>
    <w:rsid w:val="0091344C"/>
    <w:rsid w:val="00920716"/>
    <w:rsid w:val="00925C05"/>
    <w:rsid w:val="009342FA"/>
    <w:rsid w:val="009356AF"/>
    <w:rsid w:val="00936ED9"/>
    <w:rsid w:val="00937072"/>
    <w:rsid w:val="00941DD4"/>
    <w:rsid w:val="00944388"/>
    <w:rsid w:val="00944AE2"/>
    <w:rsid w:val="009460FA"/>
    <w:rsid w:val="0095000D"/>
    <w:rsid w:val="009774A8"/>
    <w:rsid w:val="00986297"/>
    <w:rsid w:val="00996F4D"/>
    <w:rsid w:val="009A05F2"/>
    <w:rsid w:val="009B0074"/>
    <w:rsid w:val="009B0B4A"/>
    <w:rsid w:val="009B3759"/>
    <w:rsid w:val="009C3704"/>
    <w:rsid w:val="009D0137"/>
    <w:rsid w:val="009E082D"/>
    <w:rsid w:val="00A01C58"/>
    <w:rsid w:val="00A04A3E"/>
    <w:rsid w:val="00A0704E"/>
    <w:rsid w:val="00A11416"/>
    <w:rsid w:val="00A12366"/>
    <w:rsid w:val="00A37523"/>
    <w:rsid w:val="00A41892"/>
    <w:rsid w:val="00A45D84"/>
    <w:rsid w:val="00A55373"/>
    <w:rsid w:val="00A57829"/>
    <w:rsid w:val="00A6769B"/>
    <w:rsid w:val="00A679F9"/>
    <w:rsid w:val="00A75858"/>
    <w:rsid w:val="00A7740F"/>
    <w:rsid w:val="00A8274A"/>
    <w:rsid w:val="00A94CB1"/>
    <w:rsid w:val="00A97071"/>
    <w:rsid w:val="00AA57C4"/>
    <w:rsid w:val="00AB3C07"/>
    <w:rsid w:val="00AB3FBB"/>
    <w:rsid w:val="00AB5041"/>
    <w:rsid w:val="00AC4440"/>
    <w:rsid w:val="00AC76CD"/>
    <w:rsid w:val="00AD2A9D"/>
    <w:rsid w:val="00AD3C75"/>
    <w:rsid w:val="00AF3C92"/>
    <w:rsid w:val="00AF75FA"/>
    <w:rsid w:val="00B11910"/>
    <w:rsid w:val="00B22680"/>
    <w:rsid w:val="00B24FE5"/>
    <w:rsid w:val="00B271DE"/>
    <w:rsid w:val="00B27207"/>
    <w:rsid w:val="00B3052E"/>
    <w:rsid w:val="00B30BAE"/>
    <w:rsid w:val="00B337EA"/>
    <w:rsid w:val="00B4496A"/>
    <w:rsid w:val="00B55058"/>
    <w:rsid w:val="00B6365C"/>
    <w:rsid w:val="00B640F7"/>
    <w:rsid w:val="00B64B4C"/>
    <w:rsid w:val="00B672D1"/>
    <w:rsid w:val="00B72219"/>
    <w:rsid w:val="00B73604"/>
    <w:rsid w:val="00B82EBF"/>
    <w:rsid w:val="00B9335B"/>
    <w:rsid w:val="00B943D6"/>
    <w:rsid w:val="00BA5A93"/>
    <w:rsid w:val="00BC326F"/>
    <w:rsid w:val="00BC34EA"/>
    <w:rsid w:val="00BC453D"/>
    <w:rsid w:val="00BC6206"/>
    <w:rsid w:val="00BD1B32"/>
    <w:rsid w:val="00BD2AB5"/>
    <w:rsid w:val="00BE5BA6"/>
    <w:rsid w:val="00BE6662"/>
    <w:rsid w:val="00C0225C"/>
    <w:rsid w:val="00C07298"/>
    <w:rsid w:val="00C22CA3"/>
    <w:rsid w:val="00C366FC"/>
    <w:rsid w:val="00C37F98"/>
    <w:rsid w:val="00C656F1"/>
    <w:rsid w:val="00C83C63"/>
    <w:rsid w:val="00C87330"/>
    <w:rsid w:val="00CB2315"/>
    <w:rsid w:val="00CB2D87"/>
    <w:rsid w:val="00CB733A"/>
    <w:rsid w:val="00CC2176"/>
    <w:rsid w:val="00CC66BC"/>
    <w:rsid w:val="00CD689F"/>
    <w:rsid w:val="00CD7396"/>
    <w:rsid w:val="00CD7B9A"/>
    <w:rsid w:val="00CE2A16"/>
    <w:rsid w:val="00CE300B"/>
    <w:rsid w:val="00CE3C50"/>
    <w:rsid w:val="00CF35EC"/>
    <w:rsid w:val="00D033DE"/>
    <w:rsid w:val="00D05AA7"/>
    <w:rsid w:val="00D162B0"/>
    <w:rsid w:val="00D23128"/>
    <w:rsid w:val="00D3045F"/>
    <w:rsid w:val="00D336D2"/>
    <w:rsid w:val="00D41DF4"/>
    <w:rsid w:val="00D65132"/>
    <w:rsid w:val="00D6562C"/>
    <w:rsid w:val="00D65DFF"/>
    <w:rsid w:val="00D66D2E"/>
    <w:rsid w:val="00D67611"/>
    <w:rsid w:val="00D76F2E"/>
    <w:rsid w:val="00D8509C"/>
    <w:rsid w:val="00D85478"/>
    <w:rsid w:val="00DA7C37"/>
    <w:rsid w:val="00DB4B07"/>
    <w:rsid w:val="00DB5906"/>
    <w:rsid w:val="00DC50AD"/>
    <w:rsid w:val="00DF2836"/>
    <w:rsid w:val="00E018FC"/>
    <w:rsid w:val="00E0783B"/>
    <w:rsid w:val="00E10958"/>
    <w:rsid w:val="00E11908"/>
    <w:rsid w:val="00E3202C"/>
    <w:rsid w:val="00E4292B"/>
    <w:rsid w:val="00E42DAE"/>
    <w:rsid w:val="00E50148"/>
    <w:rsid w:val="00E505CD"/>
    <w:rsid w:val="00E5147F"/>
    <w:rsid w:val="00E56E45"/>
    <w:rsid w:val="00E659B8"/>
    <w:rsid w:val="00E663AF"/>
    <w:rsid w:val="00E678C0"/>
    <w:rsid w:val="00E718DB"/>
    <w:rsid w:val="00E723B7"/>
    <w:rsid w:val="00E81409"/>
    <w:rsid w:val="00E82186"/>
    <w:rsid w:val="00E83C98"/>
    <w:rsid w:val="00E943DF"/>
    <w:rsid w:val="00E95B84"/>
    <w:rsid w:val="00EA046C"/>
    <w:rsid w:val="00EA459A"/>
    <w:rsid w:val="00EA522D"/>
    <w:rsid w:val="00EA5CB6"/>
    <w:rsid w:val="00EB087E"/>
    <w:rsid w:val="00EB6DF3"/>
    <w:rsid w:val="00EC090C"/>
    <w:rsid w:val="00EC2BA5"/>
    <w:rsid w:val="00EC2C2E"/>
    <w:rsid w:val="00EC76D5"/>
    <w:rsid w:val="00EF0EBC"/>
    <w:rsid w:val="00EF7747"/>
    <w:rsid w:val="00F07E93"/>
    <w:rsid w:val="00F25743"/>
    <w:rsid w:val="00F27518"/>
    <w:rsid w:val="00F32637"/>
    <w:rsid w:val="00F3710D"/>
    <w:rsid w:val="00F40503"/>
    <w:rsid w:val="00F5178C"/>
    <w:rsid w:val="00F545E6"/>
    <w:rsid w:val="00F55D9A"/>
    <w:rsid w:val="00F55E62"/>
    <w:rsid w:val="00F5770B"/>
    <w:rsid w:val="00F731E2"/>
    <w:rsid w:val="00F775F2"/>
    <w:rsid w:val="00F82418"/>
    <w:rsid w:val="00F8386D"/>
    <w:rsid w:val="00F86A35"/>
    <w:rsid w:val="00F87904"/>
    <w:rsid w:val="00F94980"/>
    <w:rsid w:val="00FA2DDB"/>
    <w:rsid w:val="00FA67F8"/>
    <w:rsid w:val="00FA7AF9"/>
    <w:rsid w:val="00FC551F"/>
    <w:rsid w:val="00FD6095"/>
    <w:rsid w:val="00FF6381"/>
    <w:rsid w:val="5F9C235B"/>
    <w:rsid w:val="75459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5BCAE"/>
  <w15:chartTrackingRefBased/>
  <w15:docId w15:val="{9C236E15-9C6F-472B-9F59-F4BE34B1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A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CD7396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FA2DDB"/>
    <w:rPr>
      <w:color w:val="605E5C"/>
      <w:shd w:val="clear" w:color="auto" w:fill="E1DFDD"/>
    </w:rPr>
  </w:style>
  <w:style w:type="paragraph" w:customStyle="1" w:styleId="Default">
    <w:name w:val="Default"/>
    <w:basedOn w:val="Normal"/>
    <w:rsid w:val="00F545E6"/>
    <w:pPr>
      <w:autoSpaceDE w:val="0"/>
      <w:autoSpaceDN w:val="0"/>
    </w:pPr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07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7E93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07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7E93"/>
    <w:rPr>
      <w:rFonts w:ascii="Times New Roman" w:eastAsia="Times New Roman" w:hAnsi="Times New Roman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0968C8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emedny.org/info/formfile.aspx" TargetMode="External"/><Relationship Id="rId18" Type="http://schemas.openxmlformats.org/officeDocument/2006/relationships/hyperlink" Target="https://mmcdruginformation.nysdoh.suny.edu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emedny.org/info/formfile.aspx" TargetMode="External"/><Relationship Id="rId17" Type="http://schemas.openxmlformats.org/officeDocument/2006/relationships/hyperlink" Target="https://mmcdruginformation.nysdoh.suny.edu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mcdruginformation.nysdoh.suny.ed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mmcdruginformation.nysdoh.suny.edu/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emedny.org/info/formfil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2A1041-93E3-456B-A9DE-45960DAF1EF3}">
  <ds:schemaRefs>
    <ds:schemaRef ds:uri="http://purl.org/dc/elements/1.1/"/>
    <ds:schemaRef ds:uri="1e718eae-16bc-49f1-9e0a-85226ba39ba0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fad01eb7-d870-475a-9d28-789bb88fcc63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2971E8A-0655-4D8A-B8C5-1250B7D8AE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9D0019C-9EDF-4A9D-9EA9-31BCBE20C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849</Words>
  <Characters>4844</Characters>
  <Application>Microsoft Office Word</Application>
  <DocSecurity>0</DocSecurity>
  <Lines>40</Lines>
  <Paragraphs>11</Paragraphs>
  <ScaleCrop>false</ScaleCrop>
  <Company>CVS Health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Davis, David P.</cp:lastModifiedBy>
  <cp:revision>5</cp:revision>
  <dcterms:created xsi:type="dcterms:W3CDTF">2024-07-15T15:05:00Z</dcterms:created>
  <dcterms:modified xsi:type="dcterms:W3CDTF">2024-07-15T15:10:00Z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2022-01-04T17:05:31Z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88bb9886-2377-43f2-98ef-161ff98c2214</vt:lpwstr>
  </property>
  <property fmtid="{D5CDD505-2E9C-101B-9397-08002B2CF9AE}" pid="9" name="MSIP_Label_67599526-06ca-49cc-9fa9-5307800a949a_ContentBits">
    <vt:lpwstr>0</vt:lpwstr>
  </property>
  <property fmtid="{D5CDD505-2E9C-101B-9397-08002B2CF9AE}" pid="10" name="ContentTypeId">
    <vt:lpwstr>0x0101004CEF1545BD46FC4C8C1B1EC3B7C6CE99</vt:lpwstr>
  </property>
  <property fmtid="{D5CDD505-2E9C-101B-9397-08002B2CF9AE}" pid="11" name="MediaServiceImageTags">
    <vt:lpwstr/>
  </property>
</Properties>
</file>