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77316" w14:textId="3B1AC6A5" w:rsidR="00524CDD" w:rsidRPr="00C311D3" w:rsidRDefault="007E1D21" w:rsidP="00C311D3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4"/>
      <w:bookmarkEnd w:id="0"/>
      <w:r>
        <w:rPr>
          <w:rFonts w:ascii="Verdana" w:hAnsi="Verdana"/>
          <w:color w:val="000000"/>
          <w:sz w:val="36"/>
          <w:szCs w:val="36"/>
        </w:rPr>
        <w:t>People</w:t>
      </w:r>
      <w:r w:rsidR="000F76CB">
        <w:rPr>
          <w:rFonts w:ascii="Verdana" w:hAnsi="Verdana"/>
          <w:color w:val="000000"/>
          <w:sz w:val="36"/>
          <w:szCs w:val="36"/>
        </w:rPr>
        <w:t xml:space="preserve">Safe - </w:t>
      </w:r>
      <w:r w:rsidR="00B817CC">
        <w:rPr>
          <w:rFonts w:ascii="Verdana" w:hAnsi="Verdana"/>
          <w:color w:val="000000"/>
          <w:sz w:val="36"/>
          <w:szCs w:val="36"/>
        </w:rPr>
        <w:t xml:space="preserve">No Access to this Beneficiary/Colleague or Member Search Returns Error </w:t>
      </w:r>
      <w:bookmarkStart w:id="2" w:name="OLE_LINK3"/>
      <w:r w:rsidR="00B817CC">
        <w:rPr>
          <w:rFonts w:ascii="Verdana" w:hAnsi="Verdana"/>
          <w:color w:val="000000"/>
          <w:sz w:val="36"/>
          <w:szCs w:val="36"/>
        </w:rPr>
        <w:t>(Account is Only Accessible to Those Dedicated to the Client)</w:t>
      </w:r>
    </w:p>
    <w:bookmarkEnd w:id="1"/>
    <w:bookmarkEnd w:id="2"/>
    <w:p w14:paraId="5AA3AE83" w14:textId="77777777" w:rsidR="00154367" w:rsidRDefault="00154367">
      <w:pPr>
        <w:pStyle w:val="TOC2"/>
      </w:pPr>
    </w:p>
    <w:p w14:paraId="687B19CD" w14:textId="42A43A58" w:rsidR="000E482B" w:rsidRDefault="00C821E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0619829" w:history="1">
        <w:r w:rsidR="000E482B" w:rsidRPr="00837FBB">
          <w:rPr>
            <w:rStyle w:val="Hyperlink"/>
            <w:rFonts w:ascii="Verdana" w:hAnsi="Verdana"/>
            <w:noProof/>
          </w:rPr>
          <w:t>Pop Up – No Access to Beneficiary</w:t>
        </w:r>
      </w:hyperlink>
    </w:p>
    <w:p w14:paraId="5599CBA7" w14:textId="2716F8C1" w:rsidR="000E482B" w:rsidRDefault="000E482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619830" w:history="1">
        <w:r w:rsidRPr="00837FBB">
          <w:rPr>
            <w:rStyle w:val="Hyperlink"/>
            <w:rFonts w:ascii="Verdana" w:hAnsi="Verdana"/>
            <w:noProof/>
          </w:rPr>
          <w:t>Member Search Returns Error - Account is Only Accessible to Those Dedicated to the Client</w:t>
        </w:r>
      </w:hyperlink>
    </w:p>
    <w:p w14:paraId="08269B04" w14:textId="58D9C10A" w:rsidR="000E482B" w:rsidRDefault="000E482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619831" w:history="1">
        <w:r w:rsidRPr="00837FBB">
          <w:rPr>
            <w:rStyle w:val="Hyperlink"/>
            <w:rFonts w:ascii="Verdana" w:hAnsi="Verdana"/>
            <w:noProof/>
          </w:rPr>
          <w:t>Related Documents</w:t>
        </w:r>
      </w:hyperlink>
    </w:p>
    <w:p w14:paraId="5EF4A12D" w14:textId="4C1597A8" w:rsidR="001B1FBE" w:rsidRDefault="00C821ED" w:rsidP="001B1FBE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03241029" w14:textId="36F742CB" w:rsidR="000825E5" w:rsidRDefault="001B1FBE" w:rsidP="00AC3DFA">
      <w:pPr>
        <w:spacing w:before="120" w:after="120"/>
        <w:rPr>
          <w:rFonts w:ascii="Verdana" w:hAnsi="Verdana"/>
        </w:rPr>
      </w:pPr>
      <w:r w:rsidRPr="001B1FBE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7C02F8">
        <w:rPr>
          <w:rFonts w:ascii="Verdana" w:hAnsi="Verdana"/>
        </w:rPr>
        <w:t>I</w:t>
      </w:r>
      <w:r w:rsidR="00B817CC">
        <w:rPr>
          <w:rFonts w:ascii="Verdana" w:hAnsi="Verdana"/>
        </w:rPr>
        <w:t>nstructions on how to respond to a member</w:t>
      </w:r>
      <w:r w:rsidR="00D07556">
        <w:rPr>
          <w:rFonts w:ascii="Verdana" w:hAnsi="Verdana"/>
        </w:rPr>
        <w:t xml:space="preserve">, </w:t>
      </w:r>
      <w:r w:rsidR="00B817CC">
        <w:rPr>
          <w:rFonts w:ascii="Verdana" w:hAnsi="Verdana"/>
        </w:rPr>
        <w:t>colleague</w:t>
      </w:r>
      <w:r w:rsidR="00D07556">
        <w:rPr>
          <w:rFonts w:ascii="Verdana" w:hAnsi="Verdana"/>
        </w:rPr>
        <w:t xml:space="preserve"> or </w:t>
      </w:r>
      <w:r w:rsidR="00B817CC">
        <w:rPr>
          <w:rFonts w:ascii="Verdana" w:hAnsi="Verdana"/>
        </w:rPr>
        <w:t xml:space="preserve">caller when you are unable to access </w:t>
      </w:r>
      <w:r w:rsidR="00D07556">
        <w:rPr>
          <w:rFonts w:ascii="Verdana" w:hAnsi="Verdana"/>
        </w:rPr>
        <w:t xml:space="preserve">an </w:t>
      </w:r>
      <w:r w:rsidR="00B817CC">
        <w:rPr>
          <w:rFonts w:ascii="Verdana" w:hAnsi="Verdana"/>
        </w:rPr>
        <w:t>account.</w:t>
      </w:r>
      <w:bookmarkStart w:id="3" w:name="_Various_Work_Instructions"/>
      <w:bookmarkStart w:id="4" w:name="_Process"/>
      <w:bookmarkStart w:id="5" w:name="_Various_Work_Instructions1"/>
      <w:bookmarkStart w:id="6" w:name="_Various_Work_Instructions_1"/>
      <w:bookmarkEnd w:id="3"/>
      <w:bookmarkEnd w:id="4"/>
      <w:bookmarkEnd w:id="5"/>
      <w:bookmarkEnd w:id="6"/>
    </w:p>
    <w:p w14:paraId="13D3DB46" w14:textId="77777777" w:rsidR="007C02F8" w:rsidRDefault="007C02F8" w:rsidP="00AC3DFA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817CC" w14:paraId="15F55A77" w14:textId="77777777" w:rsidTr="00B817C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03B2F6" w14:textId="77777777" w:rsidR="00B817CC" w:rsidRDefault="00B817CC" w:rsidP="00AC3DF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93660173"/>
            <w:bookmarkStart w:id="8" w:name="_Toc200619829"/>
            <w:r>
              <w:rPr>
                <w:rFonts w:ascii="Verdana" w:hAnsi="Verdana"/>
                <w:i w:val="0"/>
                <w:iCs w:val="0"/>
              </w:rPr>
              <w:t>Pop Up – No Access to Beneficiary</w:t>
            </w:r>
            <w:bookmarkEnd w:id="7"/>
            <w:bookmarkEnd w:id="8"/>
          </w:p>
        </w:tc>
      </w:tr>
    </w:tbl>
    <w:p w14:paraId="009C4B92" w14:textId="40F422BF" w:rsidR="00B817CC" w:rsidRDefault="00B817CC" w:rsidP="000E482B">
      <w:pPr>
        <w:spacing w:before="120" w:after="120"/>
        <w:rPr>
          <w:rFonts w:ascii="Verdana" w:hAnsi="Verdana"/>
        </w:rPr>
      </w:pPr>
    </w:p>
    <w:p w14:paraId="366414F7" w14:textId="4C746F8E" w:rsidR="008B066A" w:rsidRDefault="008B066A" w:rsidP="000E482B">
      <w:pPr>
        <w:autoSpaceDE w:val="0"/>
        <w:autoSpaceDN w:val="0"/>
        <w:adjustRightInd w:val="0"/>
        <w:spacing w:before="120" w:after="120"/>
        <w:rPr>
          <w:rStyle w:val="Hyperlink"/>
          <w:rFonts w:ascii="Verdana" w:hAnsi="Verdana" w:cs="Helvetica"/>
          <w:color w:val="auto"/>
          <w:u w:val="none"/>
          <w:shd w:val="clear" w:color="auto" w:fill="FFFFFF"/>
        </w:rPr>
      </w:pPr>
      <w:r>
        <w:rPr>
          <w:rStyle w:val="Hyperlink"/>
          <w:rFonts w:ascii="Verdana" w:hAnsi="Verdana" w:cs="Helvetica"/>
          <w:b/>
          <w:bCs/>
          <w:color w:val="auto"/>
          <w:u w:val="none"/>
          <w:shd w:val="clear" w:color="auto" w:fill="FFFFFF"/>
        </w:rPr>
        <w:t>Example:</w:t>
      </w:r>
      <w:r>
        <w:rPr>
          <w:rStyle w:val="Hyperlink"/>
          <w:rFonts w:ascii="Verdana" w:hAnsi="Verdana" w:cs="Helvetica"/>
          <w:color w:val="auto"/>
          <w:u w:val="none"/>
          <w:shd w:val="clear" w:color="auto" w:fill="FFFFFF"/>
        </w:rPr>
        <w:t xml:space="preserve"> </w:t>
      </w:r>
      <w:r w:rsidR="00F64FE1">
        <w:rPr>
          <w:rStyle w:val="Hyperlink"/>
          <w:rFonts w:ascii="Verdana" w:hAnsi="Verdana" w:cs="Helvetica"/>
          <w:color w:val="auto"/>
          <w:u w:val="none"/>
          <w:shd w:val="clear" w:color="auto" w:fill="FFFFFF"/>
        </w:rPr>
        <w:t xml:space="preserve">Pop-up for </w:t>
      </w:r>
      <w:r>
        <w:rPr>
          <w:rStyle w:val="Hyperlink"/>
          <w:rFonts w:ascii="Verdana" w:hAnsi="Verdana" w:cs="Helvetica"/>
          <w:color w:val="auto"/>
          <w:u w:val="none"/>
          <w:shd w:val="clear" w:color="auto" w:fill="FFFFFF"/>
        </w:rPr>
        <w:t xml:space="preserve">Dedicated </w:t>
      </w:r>
      <w:r w:rsidR="00181ED8">
        <w:rPr>
          <w:rStyle w:val="Hyperlink"/>
          <w:rFonts w:ascii="Verdana" w:hAnsi="Verdana" w:cs="Helvetica"/>
          <w:color w:val="auto"/>
          <w:u w:val="none"/>
          <w:shd w:val="clear" w:color="auto" w:fill="FFFFFF"/>
        </w:rPr>
        <w:t>T</w:t>
      </w:r>
      <w:r>
        <w:rPr>
          <w:rStyle w:val="Hyperlink"/>
          <w:rFonts w:ascii="Verdana" w:hAnsi="Verdana" w:cs="Helvetica"/>
          <w:color w:val="auto"/>
          <w:u w:val="none"/>
          <w:shd w:val="clear" w:color="auto" w:fill="FFFFFF"/>
        </w:rPr>
        <w:t>eam for CVS Employee Colleagues.</w:t>
      </w:r>
    </w:p>
    <w:p w14:paraId="70E5DF10" w14:textId="77777777" w:rsidR="008B066A" w:rsidRDefault="008B066A" w:rsidP="00B817CC">
      <w:pPr>
        <w:rPr>
          <w:rFonts w:ascii="Verdana" w:hAnsi="Verdana"/>
        </w:rPr>
      </w:pPr>
    </w:p>
    <w:p w14:paraId="69C45763" w14:textId="2697CB68" w:rsidR="00B817CC" w:rsidRDefault="00F64FE1" w:rsidP="000E482B">
      <w:pPr>
        <w:spacing w:before="120" w:after="120"/>
        <w:jc w:val="center"/>
      </w:pPr>
      <w:r>
        <w:rPr>
          <w:rFonts w:ascii="Verdana" w:hAnsi="Verdana"/>
          <w:b/>
          <w:bCs/>
        </w:rPr>
        <w:t xml:space="preserve"> </w:t>
      </w:r>
      <w:r w:rsidR="00B817CC">
        <w:rPr>
          <w:noProof/>
        </w:rPr>
        <w:drawing>
          <wp:inline distT="0" distB="0" distL="0" distR="0" wp14:anchorId="0222012B" wp14:editId="3E7A930A">
            <wp:extent cx="502920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5243" w14:textId="77777777" w:rsidR="00B817CC" w:rsidRDefault="00B817CC" w:rsidP="000E482B">
      <w:pPr>
        <w:spacing w:before="120" w:after="120"/>
      </w:pPr>
    </w:p>
    <w:p w14:paraId="79B595AD" w14:textId="197064EB" w:rsidR="00B817CC" w:rsidRDefault="00B817CC" w:rsidP="000E48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120" w:after="120"/>
        <w:rPr>
          <w:rFonts w:ascii="Verdana" w:hAnsi="Verdana" w:cs="Tahoma"/>
          <w:bCs/>
        </w:rPr>
      </w:pPr>
      <w:r w:rsidRPr="00B817CC">
        <w:rPr>
          <w:rFonts w:ascii="Verdana" w:hAnsi="Verdana" w:cs="Tahoma"/>
          <w:bCs/>
        </w:rPr>
        <w:t xml:space="preserve">No support can be provided. </w:t>
      </w:r>
    </w:p>
    <w:p w14:paraId="1C89AD2A" w14:textId="5AD86582" w:rsidR="00AC3DFA" w:rsidRDefault="008B066A" w:rsidP="000E48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120" w:after="120"/>
        <w:rPr>
          <w:rFonts w:ascii="Verdana" w:hAnsi="Verdana" w:cs="Tahoma"/>
          <w:bCs/>
        </w:rPr>
      </w:pPr>
      <w:r>
        <w:rPr>
          <w:rFonts w:ascii="Verdana" w:hAnsi="Verdana" w:cs="Tahoma"/>
          <w:bCs/>
        </w:rPr>
        <w:t xml:space="preserve">If you receive this message ask the member </w:t>
      </w:r>
      <w:r w:rsidR="00181ED8">
        <w:rPr>
          <w:rFonts w:ascii="Verdana" w:hAnsi="Verdana" w:cs="Tahoma"/>
          <w:bCs/>
          <w:noProof/>
        </w:rPr>
        <w:drawing>
          <wp:inline distT="0" distB="0" distL="0" distR="0" wp14:anchorId="5111082D" wp14:editId="33ED431A">
            <wp:extent cx="238158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DFA">
        <w:rPr>
          <w:rFonts w:ascii="Verdana" w:hAnsi="Verdana" w:cs="Tahoma"/>
          <w:bCs/>
        </w:rPr>
        <w:t xml:space="preserve"> </w:t>
      </w:r>
      <w:r>
        <w:rPr>
          <w:rFonts w:ascii="Verdana" w:hAnsi="Verdana" w:cs="Tahoma"/>
          <w:bCs/>
        </w:rPr>
        <w:t>Are you</w:t>
      </w:r>
      <w:r w:rsidR="00181ED8">
        <w:rPr>
          <w:rFonts w:ascii="Verdana" w:hAnsi="Verdana" w:cs="Tahoma"/>
          <w:bCs/>
        </w:rPr>
        <w:t>, or are you calling for</w:t>
      </w:r>
      <w:r>
        <w:rPr>
          <w:rFonts w:ascii="Verdana" w:hAnsi="Verdana" w:cs="Tahoma"/>
          <w:bCs/>
        </w:rPr>
        <w:t xml:space="preserve"> a CVS Health Employee?</w:t>
      </w:r>
      <w:r w:rsidR="00181ED8">
        <w:rPr>
          <w:rFonts w:ascii="Verdana" w:hAnsi="Verdana" w:cs="Tahoma"/>
          <w:bCs/>
        </w:rPr>
        <w:t xml:space="preserve"> </w:t>
      </w:r>
    </w:p>
    <w:p w14:paraId="0297F8A0" w14:textId="3BDE86EE" w:rsidR="008B066A" w:rsidRDefault="00AC3DFA" w:rsidP="000E48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120" w:after="120"/>
        <w:rPr>
          <w:rFonts w:ascii="Verdana" w:hAnsi="Verdana"/>
          <w:color w:val="000000"/>
        </w:rPr>
      </w:pPr>
      <w:r w:rsidRPr="00AC3DFA">
        <w:rPr>
          <w:rFonts w:ascii="Verdana" w:hAnsi="Verdana" w:cs="Tahoma"/>
          <w:b/>
        </w:rPr>
        <w:t>CCR:</w:t>
      </w:r>
      <w:r>
        <w:rPr>
          <w:rFonts w:ascii="Verdana" w:hAnsi="Verdana" w:cs="Tahoma"/>
          <w:bCs/>
        </w:rPr>
        <w:t xml:space="preserve">  </w:t>
      </w:r>
      <w:r w:rsidR="00181ED8">
        <w:rPr>
          <w:rFonts w:ascii="Verdana" w:hAnsi="Verdana" w:cs="Tahoma"/>
          <w:bCs/>
        </w:rPr>
        <w:t xml:space="preserve">If </w:t>
      </w:r>
      <w:r>
        <w:rPr>
          <w:rFonts w:ascii="Verdana" w:hAnsi="Verdana" w:cs="Tahoma"/>
          <w:bCs/>
        </w:rPr>
        <w:t>yes</w:t>
      </w:r>
      <w:r w:rsidR="00181ED8">
        <w:rPr>
          <w:rFonts w:ascii="Verdana" w:hAnsi="Verdana" w:cs="Tahoma"/>
          <w:bCs/>
        </w:rPr>
        <w:t xml:space="preserve">, </w:t>
      </w:r>
      <w:r w:rsidR="001C7B59" w:rsidRPr="007329D0">
        <w:rPr>
          <w:rFonts w:ascii="Verdana" w:hAnsi="Verdana" w:cs="Tahoma"/>
        </w:rPr>
        <w:t>warm transfer and properly introduce</w:t>
      </w:r>
      <w:r w:rsidR="00B817CC" w:rsidRPr="00B817CC">
        <w:rPr>
          <w:rFonts w:ascii="Verdana" w:hAnsi="Verdana" w:cs="Tahoma"/>
          <w:b/>
        </w:rPr>
        <w:t xml:space="preserve"> </w:t>
      </w:r>
      <w:r w:rsidR="00B817CC" w:rsidRPr="00B817CC">
        <w:rPr>
          <w:rFonts w:ascii="Verdana" w:hAnsi="Verdana" w:cs="Tahoma"/>
        </w:rPr>
        <w:t xml:space="preserve">the caller to </w:t>
      </w:r>
      <w:r w:rsidR="008B066A" w:rsidRPr="008B066A">
        <w:rPr>
          <w:rFonts w:ascii="Verdana" w:hAnsi="Verdana" w:cs="Tahoma"/>
        </w:rPr>
        <w:t>Customer Care for Our CVS Health Colleagues</w:t>
      </w:r>
      <w:r w:rsidR="008B066A">
        <w:rPr>
          <w:rFonts w:ascii="Verdana" w:hAnsi="Verdana" w:cs="Tahoma"/>
        </w:rPr>
        <w:t xml:space="preserve"> at </w:t>
      </w:r>
      <w:r w:rsidR="008B066A">
        <w:rPr>
          <w:rFonts w:ascii="Verdana" w:hAnsi="Verdana"/>
          <w:b/>
          <w:bCs/>
          <w:color w:val="000000"/>
        </w:rPr>
        <w:t xml:space="preserve">1-866-284-9226 </w:t>
      </w:r>
      <w:r w:rsidR="008B066A" w:rsidRPr="008B066A">
        <w:rPr>
          <w:rFonts w:ascii="Verdana" w:hAnsi="Verdana"/>
          <w:color w:val="000000"/>
        </w:rPr>
        <w:t>(</w:t>
      </w:r>
      <w:r w:rsidR="008B066A">
        <w:rPr>
          <w:rFonts w:ascii="Verdana" w:hAnsi="Verdana"/>
          <w:b/>
          <w:bCs/>
          <w:color w:val="000000"/>
        </w:rPr>
        <w:t>Monday thru Saturday: </w:t>
      </w:r>
      <w:r w:rsidR="008B066A">
        <w:rPr>
          <w:rFonts w:ascii="Verdana" w:hAnsi="Verdana"/>
          <w:color w:val="000000"/>
        </w:rPr>
        <w:t xml:space="preserve">7 am to 9 pm CT </w:t>
      </w:r>
      <w:r w:rsidR="008B066A">
        <w:rPr>
          <w:rFonts w:ascii="Verdana" w:hAnsi="Verdana"/>
          <w:b/>
          <w:bCs/>
          <w:color w:val="000000"/>
        </w:rPr>
        <w:t>Sunday:  </w:t>
      </w:r>
      <w:r w:rsidR="008B066A">
        <w:rPr>
          <w:rFonts w:ascii="Verdana" w:hAnsi="Verdana"/>
          <w:color w:val="000000"/>
        </w:rPr>
        <w:t>8 am to 4 pm CT)</w:t>
      </w:r>
      <w:r w:rsidR="00080B8E">
        <w:rPr>
          <w:rFonts w:ascii="Verdana" w:hAnsi="Verdana"/>
          <w:color w:val="000000"/>
        </w:rPr>
        <w:t xml:space="preserve"> </w:t>
      </w:r>
      <w:r w:rsidR="000A7790" w:rsidRPr="00080B8E">
        <w:rPr>
          <w:rFonts w:ascii="Verdana" w:hAnsi="Verdana"/>
          <w:b/>
          <w:bCs/>
          <w:color w:val="000000"/>
        </w:rPr>
        <w:t>or</w:t>
      </w:r>
      <w:r w:rsidR="000A7790">
        <w:rPr>
          <w:rFonts w:ascii="Verdana" w:hAnsi="Verdana"/>
          <w:color w:val="000000"/>
        </w:rPr>
        <w:t xml:space="preserve"> </w:t>
      </w:r>
    </w:p>
    <w:p w14:paraId="1AD9FD04" w14:textId="5B6F9F7A" w:rsidR="00B019A9" w:rsidRDefault="00765E98" w:rsidP="000E48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120" w:after="120"/>
        <w:rPr>
          <w:color w:val="000000"/>
        </w:rPr>
      </w:pPr>
      <w:bookmarkStart w:id="9" w:name="OLE_LINK1"/>
      <w:r w:rsidRPr="00A32093">
        <w:rPr>
          <w:rFonts w:ascii="Verdana" w:hAnsi="Verdana"/>
          <w:b/>
          <w:bCs/>
          <w:color w:val="000000"/>
        </w:rPr>
        <w:t>1-800-558-0860</w:t>
      </w:r>
      <w:r w:rsidR="006049A9" w:rsidRPr="00A32093">
        <w:rPr>
          <w:rFonts w:ascii="Verdana" w:hAnsi="Verdana"/>
          <w:b/>
          <w:bCs/>
          <w:color w:val="000000"/>
        </w:rPr>
        <w:t>, opt. 1</w:t>
      </w:r>
      <w:r w:rsidR="00694FFA">
        <w:rPr>
          <w:rFonts w:ascii="Verdana" w:hAnsi="Verdana"/>
          <w:color w:val="000000"/>
        </w:rPr>
        <w:t xml:space="preserve"> (</w:t>
      </w:r>
      <w:r w:rsidR="00FC6780">
        <w:rPr>
          <w:rFonts w:ascii="Verdana" w:hAnsi="Verdana"/>
          <w:color w:val="000000"/>
        </w:rPr>
        <w:t xml:space="preserve">Aetna </w:t>
      </w:r>
      <w:r w:rsidR="001844D4">
        <w:rPr>
          <w:rFonts w:ascii="Verdana" w:hAnsi="Verdana"/>
          <w:color w:val="000000"/>
        </w:rPr>
        <w:t>O</w:t>
      </w:r>
      <w:r w:rsidR="00FC6780">
        <w:rPr>
          <w:rFonts w:ascii="Verdana" w:hAnsi="Verdana"/>
          <w:color w:val="000000"/>
        </w:rPr>
        <w:t>ne Advocate/Precert/R</w:t>
      </w:r>
      <w:r w:rsidR="00A32093">
        <w:rPr>
          <w:rFonts w:ascii="Verdana" w:hAnsi="Verdana"/>
          <w:color w:val="000000"/>
        </w:rPr>
        <w:t>x</w:t>
      </w:r>
      <w:r w:rsidR="00694FFA">
        <w:rPr>
          <w:rFonts w:ascii="Verdana" w:hAnsi="Verdana"/>
          <w:color w:val="000000"/>
        </w:rPr>
        <w:t>)</w:t>
      </w:r>
      <w:r w:rsidR="0012419D">
        <w:rPr>
          <w:rFonts w:ascii="Verdana" w:hAnsi="Verdana"/>
          <w:color w:val="000000"/>
        </w:rPr>
        <w:t>.</w:t>
      </w:r>
    </w:p>
    <w:bookmarkEnd w:id="9"/>
    <w:p w14:paraId="578C7C04" w14:textId="1B29C8E6" w:rsidR="008B066A" w:rsidRDefault="008B066A" w:rsidP="000E482B">
      <w:pPr>
        <w:spacing w:before="120" w:after="120" w:line="240" w:lineRule="atLeast"/>
        <w:ind w:left="916"/>
        <w:rPr>
          <w:color w:val="000000"/>
        </w:rPr>
      </w:pPr>
    </w:p>
    <w:p w14:paraId="69832BA3" w14:textId="0B4843FB" w:rsidR="008B066A" w:rsidRPr="008B066A" w:rsidRDefault="008B066A" w:rsidP="000E482B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</w:p>
    <w:p w14:paraId="057302D3" w14:textId="77777777" w:rsidR="00B817CC" w:rsidRPr="00B817CC" w:rsidRDefault="00B817CC" w:rsidP="000E482B">
      <w:pPr>
        <w:spacing w:before="120" w:after="120"/>
        <w:rPr>
          <w:rFonts w:ascii="Verdana" w:hAnsi="Verdana" w:cs="Tahoma"/>
          <w:bCs/>
        </w:rPr>
      </w:pPr>
      <w:r w:rsidRPr="00B817CC">
        <w:rPr>
          <w:rFonts w:ascii="Verdana" w:hAnsi="Verdana" w:cs="Tahoma"/>
          <w:bCs/>
        </w:rPr>
        <w:t>Suggested verbiage for transfer:</w:t>
      </w:r>
    </w:p>
    <w:p w14:paraId="32D8F184" w14:textId="7CD22EB6" w:rsidR="00B817CC" w:rsidRDefault="00B817CC" w:rsidP="000E482B">
      <w:pPr>
        <w:spacing w:before="120" w:after="120"/>
        <w:rPr>
          <w:rFonts w:ascii="Verdana" w:hAnsi="Verdana"/>
        </w:rPr>
      </w:pPr>
      <w:r w:rsidRPr="00B817CC">
        <w:rPr>
          <w:rFonts w:ascii="Verdana" w:hAnsi="Verdana" w:cs="Tahoma"/>
        </w:rPr>
        <w:t xml:space="preserve"> </w:t>
      </w:r>
      <w:r w:rsidRPr="00B817CC">
        <w:rPr>
          <w:rFonts w:ascii="Verdana" w:hAnsi="Verdana" w:cs="Tahoma"/>
          <w:noProof/>
        </w:rPr>
        <w:drawing>
          <wp:inline distT="0" distB="0" distL="0" distR="0" wp14:anchorId="6D938FE2" wp14:editId="55072E9A">
            <wp:extent cx="238125" cy="209550"/>
            <wp:effectExtent l="0" t="0" r="9525" b="0"/>
            <wp:docPr id="12" name="Picture 12" descr="Icon - Conver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con - Convers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7CC">
        <w:rPr>
          <w:rFonts w:ascii="Verdana" w:hAnsi="Verdana" w:cs="Tahoma"/>
        </w:rPr>
        <w:t xml:space="preserve"> </w:t>
      </w:r>
      <w:r w:rsidRPr="00B817CC">
        <w:rPr>
          <w:rFonts w:ascii="Verdana" w:hAnsi="Verdana"/>
          <w:color w:val="000000"/>
        </w:rPr>
        <w:t xml:space="preserve">We have a specialized team that can assist </w:t>
      </w:r>
      <w:r w:rsidR="00181ED8">
        <w:rPr>
          <w:rFonts w:ascii="Verdana" w:hAnsi="Verdana"/>
          <w:color w:val="000000"/>
        </w:rPr>
        <w:t>you</w:t>
      </w:r>
      <w:r w:rsidRPr="00B817CC">
        <w:rPr>
          <w:rFonts w:ascii="Verdana" w:hAnsi="Verdana"/>
          <w:color w:val="000000"/>
        </w:rPr>
        <w:t>.  May I give you the direct toll-free number for your future use?  Thank you!  </w:t>
      </w:r>
      <w:r w:rsidR="00137117" w:rsidRPr="00B817CC">
        <w:rPr>
          <w:rFonts w:ascii="Verdana" w:hAnsi="Verdana"/>
          <w:color w:val="000000"/>
        </w:rPr>
        <w:t>I will</w:t>
      </w:r>
      <w:r w:rsidRPr="00B817CC">
        <w:rPr>
          <w:rFonts w:ascii="Verdana" w:hAnsi="Verdana"/>
          <w:color w:val="000000"/>
        </w:rPr>
        <w:t xml:space="preserve"> connect you with your dedicated team now so they can assist you further.  It may take me a few minutes to reach them - would you prefer to hold until I reach them, or would you prefer that I check back with you every few minutes?</w:t>
      </w:r>
      <w:r w:rsidRPr="00B817CC">
        <w:rPr>
          <w:rFonts w:ascii="Verdana" w:hAnsi="Verdana"/>
          <w:b/>
          <w:bCs/>
          <w:color w:val="000000"/>
        </w:rPr>
        <w:t> </w:t>
      </w:r>
      <w:r w:rsidR="00AC3DFA">
        <w:rPr>
          <w:rFonts w:ascii="Verdana" w:hAnsi="Verdana"/>
          <w:b/>
          <w:bCs/>
          <w:color w:val="000000"/>
        </w:rPr>
        <w:t xml:space="preserve"> </w:t>
      </w:r>
    </w:p>
    <w:p w14:paraId="6F108410" w14:textId="5B789A09" w:rsidR="005F2CCC" w:rsidRDefault="000E482B" w:rsidP="00AC3DFA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E482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B817CC" w:rsidRPr="00B817CC" w14:paraId="010D861A" w14:textId="77777777" w:rsidTr="00B817CC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E5D6C39" w14:textId="30C59835" w:rsidR="00B817CC" w:rsidRPr="00B817CC" w:rsidRDefault="00B817CC" w:rsidP="00B817CC">
            <w:pPr>
              <w:pStyle w:val="Heading2"/>
              <w:rPr>
                <w:rFonts w:ascii="Verdana" w:hAnsi="Verdana"/>
                <w:i w:val="0"/>
                <w:iCs w:val="0"/>
                <w:color w:val="000000" w:themeColor="text1"/>
              </w:rPr>
            </w:pPr>
            <w:bookmarkStart w:id="10" w:name="_Toc93652689"/>
            <w:bookmarkStart w:id="11" w:name="_Toc260851"/>
            <w:bookmarkStart w:id="12" w:name="_Toc260823"/>
            <w:bookmarkStart w:id="13" w:name="Error"/>
            <w:bookmarkStart w:id="14" w:name="_Toc535830264"/>
            <w:bookmarkStart w:id="15" w:name="_Hlk75760717"/>
            <w:bookmarkStart w:id="16" w:name="_Hlk75760658"/>
            <w:bookmarkStart w:id="17" w:name="_Toc200619830"/>
            <w:r w:rsidRPr="00B817CC">
              <w:rPr>
                <w:rFonts w:ascii="Verdana" w:hAnsi="Verdana"/>
                <w:i w:val="0"/>
                <w:iCs w:val="0"/>
                <w:color w:val="000000" w:themeColor="text1"/>
              </w:rPr>
              <w:t>Member Search Returns Error</w:t>
            </w:r>
            <w:bookmarkEnd w:id="10"/>
            <w:r w:rsidRPr="00B817CC">
              <w:rPr>
                <w:rFonts w:ascii="Verdana" w:hAnsi="Verdana"/>
                <w:i w:val="0"/>
                <w:iCs w:val="0"/>
                <w:color w:val="000000" w:themeColor="text1"/>
              </w:rPr>
              <w:t xml:space="preserve"> </w:t>
            </w:r>
            <w:bookmarkEnd w:id="11"/>
            <w:bookmarkEnd w:id="12"/>
            <w:bookmarkEnd w:id="13"/>
            <w:bookmarkEnd w:id="14"/>
            <w:r w:rsidRPr="00B817CC">
              <w:rPr>
                <w:rFonts w:ascii="Verdana" w:hAnsi="Verdana"/>
                <w:i w:val="0"/>
                <w:iCs w:val="0"/>
                <w:color w:val="000000" w:themeColor="text1"/>
              </w:rPr>
              <w:t>- Account is Only Accessible to Those Dedicated to the Client</w:t>
            </w:r>
            <w:bookmarkEnd w:id="17"/>
            <w:r w:rsidRPr="00B817CC">
              <w:rPr>
                <w:rFonts w:ascii="Verdana" w:hAnsi="Verdana"/>
                <w:i w:val="0"/>
                <w:iCs w:val="0"/>
                <w:color w:val="000000" w:themeColor="text1"/>
              </w:rPr>
              <w:t xml:space="preserve">  </w:t>
            </w:r>
          </w:p>
        </w:tc>
      </w:tr>
    </w:tbl>
    <w:p w14:paraId="7EDE3A2E" w14:textId="77777777" w:rsidR="00B817CC" w:rsidRDefault="00B817CC" w:rsidP="00B817CC">
      <w:pPr>
        <w:rPr>
          <w:noProof/>
        </w:rPr>
      </w:pPr>
    </w:p>
    <w:p w14:paraId="2E6AF365" w14:textId="4A80CD4A" w:rsidR="00B817CC" w:rsidRDefault="00B817CC" w:rsidP="00B817CC">
      <w:pPr>
        <w:spacing w:before="120" w:after="120"/>
        <w:jc w:val="center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62F66ED7" wp14:editId="04A8603E">
            <wp:extent cx="613410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</w:rPr>
        <w:t xml:space="preserve"> </w:t>
      </w:r>
    </w:p>
    <w:p w14:paraId="5808324C" w14:textId="77777777" w:rsidR="00B817CC" w:rsidRDefault="00B817CC" w:rsidP="00B817CC">
      <w:pPr>
        <w:jc w:val="center"/>
        <w:rPr>
          <w:rFonts w:ascii="Verdana" w:hAnsi="Verdana"/>
          <w:color w:val="000000"/>
        </w:rPr>
      </w:pPr>
    </w:p>
    <w:p w14:paraId="4D7E67D3" w14:textId="77777777" w:rsidR="00B817CC" w:rsidRDefault="00B817CC" w:rsidP="00B817CC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Perform the following steps: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3238"/>
        <w:gridCol w:w="1979"/>
        <w:gridCol w:w="6838"/>
      </w:tblGrid>
      <w:tr w:rsidR="00B817CC" w14:paraId="52BDA9DC" w14:textId="77777777" w:rsidTr="43D1C15E"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561D7CE" w14:textId="77777777" w:rsidR="00B817CC" w:rsidRDefault="00B817CC">
            <w:pPr>
              <w:spacing w:before="120" w:after="12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5A0BE9F" w14:textId="77777777" w:rsidR="00B817CC" w:rsidRDefault="00B817CC">
            <w:pPr>
              <w:spacing w:before="120" w:after="120" w:line="240" w:lineRule="atLeas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B817CC" w14:paraId="68BF1E34" w14:textId="77777777" w:rsidTr="43D1C15E">
        <w:trPr>
          <w:trHeight w:val="449"/>
        </w:trPr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12A3D6E" w14:textId="77777777" w:rsidR="00B817CC" w:rsidRDefault="00B817CC">
            <w:pPr>
              <w:spacing w:before="120" w:after="120" w:line="240" w:lineRule="atLeast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6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5F5340" w14:textId="77777777" w:rsidR="00B817CC" w:rsidRDefault="00B817C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 a Name and Date of Birth Search</w:t>
            </w:r>
          </w:p>
          <w:p w14:paraId="53098774" w14:textId="7D6A07E6" w:rsidR="00B817CC" w:rsidRDefault="00B817CC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11BD153" wp14:editId="4C73F283">
                  <wp:extent cx="238125" cy="209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Do </w:t>
            </w:r>
            <w:r>
              <w:rPr>
                <w:rFonts w:ascii="Verdana" w:hAnsi="Verdana"/>
                <w:b/>
                <w:bCs/>
              </w:rPr>
              <w:t>not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add a space or an underline prior to the first letter of either name or the system display</w:t>
            </w:r>
            <w:r w:rsidR="00137117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 an error.   </w:t>
            </w:r>
          </w:p>
          <w:p w14:paraId="2F9E58BD" w14:textId="77777777" w:rsidR="00B817CC" w:rsidRDefault="00B817CC" w:rsidP="00B817CC">
            <w:pPr>
              <w:numPr>
                <w:ilvl w:val="0"/>
                <w:numId w:val="17"/>
              </w:numPr>
              <w:spacing w:before="120" w:after="120"/>
              <w:ind w:left="348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If a</w:t>
            </w:r>
            <w:r>
              <w:rPr>
                <w:rFonts w:ascii="Verdana" w:hAnsi="Verdana"/>
              </w:rPr>
              <w:t xml:space="preserve"> pop-up message displays and states “Beneficiaries were found, but none matched your filter criteria.  Refine your criteria,  select “</w:t>
            </w:r>
            <w:r>
              <w:rPr>
                <w:rFonts w:ascii="Verdana" w:hAnsi="Verdana"/>
                <w:b/>
                <w:bCs/>
              </w:rPr>
              <w:t>Inactive or All</w:t>
            </w:r>
            <w:r>
              <w:rPr>
                <w:rFonts w:ascii="Verdana" w:hAnsi="Verdana"/>
              </w:rPr>
              <w:t>.” and search again.</w:t>
            </w:r>
          </w:p>
        </w:tc>
      </w:tr>
      <w:tr w:rsidR="00B817CC" w14:paraId="2F49F034" w14:textId="77777777" w:rsidTr="43D1C15E">
        <w:trPr>
          <w:trHeight w:val="101"/>
        </w:trPr>
        <w:tc>
          <w:tcPr>
            <w:tcW w:w="0" w:type="auto"/>
            <w:vMerge/>
            <w:vAlign w:val="center"/>
            <w:hideMark/>
          </w:tcPr>
          <w:p w14:paraId="06F69F0A" w14:textId="77777777" w:rsidR="00B817CC" w:rsidRDefault="00B817CC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E3FF68F" w14:textId="28632747" w:rsidR="00B817CC" w:rsidRDefault="00B817C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member’s information…</w:t>
            </w:r>
          </w:p>
        </w:tc>
        <w:tc>
          <w:tcPr>
            <w:tcW w:w="34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2A112" w14:textId="77777777" w:rsidR="00B817CC" w:rsidRDefault="00B817C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B817CC" w14:paraId="471151E8" w14:textId="77777777" w:rsidTr="43D1C15E">
        <w:trPr>
          <w:trHeight w:val="99"/>
        </w:trPr>
        <w:tc>
          <w:tcPr>
            <w:tcW w:w="0" w:type="auto"/>
            <w:vMerge/>
            <w:vAlign w:val="center"/>
            <w:hideMark/>
          </w:tcPr>
          <w:p w14:paraId="4290CB5D" w14:textId="77777777" w:rsidR="00B817CC" w:rsidRDefault="00B817CC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7D68BC5" w14:textId="77777777" w:rsidR="00B817CC" w:rsidRDefault="00B817C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Displays</w:t>
            </w:r>
          </w:p>
        </w:tc>
        <w:tc>
          <w:tcPr>
            <w:tcW w:w="34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EE5E" w14:textId="77777777" w:rsidR="00B817CC" w:rsidRDefault="00B817CC">
            <w:pPr>
              <w:spacing w:before="120" w:after="120"/>
              <w:ind w:left="13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Continue with the call.</w:t>
            </w:r>
          </w:p>
        </w:tc>
      </w:tr>
      <w:tr w:rsidR="00B817CC" w14:paraId="5BC51574" w14:textId="77777777" w:rsidTr="43D1C15E">
        <w:trPr>
          <w:trHeight w:val="151"/>
        </w:trPr>
        <w:tc>
          <w:tcPr>
            <w:tcW w:w="0" w:type="auto"/>
            <w:vMerge/>
            <w:vAlign w:val="center"/>
            <w:hideMark/>
          </w:tcPr>
          <w:p w14:paraId="7E800F3D" w14:textId="77777777" w:rsidR="00B817CC" w:rsidRDefault="00B817CC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1D58ED3" w14:textId="77777777" w:rsidR="00B817CC" w:rsidRDefault="00B817C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Does </w:t>
            </w:r>
            <w:r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</w:rPr>
              <w:t xml:space="preserve"> display</w:t>
            </w:r>
          </w:p>
        </w:tc>
        <w:tc>
          <w:tcPr>
            <w:tcW w:w="34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EB46" w14:textId="3ABB0A56" w:rsidR="00B817CC" w:rsidRDefault="00B817CC">
            <w:pPr>
              <w:spacing w:before="120" w:after="120"/>
              <w:ind w:left="126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Determine if a Specialty Medication:</w:t>
            </w:r>
            <w:r>
              <w:rPr>
                <w:rFonts w:ascii="Verdana" w:hAnsi="Verdana"/>
                <w:color w:val="000000"/>
              </w:rPr>
              <w:t xml:space="preserve"> The caller is not required to have active coverage with us.  </w:t>
            </w:r>
          </w:p>
          <w:p w14:paraId="2B52C63B" w14:textId="3488647A" w:rsidR="00B817CC" w:rsidRDefault="00B817CC">
            <w:pPr>
              <w:spacing w:before="120" w:after="120"/>
              <w:ind w:left="126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Determine if a Specialty medication and if so, </w:t>
            </w:r>
            <w:r w:rsidRPr="000F4C10">
              <w:rPr>
                <w:rFonts w:ascii="Verdana" w:hAnsi="Verdana"/>
              </w:rPr>
              <w:t xml:space="preserve">warm </w:t>
            </w:r>
            <w:r w:rsidR="000A407F">
              <w:rPr>
                <w:rFonts w:ascii="Verdana" w:hAnsi="Verdana"/>
              </w:rPr>
              <w:t>transfer to</w:t>
            </w:r>
            <w:r>
              <w:rPr>
                <w:rFonts w:ascii="Verdana" w:hAnsi="Verdana"/>
                <w:color w:val="000000"/>
              </w:rPr>
              <w:t xml:space="preserve"> Specialty.</w:t>
            </w:r>
            <w:bookmarkStart w:id="18" w:name="OLE_LINK9"/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218B8B32" w14:textId="6F8370FD" w:rsidR="00B817CC" w:rsidRDefault="00B817CC">
            <w:pPr>
              <w:spacing w:before="120" w:after="120"/>
              <w:ind w:left="126"/>
              <w:rPr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Exception:</w:t>
            </w:r>
            <w:r>
              <w:rPr>
                <w:rFonts w:ascii="Verdana" w:hAnsi="Verdana"/>
                <w:color w:val="000000"/>
              </w:rPr>
              <w:t xml:space="preserve"> If the client is Carefirst, warm transfer to Specialty</w:t>
            </w:r>
            <w:bookmarkEnd w:id="18"/>
            <w:r>
              <w:rPr>
                <w:rFonts w:ascii="Verdana" w:hAnsi="Verdana"/>
              </w:rPr>
              <w:t xml:space="preserve"> per the number in the Carefirst CIF (</w:t>
            </w:r>
            <w:r>
              <w:rPr>
                <w:rFonts w:ascii="Verdana" w:hAnsi="Verdana"/>
                <w:b/>
                <w:bCs/>
              </w:rPr>
              <w:t>1-855-264-3237</w:t>
            </w:r>
            <w:r>
              <w:rPr>
                <w:rFonts w:ascii="Verdana" w:hAnsi="Verdana"/>
              </w:rPr>
              <w:t>)</w:t>
            </w:r>
            <w:r>
              <w:rPr>
                <w:color w:val="000000"/>
              </w:rPr>
              <w:t xml:space="preserve">. </w:t>
            </w:r>
          </w:p>
          <w:p w14:paraId="0167B4C4" w14:textId="1E2EDAC2" w:rsidR="00B817CC" w:rsidRDefault="00B817CC">
            <w:pPr>
              <w:pStyle w:val="ListParagraph"/>
              <w:spacing w:before="120" w:after="120"/>
              <w:ind w:left="342"/>
              <w:rPr>
                <w:rStyle w:val="Hyperlink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286B40" wp14:editId="15E46EA6">
                  <wp:extent cx="238125" cy="209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3D1C15E">
              <w:rPr>
                <w:rFonts w:ascii="Verdana" w:hAnsi="Verdana"/>
                <w:sz w:val="24"/>
                <w:szCs w:val="24"/>
              </w:rPr>
              <w:t xml:space="preserve"> Let me get you over to our Specialty pharmacy, who direct</w:t>
            </w:r>
            <w:r w:rsidR="00137117">
              <w:rPr>
                <w:rFonts w:ascii="Verdana" w:hAnsi="Verdana"/>
                <w:sz w:val="24"/>
                <w:szCs w:val="24"/>
              </w:rPr>
              <w:t>s</w:t>
            </w:r>
            <w:r w:rsidRPr="43D1C15E">
              <w:rPr>
                <w:rFonts w:ascii="Verdana" w:hAnsi="Verdana"/>
                <w:sz w:val="24"/>
                <w:szCs w:val="24"/>
              </w:rPr>
              <w:t xml:space="preserve"> you to your correct therapy for further assistance.</w:t>
            </w:r>
          </w:p>
          <w:p w14:paraId="028E6E24" w14:textId="77777777" w:rsidR="00B817CC" w:rsidRDefault="00B817CC">
            <w:pPr>
              <w:spacing w:before="120" w:after="120"/>
              <w:ind w:left="126"/>
              <w:rPr>
                <w:i/>
              </w:rPr>
            </w:pPr>
          </w:p>
          <w:p w14:paraId="2D2411A1" w14:textId="77777777" w:rsidR="00B817CC" w:rsidRDefault="00B817CC" w:rsidP="00B817CC">
            <w:pPr>
              <w:numPr>
                <w:ilvl w:val="0"/>
                <w:numId w:val="18"/>
              </w:numPr>
              <w:spacing w:before="120" w:after="120"/>
              <w:ind w:left="48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not, review the lower left corner of the screen for messages in red font.</w:t>
            </w:r>
          </w:p>
        </w:tc>
      </w:tr>
      <w:tr w:rsidR="00B817CC" w14:paraId="06599A8F" w14:textId="77777777" w:rsidTr="43D1C15E">
        <w:trPr>
          <w:trHeight w:val="149"/>
        </w:trPr>
        <w:tc>
          <w:tcPr>
            <w:tcW w:w="0" w:type="auto"/>
            <w:vMerge/>
            <w:vAlign w:val="center"/>
            <w:hideMark/>
          </w:tcPr>
          <w:p w14:paraId="32D4EB08" w14:textId="77777777" w:rsidR="00B817CC" w:rsidRDefault="00B817CC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4952A5" w14:textId="77777777" w:rsidR="00B817CC" w:rsidRDefault="00B817CC">
            <w:pPr>
              <w:rPr>
                <w:rFonts w:ascii="Verdana" w:hAnsi="Verdana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45B61" w14:textId="77777777" w:rsidR="00B817CC" w:rsidRDefault="00B817C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error message indicates…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629777" w14:textId="77777777" w:rsidR="00B817CC" w:rsidRDefault="00B817C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B817CC" w14:paraId="2A3EFF75" w14:textId="77777777" w:rsidTr="43D1C15E">
        <w:trPr>
          <w:trHeight w:val="4004"/>
        </w:trPr>
        <w:tc>
          <w:tcPr>
            <w:tcW w:w="0" w:type="auto"/>
            <w:vMerge/>
            <w:vAlign w:val="center"/>
            <w:hideMark/>
          </w:tcPr>
          <w:p w14:paraId="368B09C3" w14:textId="77777777" w:rsidR="00B817CC" w:rsidRDefault="00B817CC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023EF5" w14:textId="77777777" w:rsidR="00B817CC" w:rsidRDefault="00B817CC">
            <w:pPr>
              <w:rPr>
                <w:rFonts w:ascii="Verdana" w:hAnsi="Verdana"/>
              </w:rPr>
            </w:pP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EA8F" w14:textId="77777777" w:rsidR="00B817CC" w:rsidRDefault="00B817CC">
            <w:pPr>
              <w:spacing w:before="120" w:after="120"/>
              <w:ind w:left="9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 NOT READ TO MEMBER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5A94" w14:textId="66676459" w:rsidR="00B817CC" w:rsidRDefault="00B817CC" w:rsidP="43D1C15E">
            <w:pPr>
              <w:spacing w:before="120" w:after="120"/>
              <w:ind w:left="78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C52F602" wp14:editId="051D808D">
                  <wp:extent cx="238125" cy="219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3D1C15E">
              <w:rPr>
                <w:rFonts w:ascii="Verdana" w:hAnsi="Verdana"/>
                <w:b/>
                <w:bCs/>
              </w:rPr>
              <w:t xml:space="preserve"> </w:t>
            </w:r>
            <w:r w:rsidRPr="43D1C15E">
              <w:rPr>
                <w:rFonts w:ascii="Verdana" w:hAnsi="Verdana"/>
              </w:rPr>
              <w:t>I apologize but your benefits are not serviced by us.  Please call the Customer Care number listed on the back of your prescription benefits card.</w:t>
            </w:r>
          </w:p>
          <w:p w14:paraId="21C37F16" w14:textId="77777777" w:rsidR="00B817CC" w:rsidRDefault="00B817CC">
            <w:pPr>
              <w:spacing w:before="120" w:after="120"/>
              <w:ind w:left="268"/>
              <w:rPr>
                <w:rFonts w:ascii="Verdana" w:hAnsi="Verdana"/>
                <w:b/>
                <w:bCs/>
              </w:rPr>
            </w:pPr>
          </w:p>
          <w:p w14:paraId="63EF45FB" w14:textId="2781A332" w:rsidR="00B817CC" w:rsidRDefault="00B817CC" w:rsidP="43D1C15E">
            <w:pPr>
              <w:spacing w:before="120" w:after="120"/>
              <w:ind w:left="78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5B47968" wp14:editId="2AC86480">
                  <wp:extent cx="238125" cy="219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3D1C15E">
              <w:rPr>
                <w:noProof/>
              </w:rPr>
              <w:t xml:space="preserve"> </w:t>
            </w:r>
            <w:r w:rsidRPr="43D1C15E">
              <w:rPr>
                <w:rFonts w:ascii="Verdana" w:hAnsi="Verdana"/>
              </w:rPr>
              <w:t xml:space="preserve">If you do not have your Prescription Benefits card, you </w:t>
            </w:r>
            <w:r w:rsidR="008555CC">
              <w:rPr>
                <w:rFonts w:ascii="Verdana" w:hAnsi="Verdana"/>
              </w:rPr>
              <w:t>w</w:t>
            </w:r>
            <w:r w:rsidRPr="43D1C15E">
              <w:rPr>
                <w:rFonts w:ascii="Verdana" w:hAnsi="Verdana"/>
              </w:rPr>
              <w:t>ill need to contact your Benefits provider or Insurance company.</w:t>
            </w:r>
          </w:p>
          <w:p w14:paraId="6D5CA9F6" w14:textId="77777777" w:rsidR="00B817CC" w:rsidRDefault="00B817CC">
            <w:pPr>
              <w:spacing w:before="120" w:after="120"/>
              <w:ind w:left="268"/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 xml:space="preserve"> </w:t>
            </w:r>
          </w:p>
          <w:p w14:paraId="16F14545" w14:textId="4100FD90" w:rsidR="00B817CC" w:rsidRDefault="00B817CC">
            <w:pPr>
              <w:spacing w:before="120" w:after="120"/>
              <w:ind w:left="78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7A2339D" wp14:editId="64E85B3C">
                  <wp:extent cx="238125" cy="219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</w:rPr>
              <w:t xml:space="preserve">  </w:t>
            </w:r>
          </w:p>
          <w:p w14:paraId="40FB2821" w14:textId="77777777" w:rsidR="00B817CC" w:rsidRDefault="00B817CC" w:rsidP="00B817CC">
            <w:pPr>
              <w:numPr>
                <w:ilvl w:val="0"/>
                <w:numId w:val="19"/>
              </w:numPr>
              <w:spacing w:before="120" w:after="120"/>
              <w:ind w:left="43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Do </w:t>
            </w:r>
            <w:r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  <w:bCs/>
              </w:rPr>
              <w:t xml:space="preserve"> transfer these calls or attempt to further help the caller.</w:t>
            </w:r>
          </w:p>
          <w:p w14:paraId="2F44FF9B" w14:textId="6D4C4E6A" w:rsidR="00860E10" w:rsidRDefault="00725BAB" w:rsidP="00B817CC">
            <w:pPr>
              <w:numPr>
                <w:ilvl w:val="0"/>
                <w:numId w:val="19"/>
              </w:numPr>
              <w:spacing w:before="120" w:after="120"/>
              <w:ind w:left="43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If a 3</w:t>
            </w:r>
            <w:r w:rsidRPr="007329D0">
              <w:rPr>
                <w:rFonts w:ascii="Verdana" w:hAnsi="Verdana"/>
                <w:bCs/>
                <w:vertAlign w:val="superscript"/>
              </w:rPr>
              <w:t>rd</w:t>
            </w:r>
            <w:r>
              <w:rPr>
                <w:rFonts w:ascii="Verdana" w:hAnsi="Verdana"/>
                <w:bCs/>
              </w:rPr>
              <w:t xml:space="preserve"> party </w:t>
            </w:r>
            <w:r w:rsidR="00AA30D6">
              <w:rPr>
                <w:rFonts w:ascii="Verdana" w:hAnsi="Verdana"/>
                <w:bCs/>
              </w:rPr>
              <w:t>caller, (</w:t>
            </w:r>
            <w:r w:rsidR="00081257">
              <w:rPr>
                <w:rFonts w:ascii="Verdana" w:hAnsi="Verdana"/>
                <w:bCs/>
              </w:rPr>
              <w:t>who does not have access to ID card)</w:t>
            </w:r>
            <w:r>
              <w:rPr>
                <w:rFonts w:ascii="Verdana" w:hAnsi="Verdana"/>
                <w:bCs/>
              </w:rPr>
              <w:t xml:space="preserve"> advise them to contact member to obtain specific number from ID that they can then use </w:t>
            </w:r>
            <w:r w:rsidR="0041602B">
              <w:rPr>
                <w:rFonts w:ascii="Verdana" w:hAnsi="Verdana"/>
                <w:bCs/>
              </w:rPr>
              <w:t xml:space="preserve">to get assistance with account. </w:t>
            </w:r>
          </w:p>
          <w:p w14:paraId="7E3F5F70" w14:textId="77777777" w:rsidR="00B817CC" w:rsidRDefault="00B817CC" w:rsidP="00B817CC">
            <w:pPr>
              <w:numPr>
                <w:ilvl w:val="0"/>
                <w:numId w:val="19"/>
              </w:numPr>
              <w:spacing w:before="120" w:after="120"/>
              <w:ind w:left="438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Cs/>
              </w:rPr>
              <w:t>For overnight Help Desk, have the pharmacy or member call back during regular business hours.</w:t>
            </w:r>
            <w:r>
              <w:rPr>
                <w:rFonts w:ascii="Verdana" w:hAnsi="Verdana"/>
                <w:b/>
                <w:bCs/>
              </w:rPr>
              <w:t xml:space="preserve"> </w:t>
            </w:r>
          </w:p>
          <w:p w14:paraId="603D49A4" w14:textId="199FCE43" w:rsidR="00B817CC" w:rsidRDefault="00B817CC" w:rsidP="00B817CC">
            <w:pPr>
              <w:numPr>
                <w:ilvl w:val="0"/>
                <w:numId w:val="19"/>
              </w:numPr>
              <w:spacing w:before="120" w:after="120"/>
              <w:ind w:left="438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client specifically requested that searches could not be performed by our CCR’s.  </w:t>
            </w:r>
          </w:p>
        </w:tc>
      </w:tr>
    </w:tbl>
    <w:p w14:paraId="4DDAEE0A" w14:textId="77777777" w:rsidR="00B817CC" w:rsidRDefault="00B817CC" w:rsidP="00B817CC">
      <w:pPr>
        <w:rPr>
          <w:rFonts w:ascii="Verdana" w:hAnsi="Verdana"/>
          <w:color w:val="333333"/>
        </w:rPr>
      </w:pPr>
      <w:bookmarkStart w:id="19" w:name="_Available_Task_Types"/>
      <w:bookmarkStart w:id="20" w:name="_Various_Work_Instructions_2"/>
      <w:bookmarkStart w:id="21" w:name="_Log_Activity:"/>
      <w:bookmarkEnd w:id="19"/>
      <w:bookmarkEnd w:id="20"/>
      <w:bookmarkEnd w:id="21"/>
    </w:p>
    <w:p w14:paraId="190F37E0" w14:textId="3CBA36DE" w:rsidR="009A4A14" w:rsidRDefault="009A4A14" w:rsidP="009A4A14">
      <w:pPr>
        <w:jc w:val="right"/>
        <w:rPr>
          <w:rFonts w:ascii="Verdana" w:hAnsi="Verdana"/>
        </w:rPr>
      </w:pPr>
    </w:p>
    <w:p w14:paraId="77DF39B4" w14:textId="040BEA1D" w:rsidR="009A4A14" w:rsidRDefault="000E482B" w:rsidP="009A4A14">
      <w:pPr>
        <w:jc w:val="right"/>
        <w:rPr>
          <w:rFonts w:ascii="Verdana" w:hAnsi="Verdana"/>
        </w:rPr>
      </w:pPr>
      <w:hyperlink w:anchor="_top" w:history="1">
        <w:r w:rsidRPr="000E482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A4A14" w:rsidRPr="0038070C" w14:paraId="5959B601" w14:textId="77777777" w:rsidTr="00C952E1">
        <w:tc>
          <w:tcPr>
            <w:tcW w:w="5000" w:type="pct"/>
            <w:shd w:val="clear" w:color="auto" w:fill="C0C0C0"/>
          </w:tcPr>
          <w:p w14:paraId="49B5AA79" w14:textId="77777777" w:rsidR="009A4A14" w:rsidRPr="0038070C" w:rsidRDefault="009A4A14" w:rsidP="00C66B1B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2" w:name="_Toc20061983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2"/>
          </w:p>
        </w:tc>
      </w:tr>
    </w:tbl>
    <w:bookmarkEnd w:id="15"/>
    <w:p w14:paraId="3C6FD248" w14:textId="3145B910" w:rsidR="00C952E1" w:rsidRDefault="00C952E1" w:rsidP="000E482B">
      <w:pPr>
        <w:spacing w:before="120" w:after="120"/>
        <w:rPr>
          <w:rStyle w:val="Hyperlink"/>
          <w:rFonts w:ascii="Verdana" w:hAnsi="Verdana"/>
          <w:color w:val="000000"/>
        </w:rPr>
      </w:pPr>
      <w:r>
        <w:rPr>
          <w:rStyle w:val="Hyperlink"/>
          <w:rFonts w:ascii="Verdana" w:hAnsi="Verdana"/>
          <w:color w:val="000000"/>
        </w:rPr>
        <w:fldChar w:fldCharType="begin"/>
      </w:r>
      <w:r w:rsidR="008555CC">
        <w:rPr>
          <w:rStyle w:val="Hyperlink"/>
          <w:rFonts w:ascii="Verdana" w:hAnsi="Verdana"/>
          <w:color w:val="000000"/>
        </w:rPr>
        <w:instrText>HYPERLINK "https://thesource.cvshealth.com/nuxeo/thesource/" \l "!/view?docid=bdac0c67-5fee-47ba-a3aa-aab84900cf78"</w:instrText>
      </w:r>
      <w:r>
        <w:rPr>
          <w:rStyle w:val="Hyperlink"/>
          <w:rFonts w:ascii="Verdana" w:hAnsi="Verdana"/>
          <w:color w:val="000000"/>
        </w:rPr>
      </w:r>
      <w:r>
        <w:rPr>
          <w:rStyle w:val="Hyperlink"/>
          <w:rFonts w:ascii="Verdana" w:hAnsi="Verdana"/>
          <w:color w:val="000000"/>
        </w:rPr>
        <w:fldChar w:fldCharType="separate"/>
      </w:r>
      <w:r w:rsidR="008555CC">
        <w:rPr>
          <w:rStyle w:val="Hyperlink"/>
          <w:rFonts w:ascii="Verdana" w:hAnsi="Verdana"/>
        </w:rPr>
        <w:t>Log Activity and Capture Activity Codes (</w:t>
      </w:r>
      <w:r w:rsidR="00C26C2A">
        <w:rPr>
          <w:rStyle w:val="Hyperlink"/>
          <w:rFonts w:ascii="Verdana" w:hAnsi="Verdana"/>
        </w:rPr>
        <w:t>00</w:t>
      </w:r>
      <w:r w:rsidR="008555CC">
        <w:rPr>
          <w:rStyle w:val="Hyperlink"/>
          <w:rFonts w:ascii="Verdana" w:hAnsi="Verdana"/>
        </w:rPr>
        <w:t>5164)</w:t>
      </w:r>
      <w:r>
        <w:rPr>
          <w:rStyle w:val="Hyperlink"/>
          <w:rFonts w:ascii="Verdana" w:hAnsi="Verdana"/>
          <w:color w:val="000000"/>
        </w:rPr>
        <w:fldChar w:fldCharType="end"/>
      </w:r>
    </w:p>
    <w:p w14:paraId="0903296C" w14:textId="59929F45" w:rsidR="00D01A14" w:rsidRDefault="00D01A14" w:rsidP="000E482B">
      <w:pPr>
        <w:spacing w:before="120" w:after="120"/>
        <w:rPr>
          <w:rStyle w:val="Hyperlink"/>
          <w:rFonts w:ascii="Verdana" w:hAnsi="Verdana"/>
        </w:rPr>
      </w:pPr>
      <w:hyperlink r:id="rId16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</w:t>
        </w:r>
      </w:hyperlink>
      <w:r w:rsidR="00A72CBD">
        <w:rPr>
          <w:rStyle w:val="Hyperlink"/>
          <w:rFonts w:ascii="Verdana" w:hAnsi="Verdana"/>
        </w:rPr>
        <w:t xml:space="preserve"> (</w:t>
      </w:r>
      <w:r w:rsidR="00A85C29">
        <w:rPr>
          <w:rStyle w:val="Hyperlink"/>
          <w:rFonts w:ascii="Verdana" w:hAnsi="Verdana"/>
        </w:rPr>
        <w:t>0</w:t>
      </w:r>
      <w:r w:rsidR="00A72CBD">
        <w:rPr>
          <w:rStyle w:val="Hyperlink"/>
          <w:rFonts w:ascii="Verdana" w:hAnsi="Verdana"/>
        </w:rPr>
        <w:t>17428)</w:t>
      </w:r>
    </w:p>
    <w:p w14:paraId="5958BB7F" w14:textId="77777777" w:rsidR="00D01A14" w:rsidRDefault="009A4A14" w:rsidP="000E482B">
      <w:pPr>
        <w:spacing w:before="120" w:after="120"/>
        <w:rPr>
          <w:rFonts w:ascii="Verdana" w:hAnsi="Verdana"/>
        </w:rPr>
      </w:pPr>
      <w:r w:rsidRPr="009A4A14">
        <w:rPr>
          <w:rStyle w:val="Hyperlink"/>
          <w:rFonts w:ascii="Verdana" w:hAnsi="Verdana"/>
          <w:b/>
          <w:color w:val="000000" w:themeColor="text1"/>
          <w:u w:val="none"/>
        </w:rPr>
        <w:t>Parent Document:</w:t>
      </w:r>
      <w:r>
        <w:rPr>
          <w:rStyle w:val="Hyperlink"/>
          <w:rFonts w:ascii="Verdana" w:hAnsi="Verdana"/>
          <w:color w:val="000000" w:themeColor="text1"/>
          <w:u w:val="none"/>
        </w:rPr>
        <w:t xml:space="preserve"> </w:t>
      </w:r>
      <w:hyperlink r:id="rId17" w:tgtFrame="_blank" w:history="1">
        <w:r w:rsidR="00D01A14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bookmarkStart w:id="23" w:name="_Hlk75760682"/>
    <w:bookmarkEnd w:id="16"/>
    <w:p w14:paraId="3C1DD7DF" w14:textId="63690C97" w:rsidR="00FD0FDA" w:rsidRDefault="000E482B" w:rsidP="000E482B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0E482B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5FEF4C98" w14:textId="77777777" w:rsidR="00A97B7D" w:rsidRPr="00B46A95" w:rsidRDefault="00A97B7D" w:rsidP="00BB371A">
      <w:pPr>
        <w:jc w:val="right"/>
        <w:rPr>
          <w:rFonts w:ascii="Verdana" w:hAnsi="Verdana"/>
        </w:rPr>
      </w:pPr>
    </w:p>
    <w:p w14:paraId="7A5A411A" w14:textId="77777777" w:rsidR="009D03D9" w:rsidRPr="00C247CB" w:rsidRDefault="009D03D9" w:rsidP="009D03D9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F1185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1185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1185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3807322" w14:textId="77777777" w:rsidR="009D03D9" w:rsidRDefault="009D03D9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5F2CCC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bookmarkEnd w:id="23"/>
    <w:p w14:paraId="21CDE6C0" w14:textId="77777777" w:rsidR="005F2CCC" w:rsidRDefault="005F2CCC" w:rsidP="009D03D9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sectPr w:rsidR="005F2CCC" w:rsidSect="00303F88">
      <w:footerReference w:type="even" r:id="rId18"/>
      <w:footerReference w:type="defaul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1D193" w14:textId="77777777" w:rsidR="008E761B" w:rsidRDefault="008E761B">
      <w:r>
        <w:separator/>
      </w:r>
    </w:p>
  </w:endnote>
  <w:endnote w:type="continuationSeparator" w:id="0">
    <w:p w14:paraId="12C0FDC4" w14:textId="77777777" w:rsidR="008E761B" w:rsidRDefault="008E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FA67F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34B19" w14:textId="77777777" w:rsidR="00290527" w:rsidRDefault="00290527" w:rsidP="00AC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88694" w14:textId="77777777" w:rsidR="00290527" w:rsidRDefault="00290527" w:rsidP="003E1B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4A1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FFE4E3" w14:textId="77777777" w:rsidR="00290527" w:rsidRDefault="00290527" w:rsidP="00AC3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3262C" w14:textId="77777777" w:rsidR="008E761B" w:rsidRDefault="008E761B">
      <w:r>
        <w:separator/>
      </w:r>
    </w:p>
  </w:footnote>
  <w:footnote w:type="continuationSeparator" w:id="0">
    <w:p w14:paraId="1D617CB6" w14:textId="77777777" w:rsidR="008E761B" w:rsidRDefault="008E7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1BC1"/>
    <w:multiLevelType w:val="multilevel"/>
    <w:tmpl w:val="CFF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2BB5"/>
    <w:multiLevelType w:val="hybridMultilevel"/>
    <w:tmpl w:val="17428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AA3F34"/>
    <w:multiLevelType w:val="hybridMultilevel"/>
    <w:tmpl w:val="CEB6D478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687D15"/>
    <w:multiLevelType w:val="hybridMultilevel"/>
    <w:tmpl w:val="B526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D0993"/>
    <w:multiLevelType w:val="hybridMultilevel"/>
    <w:tmpl w:val="2D98A96A"/>
    <w:lvl w:ilvl="0" w:tplc="B922C68C">
      <w:start w:val="1"/>
      <w:numFmt w:val="bullet"/>
      <w:lvlText w:val=""/>
      <w:lvlJc w:val="left"/>
      <w:pPr>
        <w:ind w:left="134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0" w15:restartNumberingAfterBreak="0">
    <w:nsid w:val="3816550B"/>
    <w:multiLevelType w:val="hybridMultilevel"/>
    <w:tmpl w:val="8B20F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947F61"/>
    <w:multiLevelType w:val="hybridMultilevel"/>
    <w:tmpl w:val="1F44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13699"/>
    <w:multiLevelType w:val="hybridMultilevel"/>
    <w:tmpl w:val="C122A60C"/>
    <w:lvl w:ilvl="0" w:tplc="3B7A2EF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F176E2"/>
    <w:multiLevelType w:val="hybridMultilevel"/>
    <w:tmpl w:val="FD1C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3474937">
    <w:abstractNumId w:val="13"/>
  </w:num>
  <w:num w:numId="2" w16cid:durableId="672493006">
    <w:abstractNumId w:val="11"/>
  </w:num>
  <w:num w:numId="3" w16cid:durableId="1598640460">
    <w:abstractNumId w:val="15"/>
  </w:num>
  <w:num w:numId="4" w16cid:durableId="392001887">
    <w:abstractNumId w:val="0"/>
  </w:num>
  <w:num w:numId="5" w16cid:durableId="803472276">
    <w:abstractNumId w:val="3"/>
  </w:num>
  <w:num w:numId="6" w16cid:durableId="1079211322">
    <w:abstractNumId w:val="16"/>
  </w:num>
  <w:num w:numId="7" w16cid:durableId="1573613263">
    <w:abstractNumId w:val="18"/>
  </w:num>
  <w:num w:numId="8" w16cid:durableId="189420532">
    <w:abstractNumId w:val="2"/>
  </w:num>
  <w:num w:numId="9" w16cid:durableId="1250499752">
    <w:abstractNumId w:val="19"/>
  </w:num>
  <w:num w:numId="10" w16cid:durableId="1309475072">
    <w:abstractNumId w:val="7"/>
  </w:num>
  <w:num w:numId="11" w16cid:durableId="1698576617">
    <w:abstractNumId w:val="5"/>
  </w:num>
  <w:num w:numId="12" w16cid:durableId="66727369">
    <w:abstractNumId w:val="6"/>
  </w:num>
  <w:num w:numId="13" w16cid:durableId="1216774020">
    <w:abstractNumId w:val="4"/>
  </w:num>
  <w:num w:numId="14" w16cid:durableId="883326823">
    <w:abstractNumId w:val="10"/>
  </w:num>
  <w:num w:numId="15" w16cid:durableId="473372473">
    <w:abstractNumId w:val="14"/>
  </w:num>
  <w:num w:numId="16" w16cid:durableId="1174219731">
    <w:abstractNumId w:val="8"/>
  </w:num>
  <w:num w:numId="17" w16cid:durableId="660161194">
    <w:abstractNumId w:val="12"/>
  </w:num>
  <w:num w:numId="18" w16cid:durableId="61609036">
    <w:abstractNumId w:val="17"/>
  </w:num>
  <w:num w:numId="19" w16cid:durableId="671297556">
    <w:abstractNumId w:val="9"/>
  </w:num>
  <w:num w:numId="20" w16cid:durableId="1789664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F01"/>
    <w:rsid w:val="00015A2E"/>
    <w:rsid w:val="000428F0"/>
    <w:rsid w:val="000451B3"/>
    <w:rsid w:val="000463B2"/>
    <w:rsid w:val="00080B8E"/>
    <w:rsid w:val="00081257"/>
    <w:rsid w:val="000825E5"/>
    <w:rsid w:val="0008665F"/>
    <w:rsid w:val="000A407F"/>
    <w:rsid w:val="000A6636"/>
    <w:rsid w:val="000A7790"/>
    <w:rsid w:val="000B3C4C"/>
    <w:rsid w:val="000C311D"/>
    <w:rsid w:val="000C5599"/>
    <w:rsid w:val="000D6714"/>
    <w:rsid w:val="000E482B"/>
    <w:rsid w:val="000F4C10"/>
    <w:rsid w:val="000F56B5"/>
    <w:rsid w:val="000F76CB"/>
    <w:rsid w:val="00117913"/>
    <w:rsid w:val="00122B8F"/>
    <w:rsid w:val="0012419D"/>
    <w:rsid w:val="00131E49"/>
    <w:rsid w:val="00137117"/>
    <w:rsid w:val="00154367"/>
    <w:rsid w:val="0016273A"/>
    <w:rsid w:val="001738F1"/>
    <w:rsid w:val="00181ED8"/>
    <w:rsid w:val="00182A5F"/>
    <w:rsid w:val="001844D4"/>
    <w:rsid w:val="0019353A"/>
    <w:rsid w:val="001A015D"/>
    <w:rsid w:val="001A32B4"/>
    <w:rsid w:val="001B1FBE"/>
    <w:rsid w:val="001B2893"/>
    <w:rsid w:val="001C7B59"/>
    <w:rsid w:val="001D38A1"/>
    <w:rsid w:val="001D5D68"/>
    <w:rsid w:val="001E592C"/>
    <w:rsid w:val="002016B4"/>
    <w:rsid w:val="00215763"/>
    <w:rsid w:val="0024202F"/>
    <w:rsid w:val="002467D2"/>
    <w:rsid w:val="002609A1"/>
    <w:rsid w:val="0026321A"/>
    <w:rsid w:val="00265A08"/>
    <w:rsid w:val="00290527"/>
    <w:rsid w:val="00293370"/>
    <w:rsid w:val="002B593E"/>
    <w:rsid w:val="002F5A53"/>
    <w:rsid w:val="00303F88"/>
    <w:rsid w:val="00356DBE"/>
    <w:rsid w:val="0038070C"/>
    <w:rsid w:val="0038233B"/>
    <w:rsid w:val="003B079F"/>
    <w:rsid w:val="003E1B34"/>
    <w:rsid w:val="003E3D95"/>
    <w:rsid w:val="00406DB5"/>
    <w:rsid w:val="00413BA5"/>
    <w:rsid w:val="0041602B"/>
    <w:rsid w:val="00436228"/>
    <w:rsid w:val="00457EAE"/>
    <w:rsid w:val="00460203"/>
    <w:rsid w:val="00475277"/>
    <w:rsid w:val="00480467"/>
    <w:rsid w:val="00485A27"/>
    <w:rsid w:val="00490818"/>
    <w:rsid w:val="00524CDD"/>
    <w:rsid w:val="005320FE"/>
    <w:rsid w:val="00536FF5"/>
    <w:rsid w:val="00540E4C"/>
    <w:rsid w:val="00544465"/>
    <w:rsid w:val="005910B5"/>
    <w:rsid w:val="005A2DE3"/>
    <w:rsid w:val="005F1EC3"/>
    <w:rsid w:val="005F27A6"/>
    <w:rsid w:val="005F2CCC"/>
    <w:rsid w:val="005F4D43"/>
    <w:rsid w:val="006049A9"/>
    <w:rsid w:val="00622D77"/>
    <w:rsid w:val="006230B5"/>
    <w:rsid w:val="0062346D"/>
    <w:rsid w:val="00636B18"/>
    <w:rsid w:val="00637CA1"/>
    <w:rsid w:val="00652F46"/>
    <w:rsid w:val="00655B34"/>
    <w:rsid w:val="00694FFA"/>
    <w:rsid w:val="006A0481"/>
    <w:rsid w:val="006A23D7"/>
    <w:rsid w:val="006B44DB"/>
    <w:rsid w:val="006F581F"/>
    <w:rsid w:val="00702C2E"/>
    <w:rsid w:val="00704AF2"/>
    <w:rsid w:val="00711CF7"/>
    <w:rsid w:val="00713C00"/>
    <w:rsid w:val="00725BAB"/>
    <w:rsid w:val="0073294A"/>
    <w:rsid w:val="007329D0"/>
    <w:rsid w:val="00750920"/>
    <w:rsid w:val="00752801"/>
    <w:rsid w:val="00765E98"/>
    <w:rsid w:val="007752BC"/>
    <w:rsid w:val="00786BEB"/>
    <w:rsid w:val="007924BF"/>
    <w:rsid w:val="00797157"/>
    <w:rsid w:val="007A6931"/>
    <w:rsid w:val="007C02F8"/>
    <w:rsid w:val="007E1D21"/>
    <w:rsid w:val="00806B9D"/>
    <w:rsid w:val="0082021E"/>
    <w:rsid w:val="00827C8A"/>
    <w:rsid w:val="008555CC"/>
    <w:rsid w:val="00860E10"/>
    <w:rsid w:val="008739E5"/>
    <w:rsid w:val="00873D09"/>
    <w:rsid w:val="00877414"/>
    <w:rsid w:val="0088113F"/>
    <w:rsid w:val="00882A79"/>
    <w:rsid w:val="008B066A"/>
    <w:rsid w:val="008C0BCC"/>
    <w:rsid w:val="008C2197"/>
    <w:rsid w:val="008C3493"/>
    <w:rsid w:val="008D11A6"/>
    <w:rsid w:val="008D27A5"/>
    <w:rsid w:val="008D2D64"/>
    <w:rsid w:val="008D46DE"/>
    <w:rsid w:val="008E11B8"/>
    <w:rsid w:val="008E5D28"/>
    <w:rsid w:val="008E761B"/>
    <w:rsid w:val="008F32F4"/>
    <w:rsid w:val="008F4B0F"/>
    <w:rsid w:val="00902E07"/>
    <w:rsid w:val="00911B67"/>
    <w:rsid w:val="00925DA0"/>
    <w:rsid w:val="00934DD7"/>
    <w:rsid w:val="0094232F"/>
    <w:rsid w:val="00956E2A"/>
    <w:rsid w:val="00965DD5"/>
    <w:rsid w:val="009917C0"/>
    <w:rsid w:val="009A002A"/>
    <w:rsid w:val="009A2414"/>
    <w:rsid w:val="009A4A14"/>
    <w:rsid w:val="009B3495"/>
    <w:rsid w:val="009B4D41"/>
    <w:rsid w:val="009C55E4"/>
    <w:rsid w:val="009D03D9"/>
    <w:rsid w:val="009D29D8"/>
    <w:rsid w:val="009F739F"/>
    <w:rsid w:val="00A141FD"/>
    <w:rsid w:val="00A32093"/>
    <w:rsid w:val="00A40E31"/>
    <w:rsid w:val="00A44145"/>
    <w:rsid w:val="00A7166B"/>
    <w:rsid w:val="00A7191A"/>
    <w:rsid w:val="00A72CBD"/>
    <w:rsid w:val="00A82722"/>
    <w:rsid w:val="00A85045"/>
    <w:rsid w:val="00A85C29"/>
    <w:rsid w:val="00A97B7D"/>
    <w:rsid w:val="00AA30D6"/>
    <w:rsid w:val="00AB1D50"/>
    <w:rsid w:val="00AB33E1"/>
    <w:rsid w:val="00AB4BB3"/>
    <w:rsid w:val="00AC2A58"/>
    <w:rsid w:val="00AC3152"/>
    <w:rsid w:val="00AC3DFA"/>
    <w:rsid w:val="00AC6059"/>
    <w:rsid w:val="00AD1646"/>
    <w:rsid w:val="00AD5E23"/>
    <w:rsid w:val="00AE48B5"/>
    <w:rsid w:val="00B019A9"/>
    <w:rsid w:val="00B10BC8"/>
    <w:rsid w:val="00B14282"/>
    <w:rsid w:val="00B24CF8"/>
    <w:rsid w:val="00B26045"/>
    <w:rsid w:val="00B437C0"/>
    <w:rsid w:val="00B45DAC"/>
    <w:rsid w:val="00B46A95"/>
    <w:rsid w:val="00B548B1"/>
    <w:rsid w:val="00B54C9B"/>
    <w:rsid w:val="00B817CC"/>
    <w:rsid w:val="00B92CA5"/>
    <w:rsid w:val="00BA0913"/>
    <w:rsid w:val="00BB371A"/>
    <w:rsid w:val="00BC33E0"/>
    <w:rsid w:val="00BD78D8"/>
    <w:rsid w:val="00BF74E9"/>
    <w:rsid w:val="00C03C70"/>
    <w:rsid w:val="00C1310E"/>
    <w:rsid w:val="00C26C2A"/>
    <w:rsid w:val="00C311D3"/>
    <w:rsid w:val="00C3523B"/>
    <w:rsid w:val="00C40998"/>
    <w:rsid w:val="00C566B3"/>
    <w:rsid w:val="00C65FBD"/>
    <w:rsid w:val="00C67B32"/>
    <w:rsid w:val="00C70DA7"/>
    <w:rsid w:val="00C7339E"/>
    <w:rsid w:val="00C821ED"/>
    <w:rsid w:val="00C952E1"/>
    <w:rsid w:val="00CB0C1D"/>
    <w:rsid w:val="00CD3007"/>
    <w:rsid w:val="00CE0B2F"/>
    <w:rsid w:val="00CE1932"/>
    <w:rsid w:val="00CE20A5"/>
    <w:rsid w:val="00CE6586"/>
    <w:rsid w:val="00D01A14"/>
    <w:rsid w:val="00D07556"/>
    <w:rsid w:val="00D226FE"/>
    <w:rsid w:val="00D36733"/>
    <w:rsid w:val="00D36865"/>
    <w:rsid w:val="00D471B5"/>
    <w:rsid w:val="00D5449B"/>
    <w:rsid w:val="00D571DB"/>
    <w:rsid w:val="00D61075"/>
    <w:rsid w:val="00D74426"/>
    <w:rsid w:val="00D76D6A"/>
    <w:rsid w:val="00D82C2E"/>
    <w:rsid w:val="00D85254"/>
    <w:rsid w:val="00D92B56"/>
    <w:rsid w:val="00DB4750"/>
    <w:rsid w:val="00DC5934"/>
    <w:rsid w:val="00E041FD"/>
    <w:rsid w:val="00E1265F"/>
    <w:rsid w:val="00E30B3D"/>
    <w:rsid w:val="00E35B3E"/>
    <w:rsid w:val="00E52789"/>
    <w:rsid w:val="00E62331"/>
    <w:rsid w:val="00EB083F"/>
    <w:rsid w:val="00EB52F0"/>
    <w:rsid w:val="00EB57EB"/>
    <w:rsid w:val="00EE3919"/>
    <w:rsid w:val="00EE68E7"/>
    <w:rsid w:val="00F11850"/>
    <w:rsid w:val="00F22BA2"/>
    <w:rsid w:val="00F27C5D"/>
    <w:rsid w:val="00F30C73"/>
    <w:rsid w:val="00F51150"/>
    <w:rsid w:val="00F558AA"/>
    <w:rsid w:val="00F64FE1"/>
    <w:rsid w:val="00F67BD0"/>
    <w:rsid w:val="00F80D81"/>
    <w:rsid w:val="00F859B7"/>
    <w:rsid w:val="00F86918"/>
    <w:rsid w:val="00FC1C44"/>
    <w:rsid w:val="00FC49D1"/>
    <w:rsid w:val="00FC6780"/>
    <w:rsid w:val="00FD0FDA"/>
    <w:rsid w:val="00FE5962"/>
    <w:rsid w:val="43D1C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4698F"/>
  <w15:chartTrackingRefBased/>
  <w15:docId w15:val="{93066A54-14E7-4293-AAE3-3B159A6A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tbullet">
    <w:name w:val="Dot bullet"/>
    <w:basedOn w:val="Normal"/>
    <w:rsid w:val="001D5D68"/>
    <w:pPr>
      <w:widowControl w:val="0"/>
      <w:numPr>
        <w:numId w:val="1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AC3152"/>
  </w:style>
  <w:style w:type="paragraph" w:styleId="BalloonText">
    <w:name w:val="Balloon Text"/>
    <w:basedOn w:val="Normal"/>
    <w:semiHidden/>
    <w:rsid w:val="007A693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C821ED"/>
    <w:pPr>
      <w:tabs>
        <w:tab w:val="right" w:leader="dot" w:pos="12950"/>
      </w:tabs>
    </w:pPr>
  </w:style>
  <w:style w:type="character" w:customStyle="1" w:styleId="Heading2Char">
    <w:name w:val="Heading 2 Char"/>
    <w:basedOn w:val="DefaultParagraphFont"/>
    <w:link w:val="Heading2"/>
    <w:rsid w:val="00E30B3D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817CC"/>
    <w:pPr>
      <w:ind w:left="72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C3DF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38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cid:image001.png@01D480D8.8397C540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AF883-BD96-49ED-9417-41FF36D5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584</Words>
  <Characters>3510</Characters>
  <Application>Microsoft Office Word</Application>
  <DocSecurity>2</DocSecurity>
  <Lines>29</Lines>
  <Paragraphs>8</Paragraphs>
  <ScaleCrop>false</ScaleCrop>
  <Company>Caremark RX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8</cp:revision>
  <dcterms:created xsi:type="dcterms:W3CDTF">2025-06-12T16:18:00Z</dcterms:created>
  <dcterms:modified xsi:type="dcterms:W3CDTF">2025-06-12T16:25:00Z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2022-01-06T12:04:39Z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0d9676b4-4632-4938-a74b-f5bfcf13b54f</vt:lpwstr>
  </property>
  <property fmtid="{D5CDD505-2E9C-101B-9397-08002B2CF9AE}" pid="8" name="MSIP_Label_67599526-06ca-49cc-9fa9-5307800a949a_ContentBits">
    <vt:lpwstr>0</vt:lpwstr>
  </property>
</Properties>
</file>