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9034" w14:textId="77777777" w:rsidR="00D608B4" w:rsidRPr="001A4FC9" w:rsidRDefault="00EE3133" w:rsidP="008154C2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OLE_LINK1"/>
      <w:bookmarkStart w:id="1" w:name="_top"/>
      <w:bookmarkEnd w:id="1"/>
      <w:r>
        <w:rPr>
          <w:rFonts w:ascii="Verdana" w:hAnsi="Verdana"/>
          <w:color w:val="000000"/>
          <w:sz w:val="36"/>
          <w:szCs w:val="36"/>
        </w:rPr>
        <w:t xml:space="preserve">Auto Refill </w:t>
      </w:r>
      <w:r w:rsidR="001D2249">
        <w:rPr>
          <w:rFonts w:ascii="Verdana" w:hAnsi="Verdana"/>
          <w:color w:val="000000"/>
          <w:sz w:val="36"/>
          <w:szCs w:val="36"/>
        </w:rPr>
        <w:t xml:space="preserve">Program (ARP) </w:t>
      </w:r>
      <w:r w:rsidR="002B6100" w:rsidRPr="002B6100">
        <w:rPr>
          <w:rFonts w:ascii="Verdana" w:hAnsi="Verdana"/>
          <w:color w:val="000000"/>
          <w:sz w:val="36"/>
          <w:szCs w:val="36"/>
        </w:rPr>
        <w:t>®</w:t>
      </w:r>
      <w:r w:rsidR="00DC795D">
        <w:rPr>
          <w:rFonts w:ascii="Verdana" w:hAnsi="Verdana"/>
          <w:color w:val="000000"/>
          <w:sz w:val="36"/>
          <w:szCs w:val="36"/>
        </w:rPr>
        <w:t xml:space="preserve"> Overcoming Objections </w:t>
      </w:r>
    </w:p>
    <w:bookmarkEnd w:id="0"/>
    <w:p w14:paraId="6C09DA3F" w14:textId="77777777" w:rsidR="0047509F" w:rsidRDefault="0047509F" w:rsidP="0047509F">
      <w:pPr>
        <w:pStyle w:val="TOC2"/>
        <w:spacing w:before="120" w:after="120"/>
        <w:rPr>
          <w:rFonts w:cs="Arial"/>
          <w:bCs/>
          <w:color w:val="333333"/>
        </w:rPr>
      </w:pPr>
    </w:p>
    <w:p w14:paraId="3CAA0A1C" w14:textId="77777777" w:rsidR="0047509F" w:rsidRDefault="0047509F" w:rsidP="0047509F">
      <w:pPr>
        <w:pStyle w:val="TOC2"/>
        <w:spacing w:before="120" w:after="120"/>
        <w:rPr>
          <w:rFonts w:cs="Arial"/>
          <w:bCs/>
          <w:color w:val="333333"/>
        </w:rPr>
      </w:pPr>
    </w:p>
    <w:p w14:paraId="5726CD2C" w14:textId="389AF1A2" w:rsidR="00E0042D" w:rsidRDefault="00D608B4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rPr>
          <w:rFonts w:cs="Arial"/>
          <w:bCs/>
          <w:color w:val="333333"/>
        </w:rPr>
        <w:fldChar w:fldCharType="begin"/>
      </w:r>
      <w:r>
        <w:rPr>
          <w:rFonts w:cs="Arial"/>
          <w:bCs/>
          <w:color w:val="333333"/>
        </w:rPr>
        <w:instrText xml:space="preserve"> TOC \o "2-2" \n \h \z \u </w:instrText>
      </w:r>
      <w:r>
        <w:rPr>
          <w:rFonts w:cs="Arial"/>
          <w:bCs/>
          <w:color w:val="333333"/>
        </w:rPr>
        <w:fldChar w:fldCharType="separate"/>
      </w:r>
      <w:hyperlink w:anchor="_Toc129178468" w:history="1">
        <w:r w:rsidR="00E0042D" w:rsidRPr="00FB0270">
          <w:rPr>
            <w:rStyle w:val="Hyperlink"/>
            <w:noProof/>
          </w:rPr>
          <w:t>Objections about Time</w:t>
        </w:r>
      </w:hyperlink>
    </w:p>
    <w:p w14:paraId="069A0893" w14:textId="1F62A183" w:rsidR="00E0042D" w:rsidRDefault="00000000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9178469" w:history="1">
        <w:r w:rsidR="00E0042D" w:rsidRPr="00FB0270">
          <w:rPr>
            <w:rStyle w:val="Hyperlink"/>
            <w:noProof/>
          </w:rPr>
          <w:t>Objections about the Hassle</w:t>
        </w:r>
      </w:hyperlink>
    </w:p>
    <w:p w14:paraId="5E479EFB" w14:textId="5A1DC0CA" w:rsidR="00E0042D" w:rsidRDefault="00000000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9178470" w:history="1">
        <w:r w:rsidR="00E0042D" w:rsidRPr="00FB0270">
          <w:rPr>
            <w:rStyle w:val="Hyperlink"/>
            <w:noProof/>
          </w:rPr>
          <w:t>Objections about Trusting the Program</w:t>
        </w:r>
      </w:hyperlink>
    </w:p>
    <w:p w14:paraId="7CAAEA22" w14:textId="5B9A3B2B" w:rsidR="00E0042D" w:rsidRDefault="00000000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9178471" w:history="1">
        <w:r w:rsidR="00E0042D" w:rsidRPr="00FB0270">
          <w:rPr>
            <w:rStyle w:val="Hyperlink"/>
            <w:noProof/>
          </w:rPr>
          <w:t>Objections about Prescription Changes</w:t>
        </w:r>
      </w:hyperlink>
    </w:p>
    <w:p w14:paraId="43E50A38" w14:textId="1C65D87E" w:rsidR="00E0042D" w:rsidRDefault="00000000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9178472" w:history="1">
        <w:r w:rsidR="00E0042D" w:rsidRPr="00FB0270">
          <w:rPr>
            <w:rStyle w:val="Hyperlink"/>
            <w:noProof/>
          </w:rPr>
          <w:t>Objections about Cost/Payment</w:t>
        </w:r>
      </w:hyperlink>
    </w:p>
    <w:p w14:paraId="44C5E787" w14:textId="49B4A694" w:rsidR="00E0042D" w:rsidRDefault="00000000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9178473" w:history="1">
        <w:r w:rsidR="00E0042D" w:rsidRPr="00FB0270">
          <w:rPr>
            <w:rStyle w:val="Hyperlink"/>
            <w:noProof/>
          </w:rPr>
          <w:t>Objections about Past Issues with the Program</w:t>
        </w:r>
      </w:hyperlink>
    </w:p>
    <w:p w14:paraId="774FF012" w14:textId="4077368D" w:rsidR="00E0042D" w:rsidRDefault="00000000" w:rsidP="008154C2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9178474" w:history="1">
        <w:r w:rsidR="00E0042D" w:rsidRPr="00FB0270">
          <w:rPr>
            <w:rStyle w:val="Hyperlink"/>
            <w:noProof/>
          </w:rPr>
          <w:t>Related Documents</w:t>
        </w:r>
      </w:hyperlink>
    </w:p>
    <w:p w14:paraId="05EB323B" w14:textId="50B9CE0F" w:rsidR="00320ADC" w:rsidRDefault="00D608B4" w:rsidP="0047509F">
      <w:pPr>
        <w:autoSpaceDE w:val="0"/>
        <w:autoSpaceDN w:val="0"/>
        <w:spacing w:before="120" w:after="120"/>
      </w:pPr>
      <w:r>
        <w:rPr>
          <w:rFonts w:cs="Arial"/>
          <w:bCs/>
          <w:color w:val="333333"/>
        </w:rPr>
        <w:fldChar w:fldCharType="end"/>
      </w:r>
      <w:r w:rsidR="001A4FC9">
        <w:t xml:space="preserve"> </w:t>
      </w:r>
    </w:p>
    <w:p w14:paraId="2954130C" w14:textId="77777777" w:rsidR="0047509F" w:rsidRPr="0058134F" w:rsidRDefault="0047509F" w:rsidP="008154C2">
      <w:pPr>
        <w:autoSpaceDE w:val="0"/>
        <w:autoSpaceDN w:val="0"/>
        <w:spacing w:before="120" w:after="120"/>
      </w:pPr>
    </w:p>
    <w:p w14:paraId="2AF2B1D7" w14:textId="77777777" w:rsidR="00AC3FCA" w:rsidRPr="005E7775" w:rsidRDefault="00D05B9D" w:rsidP="0047509F">
      <w:pPr>
        <w:tabs>
          <w:tab w:val="left" w:pos="1545"/>
        </w:tabs>
        <w:spacing w:before="120" w:after="120"/>
        <w:rPr>
          <w:rFonts w:cs="Arial"/>
          <w:bCs/>
          <w:color w:val="0D0D0D"/>
        </w:rPr>
      </w:pPr>
      <w:r w:rsidRPr="00CD0DD7">
        <w:rPr>
          <w:rFonts w:cs="Arial"/>
          <w:b/>
          <w:color w:val="0D0D0D"/>
        </w:rPr>
        <w:t xml:space="preserve">Description: </w:t>
      </w:r>
      <w:r>
        <w:rPr>
          <w:rFonts w:cs="Arial"/>
          <w:bCs/>
          <w:color w:val="0D0D0D"/>
        </w:rPr>
        <w:t xml:space="preserve"> </w:t>
      </w:r>
      <w:r w:rsidR="00AC3FCA" w:rsidRPr="005E7775">
        <w:rPr>
          <w:rFonts w:cs="Arial"/>
          <w:bCs/>
          <w:color w:val="0D0D0D"/>
        </w:rPr>
        <w:t>Members may have objections signing up for programs. The tables below provide examples of appropriate responses for these objections.</w:t>
      </w:r>
    </w:p>
    <w:p w14:paraId="117C881C" w14:textId="77777777" w:rsidR="00E96599" w:rsidRDefault="00E96599" w:rsidP="0047509F">
      <w:pPr>
        <w:spacing w:before="120" w:after="120"/>
        <w:rPr>
          <w:rFonts w:cs="Arial"/>
          <w:b/>
          <w:bCs/>
        </w:rPr>
      </w:pPr>
    </w:p>
    <w:p w14:paraId="3B9D459F" w14:textId="64A19E82" w:rsidR="00141D02" w:rsidRDefault="00182755" w:rsidP="0047509F">
      <w:pPr>
        <w:spacing w:before="120" w:after="120"/>
      </w:pPr>
      <w:r w:rsidRPr="16A5C1BE">
        <w:rPr>
          <w:rFonts w:cs="Arial"/>
          <w:b/>
          <w:bCs/>
        </w:rPr>
        <w:t>Note</w:t>
      </w:r>
      <w:bookmarkStart w:id="2" w:name="_Int_4bayI5Qp"/>
      <w:r w:rsidRPr="16A5C1BE">
        <w:rPr>
          <w:rFonts w:cs="Arial"/>
          <w:b/>
          <w:bCs/>
        </w:rPr>
        <w:t>:</w:t>
      </w:r>
      <w:r w:rsidRPr="16A5C1BE">
        <w:rPr>
          <w:rFonts w:cs="Arial"/>
        </w:rPr>
        <w:t xml:space="preserve"> </w:t>
      </w:r>
      <w:r w:rsidR="006557D7" w:rsidRPr="16A5C1BE">
        <w:rPr>
          <w:rFonts w:cs="Arial"/>
        </w:rPr>
        <w:t xml:space="preserve"> </w:t>
      </w:r>
      <w:r w:rsidR="006557D7">
        <w:t>Examples</w:t>
      </w:r>
      <w:bookmarkEnd w:id="2"/>
      <w:r w:rsidR="006557D7">
        <w:t xml:space="preserve"> of appropriate responses for these objections.</w:t>
      </w:r>
    </w:p>
    <w:p w14:paraId="1B84A74D" w14:textId="77777777" w:rsidR="00D608B4" w:rsidRPr="0058134F" w:rsidRDefault="00D608B4" w:rsidP="0047509F">
      <w:pPr>
        <w:spacing w:before="120" w:after="12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312141CB" w14:textId="77777777" w:rsidTr="008154C2">
        <w:tc>
          <w:tcPr>
            <w:tcW w:w="5000" w:type="pct"/>
            <w:shd w:val="clear" w:color="auto" w:fill="BFBFBF" w:themeFill="background1" w:themeFillShade="BF"/>
          </w:tcPr>
          <w:p w14:paraId="4B12F3D6" w14:textId="2B3497E3" w:rsidR="00D608B4" w:rsidRPr="0058134F" w:rsidRDefault="00D608B4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29178468"/>
            <w:r>
              <w:rPr>
                <w:rFonts w:ascii="Verdana" w:hAnsi="Verdana"/>
                <w:i w:val="0"/>
                <w:iCs w:val="0"/>
              </w:rPr>
              <w:t>Objections about Time</w:t>
            </w:r>
            <w:bookmarkEnd w:id="3"/>
          </w:p>
        </w:tc>
      </w:tr>
    </w:tbl>
    <w:p w14:paraId="65F89A9C" w14:textId="77777777" w:rsidR="0047509F" w:rsidRDefault="0047509F" w:rsidP="008154C2">
      <w:pPr>
        <w:spacing w:before="120" w:after="120"/>
        <w:contextualSpacing/>
      </w:pPr>
    </w:p>
    <w:p w14:paraId="63E5D58C" w14:textId="360382D3" w:rsidR="00D608B4" w:rsidRPr="00DC795D" w:rsidRDefault="00D608B4" w:rsidP="0047509F">
      <w:pPr>
        <w:spacing w:before="120" w:after="120"/>
      </w:pPr>
      <w:r>
        <w:t xml:space="preserve">In the example below, the member is expressing concerns about the time it will take to </w:t>
      </w:r>
      <w:r w:rsidR="00291C1F">
        <w:t>enroll in</w:t>
      </w:r>
      <w:r>
        <w:t xml:space="preserve"> </w:t>
      </w:r>
      <w:r w:rsidR="001D2249">
        <w:t>the Auto Refill Program (ARP)</w:t>
      </w:r>
      <w:r w:rsidR="202F5204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8230FA" w:rsidRPr="0058134F" w14:paraId="6E735540" w14:textId="77777777" w:rsidTr="008154C2">
        <w:tc>
          <w:tcPr>
            <w:tcW w:w="1988" w:type="pct"/>
            <w:shd w:val="clear" w:color="auto" w:fill="D9D9D9" w:themeFill="background1" w:themeFillShade="D9"/>
          </w:tcPr>
          <w:p w14:paraId="033E3CAC" w14:textId="77777777" w:rsidR="008230FA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D0D0D"/>
              </w:rPr>
            </w:pPr>
            <w:r w:rsidRPr="005E7775">
              <w:rPr>
                <w:rFonts w:cs="Arial"/>
                <w:b/>
                <w:bCs/>
                <w:color w:val="0D0D0D"/>
              </w:rPr>
              <w:t>Objection</w:t>
            </w:r>
          </w:p>
        </w:tc>
        <w:tc>
          <w:tcPr>
            <w:tcW w:w="3012" w:type="pct"/>
            <w:shd w:val="clear" w:color="auto" w:fill="D9D9D9" w:themeFill="background1" w:themeFillShade="D9"/>
          </w:tcPr>
          <w:p w14:paraId="05AA39AD" w14:textId="77777777" w:rsidR="008230FA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D0D0D"/>
              </w:rPr>
            </w:pPr>
            <w:r w:rsidRPr="005E7775">
              <w:rPr>
                <w:rFonts w:cs="Arial"/>
                <w:b/>
                <w:bCs/>
                <w:color w:val="0D0D0D"/>
              </w:rPr>
              <w:t>Response</w:t>
            </w:r>
          </w:p>
        </w:tc>
      </w:tr>
      <w:tr w:rsidR="008230FA" w:rsidRPr="0058134F" w14:paraId="7DE04901" w14:textId="77777777" w:rsidTr="65611FA0">
        <w:tc>
          <w:tcPr>
            <w:tcW w:w="1988" w:type="pct"/>
          </w:tcPr>
          <w:p w14:paraId="599A59F2" w14:textId="3FBEB018" w:rsidR="008230FA" w:rsidRPr="00DC795D" w:rsidRDefault="00DC795D" w:rsidP="0047509F">
            <w:pPr>
              <w:pStyle w:val="Heading4"/>
              <w:spacing w:before="120" w:after="120"/>
            </w:pPr>
            <w:bookmarkStart w:id="4" w:name="_Toc384189666"/>
            <w:r>
              <w:t xml:space="preserve">I </w:t>
            </w:r>
            <w:r w:rsidR="40B8E014">
              <w:t>do not</w:t>
            </w:r>
            <w:r>
              <w:t xml:space="preserve"> have the time to set this up.</w:t>
            </w:r>
            <w:bookmarkEnd w:id="4"/>
          </w:p>
        </w:tc>
        <w:tc>
          <w:tcPr>
            <w:tcW w:w="3012" w:type="pct"/>
          </w:tcPr>
          <w:p w14:paraId="11798497" w14:textId="2B3F5D78" w:rsidR="008230FA" w:rsidRPr="0058134F" w:rsidRDefault="00A02093" w:rsidP="0047509F">
            <w:pPr>
              <w:spacing w:before="120" w:after="120"/>
              <w:rPr>
                <w:rFonts w:cs="Arial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7F60D65D" wp14:editId="294AACE0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795D" w:rsidRPr="65611FA0">
              <w:rPr>
                <w:rFonts w:cs="Arial"/>
                <w:color w:val="333333"/>
              </w:rPr>
              <w:t xml:space="preserve"> </w:t>
            </w:r>
            <w:r w:rsidR="00CD49E8" w:rsidRPr="65611FA0">
              <w:rPr>
                <w:rFonts w:cs="Arial"/>
                <w:color w:val="333333"/>
              </w:rPr>
              <w:t xml:space="preserve">I can absolutely set this up for you right now as we order your refill. Our </w:t>
            </w:r>
            <w:r w:rsidR="00CD49E8" w:rsidRPr="65611FA0">
              <w:rPr>
                <w:rFonts w:cs="Calibri"/>
                <w:color w:val="000000" w:themeColor="text1"/>
              </w:rPr>
              <w:t>au</w:t>
            </w:r>
            <w:r w:rsidR="008A7F8E" w:rsidRPr="65611FA0">
              <w:rPr>
                <w:rFonts w:cs="Calibri"/>
                <w:color w:val="000000" w:themeColor="text1"/>
              </w:rPr>
              <w:t xml:space="preserve">tomatic refill program </w:t>
            </w:r>
            <w:r w:rsidR="00CD49E8" w:rsidRPr="65611FA0">
              <w:rPr>
                <w:rFonts w:cs="Calibri"/>
                <w:color w:val="000000" w:themeColor="text1"/>
              </w:rPr>
              <w:t xml:space="preserve">will save you time in the future as well, as you </w:t>
            </w:r>
            <w:r w:rsidR="5E85BDBE" w:rsidRPr="65611FA0">
              <w:rPr>
                <w:rFonts w:cs="Calibri"/>
                <w:color w:val="000000" w:themeColor="text1"/>
              </w:rPr>
              <w:t>will not</w:t>
            </w:r>
            <w:r w:rsidR="00CD49E8" w:rsidRPr="65611FA0">
              <w:rPr>
                <w:rFonts w:cs="Calibri"/>
                <w:color w:val="000000" w:themeColor="text1"/>
              </w:rPr>
              <w:t xml:space="preserve"> need to remember to call every few months. It also will</w:t>
            </w:r>
            <w:r w:rsidR="008A7F8E" w:rsidRPr="65611FA0">
              <w:rPr>
                <w:rFonts w:cs="Calibri"/>
                <w:color w:val="000000" w:themeColor="text1"/>
              </w:rPr>
              <w:t xml:space="preserve"> help ensure you </w:t>
            </w:r>
            <w:r w:rsidR="7DF4B06B" w:rsidRPr="65611FA0">
              <w:rPr>
                <w:rFonts w:cs="Calibri"/>
                <w:color w:val="000000" w:themeColor="text1"/>
              </w:rPr>
              <w:t>do not</w:t>
            </w:r>
            <w:r w:rsidR="008A7F8E" w:rsidRPr="65611FA0">
              <w:rPr>
                <w:rFonts w:cs="Calibri"/>
                <w:color w:val="000000" w:themeColor="text1"/>
              </w:rPr>
              <w:t xml:space="preserve"> run out of your medication. </w:t>
            </w:r>
            <w:r w:rsidR="1DD7BE87" w:rsidRPr="65611FA0">
              <w:rPr>
                <w:rFonts w:cs="Calibri"/>
                <w:color w:val="000000" w:themeColor="text1"/>
              </w:rPr>
              <w:t>We will</w:t>
            </w:r>
            <w:r w:rsidR="008A7F8E" w:rsidRPr="65611FA0">
              <w:rPr>
                <w:rFonts w:cs="Calibri"/>
                <w:color w:val="000000" w:themeColor="text1"/>
              </w:rPr>
              <w:t xml:space="preserve"> send you an email, call</w:t>
            </w:r>
            <w:r w:rsidR="005E7775" w:rsidRPr="65611FA0">
              <w:rPr>
                <w:rFonts w:cs="Calibri"/>
                <w:color w:val="000000" w:themeColor="text1"/>
              </w:rPr>
              <w:t xml:space="preserve"> </w:t>
            </w:r>
            <w:r w:rsidR="008A7F8E" w:rsidRPr="65611FA0">
              <w:rPr>
                <w:rFonts w:cs="Calibri"/>
                <w:color w:val="000000" w:themeColor="text1"/>
              </w:rPr>
              <w:t xml:space="preserve">or text </w:t>
            </w:r>
            <w:r w:rsidR="00441EA7" w:rsidRPr="65611FA0">
              <w:rPr>
                <w:rFonts w:cs="Calibri"/>
                <w:color w:val="000000" w:themeColor="text1"/>
              </w:rPr>
              <w:t>2</w:t>
            </w:r>
            <w:r w:rsidRPr="65611FA0">
              <w:rPr>
                <w:rFonts w:cs="Calibri"/>
                <w:color w:val="000000" w:themeColor="text1"/>
              </w:rPr>
              <w:t>3</w:t>
            </w:r>
            <w:r w:rsidR="008A7F8E" w:rsidRPr="65611FA0">
              <w:rPr>
                <w:rFonts w:cs="Calibri"/>
                <w:color w:val="000000" w:themeColor="text1"/>
              </w:rPr>
              <w:t xml:space="preserve"> days before your refill is due and </w:t>
            </w:r>
            <w:r w:rsidR="00441EA7" w:rsidRPr="65611FA0">
              <w:rPr>
                <w:rFonts w:cs="Calibri"/>
                <w:color w:val="000000" w:themeColor="text1"/>
              </w:rPr>
              <w:t xml:space="preserve">where </w:t>
            </w:r>
            <w:r w:rsidR="008A7F8E" w:rsidRPr="65611FA0">
              <w:rPr>
                <w:rFonts w:cs="Calibri"/>
                <w:color w:val="000000" w:themeColor="text1"/>
              </w:rPr>
              <w:t xml:space="preserve">you confirm or cancel your refill. </w:t>
            </w:r>
            <w:r w:rsidR="00441EA7" w:rsidRPr="65611FA0">
              <w:rPr>
                <w:rFonts w:cs="Calibri"/>
                <w:color w:val="000000" w:themeColor="text1"/>
              </w:rPr>
              <w:t>W</w:t>
            </w:r>
            <w:r w:rsidR="008A7F8E" w:rsidRPr="65611FA0">
              <w:rPr>
                <w:rFonts w:cs="Calibri"/>
                <w:color w:val="000000" w:themeColor="text1"/>
              </w:rPr>
              <w:t xml:space="preserve">hen your prescription expires or is out of </w:t>
            </w:r>
            <w:r w:rsidR="1DB8168F" w:rsidRPr="65611FA0">
              <w:rPr>
                <w:rFonts w:cs="Calibri"/>
                <w:color w:val="000000" w:themeColor="text1"/>
              </w:rPr>
              <w:t>refills,</w:t>
            </w:r>
            <w:r w:rsidR="008A7F8E" w:rsidRPr="65611FA0">
              <w:rPr>
                <w:rFonts w:cs="Calibri"/>
                <w:color w:val="000000" w:themeColor="text1"/>
              </w:rPr>
              <w:t xml:space="preserve"> we will contact your doctor to get a renewal.</w:t>
            </w:r>
          </w:p>
        </w:tc>
      </w:tr>
    </w:tbl>
    <w:p w14:paraId="205D9564" w14:textId="77777777" w:rsidR="00DC795D" w:rsidRDefault="00DC795D" w:rsidP="008154C2">
      <w:pPr>
        <w:spacing w:before="120" w:after="120"/>
      </w:pPr>
    </w:p>
    <w:p w14:paraId="4138D1B4" w14:textId="77777777" w:rsidR="00D608B4" w:rsidRPr="0058134F" w:rsidRDefault="00000000" w:rsidP="008154C2">
      <w:pPr>
        <w:spacing w:before="120" w:after="120"/>
        <w:jc w:val="right"/>
      </w:pPr>
      <w:hyperlink w:anchor="_top" w:history="1">
        <w:r w:rsidR="00AC3FCA" w:rsidRPr="00AC3FC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78978B4D" w14:textId="77777777" w:rsidTr="008154C2">
        <w:tc>
          <w:tcPr>
            <w:tcW w:w="5000" w:type="pct"/>
            <w:shd w:val="clear" w:color="auto" w:fill="BFBFBF" w:themeFill="background1" w:themeFillShade="BF"/>
          </w:tcPr>
          <w:p w14:paraId="3BD1BEF5" w14:textId="77777777" w:rsidR="00D608B4" w:rsidRPr="0058134F" w:rsidRDefault="00D608B4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29178469"/>
            <w:r>
              <w:rPr>
                <w:rFonts w:ascii="Verdana" w:hAnsi="Verdana"/>
                <w:i w:val="0"/>
                <w:iCs w:val="0"/>
              </w:rPr>
              <w:t>Objections about the Hassle</w:t>
            </w:r>
            <w:bookmarkEnd w:id="5"/>
          </w:p>
        </w:tc>
      </w:tr>
    </w:tbl>
    <w:p w14:paraId="25ECBB8B" w14:textId="77777777" w:rsidR="0047509F" w:rsidRDefault="0047509F" w:rsidP="008154C2">
      <w:pPr>
        <w:spacing w:before="120" w:after="120"/>
        <w:contextualSpacing/>
      </w:pPr>
    </w:p>
    <w:p w14:paraId="68C8020E" w14:textId="532AA445" w:rsidR="005723FF" w:rsidRDefault="00D608B4" w:rsidP="0047509F">
      <w:pPr>
        <w:spacing w:before="120" w:after="120"/>
      </w:pPr>
      <w:r>
        <w:t xml:space="preserve">In the </w:t>
      </w:r>
      <w:r w:rsidR="00FC361C" w:rsidRPr="00320ADC">
        <w:t>e</w:t>
      </w:r>
      <w:r w:rsidRPr="00320ADC">
        <w:t>xamples</w:t>
      </w:r>
      <w:r w:rsidRPr="00B5226B">
        <w:rPr>
          <w:b/>
        </w:rPr>
        <w:t xml:space="preserve"> </w:t>
      </w:r>
      <w:r>
        <w:t xml:space="preserve">below, the member is expressing concerns about the complexity and difficulty of </w:t>
      </w:r>
      <w:r w:rsidR="00291C1F">
        <w:t>the program that may</w:t>
      </w:r>
      <w:r>
        <w:t xml:space="preserve"> prevent them from </w:t>
      </w:r>
      <w:r w:rsidR="00291C1F">
        <w:t>enrolling in</w:t>
      </w:r>
      <w:r w:rsidR="001D2249">
        <w:t xml:space="preserve"> the</w:t>
      </w:r>
      <w:r w:rsidR="00291C1F">
        <w:t xml:space="preserve"> </w:t>
      </w:r>
      <w:r w:rsidR="00EE3133">
        <w:t xml:space="preserve">Auto Refill </w:t>
      </w:r>
      <w:r w:rsidR="001D2249">
        <w:t xml:space="preserve">Program (ARP).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DC795D" w:rsidRPr="0058134F" w14:paraId="1C05CE38" w14:textId="77777777" w:rsidTr="008154C2">
        <w:tc>
          <w:tcPr>
            <w:tcW w:w="1988" w:type="pct"/>
            <w:shd w:val="clear" w:color="auto" w:fill="D9D9D9" w:themeFill="background1" w:themeFillShade="D9"/>
          </w:tcPr>
          <w:p w14:paraId="5C03C14E" w14:textId="77777777" w:rsidR="00DC795D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5E7775">
              <w:rPr>
                <w:rFonts w:cs="Arial"/>
                <w:b/>
                <w:bCs/>
                <w:color w:val="000000"/>
              </w:rPr>
              <w:t>Objection</w:t>
            </w:r>
          </w:p>
        </w:tc>
        <w:tc>
          <w:tcPr>
            <w:tcW w:w="3012" w:type="pct"/>
            <w:shd w:val="clear" w:color="auto" w:fill="D9D9D9" w:themeFill="background1" w:themeFillShade="D9"/>
          </w:tcPr>
          <w:p w14:paraId="171BAE98" w14:textId="77777777" w:rsidR="00DC795D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5E7775">
              <w:rPr>
                <w:rFonts w:cs="Arial"/>
                <w:b/>
                <w:bCs/>
                <w:color w:val="000000"/>
              </w:rPr>
              <w:t>Response</w:t>
            </w:r>
          </w:p>
        </w:tc>
      </w:tr>
      <w:tr w:rsidR="0049433E" w:rsidRPr="0058134F" w14:paraId="5590C0B7" w14:textId="77777777" w:rsidTr="2FAFE6A3">
        <w:trPr>
          <w:trHeight w:val="20"/>
        </w:trPr>
        <w:tc>
          <w:tcPr>
            <w:tcW w:w="1988" w:type="pct"/>
          </w:tcPr>
          <w:p w14:paraId="10ECAB8E" w14:textId="2C622E68" w:rsidR="005723FF" w:rsidRDefault="00291C1F" w:rsidP="0047509F">
            <w:pPr>
              <w:spacing w:before="120" w:after="120"/>
            </w:pPr>
            <w:bookmarkStart w:id="6" w:name="_I_prefer_to"/>
            <w:bookmarkEnd w:id="6"/>
            <w:r>
              <w:rPr>
                <w:b/>
              </w:rPr>
              <w:t xml:space="preserve">Medicare-D/EGWP Only: </w:t>
            </w:r>
          </w:p>
          <w:p w14:paraId="627E2EF7" w14:textId="4D9B2193" w:rsidR="0049433E" w:rsidRPr="0049433E" w:rsidRDefault="00291C1F" w:rsidP="0047509F">
            <w:pPr>
              <w:spacing w:before="120" w:after="120"/>
            </w:pPr>
            <w:r w:rsidRPr="00291C1F">
              <w:t xml:space="preserve">I don’t like that I </w:t>
            </w:r>
            <w:r w:rsidR="00410C26" w:rsidRPr="00291C1F">
              <w:t>must</w:t>
            </w:r>
            <w:r w:rsidRPr="00291C1F">
              <w:t xml:space="preserve"> give consent before my prescription will be refilled/renewed</w:t>
            </w:r>
            <w:r w:rsidR="00934B4D" w:rsidRPr="00291C1F">
              <w:t xml:space="preserve">. </w:t>
            </w:r>
          </w:p>
        </w:tc>
        <w:tc>
          <w:tcPr>
            <w:tcW w:w="3012" w:type="pct"/>
          </w:tcPr>
          <w:p w14:paraId="1DDCA568" w14:textId="77777777" w:rsidR="00291C1F" w:rsidRDefault="00291C1F" w:rsidP="0047509F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Medicare-D/EGWP Only: </w:t>
            </w:r>
          </w:p>
          <w:p w14:paraId="34C23AEF" w14:textId="538D44C1" w:rsidR="00EF3F8A" w:rsidRPr="005E7775" w:rsidRDefault="00A02093" w:rsidP="0047509F">
            <w:pPr>
              <w:spacing w:before="120" w:after="120"/>
              <w:rPr>
                <w:rFonts w:ascii="Arial" w:hAnsi="Arial" w:cs="Arial"/>
                <w:color w:val="0D0D0D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1D1164F4" wp14:editId="242B9F5A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>
              <w:t xml:space="preserve"> </w:t>
            </w:r>
            <w:r w:rsidR="00291C1F" w:rsidRPr="005E7775">
              <w:rPr>
                <w:rFonts w:cs="Arial"/>
                <w:bCs/>
                <w:color w:val="0D0D0D"/>
              </w:rPr>
              <w:t xml:space="preserve">By law (per CMS </w:t>
            </w:r>
            <w:r w:rsidR="00476229" w:rsidRPr="005E7775">
              <w:rPr>
                <w:rFonts w:cs="Arial"/>
                <w:bCs/>
                <w:color w:val="0D0D0D"/>
              </w:rPr>
              <w:t>-</w:t>
            </w:r>
            <w:r w:rsidR="00291C1F" w:rsidRPr="005E7775">
              <w:rPr>
                <w:rFonts w:cs="Arial"/>
                <w:bCs/>
                <w:color w:val="0D0D0D"/>
              </w:rPr>
              <w:t xml:space="preserve"> Centers for Medicare &amp; Medicaid Services), we are required to gain consent from Medicare and select EGWP (Employer Group Waiver Plans) members prior to ref</w:t>
            </w:r>
            <w:r w:rsidR="005E6EED" w:rsidRPr="005E7775">
              <w:rPr>
                <w:rFonts w:cs="Arial"/>
                <w:bCs/>
                <w:color w:val="0D0D0D"/>
              </w:rPr>
              <w:t xml:space="preserve">illing </w:t>
            </w:r>
            <w:r w:rsidR="00291C1F" w:rsidRPr="005E7775">
              <w:rPr>
                <w:rFonts w:cs="Arial"/>
                <w:bCs/>
                <w:color w:val="0D0D0D"/>
              </w:rPr>
              <w:t>their prescriptions</w:t>
            </w:r>
            <w:r w:rsidR="00934B4D" w:rsidRPr="005E7775">
              <w:rPr>
                <w:rFonts w:cs="Arial"/>
                <w:bCs/>
                <w:color w:val="0D0D0D"/>
              </w:rPr>
              <w:t xml:space="preserve">. </w:t>
            </w:r>
          </w:p>
          <w:p w14:paraId="1A5BA67D" w14:textId="77777777" w:rsidR="00441EA7" w:rsidRPr="00C935BB" w:rsidRDefault="00441EA7" w:rsidP="0047509F">
            <w:pPr>
              <w:spacing w:before="120" w:after="120" w:line="240" w:lineRule="atLeast"/>
              <w:textAlignment w:val="top"/>
              <w:rPr>
                <w:rFonts w:cs="Helvetica"/>
                <w:b/>
                <w:bCs/>
                <w:color w:val="0D0D0D"/>
              </w:rPr>
            </w:pPr>
          </w:p>
          <w:p w14:paraId="490EBDB6" w14:textId="77777777" w:rsidR="005723FF" w:rsidRPr="005E7775" w:rsidRDefault="004513D1" w:rsidP="0047509F">
            <w:pPr>
              <w:spacing w:before="120" w:after="120" w:line="240" w:lineRule="atLeast"/>
              <w:textAlignment w:val="top"/>
              <w:rPr>
                <w:rFonts w:cs="Arial"/>
                <w:color w:val="333333"/>
              </w:rPr>
            </w:pPr>
            <w:bookmarkStart w:id="7" w:name="_Int_NDo0zacK"/>
            <w:r w:rsidRPr="16A5C1BE">
              <w:rPr>
                <w:rFonts w:cs="Helvetica"/>
                <w:b/>
                <w:bCs/>
                <w:color w:val="0D0D0D" w:themeColor="text1" w:themeTint="F2"/>
              </w:rPr>
              <w:t>CCR</w:t>
            </w:r>
            <w:bookmarkEnd w:id="7"/>
            <w:r w:rsidRPr="008154C2">
              <w:rPr>
                <w:rFonts w:cs="Helvetica"/>
                <w:b/>
                <w:bCs/>
                <w:color w:val="0D0D0D" w:themeColor="text1" w:themeTint="F2"/>
              </w:rPr>
              <w:t xml:space="preserve">: </w:t>
            </w:r>
            <w:r w:rsidRPr="16A5C1BE">
              <w:rPr>
                <w:rFonts w:cs="Helvetica"/>
                <w:color w:val="0D0D0D" w:themeColor="text1" w:themeTint="F2"/>
              </w:rPr>
              <w:t xml:space="preserve"> Check for option to disenroll from Ship Consent, refer to </w:t>
            </w:r>
            <w:r w:rsidR="00EF3F8A" w:rsidRPr="16A5C1BE">
              <w:rPr>
                <w:rFonts w:cs="Helvetica"/>
                <w:color w:val="0D0D0D" w:themeColor="text1" w:themeTint="F2"/>
              </w:rPr>
              <w:t>MED D - Expressed Consent (Ship Consent) for Non-Beneficiary Initiated Fills adding consent for every order section works the same to remove consent</w:t>
            </w:r>
          </w:p>
        </w:tc>
      </w:tr>
      <w:tr w:rsidR="00291C1F" w:rsidRPr="0058134F" w14:paraId="77EA20BE" w14:textId="77777777" w:rsidTr="2FAFE6A3">
        <w:tc>
          <w:tcPr>
            <w:tcW w:w="1988" w:type="pct"/>
          </w:tcPr>
          <w:p w14:paraId="3E68B644" w14:textId="6D939094" w:rsidR="005723FF" w:rsidRDefault="00291C1F" w:rsidP="0047509F">
            <w:pPr>
              <w:spacing w:before="120" w:after="120"/>
            </w:pPr>
            <w:bookmarkStart w:id="8" w:name="_I_don’t_want"/>
            <w:bookmarkEnd w:id="8"/>
            <w:r>
              <w:rPr>
                <w:b/>
              </w:rPr>
              <w:t xml:space="preserve">Medicare-D/EGWP Only: </w:t>
            </w:r>
          </w:p>
          <w:p w14:paraId="52251A15" w14:textId="511E7041" w:rsidR="00291C1F" w:rsidRPr="0049433E" w:rsidRDefault="00291C1F" w:rsidP="0047509F">
            <w:pPr>
              <w:spacing w:before="120" w:after="120"/>
            </w:pPr>
            <w:r>
              <w:t xml:space="preserve">I </w:t>
            </w:r>
            <w:r w:rsidR="0F72681A">
              <w:t>do not</w:t>
            </w:r>
            <w:r>
              <w:t xml:space="preserve"> like the fact that I am being contacted for consent by IVR.</w:t>
            </w:r>
          </w:p>
        </w:tc>
        <w:tc>
          <w:tcPr>
            <w:tcW w:w="3012" w:type="pct"/>
          </w:tcPr>
          <w:p w14:paraId="74666720" w14:textId="77777777" w:rsidR="00291C1F" w:rsidRPr="004E689E" w:rsidRDefault="00291C1F" w:rsidP="0047509F">
            <w:pPr>
              <w:spacing w:before="120" w:after="120"/>
              <w:rPr>
                <w:b/>
                <w:color w:val="000000"/>
              </w:rPr>
            </w:pPr>
            <w:r w:rsidRPr="004E689E">
              <w:rPr>
                <w:b/>
                <w:color w:val="000000"/>
              </w:rPr>
              <w:t xml:space="preserve">Medicare-D/EGWP Only: </w:t>
            </w:r>
          </w:p>
          <w:p w14:paraId="178F2C1E" w14:textId="0A187904" w:rsidR="00291C1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159839E3" wp14:editId="7834511B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 w:rsidRPr="004E689E">
              <w:rPr>
                <w:rFonts w:cs="Arial"/>
                <w:bCs/>
                <w:color w:val="000000"/>
              </w:rPr>
              <w:t xml:space="preserve"> By law (per CMS </w:t>
            </w:r>
            <w:r w:rsidR="00476229" w:rsidRPr="004E689E">
              <w:rPr>
                <w:rFonts w:cs="Arial"/>
                <w:bCs/>
                <w:color w:val="000000"/>
              </w:rPr>
              <w:t>-</w:t>
            </w:r>
            <w:r w:rsidR="00291C1F" w:rsidRPr="004E689E">
              <w:rPr>
                <w:rFonts w:cs="Arial"/>
                <w:bCs/>
                <w:color w:val="000000"/>
              </w:rPr>
              <w:t xml:space="preserve"> Centers for Medicare &amp; Medicaid Services), we are required to gain consent from Medicare and select EGWP (Employer Group Waiver Plans) members prior to refilling their prescriptions.</w:t>
            </w:r>
          </w:p>
          <w:p w14:paraId="6A9C272E" w14:textId="77777777" w:rsidR="00291C1F" w:rsidRPr="004E689E" w:rsidRDefault="00291C1F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</w:p>
          <w:p w14:paraId="0397F6F7" w14:textId="560A1C56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20BD62" wp14:editId="0C84FEBD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23FF" w:rsidRPr="16A5C1BE">
              <w:rPr>
                <w:rFonts w:cs="Arial"/>
                <w:color w:val="000000" w:themeColor="text1"/>
              </w:rPr>
              <w:t xml:space="preserve"> </w:t>
            </w:r>
            <w:r w:rsidR="00291C1F" w:rsidRPr="16A5C1BE">
              <w:rPr>
                <w:rFonts w:cs="Arial"/>
                <w:color w:val="000000" w:themeColor="text1"/>
              </w:rPr>
              <w:t>We are evaluating other communication channels through which to gain a member’s consent</w:t>
            </w:r>
            <w:r w:rsidR="0047509F">
              <w:rPr>
                <w:rFonts w:cs="Arial"/>
                <w:color w:val="000000" w:themeColor="text1"/>
              </w:rPr>
              <w:t>.</w:t>
            </w:r>
            <w:r w:rsidR="00291C1F" w:rsidRPr="16A5C1BE">
              <w:rPr>
                <w:rFonts w:cs="Arial"/>
                <w:color w:val="000000" w:themeColor="text1"/>
              </w:rPr>
              <w:t xml:space="preserve"> (</w:t>
            </w:r>
            <w:r w:rsidR="00D05B9D" w:rsidRPr="16A5C1BE">
              <w:rPr>
                <w:rFonts w:cs="Arial"/>
                <w:b/>
                <w:bCs/>
                <w:color w:val="000000" w:themeColor="text1"/>
              </w:rPr>
              <w:t>Example</w:t>
            </w:r>
            <w:bookmarkStart w:id="9" w:name="_Int_hD9bsQSA"/>
            <w:r w:rsidR="00D05B9D" w:rsidRPr="16A5C1BE">
              <w:rPr>
                <w:rFonts w:cs="Arial"/>
                <w:b/>
                <w:bCs/>
                <w:color w:val="000000" w:themeColor="text1"/>
              </w:rPr>
              <w:t>:</w:t>
            </w:r>
            <w:r w:rsidR="00D05B9D" w:rsidRPr="16A5C1BE">
              <w:rPr>
                <w:rFonts w:cs="Arial"/>
                <w:color w:val="000000" w:themeColor="text1"/>
              </w:rPr>
              <w:t xml:space="preserve">  E</w:t>
            </w:r>
            <w:r w:rsidR="00291C1F" w:rsidRPr="16A5C1BE">
              <w:rPr>
                <w:rFonts w:cs="Arial"/>
                <w:color w:val="000000" w:themeColor="text1"/>
              </w:rPr>
              <w:t>mail</w:t>
            </w:r>
            <w:bookmarkEnd w:id="9"/>
            <w:r w:rsidR="00291C1F" w:rsidRPr="16A5C1BE">
              <w:rPr>
                <w:rFonts w:cs="Arial"/>
                <w:color w:val="000000" w:themeColor="text1"/>
              </w:rPr>
              <w:t>, text, secure message via portal, etc</w:t>
            </w:r>
            <w:r w:rsidR="0047509F">
              <w:rPr>
                <w:rFonts w:cs="Arial"/>
                <w:color w:val="000000" w:themeColor="text1"/>
              </w:rPr>
              <w:t>etera.</w:t>
            </w:r>
            <w:r w:rsidR="00291C1F" w:rsidRPr="16A5C1BE">
              <w:rPr>
                <w:rFonts w:cs="Arial"/>
                <w:color w:val="000000" w:themeColor="text1"/>
              </w:rPr>
              <w:t>)</w:t>
            </w:r>
          </w:p>
        </w:tc>
      </w:tr>
      <w:tr w:rsidR="00291C1F" w:rsidRPr="0058134F" w14:paraId="00E84CF1" w14:textId="77777777" w:rsidTr="2FAFE6A3">
        <w:tc>
          <w:tcPr>
            <w:tcW w:w="1988" w:type="pct"/>
          </w:tcPr>
          <w:p w14:paraId="6BF71002" w14:textId="308EDFB9" w:rsidR="00291C1F" w:rsidRPr="00DC795D" w:rsidRDefault="00291C1F" w:rsidP="0047509F">
            <w:pPr>
              <w:pStyle w:val="Heading4"/>
              <w:spacing w:before="120" w:after="120"/>
            </w:pPr>
            <w:bookmarkStart w:id="10" w:name="_Will_I_need"/>
            <w:bookmarkEnd w:id="10"/>
            <w:r>
              <w:t xml:space="preserve">I </w:t>
            </w:r>
            <w:r w:rsidR="47F9A62F">
              <w:t>do not</w:t>
            </w:r>
            <w:r>
              <w:t xml:space="preserve"> want to have too much medication on hand if I </w:t>
            </w:r>
            <w:r w:rsidR="43FC8D0D">
              <w:t>do not</w:t>
            </w:r>
            <w:r>
              <w:t xml:space="preserve"> need it</w:t>
            </w:r>
            <w:r w:rsidR="00441EA7">
              <w:t>.</w:t>
            </w:r>
          </w:p>
        </w:tc>
        <w:tc>
          <w:tcPr>
            <w:tcW w:w="3012" w:type="pct"/>
          </w:tcPr>
          <w:p w14:paraId="002E07A7" w14:textId="5A632BBA" w:rsidR="00291C1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26892A01" wp14:editId="03E74588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6EED" w:rsidRPr="004E689E">
              <w:rPr>
                <w:rFonts w:cs="Arial"/>
                <w:bCs/>
                <w:color w:val="000000"/>
              </w:rPr>
              <w:t xml:space="preserve"> </w:t>
            </w:r>
            <w:r w:rsidR="00291C1F" w:rsidRPr="004E689E">
              <w:rPr>
                <w:rFonts w:cs="Arial"/>
                <w:bCs/>
                <w:color w:val="000000"/>
              </w:rPr>
              <w:t xml:space="preserve">This program </w:t>
            </w:r>
            <w:r w:rsidR="008D111C" w:rsidRPr="004E689E">
              <w:rPr>
                <w:rFonts w:cs="Arial"/>
                <w:bCs/>
                <w:color w:val="000000"/>
              </w:rPr>
              <w:t>will</w:t>
            </w:r>
            <w:r w:rsidR="00291C1F" w:rsidRPr="004E689E">
              <w:rPr>
                <w:rFonts w:cs="Arial"/>
                <w:bCs/>
                <w:color w:val="000000"/>
              </w:rPr>
              <w:t xml:space="preserve"> calculate how much of a prescription you have on hand </w:t>
            </w:r>
            <w:r w:rsidR="00D05B9D" w:rsidRPr="004E689E">
              <w:rPr>
                <w:rFonts w:cs="Arial"/>
                <w:bCs/>
                <w:color w:val="000000"/>
              </w:rPr>
              <w:t>to</w:t>
            </w:r>
            <w:r w:rsidR="00291C1F" w:rsidRPr="004E689E">
              <w:rPr>
                <w:rFonts w:cs="Arial"/>
                <w:bCs/>
                <w:color w:val="000000"/>
              </w:rPr>
              <w:t xml:space="preserve"> avoid sending too mu</w:t>
            </w:r>
            <w:r w:rsidR="00476229" w:rsidRPr="004E689E">
              <w:rPr>
                <w:rFonts w:cs="Arial"/>
                <w:bCs/>
                <w:color w:val="000000"/>
              </w:rPr>
              <w:t>ch medication.</w:t>
            </w:r>
          </w:p>
        </w:tc>
      </w:tr>
    </w:tbl>
    <w:p w14:paraId="6ADC60AA" w14:textId="77777777" w:rsidR="00DC795D" w:rsidRDefault="00DC795D" w:rsidP="008154C2">
      <w:pPr>
        <w:spacing w:before="120" w:after="120"/>
      </w:pPr>
    </w:p>
    <w:p w14:paraId="23753AEE" w14:textId="77777777" w:rsidR="00291C1F" w:rsidRPr="0058134F" w:rsidRDefault="00000000" w:rsidP="008154C2">
      <w:pPr>
        <w:spacing w:before="120" w:after="120"/>
        <w:jc w:val="right"/>
      </w:pPr>
      <w:hyperlink w:anchor="_top" w:history="1">
        <w:r w:rsidR="00AC3FCA" w:rsidRPr="00AC3FC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91C1F" w:rsidRPr="0058134F" w14:paraId="541C4876" w14:textId="77777777" w:rsidTr="008154C2">
        <w:tc>
          <w:tcPr>
            <w:tcW w:w="5000" w:type="pct"/>
            <w:shd w:val="clear" w:color="auto" w:fill="BFBFBF" w:themeFill="background1" w:themeFillShade="BF"/>
          </w:tcPr>
          <w:p w14:paraId="63627B2D" w14:textId="0AF877F2" w:rsidR="00291C1F" w:rsidRPr="0058134F" w:rsidRDefault="00291C1F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29178470"/>
            <w:r>
              <w:rPr>
                <w:rFonts w:ascii="Verdana" w:hAnsi="Verdana"/>
                <w:i w:val="0"/>
                <w:iCs w:val="0"/>
              </w:rPr>
              <w:t>Objections about Trusting the Program</w:t>
            </w:r>
            <w:bookmarkEnd w:id="11"/>
          </w:p>
        </w:tc>
      </w:tr>
    </w:tbl>
    <w:p w14:paraId="735FF7A5" w14:textId="77777777" w:rsidR="0047509F" w:rsidRDefault="0047509F" w:rsidP="0047509F">
      <w:pPr>
        <w:spacing w:before="120" w:after="120"/>
      </w:pPr>
    </w:p>
    <w:p w14:paraId="5C14ABE9" w14:textId="5E58CBB7" w:rsidR="00291C1F" w:rsidRDefault="00291C1F" w:rsidP="0047509F">
      <w:pPr>
        <w:spacing w:before="120" w:after="120"/>
      </w:pPr>
      <w:r>
        <w:t xml:space="preserve">In the examples below, the member is expressing concerns about the complexity and difficulty of the program that may prevent them from enrolling in </w:t>
      </w:r>
      <w:r w:rsidR="001D2249">
        <w:t xml:space="preserve">the </w:t>
      </w:r>
      <w:r w:rsidR="00EE3133">
        <w:t xml:space="preserve">Auto Refill </w:t>
      </w:r>
      <w:r w:rsidR="001D2249">
        <w:t>Program (ARP)</w:t>
      </w:r>
      <w:r w:rsidR="00934B4D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291C1F" w:rsidRPr="0058134F" w14:paraId="1ABD0A29" w14:textId="77777777" w:rsidTr="008154C2">
        <w:tc>
          <w:tcPr>
            <w:tcW w:w="1988" w:type="pct"/>
            <w:shd w:val="clear" w:color="auto" w:fill="D9D9D9" w:themeFill="background1" w:themeFillShade="D9"/>
          </w:tcPr>
          <w:p w14:paraId="2013E9B4" w14:textId="77777777" w:rsidR="00291C1F" w:rsidRPr="004E689E" w:rsidRDefault="00291C1F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4E689E">
              <w:rPr>
                <w:rFonts w:cs="Arial"/>
                <w:b/>
                <w:bCs/>
                <w:color w:val="000000"/>
              </w:rPr>
              <w:t>Objection</w:t>
            </w:r>
          </w:p>
        </w:tc>
        <w:tc>
          <w:tcPr>
            <w:tcW w:w="3012" w:type="pct"/>
            <w:shd w:val="clear" w:color="auto" w:fill="D9D9D9" w:themeFill="background1" w:themeFillShade="D9"/>
          </w:tcPr>
          <w:p w14:paraId="36F972FC" w14:textId="77777777" w:rsidR="00291C1F" w:rsidRPr="004E689E" w:rsidRDefault="00291C1F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4E689E">
              <w:rPr>
                <w:rFonts w:cs="Arial"/>
                <w:b/>
                <w:bCs/>
                <w:color w:val="000000"/>
              </w:rPr>
              <w:t>Response</w:t>
            </w:r>
          </w:p>
        </w:tc>
      </w:tr>
      <w:tr w:rsidR="00291C1F" w:rsidRPr="0058134F" w14:paraId="3E445009" w14:textId="77777777" w:rsidTr="65611FA0">
        <w:trPr>
          <w:trHeight w:val="20"/>
        </w:trPr>
        <w:tc>
          <w:tcPr>
            <w:tcW w:w="1988" w:type="pct"/>
          </w:tcPr>
          <w:p w14:paraId="613B8DDA" w14:textId="77777777" w:rsidR="00291C1F" w:rsidRPr="004E689E" w:rsidRDefault="00291C1F" w:rsidP="0047509F">
            <w:pPr>
              <w:spacing w:before="120" w:after="120"/>
              <w:rPr>
                <w:color w:val="000000"/>
              </w:rPr>
            </w:pPr>
            <w:r w:rsidRPr="004E689E">
              <w:rPr>
                <w:color w:val="000000"/>
              </w:rPr>
              <w:t xml:space="preserve">I won’t know when my refills are coming </w:t>
            </w:r>
          </w:p>
        </w:tc>
        <w:tc>
          <w:tcPr>
            <w:tcW w:w="3012" w:type="pct"/>
          </w:tcPr>
          <w:p w14:paraId="44BDBE8F" w14:textId="439603FD" w:rsidR="00291C1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376AC31C" wp14:editId="18D5226A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 w:rsidRPr="004E689E">
              <w:rPr>
                <w:rFonts w:cs="Arial"/>
                <w:bCs/>
                <w:color w:val="000000"/>
              </w:rPr>
              <w:t xml:space="preserve"> We will notify you about your prescription status </w:t>
            </w:r>
            <w:r w:rsidR="00631F52" w:rsidRPr="004E689E">
              <w:rPr>
                <w:rFonts w:cs="Arial"/>
                <w:bCs/>
                <w:color w:val="000000"/>
              </w:rPr>
              <w:t xml:space="preserve">with </w:t>
            </w:r>
            <w:r w:rsidR="00291C1F" w:rsidRPr="004E689E">
              <w:rPr>
                <w:rFonts w:cs="Arial"/>
                <w:bCs/>
                <w:color w:val="000000"/>
              </w:rPr>
              <w:t xml:space="preserve">alerts </w:t>
            </w:r>
            <w:r w:rsidR="00631F52" w:rsidRPr="004E689E">
              <w:rPr>
                <w:rFonts w:cs="Arial"/>
                <w:bCs/>
                <w:color w:val="000000"/>
              </w:rPr>
              <w:t xml:space="preserve">by </w:t>
            </w:r>
            <w:r w:rsidR="00291C1F" w:rsidRPr="004E689E">
              <w:rPr>
                <w:rFonts w:cs="Arial"/>
                <w:bCs/>
                <w:color w:val="000000"/>
              </w:rPr>
              <w:t xml:space="preserve">phone call (IVR), email, or text message which will provide you enough time to cancel if necessary. </w:t>
            </w:r>
          </w:p>
        </w:tc>
      </w:tr>
      <w:tr w:rsidR="00291C1F" w:rsidRPr="0058134F" w14:paraId="62B7F6A0" w14:textId="77777777" w:rsidTr="65611FA0">
        <w:tc>
          <w:tcPr>
            <w:tcW w:w="1988" w:type="pct"/>
          </w:tcPr>
          <w:p w14:paraId="5DBF4C2C" w14:textId="77777777" w:rsidR="00291C1F" w:rsidRPr="004E689E" w:rsidRDefault="00291C1F" w:rsidP="0047509F">
            <w:pPr>
              <w:pStyle w:val="Heading4"/>
              <w:spacing w:before="120" w:after="120"/>
              <w:rPr>
                <w:color w:val="000000"/>
              </w:rPr>
            </w:pPr>
            <w:r w:rsidRPr="004E689E">
              <w:rPr>
                <w:color w:val="000000"/>
              </w:rPr>
              <w:t>I may want to stop this service</w:t>
            </w:r>
          </w:p>
        </w:tc>
        <w:tc>
          <w:tcPr>
            <w:tcW w:w="3012" w:type="pct"/>
          </w:tcPr>
          <w:p w14:paraId="0EDA2B33" w14:textId="19BDE8A1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466CA2D1" wp14:editId="6CA1E43D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1F52" w:rsidRPr="004E689E">
              <w:rPr>
                <w:rFonts w:cs="Arial"/>
                <w:bCs/>
                <w:color w:val="000000"/>
              </w:rPr>
              <w:t xml:space="preserve"> </w:t>
            </w:r>
            <w:r w:rsidR="00291C1F" w:rsidRPr="004E689E">
              <w:rPr>
                <w:rFonts w:cs="Arial"/>
                <w:bCs/>
                <w:color w:val="000000"/>
              </w:rPr>
              <w:t>You have the freedom to stop the service at any time and return to order</w:t>
            </w:r>
            <w:r w:rsidR="00476229" w:rsidRPr="004E689E">
              <w:rPr>
                <w:rFonts w:cs="Arial"/>
                <w:bCs/>
                <w:color w:val="000000"/>
              </w:rPr>
              <w:t>ing refills at your discretion.</w:t>
            </w:r>
          </w:p>
        </w:tc>
      </w:tr>
      <w:tr w:rsidR="00291C1F" w:rsidRPr="0058134F" w14:paraId="0E13459C" w14:textId="77777777" w:rsidTr="65611FA0">
        <w:tc>
          <w:tcPr>
            <w:tcW w:w="1988" w:type="pct"/>
          </w:tcPr>
          <w:p w14:paraId="467D53AF" w14:textId="09FCC93B" w:rsidR="00291C1F" w:rsidRPr="004E689E" w:rsidRDefault="3A8DC80E" w:rsidP="0047509F">
            <w:pPr>
              <w:pStyle w:val="Heading4"/>
              <w:spacing w:before="120" w:after="120"/>
              <w:rPr>
                <w:color w:val="000000"/>
              </w:rPr>
            </w:pPr>
            <w:r w:rsidRPr="2FAFE6A3">
              <w:rPr>
                <w:color w:val="000000" w:themeColor="text1"/>
              </w:rPr>
              <w:t>I have</w:t>
            </w:r>
            <w:r w:rsidR="00291C1F" w:rsidRPr="2FAFE6A3">
              <w:rPr>
                <w:color w:val="000000" w:themeColor="text1"/>
              </w:rPr>
              <w:t xml:space="preserve"> used this program in the past and I </w:t>
            </w:r>
            <w:r w:rsidR="5E2DF003" w:rsidRPr="2FAFE6A3">
              <w:rPr>
                <w:color w:val="000000" w:themeColor="text1"/>
              </w:rPr>
              <w:t>did not</w:t>
            </w:r>
            <w:r w:rsidR="00291C1F" w:rsidRPr="2FAFE6A3">
              <w:rPr>
                <w:color w:val="000000" w:themeColor="text1"/>
              </w:rPr>
              <w:t xml:space="preserve"> get my prescriptions on time.</w:t>
            </w:r>
          </w:p>
        </w:tc>
        <w:tc>
          <w:tcPr>
            <w:tcW w:w="3012" w:type="pct"/>
          </w:tcPr>
          <w:p w14:paraId="51002834" w14:textId="41C09B86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7F5656C" wp14:editId="6613CCCC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1C1F" w:rsidRPr="16A5C1BE">
              <w:rPr>
                <w:rFonts w:cs="Arial"/>
                <w:color w:val="000000" w:themeColor="text1"/>
              </w:rPr>
              <w:t xml:space="preserve"> There have been some issues in the past surrounding </w:t>
            </w:r>
            <w:r w:rsidR="00631F52" w:rsidRPr="16A5C1BE">
              <w:rPr>
                <w:rFonts w:cs="Arial"/>
                <w:color w:val="000000" w:themeColor="text1"/>
              </w:rPr>
              <w:t>auto</w:t>
            </w:r>
            <w:r w:rsidR="00291C1F" w:rsidRPr="16A5C1BE">
              <w:rPr>
                <w:rFonts w:cs="Arial"/>
                <w:color w:val="000000" w:themeColor="text1"/>
              </w:rPr>
              <w:t>-</w:t>
            </w:r>
            <w:r w:rsidR="00631F52" w:rsidRPr="16A5C1BE">
              <w:rPr>
                <w:rFonts w:cs="Arial"/>
                <w:color w:val="000000" w:themeColor="text1"/>
              </w:rPr>
              <w:t>re</w:t>
            </w:r>
            <w:r w:rsidR="005E6EED" w:rsidRPr="16A5C1BE">
              <w:rPr>
                <w:rFonts w:cs="Arial"/>
                <w:color w:val="000000" w:themeColor="text1"/>
              </w:rPr>
              <w:t>filled</w:t>
            </w:r>
            <w:r w:rsidR="00631F52" w:rsidRPr="16A5C1BE">
              <w:rPr>
                <w:rFonts w:cs="Arial"/>
                <w:color w:val="000000" w:themeColor="text1"/>
              </w:rPr>
              <w:t xml:space="preserve"> </w:t>
            </w:r>
            <w:r w:rsidR="00291C1F" w:rsidRPr="16A5C1BE">
              <w:rPr>
                <w:rFonts w:cs="Arial"/>
                <w:color w:val="000000" w:themeColor="text1"/>
              </w:rPr>
              <w:t xml:space="preserve">prescriptions that were not automatically enrolled in </w:t>
            </w:r>
            <w:r w:rsidR="00631F52" w:rsidRPr="16A5C1BE">
              <w:rPr>
                <w:rFonts w:cs="Arial"/>
                <w:color w:val="000000" w:themeColor="text1"/>
              </w:rPr>
              <w:t>auto</w:t>
            </w:r>
            <w:r w:rsidR="00291C1F" w:rsidRPr="16A5C1BE">
              <w:rPr>
                <w:rFonts w:cs="Arial"/>
                <w:color w:val="000000" w:themeColor="text1"/>
              </w:rPr>
              <w:t>-</w:t>
            </w:r>
            <w:r w:rsidR="00631F52" w:rsidRPr="16A5C1BE">
              <w:rPr>
                <w:rFonts w:cs="Arial"/>
                <w:color w:val="000000" w:themeColor="text1"/>
              </w:rPr>
              <w:t xml:space="preserve">refill </w:t>
            </w:r>
            <w:r w:rsidR="00291C1F" w:rsidRPr="16A5C1BE">
              <w:rPr>
                <w:rFonts w:cs="Arial"/>
                <w:color w:val="000000" w:themeColor="text1"/>
              </w:rPr>
              <w:t xml:space="preserve">as well as some prescriptions that were held </w:t>
            </w:r>
            <w:r w:rsidR="00631F52" w:rsidRPr="16A5C1BE">
              <w:rPr>
                <w:rFonts w:cs="Arial"/>
                <w:color w:val="000000" w:themeColor="text1"/>
              </w:rPr>
              <w:t>because of</w:t>
            </w:r>
            <w:r w:rsidR="00291C1F" w:rsidRPr="16A5C1BE">
              <w:rPr>
                <w:rFonts w:cs="Arial"/>
                <w:color w:val="000000" w:themeColor="text1"/>
              </w:rPr>
              <w:t xml:space="preserve"> a limited supply</w:t>
            </w:r>
            <w:r w:rsidR="00F4310A" w:rsidRPr="16A5C1BE">
              <w:rPr>
                <w:rFonts w:cs="Arial"/>
                <w:color w:val="000000" w:themeColor="text1"/>
              </w:rPr>
              <w:t>.</w:t>
            </w:r>
            <w:r w:rsidR="0006025A" w:rsidRPr="16A5C1BE">
              <w:rPr>
                <w:rFonts w:cs="Arial"/>
                <w:color w:val="000000" w:themeColor="text1"/>
              </w:rPr>
              <w:t xml:space="preserve"> With the help of our </w:t>
            </w:r>
            <w:r w:rsidR="4492A401" w:rsidRPr="16A5C1BE">
              <w:rPr>
                <w:rFonts w:cs="Arial"/>
                <w:color w:val="000000" w:themeColor="text1"/>
              </w:rPr>
              <w:t>members’</w:t>
            </w:r>
            <w:r w:rsidR="0006025A" w:rsidRPr="16A5C1BE">
              <w:rPr>
                <w:rFonts w:cs="Arial"/>
                <w:color w:val="000000" w:themeColor="text1"/>
              </w:rPr>
              <w:t xml:space="preserve"> feedback t</w:t>
            </w:r>
            <w:r w:rsidR="00291C1F" w:rsidRPr="16A5C1BE">
              <w:rPr>
                <w:rFonts w:cs="Arial"/>
                <w:color w:val="000000" w:themeColor="text1"/>
              </w:rPr>
              <w:t>hese issue</w:t>
            </w:r>
            <w:r w:rsidR="00876997" w:rsidRPr="16A5C1BE">
              <w:rPr>
                <w:rFonts w:cs="Arial"/>
                <w:color w:val="000000" w:themeColor="text1"/>
              </w:rPr>
              <w:t>s</w:t>
            </w:r>
            <w:r w:rsidR="00291C1F" w:rsidRPr="16A5C1BE">
              <w:rPr>
                <w:rFonts w:cs="Arial"/>
                <w:color w:val="000000" w:themeColor="text1"/>
              </w:rPr>
              <w:t xml:space="preserve"> ha</w:t>
            </w:r>
            <w:r w:rsidR="00876997" w:rsidRPr="16A5C1BE">
              <w:rPr>
                <w:rFonts w:cs="Arial"/>
                <w:color w:val="000000" w:themeColor="text1"/>
              </w:rPr>
              <w:t>ve</w:t>
            </w:r>
            <w:r w:rsidR="00291C1F" w:rsidRPr="16A5C1BE">
              <w:rPr>
                <w:rFonts w:cs="Arial"/>
                <w:color w:val="000000" w:themeColor="text1"/>
              </w:rPr>
              <w:t xml:space="preserve"> </w:t>
            </w:r>
            <w:r w:rsidR="00F4310A" w:rsidRPr="16A5C1BE">
              <w:rPr>
                <w:rFonts w:cs="Arial"/>
                <w:color w:val="000000" w:themeColor="text1"/>
              </w:rPr>
              <w:t xml:space="preserve">since </w:t>
            </w:r>
            <w:r w:rsidR="00291C1F" w:rsidRPr="16A5C1BE">
              <w:rPr>
                <w:rFonts w:cs="Arial"/>
                <w:color w:val="000000" w:themeColor="text1"/>
              </w:rPr>
              <w:t xml:space="preserve">been corrected and you should </w:t>
            </w:r>
            <w:r w:rsidR="00476229" w:rsidRPr="16A5C1BE">
              <w:rPr>
                <w:rFonts w:cs="Arial"/>
                <w:color w:val="000000" w:themeColor="text1"/>
              </w:rPr>
              <w:t>not experience this any longer.</w:t>
            </w:r>
          </w:p>
        </w:tc>
      </w:tr>
      <w:tr w:rsidR="00291C1F" w:rsidRPr="0058134F" w14:paraId="6A725EDF" w14:textId="77777777" w:rsidTr="65611FA0">
        <w:tc>
          <w:tcPr>
            <w:tcW w:w="1988" w:type="pct"/>
          </w:tcPr>
          <w:p w14:paraId="146228AC" w14:textId="151B3B46" w:rsidR="00291C1F" w:rsidRPr="004E689E" w:rsidRDefault="00291C1F" w:rsidP="0047509F">
            <w:pPr>
              <w:pStyle w:val="Heading4"/>
              <w:spacing w:before="120" w:after="120"/>
              <w:rPr>
                <w:color w:val="000000"/>
              </w:rPr>
            </w:pPr>
            <w:r w:rsidRPr="2FAFE6A3">
              <w:rPr>
                <w:color w:val="000000" w:themeColor="text1"/>
              </w:rPr>
              <w:t xml:space="preserve">I </w:t>
            </w:r>
            <w:r w:rsidR="36A3D50C" w:rsidRPr="2FAFE6A3">
              <w:rPr>
                <w:color w:val="000000" w:themeColor="text1"/>
              </w:rPr>
              <w:t>did not</w:t>
            </w:r>
            <w:r w:rsidRPr="2FAFE6A3">
              <w:rPr>
                <w:color w:val="000000" w:themeColor="text1"/>
              </w:rPr>
              <w:t xml:space="preserve"> get notified when my prescription was about to be auto refilled </w:t>
            </w:r>
          </w:p>
        </w:tc>
        <w:tc>
          <w:tcPr>
            <w:tcW w:w="3012" w:type="pct"/>
          </w:tcPr>
          <w:p w14:paraId="14BF0E67" w14:textId="71787094" w:rsidR="0006025A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6C3A6509" wp14:editId="1C5E8747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0ADC" w:rsidRPr="004E689E">
              <w:rPr>
                <w:rFonts w:cs="Arial"/>
                <w:bCs/>
                <w:color w:val="000000"/>
              </w:rPr>
              <w:t xml:space="preserve"> </w:t>
            </w:r>
            <w:r w:rsidR="004513D1" w:rsidRPr="004E689E">
              <w:rPr>
                <w:rFonts w:cs="Arial"/>
                <w:bCs/>
                <w:color w:val="000000"/>
              </w:rPr>
              <w:t>M</w:t>
            </w:r>
            <w:r w:rsidR="00291C1F" w:rsidRPr="004E689E">
              <w:rPr>
                <w:rFonts w:cs="Arial"/>
                <w:bCs/>
                <w:color w:val="000000"/>
              </w:rPr>
              <w:t xml:space="preserve">embers who sign up for the </w:t>
            </w:r>
            <w:r w:rsidR="00EE3133" w:rsidRPr="004E689E">
              <w:rPr>
                <w:rFonts w:cs="Arial"/>
                <w:bCs/>
                <w:color w:val="000000"/>
              </w:rPr>
              <w:t xml:space="preserve">Auto Refill </w:t>
            </w:r>
            <w:r w:rsidR="001D2249" w:rsidRPr="004E689E">
              <w:rPr>
                <w:rFonts w:cs="Arial"/>
                <w:bCs/>
                <w:color w:val="000000"/>
              </w:rPr>
              <w:t>Program (ARP)</w:t>
            </w:r>
            <w:r w:rsidR="00291C1F" w:rsidRPr="004E689E">
              <w:rPr>
                <w:rFonts w:cs="Arial"/>
                <w:bCs/>
                <w:color w:val="000000"/>
              </w:rPr>
              <w:t xml:space="preserve"> will also sign up to receive automated messages via phone (IVR), email, or text to alert them </w:t>
            </w:r>
            <w:r w:rsidR="00EE43E3" w:rsidRPr="004E689E">
              <w:rPr>
                <w:rFonts w:cs="Arial"/>
                <w:bCs/>
                <w:color w:val="000000"/>
              </w:rPr>
              <w:t xml:space="preserve">prior to </w:t>
            </w:r>
            <w:r w:rsidR="00291C1F" w:rsidRPr="004E689E">
              <w:rPr>
                <w:rFonts w:cs="Arial"/>
                <w:bCs/>
                <w:color w:val="000000"/>
              </w:rPr>
              <w:t xml:space="preserve">their prescription </w:t>
            </w:r>
            <w:r w:rsidR="00EE43E3" w:rsidRPr="004E689E">
              <w:rPr>
                <w:rFonts w:cs="Arial"/>
                <w:bCs/>
                <w:color w:val="000000"/>
              </w:rPr>
              <w:t>refill</w:t>
            </w:r>
            <w:r w:rsidR="00476229" w:rsidRPr="004E689E">
              <w:rPr>
                <w:rFonts w:cs="Arial"/>
                <w:bCs/>
                <w:color w:val="000000"/>
              </w:rPr>
              <w:t>.</w:t>
            </w:r>
          </w:p>
          <w:p w14:paraId="00983693" w14:textId="253AD782" w:rsidR="0006025A" w:rsidRPr="004E689E" w:rsidRDefault="00441EA7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 w:rsidRPr="004E689E">
              <w:rPr>
                <w:rFonts w:cs="Arial"/>
                <w:b/>
                <w:bCs/>
                <w:color w:val="000000"/>
              </w:rPr>
              <w:t>CCR</w:t>
            </w:r>
            <w:r w:rsidR="0006025A" w:rsidRPr="008154C2">
              <w:rPr>
                <w:rFonts w:cs="Arial"/>
                <w:b/>
                <w:color w:val="000000"/>
              </w:rPr>
              <w:t>:</w:t>
            </w:r>
            <w:r w:rsidR="00141D25" w:rsidRPr="004E689E">
              <w:rPr>
                <w:rFonts w:cs="Arial"/>
                <w:bCs/>
                <w:color w:val="000000"/>
              </w:rPr>
              <w:t xml:space="preserve"> </w:t>
            </w:r>
            <w:r w:rsidR="0047509F">
              <w:rPr>
                <w:rFonts w:cs="Arial"/>
                <w:bCs/>
                <w:color w:val="000000"/>
              </w:rPr>
              <w:t xml:space="preserve"> </w:t>
            </w:r>
            <w:r w:rsidR="00141D25" w:rsidRPr="004E689E">
              <w:rPr>
                <w:rFonts w:cs="Arial"/>
                <w:bCs/>
                <w:color w:val="000000"/>
              </w:rPr>
              <w:t>Order is created for</w:t>
            </w:r>
            <w:r w:rsidR="006E45DF">
              <w:rPr>
                <w:rFonts w:cs="Arial"/>
                <w:bCs/>
                <w:color w:val="000000"/>
              </w:rPr>
              <w:t xml:space="preserve"> r</w:t>
            </w:r>
            <w:r w:rsidR="0006025A" w:rsidRPr="004E689E">
              <w:rPr>
                <w:rFonts w:cs="Arial"/>
                <w:bCs/>
                <w:color w:val="000000"/>
              </w:rPr>
              <w:t>efill</w:t>
            </w:r>
            <w:r w:rsidRPr="004E689E">
              <w:rPr>
                <w:rFonts w:cs="Arial"/>
                <w:bCs/>
                <w:color w:val="000000"/>
              </w:rPr>
              <w:t xml:space="preserve"> is </w:t>
            </w:r>
            <w:r w:rsidR="002366F8">
              <w:rPr>
                <w:rFonts w:cs="Arial"/>
                <w:bCs/>
                <w:color w:val="000000"/>
              </w:rPr>
              <w:t>23</w:t>
            </w:r>
            <w:r w:rsidR="002366F8" w:rsidRPr="004E689E">
              <w:rPr>
                <w:rFonts w:cs="Arial"/>
                <w:bCs/>
                <w:color w:val="000000"/>
              </w:rPr>
              <w:t xml:space="preserve"> </w:t>
            </w:r>
            <w:r w:rsidR="0006025A" w:rsidRPr="004E689E">
              <w:rPr>
                <w:rFonts w:cs="Arial"/>
                <w:bCs/>
                <w:color w:val="000000"/>
              </w:rPr>
              <w:t xml:space="preserve">days </w:t>
            </w:r>
            <w:r w:rsidR="00141D25" w:rsidRPr="004E689E">
              <w:rPr>
                <w:rFonts w:cs="Arial"/>
                <w:bCs/>
                <w:color w:val="000000"/>
              </w:rPr>
              <w:t>prior</w:t>
            </w:r>
            <w:r w:rsidR="00DE47EE" w:rsidRPr="004E689E">
              <w:rPr>
                <w:rFonts w:cs="Arial"/>
                <w:bCs/>
                <w:color w:val="000000"/>
              </w:rPr>
              <w:t xml:space="preserve"> </w:t>
            </w:r>
            <w:r w:rsidR="00D05B9D" w:rsidRPr="004E689E">
              <w:rPr>
                <w:rFonts w:cs="Arial"/>
                <w:bCs/>
                <w:color w:val="000000"/>
              </w:rPr>
              <w:t>processing,</w:t>
            </w:r>
            <w:r w:rsidR="005723FF" w:rsidRPr="004E689E">
              <w:rPr>
                <w:rFonts w:cs="Arial"/>
                <w:bCs/>
                <w:color w:val="000000"/>
              </w:rPr>
              <w:t xml:space="preserve"> and the order will </w:t>
            </w:r>
            <w:r w:rsidR="00D05B9D" w:rsidRPr="004E689E">
              <w:rPr>
                <w:rFonts w:cs="Arial"/>
                <w:bCs/>
                <w:color w:val="000000"/>
              </w:rPr>
              <w:t>be processed</w:t>
            </w:r>
            <w:r w:rsidR="005723FF" w:rsidRPr="004E689E">
              <w:rPr>
                <w:rFonts w:cs="Arial"/>
                <w:bCs/>
                <w:color w:val="000000"/>
              </w:rPr>
              <w:t xml:space="preserve"> on the </w:t>
            </w:r>
            <w:r w:rsidR="002366F8">
              <w:rPr>
                <w:rFonts w:cs="Arial"/>
                <w:bCs/>
                <w:color w:val="000000"/>
              </w:rPr>
              <w:t>7</w:t>
            </w:r>
            <w:r w:rsidR="005723FF" w:rsidRPr="004E689E">
              <w:rPr>
                <w:rFonts w:cs="Arial"/>
                <w:bCs/>
                <w:color w:val="000000"/>
              </w:rPr>
              <w:t>th day</w:t>
            </w:r>
            <w:r w:rsidR="009E1EB6" w:rsidRPr="004E689E">
              <w:rPr>
                <w:rFonts w:cs="Arial"/>
                <w:bCs/>
                <w:color w:val="000000"/>
              </w:rPr>
              <w:t>.</w:t>
            </w:r>
            <w:r w:rsidR="00320ADC" w:rsidRPr="004E689E">
              <w:rPr>
                <w:rFonts w:cs="Arial"/>
                <w:bCs/>
                <w:color w:val="000000"/>
              </w:rPr>
              <w:t xml:space="preserve"> </w:t>
            </w:r>
          </w:p>
        </w:tc>
      </w:tr>
      <w:tr w:rsidR="00291C1F" w:rsidRPr="0058134F" w14:paraId="16DC9C6F" w14:textId="77777777" w:rsidTr="65611FA0">
        <w:tc>
          <w:tcPr>
            <w:tcW w:w="1988" w:type="pct"/>
          </w:tcPr>
          <w:p w14:paraId="40AE7711" w14:textId="77777777" w:rsidR="00291C1F" w:rsidRPr="004E689E" w:rsidRDefault="00291C1F" w:rsidP="0047509F">
            <w:pPr>
              <w:pStyle w:val="Heading4"/>
              <w:spacing w:before="120" w:after="120"/>
              <w:rPr>
                <w:color w:val="000000"/>
              </w:rPr>
            </w:pPr>
            <w:r w:rsidRPr="004E689E">
              <w:rPr>
                <w:color w:val="000000"/>
              </w:rPr>
              <w:t>I receive an error when I try to cancel a</w:t>
            </w:r>
            <w:r w:rsidR="001D2249" w:rsidRPr="004E689E">
              <w:rPr>
                <w:color w:val="000000"/>
              </w:rPr>
              <w:t>n Auto Refill Program (ARP</w:t>
            </w:r>
            <w:r w:rsidR="00EE3133" w:rsidRPr="004E689E">
              <w:rPr>
                <w:color w:val="000000"/>
              </w:rPr>
              <w:t>)</w:t>
            </w:r>
            <w:r w:rsidRPr="004E689E">
              <w:rPr>
                <w:color w:val="000000"/>
              </w:rPr>
              <w:t xml:space="preserve"> prescription via </w:t>
            </w:r>
            <w:r w:rsidR="00D52C81" w:rsidRPr="004E689E">
              <w:rPr>
                <w:color w:val="000000"/>
              </w:rPr>
              <w:t>the Member Web Portal</w:t>
            </w:r>
          </w:p>
        </w:tc>
        <w:tc>
          <w:tcPr>
            <w:tcW w:w="3012" w:type="pct"/>
          </w:tcPr>
          <w:p w14:paraId="001A9541" w14:textId="0800025B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7EB9BAF2" wp14:editId="12E8CCA8">
                  <wp:extent cx="238125" cy="209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 w:rsidRPr="004E689E">
              <w:rPr>
                <w:rFonts w:cs="Arial"/>
                <w:bCs/>
                <w:color w:val="000000"/>
              </w:rPr>
              <w:t xml:space="preserve"> </w:t>
            </w:r>
            <w:r w:rsidR="00876997" w:rsidRPr="004E689E">
              <w:rPr>
                <w:rFonts w:cs="Arial"/>
                <w:bCs/>
                <w:color w:val="000000"/>
              </w:rPr>
              <w:t>T</w:t>
            </w:r>
            <w:r w:rsidR="00291C1F" w:rsidRPr="004E689E">
              <w:rPr>
                <w:rFonts w:cs="Arial"/>
                <w:bCs/>
                <w:color w:val="000000"/>
              </w:rPr>
              <w:t xml:space="preserve">his is a known issue, and an estimated date for this to be corrected </w:t>
            </w:r>
            <w:r w:rsidR="00876997" w:rsidRPr="004E689E">
              <w:rPr>
                <w:rFonts w:cs="Arial"/>
                <w:bCs/>
                <w:color w:val="000000"/>
              </w:rPr>
              <w:t>is to be determined</w:t>
            </w:r>
            <w:r w:rsidR="00291C1F" w:rsidRPr="004E689E">
              <w:rPr>
                <w:rFonts w:cs="Arial"/>
                <w:bCs/>
                <w:color w:val="000000"/>
              </w:rPr>
              <w:t xml:space="preserve">. I will be happy to help you with managing your </w:t>
            </w:r>
            <w:r w:rsidR="001D2249" w:rsidRPr="004E689E">
              <w:rPr>
                <w:rFonts w:cs="Arial"/>
                <w:bCs/>
                <w:color w:val="000000"/>
              </w:rPr>
              <w:t>Auto Refill Program (ARP)</w:t>
            </w:r>
            <w:r w:rsidR="00291C1F" w:rsidRPr="004E689E">
              <w:rPr>
                <w:rFonts w:cs="Arial"/>
                <w:bCs/>
                <w:color w:val="000000"/>
              </w:rPr>
              <w:t xml:space="preserve"> prescriptions over the phone. </w:t>
            </w:r>
          </w:p>
        </w:tc>
      </w:tr>
      <w:tr w:rsidR="00291C1F" w:rsidRPr="0058134F" w14:paraId="60DD7940" w14:textId="77777777" w:rsidTr="65611FA0">
        <w:tc>
          <w:tcPr>
            <w:tcW w:w="1988" w:type="pct"/>
          </w:tcPr>
          <w:p w14:paraId="2869FC2F" w14:textId="77777777" w:rsidR="00291C1F" w:rsidRPr="004E689E" w:rsidRDefault="00291C1F" w:rsidP="0047509F">
            <w:pPr>
              <w:pStyle w:val="Heading4"/>
              <w:spacing w:before="120" w:after="120"/>
              <w:rPr>
                <w:color w:val="000000"/>
              </w:rPr>
            </w:pPr>
            <w:r w:rsidRPr="004E689E">
              <w:rPr>
                <w:color w:val="000000"/>
              </w:rPr>
              <w:t>The medication I am taking is not the medication listed in the communication I received.</w:t>
            </w:r>
          </w:p>
        </w:tc>
        <w:tc>
          <w:tcPr>
            <w:tcW w:w="3012" w:type="pct"/>
          </w:tcPr>
          <w:p w14:paraId="04FC5F37" w14:textId="022BBDF2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D2279C" wp14:editId="315965A3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1C1F" w:rsidRPr="65611FA0">
              <w:rPr>
                <w:rFonts w:cs="Arial"/>
                <w:color w:val="000000" w:themeColor="text1"/>
              </w:rPr>
              <w:t xml:space="preserve"> Today, our member communications list the name of the medication that was prescribed vs. dispensed</w:t>
            </w:r>
            <w:r w:rsidR="3E570143" w:rsidRPr="65611FA0">
              <w:rPr>
                <w:rFonts w:cs="Arial"/>
                <w:color w:val="000000" w:themeColor="text1"/>
              </w:rPr>
              <w:t xml:space="preserve">. </w:t>
            </w:r>
            <w:r w:rsidR="00291C1F" w:rsidRPr="65611FA0">
              <w:rPr>
                <w:rFonts w:cs="Arial"/>
                <w:color w:val="000000" w:themeColor="text1"/>
              </w:rPr>
              <w:t>So</w:t>
            </w:r>
            <w:r w:rsidR="2DF11A1B" w:rsidRPr="65611FA0">
              <w:rPr>
                <w:rFonts w:cs="Arial"/>
                <w:color w:val="000000" w:themeColor="text1"/>
              </w:rPr>
              <w:t>, for example,</w:t>
            </w:r>
            <w:r w:rsidR="00291C1F" w:rsidRPr="65611FA0">
              <w:rPr>
                <w:rFonts w:cs="Arial"/>
                <w:color w:val="000000" w:themeColor="text1"/>
              </w:rPr>
              <w:t xml:space="preserve"> the letter may say Lipitor when </w:t>
            </w:r>
            <w:r w:rsidR="4831695C" w:rsidRPr="65611FA0">
              <w:rPr>
                <w:rFonts w:cs="Arial"/>
                <w:color w:val="000000" w:themeColor="text1"/>
              </w:rPr>
              <w:t>you are</w:t>
            </w:r>
            <w:r w:rsidR="00291C1F" w:rsidRPr="65611FA0">
              <w:rPr>
                <w:rFonts w:cs="Arial"/>
                <w:color w:val="000000" w:themeColor="text1"/>
              </w:rPr>
              <w:t xml:space="preserve"> </w:t>
            </w:r>
            <w:r w:rsidR="00D05B9D" w:rsidRPr="65611FA0">
              <w:rPr>
                <w:rFonts w:cs="Arial"/>
                <w:color w:val="000000" w:themeColor="text1"/>
              </w:rPr>
              <w:t>taking</w:t>
            </w:r>
            <w:r w:rsidR="00291C1F" w:rsidRPr="65611FA0">
              <w:rPr>
                <w:rFonts w:cs="Arial"/>
                <w:color w:val="000000" w:themeColor="text1"/>
              </w:rPr>
              <w:t xml:space="preserve"> Atorvastatin</w:t>
            </w:r>
            <w:r w:rsidR="10F23F1A" w:rsidRPr="65611FA0">
              <w:rPr>
                <w:rFonts w:cs="Arial"/>
                <w:color w:val="000000" w:themeColor="text1"/>
              </w:rPr>
              <w:t xml:space="preserve">. </w:t>
            </w:r>
            <w:r w:rsidR="2DF11A1B" w:rsidRPr="65611FA0">
              <w:rPr>
                <w:rFonts w:cs="Arial"/>
                <w:color w:val="000000" w:themeColor="text1"/>
              </w:rPr>
              <w:t xml:space="preserve">Your </w:t>
            </w:r>
            <w:r w:rsidR="00291C1F" w:rsidRPr="65611FA0">
              <w:rPr>
                <w:rFonts w:cs="Arial"/>
                <w:color w:val="000000" w:themeColor="text1"/>
              </w:rPr>
              <w:t>request to have the name of the dispensed drug listed instead has been made</w:t>
            </w:r>
            <w:r w:rsidR="00934B4D" w:rsidRPr="65611FA0">
              <w:rPr>
                <w:rFonts w:cs="Arial"/>
                <w:color w:val="000000" w:themeColor="text1"/>
              </w:rPr>
              <w:t xml:space="preserve">. </w:t>
            </w:r>
            <w:r w:rsidR="4831695C" w:rsidRPr="65611FA0">
              <w:rPr>
                <w:rFonts w:cs="Arial"/>
                <w:color w:val="000000" w:themeColor="text1"/>
              </w:rPr>
              <w:t>We do not yet have</w:t>
            </w:r>
            <w:r w:rsidR="00291C1F" w:rsidRPr="65611FA0">
              <w:rPr>
                <w:rFonts w:cs="Arial"/>
                <w:color w:val="000000" w:themeColor="text1"/>
              </w:rPr>
              <w:t xml:space="preserve"> an estimated date of completion </w:t>
            </w:r>
            <w:r w:rsidR="00D05B9D" w:rsidRPr="65611FA0">
              <w:rPr>
                <w:rFonts w:cs="Arial"/>
                <w:color w:val="000000" w:themeColor="text1"/>
              </w:rPr>
              <w:t>currently</w:t>
            </w:r>
            <w:r w:rsidR="00291C1F" w:rsidRPr="65611FA0">
              <w:rPr>
                <w:rFonts w:cs="Arial"/>
                <w:color w:val="000000" w:themeColor="text1"/>
              </w:rPr>
              <w:t xml:space="preserve">. </w:t>
            </w:r>
          </w:p>
        </w:tc>
      </w:tr>
      <w:tr w:rsidR="00291C1F" w:rsidRPr="0058134F" w14:paraId="08FEF6DE" w14:textId="77777777" w:rsidTr="65611FA0">
        <w:tc>
          <w:tcPr>
            <w:tcW w:w="1988" w:type="pct"/>
          </w:tcPr>
          <w:p w14:paraId="2B8175E7" w14:textId="63229599" w:rsidR="00291C1F" w:rsidRPr="004E689E" w:rsidRDefault="00291C1F" w:rsidP="0047509F">
            <w:pPr>
              <w:pStyle w:val="Heading4"/>
              <w:spacing w:before="120" w:after="120"/>
              <w:rPr>
                <w:color w:val="000000"/>
              </w:rPr>
            </w:pPr>
            <w:r w:rsidRPr="2FAFE6A3">
              <w:rPr>
                <w:color w:val="000000" w:themeColor="text1"/>
              </w:rPr>
              <w:t xml:space="preserve">The communications I receive confirming my enrollment </w:t>
            </w:r>
            <w:r w:rsidR="666D76CB" w:rsidRPr="2FAFE6A3">
              <w:rPr>
                <w:color w:val="000000" w:themeColor="text1"/>
              </w:rPr>
              <w:t>do not</w:t>
            </w:r>
            <w:r w:rsidRPr="2FAFE6A3">
              <w:rPr>
                <w:color w:val="000000" w:themeColor="text1"/>
              </w:rPr>
              <w:t xml:space="preserve"> list the medication I am taking.</w:t>
            </w:r>
          </w:p>
        </w:tc>
        <w:tc>
          <w:tcPr>
            <w:tcW w:w="3012" w:type="pct"/>
          </w:tcPr>
          <w:p w14:paraId="2094D6BE" w14:textId="5BF00D11" w:rsidR="00291C1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7DE91E" wp14:editId="62D310A9">
                  <wp:extent cx="238125" cy="209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1C1F" w:rsidRPr="16A5C1BE">
              <w:rPr>
                <w:rFonts w:cs="Arial"/>
                <w:color w:val="000000" w:themeColor="text1"/>
              </w:rPr>
              <w:t xml:space="preserve"> You will receive a letter confirming your enrollment in </w:t>
            </w:r>
            <w:bookmarkStart w:id="12" w:name="_Int_NmNc3lTI"/>
            <w:r w:rsidR="001D2249" w:rsidRPr="16A5C1BE">
              <w:rPr>
                <w:color w:val="000000" w:themeColor="text1"/>
              </w:rPr>
              <w:t>Auto</w:t>
            </w:r>
            <w:bookmarkEnd w:id="12"/>
            <w:r w:rsidR="001D2249" w:rsidRPr="16A5C1BE">
              <w:rPr>
                <w:color w:val="000000" w:themeColor="text1"/>
              </w:rPr>
              <w:t xml:space="preserve"> Refill Program (ARP)</w:t>
            </w:r>
            <w:r w:rsidR="005E6EED" w:rsidRPr="16A5C1BE">
              <w:rPr>
                <w:color w:val="000000" w:themeColor="text1"/>
              </w:rPr>
              <w:t>.</w:t>
            </w:r>
          </w:p>
        </w:tc>
      </w:tr>
    </w:tbl>
    <w:p w14:paraId="38514CD5" w14:textId="77777777" w:rsidR="00DC795D" w:rsidRDefault="00DC795D" w:rsidP="008154C2">
      <w:pPr>
        <w:spacing w:before="120" w:after="120"/>
      </w:pPr>
    </w:p>
    <w:p w14:paraId="21FD6B56" w14:textId="77777777" w:rsidR="00D608B4" w:rsidRPr="0058134F" w:rsidRDefault="00000000" w:rsidP="008154C2">
      <w:pPr>
        <w:spacing w:before="120" w:after="120"/>
        <w:jc w:val="right"/>
      </w:pPr>
      <w:hyperlink w:anchor="_top" w:history="1">
        <w:r w:rsidR="00AC3FCA" w:rsidRPr="00AC3FC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5E761115" w14:textId="77777777" w:rsidTr="00F7587A">
        <w:tc>
          <w:tcPr>
            <w:tcW w:w="5000" w:type="pct"/>
            <w:shd w:val="clear" w:color="auto" w:fill="C0C0C0"/>
          </w:tcPr>
          <w:p w14:paraId="120B818F" w14:textId="77777777" w:rsidR="00D608B4" w:rsidRPr="0058134F" w:rsidRDefault="00D608B4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29178471"/>
            <w:r>
              <w:rPr>
                <w:rFonts w:ascii="Verdana" w:hAnsi="Verdana"/>
                <w:i w:val="0"/>
                <w:iCs w:val="0"/>
              </w:rPr>
              <w:t>Objections about Prescription Changes</w:t>
            </w:r>
            <w:bookmarkEnd w:id="13"/>
          </w:p>
        </w:tc>
      </w:tr>
    </w:tbl>
    <w:p w14:paraId="0F58CB33" w14:textId="77777777" w:rsidR="0047509F" w:rsidRDefault="0047509F" w:rsidP="008154C2">
      <w:pPr>
        <w:spacing w:before="120" w:after="120"/>
        <w:contextualSpacing/>
      </w:pPr>
    </w:p>
    <w:p w14:paraId="727A2D11" w14:textId="352A6D4E" w:rsidR="005723FF" w:rsidRPr="00DC795D" w:rsidRDefault="00D608B4" w:rsidP="0047509F">
      <w:pPr>
        <w:spacing w:before="120" w:after="120"/>
      </w:pPr>
      <w:r>
        <w:t xml:space="preserve">In the examples below, the </w:t>
      </w:r>
      <w:r w:rsidR="3709CAC9">
        <w:t>members are</w:t>
      </w:r>
      <w:r>
        <w:t xml:space="preserve"> expressing concerns about potential changes that may impact their prescriptions and prevent them from </w:t>
      </w:r>
      <w:r w:rsidR="00291C1F">
        <w:t>enrolling in</w:t>
      </w:r>
      <w:r>
        <w:t xml:space="preserve"> </w:t>
      </w:r>
      <w:r w:rsidR="001D2249">
        <w:t>the Auto Refill Program (ARP)</w:t>
      </w:r>
      <w:r w:rsidR="0BF3AC75"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DC795D" w:rsidRPr="0058134F" w14:paraId="669E1B4E" w14:textId="77777777" w:rsidTr="008154C2">
        <w:tc>
          <w:tcPr>
            <w:tcW w:w="1988" w:type="pct"/>
            <w:shd w:val="clear" w:color="auto" w:fill="D9D9D9" w:themeFill="background1" w:themeFillShade="D9"/>
          </w:tcPr>
          <w:p w14:paraId="541FC83B" w14:textId="77777777" w:rsidR="00DC795D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D0D0D"/>
              </w:rPr>
            </w:pPr>
            <w:r w:rsidRPr="005E7775">
              <w:rPr>
                <w:rFonts w:cs="Arial"/>
                <w:b/>
                <w:bCs/>
                <w:color w:val="0D0D0D"/>
              </w:rPr>
              <w:t>Objection</w:t>
            </w:r>
          </w:p>
        </w:tc>
        <w:tc>
          <w:tcPr>
            <w:tcW w:w="3012" w:type="pct"/>
            <w:shd w:val="clear" w:color="auto" w:fill="D9D9D9" w:themeFill="background1" w:themeFillShade="D9"/>
          </w:tcPr>
          <w:p w14:paraId="62515E5E" w14:textId="77777777" w:rsidR="00DC795D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D0D0D"/>
              </w:rPr>
            </w:pPr>
            <w:r w:rsidRPr="005E7775">
              <w:rPr>
                <w:rFonts w:cs="Arial"/>
                <w:b/>
                <w:bCs/>
                <w:color w:val="0D0D0D"/>
              </w:rPr>
              <w:t>Response</w:t>
            </w:r>
          </w:p>
        </w:tc>
      </w:tr>
      <w:tr w:rsidR="00DC795D" w:rsidRPr="0058134F" w14:paraId="3E228FF0" w14:textId="77777777" w:rsidTr="00476229">
        <w:tc>
          <w:tcPr>
            <w:tcW w:w="1988" w:type="pct"/>
          </w:tcPr>
          <w:p w14:paraId="5A8A7366" w14:textId="77777777" w:rsidR="00DC795D" w:rsidRPr="00DC795D" w:rsidRDefault="00291C1F" w:rsidP="0047509F">
            <w:pPr>
              <w:pStyle w:val="Heading4"/>
              <w:spacing w:before="120" w:after="120"/>
            </w:pPr>
            <w:r>
              <w:t>My doctor may change</w:t>
            </w:r>
          </w:p>
        </w:tc>
        <w:tc>
          <w:tcPr>
            <w:tcW w:w="3012" w:type="pct"/>
          </w:tcPr>
          <w:p w14:paraId="0C79F7C2" w14:textId="746E9A53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26DF455F" wp14:editId="40541320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 w:rsidRPr="004E689E">
              <w:rPr>
                <w:rFonts w:cs="Arial"/>
                <w:bCs/>
                <w:color w:val="000000"/>
              </w:rPr>
              <w:t xml:space="preserve"> If you change </w:t>
            </w:r>
            <w:r w:rsidR="00E96599" w:rsidRPr="004E689E">
              <w:rPr>
                <w:rFonts w:cs="Arial"/>
                <w:bCs/>
                <w:color w:val="000000"/>
              </w:rPr>
              <w:t>doctors,</w:t>
            </w:r>
            <w:r w:rsidR="00291C1F" w:rsidRPr="004E689E">
              <w:rPr>
                <w:rFonts w:cs="Arial"/>
                <w:bCs/>
                <w:color w:val="000000"/>
              </w:rPr>
              <w:t xml:space="preserve"> you may un-enroll any necessary prescriptions at any time and re-enroll the new pr</w:t>
            </w:r>
            <w:r w:rsidR="00476229" w:rsidRPr="004E689E">
              <w:rPr>
                <w:rFonts w:cs="Arial"/>
                <w:bCs/>
                <w:color w:val="000000"/>
              </w:rPr>
              <w:t>escription from the new doctor.</w:t>
            </w:r>
          </w:p>
        </w:tc>
      </w:tr>
      <w:tr w:rsidR="00DC795D" w:rsidRPr="0058134F" w14:paraId="4E5308EB" w14:textId="77777777" w:rsidTr="00476229">
        <w:tc>
          <w:tcPr>
            <w:tcW w:w="1988" w:type="pct"/>
          </w:tcPr>
          <w:p w14:paraId="4EF8C872" w14:textId="77777777" w:rsidR="00DC795D" w:rsidRPr="00DC795D" w:rsidRDefault="00291C1F" w:rsidP="0047509F">
            <w:pPr>
              <w:pStyle w:val="Heading4"/>
              <w:spacing w:before="120" w:after="120"/>
            </w:pPr>
            <w:r w:rsidRPr="00291C1F">
              <w:t xml:space="preserve">I changed carriers and my prescriptions are no longer enrolled in </w:t>
            </w:r>
            <w:r w:rsidR="001D2249">
              <w:t xml:space="preserve">the Auto Refill Program (ARP). </w:t>
            </w:r>
          </w:p>
        </w:tc>
        <w:tc>
          <w:tcPr>
            <w:tcW w:w="3012" w:type="pct"/>
          </w:tcPr>
          <w:p w14:paraId="392EAA96" w14:textId="75F38A99" w:rsidR="005723FF" w:rsidRPr="004E689E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4E45A6F2" wp14:editId="71CD8EFE">
                  <wp:extent cx="238125" cy="2095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 w:rsidRPr="004E689E">
              <w:rPr>
                <w:rFonts w:cs="Arial"/>
                <w:bCs/>
                <w:color w:val="000000"/>
              </w:rPr>
              <w:t xml:space="preserve"> If your new </w:t>
            </w:r>
            <w:r w:rsidR="008A7F8E" w:rsidRPr="004E689E">
              <w:rPr>
                <w:rFonts w:cs="Arial"/>
                <w:bCs/>
                <w:color w:val="000000"/>
              </w:rPr>
              <w:t xml:space="preserve">insurance </w:t>
            </w:r>
            <w:r w:rsidR="00291C1F" w:rsidRPr="004E689E">
              <w:rPr>
                <w:rFonts w:cs="Arial"/>
                <w:bCs/>
                <w:color w:val="000000"/>
              </w:rPr>
              <w:t xml:space="preserve">offers </w:t>
            </w:r>
            <w:r w:rsidR="001D2249" w:rsidRPr="004E689E">
              <w:rPr>
                <w:rFonts w:cs="Arial"/>
                <w:bCs/>
                <w:color w:val="000000"/>
              </w:rPr>
              <w:t>Auto Refill Program (ARP),</w:t>
            </w:r>
            <w:r w:rsidR="00291C1F" w:rsidRPr="004E689E">
              <w:rPr>
                <w:rFonts w:cs="Arial"/>
                <w:bCs/>
                <w:color w:val="000000"/>
              </w:rPr>
              <w:t xml:space="preserve"> then your prescriptions and preferences should carry over to the new carrier. </w:t>
            </w:r>
          </w:p>
        </w:tc>
      </w:tr>
    </w:tbl>
    <w:p w14:paraId="628A03B3" w14:textId="77777777" w:rsidR="00DC795D" w:rsidRDefault="00DC795D" w:rsidP="008154C2">
      <w:pPr>
        <w:spacing w:before="120" w:after="120"/>
      </w:pPr>
    </w:p>
    <w:p w14:paraId="63BCCC2E" w14:textId="77777777" w:rsidR="00D608B4" w:rsidRPr="0058134F" w:rsidRDefault="00000000" w:rsidP="008154C2">
      <w:pPr>
        <w:spacing w:before="120" w:after="120"/>
        <w:jc w:val="right"/>
      </w:pPr>
      <w:hyperlink w:anchor="_top" w:history="1">
        <w:r w:rsidR="00AC3FCA" w:rsidRPr="00AC3FC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4ACF260B" w14:textId="77777777" w:rsidTr="00F7587A">
        <w:tc>
          <w:tcPr>
            <w:tcW w:w="5000" w:type="pct"/>
            <w:shd w:val="clear" w:color="auto" w:fill="C0C0C0"/>
          </w:tcPr>
          <w:p w14:paraId="5CF1FEF7" w14:textId="77777777" w:rsidR="00D608B4" w:rsidRPr="0058134F" w:rsidRDefault="00D608B4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29178472"/>
            <w:r>
              <w:rPr>
                <w:rFonts w:ascii="Verdana" w:hAnsi="Verdana"/>
                <w:i w:val="0"/>
                <w:iCs w:val="0"/>
              </w:rPr>
              <w:t>Objections about Cost</w:t>
            </w:r>
            <w:r w:rsidR="00291C1F">
              <w:rPr>
                <w:rFonts w:ascii="Verdana" w:hAnsi="Verdana"/>
                <w:i w:val="0"/>
                <w:iCs w:val="0"/>
              </w:rPr>
              <w:t>/Payment</w:t>
            </w:r>
            <w:bookmarkEnd w:id="14"/>
          </w:p>
        </w:tc>
      </w:tr>
    </w:tbl>
    <w:p w14:paraId="5A559A11" w14:textId="77777777" w:rsidR="0047509F" w:rsidRDefault="0047509F" w:rsidP="008154C2">
      <w:pPr>
        <w:spacing w:before="120" w:after="120"/>
        <w:contextualSpacing/>
      </w:pPr>
    </w:p>
    <w:p w14:paraId="07F34572" w14:textId="645635AA" w:rsidR="005723FF" w:rsidRPr="00DC795D" w:rsidRDefault="00D608B4" w:rsidP="0047509F">
      <w:pPr>
        <w:spacing w:before="120" w:after="120"/>
      </w:pPr>
      <w:r>
        <w:t xml:space="preserve">In the examples below, the member is expressing concerns about the cost of moving their prescriptions </w:t>
      </w:r>
      <w:r w:rsidR="00291C1F">
        <w:t>to</w:t>
      </w:r>
      <w:r>
        <w:t xml:space="preserve"> </w:t>
      </w:r>
      <w:r w:rsidR="001D2249">
        <w:t xml:space="preserve">the Auto Refill Program (ARP).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DC795D" w:rsidRPr="0058134F" w14:paraId="50BBDA12" w14:textId="77777777" w:rsidTr="008154C2">
        <w:tc>
          <w:tcPr>
            <w:tcW w:w="1988" w:type="pct"/>
            <w:shd w:val="clear" w:color="auto" w:fill="D9D9D9" w:themeFill="background1" w:themeFillShade="D9"/>
          </w:tcPr>
          <w:p w14:paraId="1ABBEAE7" w14:textId="77777777" w:rsidR="00DC795D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5E7775">
              <w:rPr>
                <w:rFonts w:cs="Arial"/>
                <w:b/>
                <w:bCs/>
                <w:color w:val="000000"/>
              </w:rPr>
              <w:t>Objection</w:t>
            </w:r>
          </w:p>
        </w:tc>
        <w:tc>
          <w:tcPr>
            <w:tcW w:w="3012" w:type="pct"/>
            <w:shd w:val="clear" w:color="auto" w:fill="D9D9D9" w:themeFill="background1" w:themeFillShade="D9"/>
          </w:tcPr>
          <w:p w14:paraId="362F5425" w14:textId="77777777" w:rsidR="00DC795D" w:rsidRPr="005E7775" w:rsidRDefault="00DC795D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5E7775">
              <w:rPr>
                <w:rFonts w:cs="Arial"/>
                <w:b/>
                <w:bCs/>
                <w:color w:val="000000"/>
              </w:rPr>
              <w:t>Response</w:t>
            </w:r>
          </w:p>
        </w:tc>
      </w:tr>
      <w:tr w:rsidR="00DC795D" w:rsidRPr="0058134F" w14:paraId="40ED70D8" w14:textId="77777777" w:rsidTr="65611FA0">
        <w:tc>
          <w:tcPr>
            <w:tcW w:w="1988" w:type="pct"/>
          </w:tcPr>
          <w:p w14:paraId="51A9BB15" w14:textId="428B2FD9" w:rsidR="00DC795D" w:rsidRPr="00DC795D" w:rsidRDefault="00291C1F" w:rsidP="0047509F">
            <w:pPr>
              <w:pStyle w:val="Heading4"/>
              <w:spacing w:before="120" w:after="120"/>
            </w:pPr>
            <w:r>
              <w:t>I d</w:t>
            </w:r>
            <w:r w:rsidR="405E98FA">
              <w:t xml:space="preserve">o </w:t>
            </w:r>
            <w:bookmarkStart w:id="15" w:name="_Int_H9o5tXZJ"/>
            <w:r w:rsidR="405E98FA">
              <w:t>not</w:t>
            </w:r>
            <w:r>
              <w:t xml:space="preserve"> have</w:t>
            </w:r>
            <w:bookmarkEnd w:id="15"/>
            <w:r>
              <w:t xml:space="preserve"> the money for automatic payments to come out of my account.</w:t>
            </w:r>
          </w:p>
        </w:tc>
        <w:tc>
          <w:tcPr>
            <w:tcW w:w="3012" w:type="pct"/>
          </w:tcPr>
          <w:p w14:paraId="777AE699" w14:textId="69178AF9" w:rsidR="00DC795D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noProof/>
                <w:color w:val="0D0D0D"/>
              </w:rPr>
              <w:drawing>
                <wp:inline distT="0" distB="0" distL="0" distR="0" wp14:anchorId="355398B9" wp14:editId="74497176">
                  <wp:extent cx="238125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23FF" w:rsidRPr="005E7775">
              <w:rPr>
                <w:color w:val="0D0D0D"/>
              </w:rPr>
              <w:t xml:space="preserve"> </w:t>
            </w:r>
            <w:r w:rsidR="00291C1F" w:rsidRPr="005E7775">
              <w:rPr>
                <w:rFonts w:cs="Arial"/>
                <w:bCs/>
                <w:color w:val="0D0D0D"/>
              </w:rPr>
              <w:t>We have several payment options that could help</w:t>
            </w:r>
            <w:r w:rsidR="00934B4D" w:rsidRPr="005E7775">
              <w:rPr>
                <w:rFonts w:cs="Arial"/>
                <w:bCs/>
                <w:color w:val="0D0D0D"/>
              </w:rPr>
              <w:t xml:space="preserve">. </w:t>
            </w:r>
            <w:r w:rsidR="00291C1F" w:rsidRPr="005E7775">
              <w:rPr>
                <w:rFonts w:cs="Arial"/>
                <w:bCs/>
                <w:color w:val="0D0D0D"/>
              </w:rPr>
              <w:t>We also accept all major credit cards</w:t>
            </w:r>
            <w:r w:rsidR="00B5226B" w:rsidRPr="005E7775">
              <w:rPr>
                <w:rFonts w:cs="Arial"/>
                <w:bCs/>
                <w:color w:val="0D0D0D"/>
              </w:rPr>
              <w:t xml:space="preserve"> and</w:t>
            </w:r>
            <w:r w:rsidR="00291C1F" w:rsidRPr="005E7775">
              <w:rPr>
                <w:rFonts w:cs="Arial"/>
                <w:bCs/>
                <w:color w:val="0D0D0D"/>
              </w:rPr>
              <w:t xml:space="preserve"> electronic checks</w:t>
            </w:r>
            <w:r w:rsidR="00934B4D" w:rsidRPr="005E7775">
              <w:rPr>
                <w:rFonts w:cs="Arial"/>
                <w:bCs/>
                <w:color w:val="0D0D0D"/>
              </w:rPr>
              <w:t>.</w:t>
            </w:r>
            <w:r w:rsidR="00934B4D">
              <w:rPr>
                <w:rFonts w:cs="Arial"/>
                <w:bCs/>
                <w:color w:val="333333"/>
              </w:rPr>
              <w:t xml:space="preserve"> </w:t>
            </w:r>
          </w:p>
        </w:tc>
      </w:tr>
      <w:tr w:rsidR="00DC795D" w:rsidRPr="0058134F" w14:paraId="22F15AD1" w14:textId="77777777" w:rsidTr="65611FA0">
        <w:tc>
          <w:tcPr>
            <w:tcW w:w="1988" w:type="pct"/>
          </w:tcPr>
          <w:p w14:paraId="700EF2A5" w14:textId="473B6D90" w:rsidR="00DC795D" w:rsidRPr="00DC795D" w:rsidRDefault="00291C1F" w:rsidP="0047509F">
            <w:pPr>
              <w:pStyle w:val="Heading4"/>
              <w:spacing w:before="120" w:after="120"/>
            </w:pPr>
            <w:r>
              <w:t xml:space="preserve">I </w:t>
            </w:r>
            <w:r w:rsidR="2903DB58">
              <w:t>do not</w:t>
            </w:r>
            <w:r>
              <w:t xml:space="preserve"> want you to automatically charge my account. </w:t>
            </w:r>
          </w:p>
        </w:tc>
        <w:tc>
          <w:tcPr>
            <w:tcW w:w="3012" w:type="pct"/>
          </w:tcPr>
          <w:p w14:paraId="087F9E87" w14:textId="4DE717DC" w:rsidR="005723FF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6316B5C4" wp14:editId="149C3FE0">
                  <wp:extent cx="238125" cy="209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1C1F">
              <w:t xml:space="preserve"> </w:t>
            </w:r>
            <w:r w:rsidR="698ED3B2">
              <w:t>T</w:t>
            </w:r>
            <w:r w:rsidR="5E0E1FDA">
              <w:t xml:space="preserve">he program requires a payment method to be on file for ease of process. If there is a medication that you do not take regularly it does not have to be enrolled. Medications that you expect to </w:t>
            </w:r>
            <w:r w:rsidR="005E7775">
              <w:t>receive</w:t>
            </w:r>
            <w:r w:rsidR="5E0E1FDA">
              <w:t xml:space="preserve"> on a regular basis will process in a timely order to prevent you </w:t>
            </w:r>
            <w:r w:rsidR="5E0E1FDA" w:rsidRPr="65611FA0">
              <w:rPr>
                <w:color w:val="000000" w:themeColor="text1"/>
              </w:rPr>
              <w:t xml:space="preserve">from running low. </w:t>
            </w:r>
            <w:bookmarkStart w:id="16" w:name="_Int_SarU1FVH"/>
            <w:r w:rsidR="00291C1F" w:rsidRPr="65611FA0">
              <w:rPr>
                <w:rFonts w:cs="Arial"/>
                <w:color w:val="000000" w:themeColor="text1"/>
              </w:rPr>
              <w:t xml:space="preserve">We </w:t>
            </w:r>
            <w:r w:rsidR="354BF8E8" w:rsidRPr="65611FA0">
              <w:rPr>
                <w:rFonts w:cs="Arial"/>
                <w:color w:val="000000" w:themeColor="text1"/>
              </w:rPr>
              <w:t>will always contact you with intent to fill, at which time you can inform us to proceed or hold the refill for a later date.</w:t>
            </w:r>
            <w:bookmarkEnd w:id="16"/>
            <w:r w:rsidR="5E0E1FDA" w:rsidRPr="65611FA0">
              <w:rPr>
                <w:rFonts w:cs="Arial"/>
                <w:color w:val="000000" w:themeColor="text1"/>
              </w:rPr>
              <w:t xml:space="preserve"> We </w:t>
            </w:r>
            <w:r w:rsidR="00291C1F" w:rsidRPr="65611FA0">
              <w:rPr>
                <w:rFonts w:cs="Arial"/>
                <w:color w:val="000000" w:themeColor="text1"/>
              </w:rPr>
              <w:t>have several payment options that could help</w:t>
            </w:r>
            <w:r w:rsidR="06B05072" w:rsidRPr="65611FA0">
              <w:rPr>
                <w:rFonts w:cs="Arial"/>
                <w:color w:val="000000" w:themeColor="text1"/>
              </w:rPr>
              <w:t xml:space="preserve">. </w:t>
            </w:r>
            <w:r w:rsidR="00291C1F" w:rsidRPr="65611FA0">
              <w:rPr>
                <w:rFonts w:cs="Arial"/>
                <w:color w:val="000000" w:themeColor="text1"/>
              </w:rPr>
              <w:t>We accept all major credit cards as well as electronic checks.</w:t>
            </w:r>
          </w:p>
        </w:tc>
      </w:tr>
      <w:tr w:rsidR="00DC795D" w:rsidRPr="0058134F" w14:paraId="09951B3C" w14:textId="77777777" w:rsidTr="65611FA0">
        <w:tc>
          <w:tcPr>
            <w:tcW w:w="1988" w:type="pct"/>
          </w:tcPr>
          <w:p w14:paraId="2035B921" w14:textId="358B3800" w:rsidR="00DC795D" w:rsidRPr="00DC795D" w:rsidRDefault="00291C1F" w:rsidP="0047509F">
            <w:pPr>
              <w:pStyle w:val="Heading4"/>
              <w:spacing w:before="120" w:after="120"/>
            </w:pPr>
            <w:r>
              <w:t xml:space="preserve">I </w:t>
            </w:r>
            <w:r w:rsidR="46C67FD2">
              <w:t>do not</w:t>
            </w:r>
            <w:r>
              <w:t xml:space="preserve"> like the fact that my credit-card needs to be pre-authorized before my prescription gets shipped (~23 days each time </w:t>
            </w:r>
            <w:r w:rsidR="005E6EED">
              <w:t>ARP</w:t>
            </w:r>
            <w:r>
              <w:t xml:space="preserve"> order is processed).</w:t>
            </w:r>
          </w:p>
        </w:tc>
        <w:tc>
          <w:tcPr>
            <w:tcW w:w="3012" w:type="pct"/>
          </w:tcPr>
          <w:p w14:paraId="480BD91D" w14:textId="6AE2463D" w:rsidR="00DC795D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3FF20A27" wp14:editId="246FAA3A">
                  <wp:extent cx="238125" cy="2095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C1F">
              <w:rPr>
                <w:rFonts w:cs="Arial"/>
                <w:bCs/>
                <w:color w:val="333333"/>
              </w:rPr>
              <w:t xml:space="preserve"> </w:t>
            </w:r>
            <w:r w:rsidR="00291C1F" w:rsidRPr="005E7775">
              <w:rPr>
                <w:color w:val="0D0D0D"/>
              </w:rPr>
              <w:t xml:space="preserve">I understand your </w:t>
            </w:r>
            <w:r w:rsidR="00B5226B" w:rsidRPr="005E7775">
              <w:rPr>
                <w:color w:val="0D0D0D"/>
              </w:rPr>
              <w:t>concern;</w:t>
            </w:r>
            <w:r w:rsidR="00291C1F" w:rsidRPr="005E7775">
              <w:rPr>
                <w:color w:val="0D0D0D"/>
              </w:rPr>
              <w:t xml:space="preserve"> however, t</w:t>
            </w:r>
            <w:r w:rsidR="00291C1F" w:rsidRPr="005E7775">
              <w:rPr>
                <w:rFonts w:cs="Arial"/>
                <w:bCs/>
                <w:color w:val="0D0D0D"/>
              </w:rPr>
              <w:t xml:space="preserve">his is a standard business practice that applies to all prescriptions filled at mail, not just those enrolled in </w:t>
            </w:r>
            <w:r w:rsidR="001D2249" w:rsidRPr="005E7775">
              <w:rPr>
                <w:rFonts w:cs="Arial"/>
                <w:bCs/>
                <w:color w:val="0D0D0D"/>
              </w:rPr>
              <w:t xml:space="preserve">the Auto Refill Program (ARP). </w:t>
            </w:r>
            <w:r w:rsidR="00E55286" w:rsidRPr="005E7775">
              <w:rPr>
                <w:rFonts w:cs="Arial"/>
                <w:bCs/>
                <w:color w:val="0D0D0D"/>
              </w:rPr>
              <w:t>Your card will not be charged until the order ships.</w:t>
            </w:r>
            <w:r w:rsidR="00E55286">
              <w:rPr>
                <w:rFonts w:cs="Arial"/>
                <w:bCs/>
                <w:color w:val="333333"/>
              </w:rPr>
              <w:t xml:space="preserve"> </w:t>
            </w:r>
          </w:p>
        </w:tc>
      </w:tr>
    </w:tbl>
    <w:p w14:paraId="38427D47" w14:textId="77777777" w:rsidR="001F5947" w:rsidRDefault="001F5947" w:rsidP="008154C2">
      <w:pPr>
        <w:spacing w:before="120" w:after="120"/>
        <w:rPr>
          <w:b/>
        </w:rPr>
      </w:pPr>
    </w:p>
    <w:p w14:paraId="69CCD446" w14:textId="77777777" w:rsidR="00C35B18" w:rsidRPr="0058134F" w:rsidRDefault="00000000" w:rsidP="008154C2">
      <w:pPr>
        <w:spacing w:before="120" w:after="120"/>
        <w:jc w:val="right"/>
      </w:pPr>
      <w:hyperlink w:anchor="_top" w:history="1">
        <w:r w:rsidR="00AC3FCA" w:rsidRPr="00AC3FC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35B18" w:rsidRPr="0058134F" w14:paraId="6175E4DB" w14:textId="77777777" w:rsidTr="003E7D1F">
        <w:tc>
          <w:tcPr>
            <w:tcW w:w="5000" w:type="pct"/>
            <w:shd w:val="clear" w:color="auto" w:fill="C0C0C0"/>
          </w:tcPr>
          <w:p w14:paraId="71F86635" w14:textId="77777777" w:rsidR="00C35B18" w:rsidRPr="0058134F" w:rsidRDefault="00C35B18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29178473"/>
            <w:r>
              <w:rPr>
                <w:rFonts w:ascii="Verdana" w:hAnsi="Verdana"/>
                <w:i w:val="0"/>
                <w:iCs w:val="0"/>
              </w:rPr>
              <w:t>Objections about Past Issues with the Program</w:t>
            </w:r>
            <w:bookmarkEnd w:id="17"/>
          </w:p>
        </w:tc>
      </w:tr>
    </w:tbl>
    <w:p w14:paraId="0EC7E0A7" w14:textId="77777777" w:rsidR="0047509F" w:rsidRDefault="0047509F" w:rsidP="008154C2">
      <w:pPr>
        <w:spacing w:before="120" w:after="120"/>
        <w:contextualSpacing/>
      </w:pPr>
    </w:p>
    <w:p w14:paraId="02D98B17" w14:textId="144D71D4" w:rsidR="005723FF" w:rsidRPr="00DC795D" w:rsidRDefault="00C35B18" w:rsidP="0047509F">
      <w:pPr>
        <w:spacing w:before="120" w:after="120"/>
      </w:pPr>
      <w:r>
        <w:t xml:space="preserve">In the examples below, the </w:t>
      </w:r>
      <w:r w:rsidR="335633B3">
        <w:t>members are</w:t>
      </w:r>
      <w:r>
        <w:t xml:space="preserve"> expressing concerns about repeating complications they experience</w:t>
      </w:r>
      <w:r w:rsidR="00827455">
        <w:t>d</w:t>
      </w:r>
      <w:r>
        <w:t xml:space="preserve"> when participating in the </w:t>
      </w:r>
      <w:r w:rsidR="001D2249">
        <w:t xml:space="preserve">Auto Refill Program (ARP) </w:t>
      </w:r>
      <w:r>
        <w:t>in the past.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C35B18" w:rsidRPr="0058134F" w14:paraId="1B875F3B" w14:textId="77777777" w:rsidTr="008154C2">
        <w:tc>
          <w:tcPr>
            <w:tcW w:w="1988" w:type="pct"/>
            <w:shd w:val="clear" w:color="auto" w:fill="D9D9D9" w:themeFill="background1" w:themeFillShade="D9"/>
          </w:tcPr>
          <w:p w14:paraId="6EB9A98D" w14:textId="77777777" w:rsidR="00C35B18" w:rsidRPr="004E689E" w:rsidRDefault="00C35B18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4E689E">
              <w:rPr>
                <w:rFonts w:cs="Arial"/>
                <w:b/>
                <w:bCs/>
                <w:color w:val="000000"/>
              </w:rPr>
              <w:t>Objection</w:t>
            </w:r>
          </w:p>
        </w:tc>
        <w:tc>
          <w:tcPr>
            <w:tcW w:w="3012" w:type="pct"/>
            <w:shd w:val="clear" w:color="auto" w:fill="D9D9D9" w:themeFill="background1" w:themeFillShade="D9"/>
          </w:tcPr>
          <w:p w14:paraId="63AA68E7" w14:textId="77777777" w:rsidR="00C35B18" w:rsidRPr="004E689E" w:rsidRDefault="00C35B18" w:rsidP="0047509F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000000"/>
              </w:rPr>
            </w:pPr>
            <w:r w:rsidRPr="004E689E">
              <w:rPr>
                <w:rFonts w:cs="Arial"/>
                <w:b/>
                <w:bCs/>
                <w:color w:val="000000"/>
              </w:rPr>
              <w:t>Response</w:t>
            </w:r>
          </w:p>
        </w:tc>
      </w:tr>
      <w:tr w:rsidR="00C35B18" w:rsidRPr="0058134F" w14:paraId="17BA9F8E" w14:textId="77777777" w:rsidTr="00320ADC">
        <w:tc>
          <w:tcPr>
            <w:tcW w:w="1988" w:type="pct"/>
          </w:tcPr>
          <w:p w14:paraId="335D10D5" w14:textId="77777777" w:rsidR="00C35B18" w:rsidRDefault="00C35B18" w:rsidP="0047509F">
            <w:pPr>
              <w:pStyle w:val="Heading4"/>
              <w:spacing w:before="120" w:after="120"/>
            </w:pPr>
            <w:r w:rsidRPr="00291C1F">
              <w:t>I d</w:t>
            </w:r>
            <w:r>
              <w:t>idn</w:t>
            </w:r>
            <w:r w:rsidRPr="00291C1F">
              <w:t xml:space="preserve">’t get notified when my prescription </w:t>
            </w:r>
            <w:r>
              <w:t xml:space="preserve">was </w:t>
            </w:r>
            <w:r w:rsidRPr="00291C1F">
              <w:t>about to be auto refilled or auto renewed</w:t>
            </w:r>
          </w:p>
        </w:tc>
        <w:tc>
          <w:tcPr>
            <w:tcW w:w="3012" w:type="pct"/>
          </w:tcPr>
          <w:p w14:paraId="145B9047" w14:textId="7A148065" w:rsidR="005723FF" w:rsidRPr="005E7775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11B5B92A" wp14:editId="29C9BA2B">
                  <wp:extent cx="238125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5B18" w:rsidRPr="005E7775">
              <w:rPr>
                <w:rFonts w:cs="Arial"/>
                <w:bCs/>
                <w:color w:val="000000"/>
              </w:rPr>
              <w:t xml:space="preserve"> Members who sign up for the </w:t>
            </w:r>
            <w:r w:rsidR="00947A0C" w:rsidRPr="005E7775">
              <w:rPr>
                <w:rFonts w:cs="Arial"/>
                <w:bCs/>
                <w:color w:val="000000"/>
              </w:rPr>
              <w:t xml:space="preserve">Auto Refill Program (ARP) </w:t>
            </w:r>
            <w:r w:rsidR="00C35B18" w:rsidRPr="005E7775">
              <w:rPr>
                <w:rFonts w:cs="Arial"/>
                <w:bCs/>
                <w:color w:val="000000"/>
              </w:rPr>
              <w:t>will also sign up to receive automated messages via phone (IVR), e-mail, or text to alert them of their prescription status</w:t>
            </w:r>
            <w:r w:rsidR="00934B4D" w:rsidRPr="005E7775">
              <w:rPr>
                <w:rFonts w:cs="Arial"/>
                <w:bCs/>
                <w:color w:val="000000"/>
              </w:rPr>
              <w:t xml:space="preserve">. </w:t>
            </w:r>
          </w:p>
        </w:tc>
      </w:tr>
      <w:tr w:rsidR="00C35B18" w:rsidRPr="0058134F" w14:paraId="65AB2336" w14:textId="77777777" w:rsidTr="00320ADC">
        <w:tc>
          <w:tcPr>
            <w:tcW w:w="1988" w:type="pct"/>
          </w:tcPr>
          <w:p w14:paraId="6D87C10E" w14:textId="7F8E8D3C" w:rsidR="00C35B18" w:rsidRPr="00DC795D" w:rsidRDefault="00934B4D" w:rsidP="0047509F">
            <w:pPr>
              <w:pStyle w:val="Heading4"/>
              <w:spacing w:before="120" w:after="120"/>
            </w:pPr>
            <w:r>
              <w:t>I have</w:t>
            </w:r>
            <w:r w:rsidR="00C35B18">
              <w:t xml:space="preserve"> used this program in the past and I </w:t>
            </w:r>
            <w:proofErr w:type="gramStart"/>
            <w:r w:rsidR="00C35B18">
              <w:t>didn’t</w:t>
            </w:r>
            <w:proofErr w:type="gramEnd"/>
            <w:r w:rsidR="00C35B18">
              <w:t xml:space="preserve"> get my prescriptions on time.</w:t>
            </w:r>
          </w:p>
        </w:tc>
        <w:tc>
          <w:tcPr>
            <w:tcW w:w="3012" w:type="pct"/>
          </w:tcPr>
          <w:p w14:paraId="0C063851" w14:textId="7E29535E" w:rsidR="00C35B18" w:rsidRPr="005E7775" w:rsidRDefault="00A02093" w:rsidP="0047509F">
            <w:pPr>
              <w:spacing w:before="120" w:after="120" w:line="240" w:lineRule="atLeast"/>
              <w:textAlignment w:val="top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794801C2" wp14:editId="7F33B811">
                  <wp:extent cx="238125" cy="209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5B18" w:rsidRPr="005E7775">
              <w:rPr>
                <w:rFonts w:cs="Arial"/>
                <w:bCs/>
                <w:color w:val="000000"/>
              </w:rPr>
              <w:t xml:space="preserve"> There have been some issues in the past </w:t>
            </w:r>
            <w:r w:rsidR="00401061" w:rsidRPr="005E7775">
              <w:rPr>
                <w:rFonts w:cs="Arial"/>
                <w:bCs/>
                <w:color w:val="000000"/>
              </w:rPr>
              <w:t>with auto</w:t>
            </w:r>
            <w:r w:rsidR="00C35B18" w:rsidRPr="005E7775">
              <w:rPr>
                <w:rFonts w:cs="Arial"/>
                <w:bCs/>
                <w:color w:val="000000"/>
              </w:rPr>
              <w:t>-</w:t>
            </w:r>
            <w:r w:rsidR="00631F52" w:rsidRPr="005E7775">
              <w:rPr>
                <w:rFonts w:cs="Arial"/>
                <w:bCs/>
                <w:color w:val="000000"/>
              </w:rPr>
              <w:t xml:space="preserve">renewed </w:t>
            </w:r>
            <w:r w:rsidR="00C35B18" w:rsidRPr="005E7775">
              <w:rPr>
                <w:rFonts w:cs="Arial"/>
                <w:bCs/>
                <w:color w:val="000000"/>
              </w:rPr>
              <w:t xml:space="preserve">prescriptions that were not automatically enrolled in </w:t>
            </w:r>
            <w:r w:rsidR="00631F52" w:rsidRPr="005E7775">
              <w:rPr>
                <w:rFonts w:cs="Arial"/>
                <w:bCs/>
                <w:color w:val="000000"/>
              </w:rPr>
              <w:t>auto</w:t>
            </w:r>
            <w:r w:rsidR="00C35B18" w:rsidRPr="005E7775">
              <w:rPr>
                <w:rFonts w:cs="Arial"/>
                <w:bCs/>
                <w:color w:val="000000"/>
              </w:rPr>
              <w:t>-</w:t>
            </w:r>
            <w:r w:rsidR="00631F52" w:rsidRPr="005E7775">
              <w:rPr>
                <w:rFonts w:cs="Arial"/>
                <w:bCs/>
                <w:color w:val="000000"/>
              </w:rPr>
              <w:t xml:space="preserve">refill </w:t>
            </w:r>
            <w:r w:rsidR="00C35B18" w:rsidRPr="005E7775">
              <w:rPr>
                <w:rFonts w:cs="Arial"/>
                <w:bCs/>
                <w:color w:val="000000"/>
              </w:rPr>
              <w:t xml:space="preserve">as well as some prescriptions that were held </w:t>
            </w:r>
            <w:r w:rsidR="00631F52" w:rsidRPr="005E7775">
              <w:rPr>
                <w:rFonts w:cs="Arial"/>
                <w:bCs/>
                <w:color w:val="000000"/>
              </w:rPr>
              <w:t>because of</w:t>
            </w:r>
            <w:r w:rsidR="00C35B18" w:rsidRPr="005E7775">
              <w:rPr>
                <w:rFonts w:cs="Arial"/>
                <w:bCs/>
                <w:color w:val="000000"/>
              </w:rPr>
              <w:t xml:space="preserve"> a limited supply</w:t>
            </w:r>
            <w:r w:rsidR="00F4310A" w:rsidRPr="005E7775">
              <w:rPr>
                <w:rFonts w:cs="Arial"/>
                <w:bCs/>
                <w:color w:val="000000"/>
              </w:rPr>
              <w:t>.</w:t>
            </w:r>
            <w:r w:rsidR="0006025A" w:rsidRPr="005E7775">
              <w:rPr>
                <w:rFonts w:cs="Arial"/>
                <w:bCs/>
                <w:color w:val="000000"/>
              </w:rPr>
              <w:t xml:space="preserve"> With the help of our member’s feedback</w:t>
            </w:r>
            <w:r w:rsidR="00C35B18" w:rsidRPr="005E7775">
              <w:rPr>
                <w:rFonts w:cs="Arial"/>
                <w:bCs/>
                <w:color w:val="000000"/>
              </w:rPr>
              <w:t xml:space="preserve"> </w:t>
            </w:r>
            <w:r w:rsidR="0006025A" w:rsidRPr="005E7775">
              <w:rPr>
                <w:rFonts w:cs="Arial"/>
                <w:bCs/>
                <w:color w:val="000000"/>
              </w:rPr>
              <w:t>t</w:t>
            </w:r>
            <w:r w:rsidR="00C35B18" w:rsidRPr="005E7775">
              <w:rPr>
                <w:rFonts w:cs="Arial"/>
                <w:bCs/>
                <w:color w:val="000000"/>
              </w:rPr>
              <w:t>hese issue</w:t>
            </w:r>
            <w:r w:rsidR="00876997" w:rsidRPr="005E7775">
              <w:rPr>
                <w:rFonts w:cs="Arial"/>
                <w:bCs/>
                <w:color w:val="000000"/>
              </w:rPr>
              <w:t>s</w:t>
            </w:r>
            <w:r w:rsidR="00C35B18" w:rsidRPr="005E7775">
              <w:rPr>
                <w:rFonts w:cs="Arial"/>
                <w:bCs/>
                <w:color w:val="000000"/>
              </w:rPr>
              <w:t xml:space="preserve"> ha</w:t>
            </w:r>
            <w:r w:rsidR="00876997" w:rsidRPr="005E7775">
              <w:rPr>
                <w:rFonts w:cs="Arial"/>
                <w:bCs/>
                <w:color w:val="000000"/>
              </w:rPr>
              <w:t>ve</w:t>
            </w:r>
            <w:r w:rsidR="00C35B18" w:rsidRPr="005E7775">
              <w:rPr>
                <w:rFonts w:cs="Arial"/>
                <w:bCs/>
                <w:color w:val="000000"/>
              </w:rPr>
              <w:t xml:space="preserve"> </w:t>
            </w:r>
            <w:r w:rsidR="00F4310A" w:rsidRPr="005E7775">
              <w:rPr>
                <w:rFonts w:cs="Arial"/>
                <w:bCs/>
                <w:color w:val="000000"/>
              </w:rPr>
              <w:t xml:space="preserve">since </w:t>
            </w:r>
            <w:r w:rsidR="00C35B18" w:rsidRPr="005E7775">
              <w:rPr>
                <w:rFonts w:cs="Arial"/>
                <w:bCs/>
                <w:color w:val="000000"/>
              </w:rPr>
              <w:t xml:space="preserve">been corrected and you should </w:t>
            </w:r>
            <w:r w:rsidR="00476229" w:rsidRPr="005E7775">
              <w:rPr>
                <w:rFonts w:cs="Arial"/>
                <w:bCs/>
                <w:color w:val="000000"/>
              </w:rPr>
              <w:t>not experience this any longer.</w:t>
            </w:r>
          </w:p>
        </w:tc>
      </w:tr>
    </w:tbl>
    <w:p w14:paraId="7172B9C3" w14:textId="77777777" w:rsidR="005E7775" w:rsidRDefault="005E7775" w:rsidP="008154C2">
      <w:pPr>
        <w:spacing w:before="120" w:after="120"/>
        <w:jc w:val="right"/>
      </w:pPr>
    </w:p>
    <w:p w14:paraId="594D644D" w14:textId="77777777" w:rsidR="00320ADC" w:rsidRPr="0058134F" w:rsidRDefault="00000000" w:rsidP="008154C2">
      <w:pPr>
        <w:spacing w:before="120" w:after="120"/>
        <w:jc w:val="right"/>
      </w:pPr>
      <w:hyperlink w:anchor="_top" w:history="1">
        <w:r w:rsidR="00320ADC" w:rsidRPr="00AC3FC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20ADC" w:rsidRPr="0058134F" w14:paraId="6F542C98" w14:textId="77777777" w:rsidTr="005E7775">
        <w:tc>
          <w:tcPr>
            <w:tcW w:w="5000" w:type="pct"/>
            <w:shd w:val="clear" w:color="auto" w:fill="C0C0C0"/>
          </w:tcPr>
          <w:p w14:paraId="090DBE8F" w14:textId="77777777" w:rsidR="00320ADC" w:rsidRPr="0058134F" w:rsidRDefault="001A4FC9" w:rsidP="0047509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Toc12917847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0B3FA959" w14:textId="65617B20" w:rsidR="005E7775" w:rsidRPr="00CC5B1B" w:rsidRDefault="003F71D5" w:rsidP="0047509F">
      <w:pPr>
        <w:spacing w:before="120" w:after="120"/>
        <w:rPr>
          <w:rStyle w:val="Hyperlink"/>
        </w:rPr>
      </w:pPr>
      <w:r w:rsidRPr="00CC5B1B">
        <w:fldChar w:fldCharType="begin"/>
      </w:r>
      <w:r>
        <w:instrText xml:space="preserve"> HYPERLINK "https://thesource.cvshealth.com/nuxeo/thesource/" \l "!/view?docid=c1f1028b-e42c-4b4f-a4cf-cc0b42c91606" </w:instrText>
      </w:r>
      <w:r w:rsidRPr="00CC5B1B">
        <w:fldChar w:fldCharType="separate"/>
      </w:r>
      <w:hyperlink r:id="rId12" w:history="1">
        <w:r w:rsidR="77353AF3" w:rsidRPr="65611FA0">
          <w:rPr>
            <w:rStyle w:val="Hyperlink"/>
          </w:rPr>
          <w:t>Customer Care Abbreviations, Definitions, and Terms Index (017428)</w:t>
        </w:r>
      </w:hyperlink>
    </w:p>
    <w:p w14:paraId="5501F6D0" w14:textId="65CB65FC" w:rsidR="00CC5B1B" w:rsidRPr="00CC5B1B" w:rsidRDefault="003F71D5" w:rsidP="0047509F">
      <w:pPr>
        <w:spacing w:before="120" w:after="120"/>
      </w:pPr>
      <w:r w:rsidRPr="00CC5B1B">
        <w:fldChar w:fldCharType="end"/>
      </w:r>
      <w:hyperlink r:id="rId13" w:anchor="!/view?docid=b510d26d-53b6-4e35-9b9b-579ecd1815db" w:history="1">
        <w:r w:rsidR="0047509F">
          <w:rPr>
            <w:rStyle w:val="Hyperlink"/>
            <w:rFonts w:cs="Helvetica"/>
            <w:shd w:val="clear" w:color="auto" w:fill="FFFFFF"/>
          </w:rPr>
          <w:t>Customer Care Abbreviations, Definitions and Terms - A (051665)</w:t>
        </w:r>
      </w:hyperlink>
    </w:p>
    <w:p w14:paraId="6AB68229" w14:textId="6D221CDF" w:rsidR="00F57503" w:rsidRPr="00F57503" w:rsidRDefault="00000000" w:rsidP="0047509F">
      <w:pPr>
        <w:spacing w:before="120" w:after="120"/>
      </w:pPr>
      <w:hyperlink r:id="rId14" w:anchor="!/view?docid=882db71b-67fb-4521-8de7-6026d47b7191" w:history="1">
        <w:r w:rsidR="0047509F">
          <w:rPr>
            <w:rStyle w:val="Hyperlink"/>
            <w:rFonts w:cs="Helvetica"/>
            <w:shd w:val="clear" w:color="auto" w:fill="FFFFFF"/>
          </w:rPr>
          <w:t>Customer Care Abbreviations, Definitions and Terms - E (051673)</w:t>
        </w:r>
      </w:hyperlink>
    </w:p>
    <w:p w14:paraId="047EEC92" w14:textId="1CDB5DAF" w:rsidR="00C53787" w:rsidRPr="00C53787" w:rsidRDefault="00000000" w:rsidP="0047509F">
      <w:pPr>
        <w:spacing w:before="120" w:after="120"/>
      </w:pPr>
      <w:hyperlink r:id="rId15" w:anchor="!/view?docid=7980fd12-104b-4071-94f5-3dee9c060cb0" w:history="1">
        <w:r w:rsidR="0047509F">
          <w:rPr>
            <w:rStyle w:val="Hyperlink"/>
            <w:rFonts w:cs="Helvetica"/>
            <w:shd w:val="clear" w:color="auto" w:fill="FFFFFF"/>
          </w:rPr>
          <w:t>Customer Care Abbreviations, Definitions and Terms - I (051681)</w:t>
        </w:r>
      </w:hyperlink>
    </w:p>
    <w:p w14:paraId="245084FD" w14:textId="3F6799AA" w:rsidR="00320ADC" w:rsidRPr="001A4FC9" w:rsidRDefault="001A4FC9" w:rsidP="0047509F">
      <w:pPr>
        <w:spacing w:before="120" w:after="120"/>
        <w:rPr>
          <w:b/>
        </w:rPr>
      </w:pPr>
      <w:r w:rsidRPr="001A4FC9">
        <w:rPr>
          <w:b/>
        </w:rPr>
        <w:t xml:space="preserve">Parent </w:t>
      </w:r>
      <w:r w:rsidR="00CD0DD7">
        <w:rPr>
          <w:b/>
        </w:rPr>
        <w:t>Documents</w:t>
      </w:r>
      <w:r w:rsidRPr="001A4FC9">
        <w:rPr>
          <w:b/>
        </w:rPr>
        <w:t>:</w:t>
      </w:r>
      <w:r>
        <w:rPr>
          <w:b/>
        </w:rPr>
        <w:t xml:space="preserve"> </w:t>
      </w:r>
      <w:hyperlink r:id="rId16" w:tgtFrame="_blank" w:history="1">
        <w:r w:rsidR="00320ADC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400AA697" w14:textId="77777777" w:rsidR="00320ADC" w:rsidRDefault="00000000" w:rsidP="0047509F">
      <w:pPr>
        <w:spacing w:before="120" w:after="120"/>
      </w:pPr>
      <w:hyperlink r:id="rId17" w:tgtFrame="_blank" w:history="1">
        <w:r w:rsidR="00320ADC" w:rsidRPr="00C826E3">
          <w:rPr>
            <w:rStyle w:val="Hyperlink"/>
          </w:rPr>
          <w:t>CALL 0011 Authenticating Caller</w:t>
        </w:r>
      </w:hyperlink>
    </w:p>
    <w:p w14:paraId="73A5D009" w14:textId="77777777" w:rsidR="00320ADC" w:rsidRPr="00C826E3" w:rsidRDefault="00000000" w:rsidP="008154C2">
      <w:pPr>
        <w:spacing w:before="120" w:after="120"/>
        <w:jc w:val="right"/>
      </w:pPr>
      <w:hyperlink w:anchor="_top" w:history="1">
        <w:r w:rsidR="00320ADC" w:rsidRPr="00AC3FCA">
          <w:rPr>
            <w:rStyle w:val="Hyperlink"/>
          </w:rPr>
          <w:t>Top of the Document</w:t>
        </w:r>
      </w:hyperlink>
    </w:p>
    <w:p w14:paraId="3B2AD9AA" w14:textId="77777777" w:rsidR="00320ADC" w:rsidRPr="0058134F" w:rsidRDefault="00320ADC" w:rsidP="008154C2">
      <w:pPr>
        <w:spacing w:before="120" w:after="120"/>
      </w:pPr>
    </w:p>
    <w:p w14:paraId="75ED13EA" w14:textId="77777777" w:rsidR="00710E68" w:rsidRPr="0058134F" w:rsidRDefault="00710E68" w:rsidP="008154C2">
      <w:pPr>
        <w:spacing w:before="120" w:after="120"/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B5226B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B5226B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B5226B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2321EAF3" w14:textId="77777777" w:rsidR="005A64DA" w:rsidRPr="0058134F" w:rsidRDefault="00710E68" w:rsidP="008154C2">
      <w:pPr>
        <w:spacing w:before="120" w:after="120"/>
        <w:jc w:val="center"/>
        <w:rPr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476229">
        <w:rPr>
          <w:b/>
          <w:color w:val="000000"/>
          <w:sz w:val="16"/>
          <w:szCs w:val="16"/>
        </w:rPr>
        <w:t>-</w:t>
      </w:r>
      <w:r w:rsidRPr="0058134F">
        <w:rPr>
          <w:b/>
          <w:color w:val="000000"/>
          <w:sz w:val="16"/>
          <w:szCs w:val="16"/>
        </w:rPr>
        <w:t xml:space="preserve"> PAPER COPY </w:t>
      </w:r>
      <w:r w:rsidR="00476229">
        <w:rPr>
          <w:b/>
          <w:color w:val="000000"/>
          <w:sz w:val="16"/>
          <w:szCs w:val="16"/>
        </w:rPr>
        <w:t>-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sectPr w:rsidR="005A64DA" w:rsidRPr="0058134F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50C3" w14:textId="77777777" w:rsidR="003A0EF9" w:rsidRDefault="003A0EF9">
      <w:r>
        <w:separator/>
      </w:r>
    </w:p>
  </w:endnote>
  <w:endnote w:type="continuationSeparator" w:id="0">
    <w:p w14:paraId="253DE18B" w14:textId="77777777" w:rsidR="003A0EF9" w:rsidRDefault="003A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CD0B" w14:textId="77777777" w:rsidR="00AF0E35" w:rsidRPr="00AF0E35" w:rsidRDefault="00AF0E35" w:rsidP="00AF0E35">
    <w:pPr>
      <w:pStyle w:val="Heading1"/>
      <w:rPr>
        <w:rFonts w:ascii="Verdana" w:hAnsi="Verdana"/>
        <w:color w:val="FFFFFF"/>
        <w:sz w:val="16"/>
        <w:szCs w:val="16"/>
      </w:rPr>
    </w:pPr>
    <w:r w:rsidRPr="00AF0E35">
      <w:rPr>
        <w:rFonts w:ascii="Verdana" w:hAnsi="Verdana"/>
        <w:color w:val="FFFFFF"/>
        <w:sz w:val="16"/>
        <w:szCs w:val="16"/>
      </w:rPr>
      <w:t>Auto Refill and Renewal (ARR) Program® Overcoming Objections 86363 Auto Refill and Renewal (ARR) Program® Overcoming Objections 86363 Auto Refill and Renewal (ARR) Program® Overcoming Objections 86363 Auto Refill and Renewal (ARR) Program® Overcoming Objections 86363 Auto Refill and Renewal (ARR) Program® Overcoming Objections 86363 Auto Refill and Renewal (ARR) Program® Overcoming Objections 86363</w:t>
    </w:r>
  </w:p>
  <w:p w14:paraId="6720DD8F" w14:textId="77777777" w:rsidR="00AF0E35" w:rsidRPr="00AF0E35" w:rsidRDefault="00AF0E35" w:rsidP="00AF0E35">
    <w:pPr>
      <w:pStyle w:val="Heading1"/>
      <w:rPr>
        <w:rFonts w:ascii="Verdana" w:hAnsi="Verdana"/>
        <w:color w:val="000000"/>
        <w:sz w:val="16"/>
        <w:szCs w:val="16"/>
      </w:rPr>
    </w:pPr>
  </w:p>
  <w:p w14:paraId="72E0AA7C" w14:textId="77777777" w:rsidR="00AF0E35" w:rsidRPr="00AF0E35" w:rsidRDefault="00AF0E35" w:rsidP="00AF0E35">
    <w:pPr>
      <w:pStyle w:val="Heading1"/>
      <w:rPr>
        <w:rFonts w:ascii="Verdana" w:hAnsi="Verdana"/>
        <w:color w:val="000000"/>
        <w:sz w:val="16"/>
        <w:szCs w:val="16"/>
      </w:rPr>
    </w:pPr>
  </w:p>
  <w:p w14:paraId="2FF95AB2" w14:textId="77777777" w:rsidR="00AF0E35" w:rsidRPr="0058134F" w:rsidRDefault="00AF0E35" w:rsidP="00AF0E35">
    <w:pPr>
      <w:pStyle w:val="Heading1"/>
      <w:rPr>
        <w:rFonts w:ascii="Verdana" w:hAnsi="Verdana"/>
        <w:color w:val="000000"/>
        <w:sz w:val="36"/>
        <w:szCs w:val="36"/>
      </w:rPr>
    </w:pPr>
  </w:p>
  <w:p w14:paraId="0C193E0D" w14:textId="77777777" w:rsidR="00AF0E35" w:rsidRDefault="00AF0E35">
    <w:pPr>
      <w:pStyle w:val="Footer"/>
    </w:pPr>
  </w:p>
  <w:p w14:paraId="3F6E34F7" w14:textId="77777777" w:rsidR="00C476E1" w:rsidRPr="00C32D18" w:rsidRDefault="00C476E1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E83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6816" w14:textId="77777777" w:rsidR="003A0EF9" w:rsidRDefault="003A0EF9">
      <w:r>
        <w:separator/>
      </w:r>
    </w:p>
  </w:footnote>
  <w:footnote w:type="continuationSeparator" w:id="0">
    <w:p w14:paraId="4F904E2D" w14:textId="77777777" w:rsidR="003A0EF9" w:rsidRDefault="003A0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4D2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9o5tXZJ" int2:invalidationBookmarkName="" int2:hashCode="Mg9y7kasp85XOC" int2:id="cMpSzbs0">
      <int2:state int2:value="Rejected" int2:type="AugLoop_Text_Critique"/>
    </int2:bookmark>
    <int2:bookmark int2:bookmarkName="_Int_SarU1FVH" int2:invalidationBookmarkName="" int2:hashCode="D2Y5LRxb7vItHE" int2:id="rKzJZBAz">
      <int2:state int2:value="Rejected" int2:type="AugLoop_Text_Critique"/>
    </int2:bookmark>
    <int2:bookmark int2:bookmarkName="_Int_4bayI5Qp" int2:invalidationBookmarkName="" int2:hashCode="kgx5SyP6GrFvCg" int2:id="m3h2gbZm">
      <int2:state int2:value="Rejected" int2:type="AugLoop_Text_Critique"/>
    </int2:bookmark>
    <int2:bookmark int2:bookmarkName="_Int_NmNc3lTI" int2:invalidationBookmarkName="" int2:hashCode="xhS6fEU83NTSGy" int2:id="EhRTw8dm">
      <int2:state int2:value="Rejected" int2:type="AugLoop_Text_Critique"/>
    </int2:bookmark>
    <int2:bookmark int2:bookmarkName="_Int_hD9bsQSA" int2:invalidationBookmarkName="" int2:hashCode="CjIXj/yQjTUmX2" int2:id="5Ch6ilDp">
      <int2:state int2:value="Rejected" int2:type="AugLoop_Text_Critique"/>
    </int2:bookmark>
    <int2:bookmark int2:bookmarkName="_Int_NDo0zacK" int2:invalidationBookmarkName="" int2:hashCode="Ux05LHZxQHTucJ" int2:id="aQsAVzXI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9" type="#_x0000_t75" style="width:18.6pt;height:16.2pt" o:bullet="t">
        <v:imagedata r:id="rId1" o:title="Icon - Callout"/>
      </v:shape>
    </w:pict>
  </w:numPicBullet>
  <w:numPicBullet w:numPicBulletId="1">
    <w:pict>
      <v:shape id="_x0000_i1370" type="#_x0000_t75" style="width:18.6pt;height:16.2pt" o:bullet="t">
        <v:imagedata r:id="rId2" o:title="clip_image001"/>
      </v:shape>
    </w:pict>
  </w:numPicBullet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B8B7732"/>
    <w:multiLevelType w:val="hybridMultilevel"/>
    <w:tmpl w:val="34D65E08"/>
    <w:lvl w:ilvl="0" w:tplc="F4F4CC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0857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DC9F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383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61C6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26EDA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8AFB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BCCCB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C0ED2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647ECB"/>
    <w:multiLevelType w:val="hybridMultilevel"/>
    <w:tmpl w:val="19EE123A"/>
    <w:lvl w:ilvl="0" w:tplc="C1324E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5E54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08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02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E0CD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12F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248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C9F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6C83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50903269">
    <w:abstractNumId w:val="10"/>
  </w:num>
  <w:num w:numId="2" w16cid:durableId="1587761584">
    <w:abstractNumId w:val="4"/>
  </w:num>
  <w:num w:numId="3" w16cid:durableId="505437225">
    <w:abstractNumId w:val="12"/>
  </w:num>
  <w:num w:numId="4" w16cid:durableId="1792940624">
    <w:abstractNumId w:val="13"/>
  </w:num>
  <w:num w:numId="5" w16cid:durableId="1731690480">
    <w:abstractNumId w:val="2"/>
  </w:num>
  <w:num w:numId="6" w16cid:durableId="745807320">
    <w:abstractNumId w:val="14"/>
  </w:num>
  <w:num w:numId="7" w16cid:durableId="1950963578">
    <w:abstractNumId w:val="9"/>
  </w:num>
  <w:num w:numId="8" w16cid:durableId="11586891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2806674">
    <w:abstractNumId w:val="6"/>
  </w:num>
  <w:num w:numId="10" w16cid:durableId="390734691">
    <w:abstractNumId w:val="0"/>
  </w:num>
  <w:num w:numId="11" w16cid:durableId="1636911992">
    <w:abstractNumId w:val="5"/>
  </w:num>
  <w:num w:numId="12" w16cid:durableId="886725173">
    <w:abstractNumId w:val="3"/>
  </w:num>
  <w:num w:numId="13" w16cid:durableId="2097825760">
    <w:abstractNumId w:val="8"/>
  </w:num>
  <w:num w:numId="14" w16cid:durableId="405228503">
    <w:abstractNumId w:val="7"/>
  </w:num>
  <w:num w:numId="15" w16cid:durableId="727456238">
    <w:abstractNumId w:val="11"/>
  </w:num>
  <w:num w:numId="16" w16cid:durableId="1734622478">
    <w:abstractNumId w:val="15"/>
  </w:num>
  <w:num w:numId="17" w16cid:durableId="157840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3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276F"/>
    <w:rsid w:val="00015A2E"/>
    <w:rsid w:val="000310EF"/>
    <w:rsid w:val="00035BED"/>
    <w:rsid w:val="00043CCD"/>
    <w:rsid w:val="0006025A"/>
    <w:rsid w:val="00061AD2"/>
    <w:rsid w:val="0007459F"/>
    <w:rsid w:val="00077558"/>
    <w:rsid w:val="000863D4"/>
    <w:rsid w:val="0008665F"/>
    <w:rsid w:val="00095AB5"/>
    <w:rsid w:val="000A6B88"/>
    <w:rsid w:val="000B3C4C"/>
    <w:rsid w:val="000B656F"/>
    <w:rsid w:val="000B68D6"/>
    <w:rsid w:val="000B72DF"/>
    <w:rsid w:val="000C12CF"/>
    <w:rsid w:val="000D1870"/>
    <w:rsid w:val="000D2E81"/>
    <w:rsid w:val="000D4BA2"/>
    <w:rsid w:val="000D6714"/>
    <w:rsid w:val="000E5804"/>
    <w:rsid w:val="000E7F1F"/>
    <w:rsid w:val="000F0D1B"/>
    <w:rsid w:val="000F54AF"/>
    <w:rsid w:val="00104CDE"/>
    <w:rsid w:val="00115944"/>
    <w:rsid w:val="0012373E"/>
    <w:rsid w:val="001360A5"/>
    <w:rsid w:val="00141D02"/>
    <w:rsid w:val="00141D25"/>
    <w:rsid w:val="00150A78"/>
    <w:rsid w:val="00161BAA"/>
    <w:rsid w:val="0016273A"/>
    <w:rsid w:val="00180A06"/>
    <w:rsid w:val="00181B1A"/>
    <w:rsid w:val="00182755"/>
    <w:rsid w:val="001856FA"/>
    <w:rsid w:val="001879EA"/>
    <w:rsid w:val="0019130B"/>
    <w:rsid w:val="001969A4"/>
    <w:rsid w:val="001A4FC9"/>
    <w:rsid w:val="001A5256"/>
    <w:rsid w:val="001B3879"/>
    <w:rsid w:val="001D2249"/>
    <w:rsid w:val="001D4CEC"/>
    <w:rsid w:val="001E7746"/>
    <w:rsid w:val="001F0774"/>
    <w:rsid w:val="001F1218"/>
    <w:rsid w:val="001F5947"/>
    <w:rsid w:val="002016B4"/>
    <w:rsid w:val="002055CF"/>
    <w:rsid w:val="002366F8"/>
    <w:rsid w:val="00243BFE"/>
    <w:rsid w:val="00243EBB"/>
    <w:rsid w:val="00255C6B"/>
    <w:rsid w:val="00265D86"/>
    <w:rsid w:val="00267CEF"/>
    <w:rsid w:val="002750DC"/>
    <w:rsid w:val="00291C1F"/>
    <w:rsid w:val="00291CE8"/>
    <w:rsid w:val="002925C5"/>
    <w:rsid w:val="00296127"/>
    <w:rsid w:val="00296765"/>
    <w:rsid w:val="002B593E"/>
    <w:rsid w:val="002B599F"/>
    <w:rsid w:val="002B6100"/>
    <w:rsid w:val="002C6787"/>
    <w:rsid w:val="002C7CA4"/>
    <w:rsid w:val="002D0E97"/>
    <w:rsid w:val="002E6680"/>
    <w:rsid w:val="002E6E58"/>
    <w:rsid w:val="002F1F92"/>
    <w:rsid w:val="002F6F9E"/>
    <w:rsid w:val="0031726D"/>
    <w:rsid w:val="00317CF8"/>
    <w:rsid w:val="00320ADC"/>
    <w:rsid w:val="0033143E"/>
    <w:rsid w:val="0034318F"/>
    <w:rsid w:val="0034552B"/>
    <w:rsid w:val="003725A1"/>
    <w:rsid w:val="00385307"/>
    <w:rsid w:val="003868A2"/>
    <w:rsid w:val="00392A5B"/>
    <w:rsid w:val="003A0EF9"/>
    <w:rsid w:val="003A6D70"/>
    <w:rsid w:val="003B1F86"/>
    <w:rsid w:val="003B25E5"/>
    <w:rsid w:val="003C4627"/>
    <w:rsid w:val="003D5393"/>
    <w:rsid w:val="003E53D7"/>
    <w:rsid w:val="003E6C1A"/>
    <w:rsid w:val="003E7D1F"/>
    <w:rsid w:val="003F71D5"/>
    <w:rsid w:val="003F7548"/>
    <w:rsid w:val="003F778E"/>
    <w:rsid w:val="00401061"/>
    <w:rsid w:val="0040640A"/>
    <w:rsid w:val="00406DB5"/>
    <w:rsid w:val="00410C26"/>
    <w:rsid w:val="004116C2"/>
    <w:rsid w:val="0042336D"/>
    <w:rsid w:val="00440647"/>
    <w:rsid w:val="004409E1"/>
    <w:rsid w:val="00441EA7"/>
    <w:rsid w:val="004513D1"/>
    <w:rsid w:val="00457EAE"/>
    <w:rsid w:val="00461E18"/>
    <w:rsid w:val="0047509F"/>
    <w:rsid w:val="00476229"/>
    <w:rsid w:val="004768BE"/>
    <w:rsid w:val="00477096"/>
    <w:rsid w:val="00477F73"/>
    <w:rsid w:val="0048355A"/>
    <w:rsid w:val="00484781"/>
    <w:rsid w:val="00486108"/>
    <w:rsid w:val="0049433E"/>
    <w:rsid w:val="004D0AF2"/>
    <w:rsid w:val="004D3C53"/>
    <w:rsid w:val="004E689E"/>
    <w:rsid w:val="004E7F0E"/>
    <w:rsid w:val="004F7F34"/>
    <w:rsid w:val="00505588"/>
    <w:rsid w:val="00506C7D"/>
    <w:rsid w:val="00512486"/>
    <w:rsid w:val="0052465B"/>
    <w:rsid w:val="00524CDD"/>
    <w:rsid w:val="00531793"/>
    <w:rsid w:val="00540E8A"/>
    <w:rsid w:val="00544981"/>
    <w:rsid w:val="00547C68"/>
    <w:rsid w:val="00565A58"/>
    <w:rsid w:val="005723FF"/>
    <w:rsid w:val="00577909"/>
    <w:rsid w:val="0058134F"/>
    <w:rsid w:val="00582E85"/>
    <w:rsid w:val="00587EE4"/>
    <w:rsid w:val="005910B5"/>
    <w:rsid w:val="005A6118"/>
    <w:rsid w:val="005A64DA"/>
    <w:rsid w:val="005B446E"/>
    <w:rsid w:val="005C1D83"/>
    <w:rsid w:val="005D3F48"/>
    <w:rsid w:val="005E09EA"/>
    <w:rsid w:val="005E650E"/>
    <w:rsid w:val="005E6EED"/>
    <w:rsid w:val="005E7775"/>
    <w:rsid w:val="00613EF1"/>
    <w:rsid w:val="0062203F"/>
    <w:rsid w:val="00622D77"/>
    <w:rsid w:val="00627F34"/>
    <w:rsid w:val="00631F52"/>
    <w:rsid w:val="006327A3"/>
    <w:rsid w:val="00636B18"/>
    <w:rsid w:val="00637CA1"/>
    <w:rsid w:val="00640B0C"/>
    <w:rsid w:val="00647CDD"/>
    <w:rsid w:val="00647F34"/>
    <w:rsid w:val="006557D7"/>
    <w:rsid w:val="00660DD1"/>
    <w:rsid w:val="00662334"/>
    <w:rsid w:val="0066617F"/>
    <w:rsid w:val="00670E38"/>
    <w:rsid w:val="00674A16"/>
    <w:rsid w:val="006850FA"/>
    <w:rsid w:val="00691E10"/>
    <w:rsid w:val="006A0481"/>
    <w:rsid w:val="006C653F"/>
    <w:rsid w:val="006E45DF"/>
    <w:rsid w:val="006F7DFC"/>
    <w:rsid w:val="00704AF2"/>
    <w:rsid w:val="0070776C"/>
    <w:rsid w:val="00710089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8107E"/>
    <w:rsid w:val="00785118"/>
    <w:rsid w:val="00785C47"/>
    <w:rsid w:val="00786BEB"/>
    <w:rsid w:val="0079448F"/>
    <w:rsid w:val="007A3251"/>
    <w:rsid w:val="007A403E"/>
    <w:rsid w:val="007A75EA"/>
    <w:rsid w:val="007B710F"/>
    <w:rsid w:val="007C50C2"/>
    <w:rsid w:val="007C77DD"/>
    <w:rsid w:val="007D32DA"/>
    <w:rsid w:val="007D3CB0"/>
    <w:rsid w:val="007E117A"/>
    <w:rsid w:val="007E3EA6"/>
    <w:rsid w:val="007F04AB"/>
    <w:rsid w:val="00803AE3"/>
    <w:rsid w:val="008042E1"/>
    <w:rsid w:val="00804D63"/>
    <w:rsid w:val="00806B9D"/>
    <w:rsid w:val="00812777"/>
    <w:rsid w:val="008154C2"/>
    <w:rsid w:val="00815991"/>
    <w:rsid w:val="008230FA"/>
    <w:rsid w:val="00827455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6997"/>
    <w:rsid w:val="00877414"/>
    <w:rsid w:val="008825E7"/>
    <w:rsid w:val="00885F3A"/>
    <w:rsid w:val="008A03B7"/>
    <w:rsid w:val="008A7F8E"/>
    <w:rsid w:val="008C2197"/>
    <w:rsid w:val="008C3493"/>
    <w:rsid w:val="008D111C"/>
    <w:rsid w:val="008D11A6"/>
    <w:rsid w:val="008D1F7B"/>
    <w:rsid w:val="008D2D64"/>
    <w:rsid w:val="008E21BE"/>
    <w:rsid w:val="008E3545"/>
    <w:rsid w:val="00902E07"/>
    <w:rsid w:val="00913B1B"/>
    <w:rsid w:val="00927861"/>
    <w:rsid w:val="00934B4D"/>
    <w:rsid w:val="0094148C"/>
    <w:rsid w:val="00947783"/>
    <w:rsid w:val="00947A0C"/>
    <w:rsid w:val="00954FE8"/>
    <w:rsid w:val="009726E0"/>
    <w:rsid w:val="00990822"/>
    <w:rsid w:val="009929D9"/>
    <w:rsid w:val="009974D7"/>
    <w:rsid w:val="009A058A"/>
    <w:rsid w:val="009C3B36"/>
    <w:rsid w:val="009C4A31"/>
    <w:rsid w:val="009C5502"/>
    <w:rsid w:val="009E00C2"/>
    <w:rsid w:val="009E1EB6"/>
    <w:rsid w:val="009E2C83"/>
    <w:rsid w:val="009F6FD2"/>
    <w:rsid w:val="009F78D3"/>
    <w:rsid w:val="00A02093"/>
    <w:rsid w:val="00A03395"/>
    <w:rsid w:val="00A31F37"/>
    <w:rsid w:val="00A4732A"/>
    <w:rsid w:val="00A55159"/>
    <w:rsid w:val="00A57D26"/>
    <w:rsid w:val="00A638E1"/>
    <w:rsid w:val="00A66DDE"/>
    <w:rsid w:val="00A7166B"/>
    <w:rsid w:val="00A72DEB"/>
    <w:rsid w:val="00A80FF0"/>
    <w:rsid w:val="00A816B8"/>
    <w:rsid w:val="00A83BA0"/>
    <w:rsid w:val="00A84F18"/>
    <w:rsid w:val="00A85045"/>
    <w:rsid w:val="00A879FD"/>
    <w:rsid w:val="00A90EBC"/>
    <w:rsid w:val="00A95738"/>
    <w:rsid w:val="00A965C4"/>
    <w:rsid w:val="00A97B7D"/>
    <w:rsid w:val="00AA0379"/>
    <w:rsid w:val="00AA2252"/>
    <w:rsid w:val="00AA4825"/>
    <w:rsid w:val="00AB33E1"/>
    <w:rsid w:val="00AC0EB2"/>
    <w:rsid w:val="00AC1C3B"/>
    <w:rsid w:val="00AC3FCA"/>
    <w:rsid w:val="00AC4214"/>
    <w:rsid w:val="00AC6E70"/>
    <w:rsid w:val="00AD1646"/>
    <w:rsid w:val="00AD7AB4"/>
    <w:rsid w:val="00AF038B"/>
    <w:rsid w:val="00AF0E35"/>
    <w:rsid w:val="00AF2253"/>
    <w:rsid w:val="00AF78FA"/>
    <w:rsid w:val="00B0074B"/>
    <w:rsid w:val="00B078F6"/>
    <w:rsid w:val="00B26045"/>
    <w:rsid w:val="00B27586"/>
    <w:rsid w:val="00B44C55"/>
    <w:rsid w:val="00B46A95"/>
    <w:rsid w:val="00B5114C"/>
    <w:rsid w:val="00B5123C"/>
    <w:rsid w:val="00B5226B"/>
    <w:rsid w:val="00B544C2"/>
    <w:rsid w:val="00B5566F"/>
    <w:rsid w:val="00B60C35"/>
    <w:rsid w:val="00B630A6"/>
    <w:rsid w:val="00B652A3"/>
    <w:rsid w:val="00B667CD"/>
    <w:rsid w:val="00B70CC4"/>
    <w:rsid w:val="00BB02DE"/>
    <w:rsid w:val="00BB371A"/>
    <w:rsid w:val="00BB5993"/>
    <w:rsid w:val="00BC6A83"/>
    <w:rsid w:val="00BD5E06"/>
    <w:rsid w:val="00BD7B25"/>
    <w:rsid w:val="00BE0294"/>
    <w:rsid w:val="00BE1AFF"/>
    <w:rsid w:val="00BF74E9"/>
    <w:rsid w:val="00C12228"/>
    <w:rsid w:val="00C17DEF"/>
    <w:rsid w:val="00C247CB"/>
    <w:rsid w:val="00C32D18"/>
    <w:rsid w:val="00C35B18"/>
    <w:rsid w:val="00C360BD"/>
    <w:rsid w:val="00C3631C"/>
    <w:rsid w:val="00C476E1"/>
    <w:rsid w:val="00C52E77"/>
    <w:rsid w:val="00C53787"/>
    <w:rsid w:val="00C566B3"/>
    <w:rsid w:val="00C65249"/>
    <w:rsid w:val="00C67B32"/>
    <w:rsid w:val="00C7035C"/>
    <w:rsid w:val="00C72007"/>
    <w:rsid w:val="00C75C00"/>
    <w:rsid w:val="00C75C83"/>
    <w:rsid w:val="00C80F5D"/>
    <w:rsid w:val="00C83543"/>
    <w:rsid w:val="00C837BA"/>
    <w:rsid w:val="00C9066B"/>
    <w:rsid w:val="00C935BB"/>
    <w:rsid w:val="00C95346"/>
    <w:rsid w:val="00CA3B23"/>
    <w:rsid w:val="00CA62F6"/>
    <w:rsid w:val="00CB0C1D"/>
    <w:rsid w:val="00CC5AA2"/>
    <w:rsid w:val="00CC5B1B"/>
    <w:rsid w:val="00CC653F"/>
    <w:rsid w:val="00CC6844"/>
    <w:rsid w:val="00CC721A"/>
    <w:rsid w:val="00CD0963"/>
    <w:rsid w:val="00CD0DD7"/>
    <w:rsid w:val="00CD49E8"/>
    <w:rsid w:val="00CD5C71"/>
    <w:rsid w:val="00CE3D42"/>
    <w:rsid w:val="00CE4F9E"/>
    <w:rsid w:val="00CE53E6"/>
    <w:rsid w:val="00CE66B6"/>
    <w:rsid w:val="00CF539A"/>
    <w:rsid w:val="00CF6131"/>
    <w:rsid w:val="00D0380B"/>
    <w:rsid w:val="00D05B9D"/>
    <w:rsid w:val="00D06EAA"/>
    <w:rsid w:val="00D36733"/>
    <w:rsid w:val="00D471B5"/>
    <w:rsid w:val="00D474C8"/>
    <w:rsid w:val="00D52C81"/>
    <w:rsid w:val="00D540CD"/>
    <w:rsid w:val="00D548AE"/>
    <w:rsid w:val="00D571DB"/>
    <w:rsid w:val="00D608B4"/>
    <w:rsid w:val="00D6774D"/>
    <w:rsid w:val="00D75191"/>
    <w:rsid w:val="00D76195"/>
    <w:rsid w:val="00D80929"/>
    <w:rsid w:val="00D85254"/>
    <w:rsid w:val="00D92FCF"/>
    <w:rsid w:val="00D95912"/>
    <w:rsid w:val="00DC1D2F"/>
    <w:rsid w:val="00DC4FFC"/>
    <w:rsid w:val="00DC795D"/>
    <w:rsid w:val="00DE47EE"/>
    <w:rsid w:val="00DE79F7"/>
    <w:rsid w:val="00DF6BE4"/>
    <w:rsid w:val="00E0042D"/>
    <w:rsid w:val="00E13144"/>
    <w:rsid w:val="00E157BC"/>
    <w:rsid w:val="00E20744"/>
    <w:rsid w:val="00E3298F"/>
    <w:rsid w:val="00E414EC"/>
    <w:rsid w:val="00E44BE3"/>
    <w:rsid w:val="00E50E4A"/>
    <w:rsid w:val="00E55286"/>
    <w:rsid w:val="00E57F92"/>
    <w:rsid w:val="00E650D0"/>
    <w:rsid w:val="00E76334"/>
    <w:rsid w:val="00E91F5F"/>
    <w:rsid w:val="00E95B67"/>
    <w:rsid w:val="00E96599"/>
    <w:rsid w:val="00EB12DD"/>
    <w:rsid w:val="00EB153E"/>
    <w:rsid w:val="00EB1F94"/>
    <w:rsid w:val="00EB57EB"/>
    <w:rsid w:val="00ED50CF"/>
    <w:rsid w:val="00ED5DD0"/>
    <w:rsid w:val="00EE3133"/>
    <w:rsid w:val="00EE3F1B"/>
    <w:rsid w:val="00EE43E3"/>
    <w:rsid w:val="00EF0EE4"/>
    <w:rsid w:val="00EF3F8A"/>
    <w:rsid w:val="00F1152F"/>
    <w:rsid w:val="00F12EF4"/>
    <w:rsid w:val="00F16978"/>
    <w:rsid w:val="00F207B3"/>
    <w:rsid w:val="00F4310A"/>
    <w:rsid w:val="00F47B28"/>
    <w:rsid w:val="00F5486B"/>
    <w:rsid w:val="00F57503"/>
    <w:rsid w:val="00F62BC4"/>
    <w:rsid w:val="00F658E0"/>
    <w:rsid w:val="00F6686D"/>
    <w:rsid w:val="00F7449A"/>
    <w:rsid w:val="00F7587A"/>
    <w:rsid w:val="00F8087A"/>
    <w:rsid w:val="00F81783"/>
    <w:rsid w:val="00F859B7"/>
    <w:rsid w:val="00F877B4"/>
    <w:rsid w:val="00FB0924"/>
    <w:rsid w:val="00FB2D67"/>
    <w:rsid w:val="00FB3DBC"/>
    <w:rsid w:val="00FB4FBE"/>
    <w:rsid w:val="00FC1C44"/>
    <w:rsid w:val="00FC361C"/>
    <w:rsid w:val="00FD09F5"/>
    <w:rsid w:val="00FE0ABD"/>
    <w:rsid w:val="00FF636B"/>
    <w:rsid w:val="06B05072"/>
    <w:rsid w:val="0B2990C7"/>
    <w:rsid w:val="0BF3AC75"/>
    <w:rsid w:val="0F72681A"/>
    <w:rsid w:val="10F23F1A"/>
    <w:rsid w:val="16A5C1BE"/>
    <w:rsid w:val="1DB8168F"/>
    <w:rsid w:val="1DD7BE87"/>
    <w:rsid w:val="202F5204"/>
    <w:rsid w:val="28327BF6"/>
    <w:rsid w:val="2903DB58"/>
    <w:rsid w:val="297AAB6F"/>
    <w:rsid w:val="2DF11A1B"/>
    <w:rsid w:val="2FAFE6A3"/>
    <w:rsid w:val="335633B3"/>
    <w:rsid w:val="354BF8E8"/>
    <w:rsid w:val="36A3D50C"/>
    <w:rsid w:val="3709CAC9"/>
    <w:rsid w:val="3A8DC80E"/>
    <w:rsid w:val="3E570143"/>
    <w:rsid w:val="405E98FA"/>
    <w:rsid w:val="40B8E014"/>
    <w:rsid w:val="43FC8D0D"/>
    <w:rsid w:val="4492A401"/>
    <w:rsid w:val="46C67FD2"/>
    <w:rsid w:val="478F2D6A"/>
    <w:rsid w:val="47F9A62F"/>
    <w:rsid w:val="4831695C"/>
    <w:rsid w:val="5444C5EC"/>
    <w:rsid w:val="5E0E1FDA"/>
    <w:rsid w:val="5E2DF003"/>
    <w:rsid w:val="5E85BDBE"/>
    <w:rsid w:val="65611FA0"/>
    <w:rsid w:val="666D76CB"/>
    <w:rsid w:val="698ED3B2"/>
    <w:rsid w:val="77353AF3"/>
    <w:rsid w:val="7C07FE89"/>
    <w:rsid w:val="7CD85136"/>
    <w:rsid w:val="7DF4B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E3567"/>
  <w15:chartTrackingRefBased/>
  <w15:docId w15:val="{26AB96EB-5025-48E9-AD1F-B15D91CB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795D"/>
    <w:pPr>
      <w:keepNext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C795D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DC795D"/>
    <w:rPr>
      <w:rFonts w:ascii="Verdana" w:hAnsi="Verdana" w:cs="Arial"/>
      <w:bCs/>
      <w:sz w:val="24"/>
      <w:szCs w:val="26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DC795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47509F"/>
    <w:pPr>
      <w:tabs>
        <w:tab w:val="right" w:leader="dot" w:pos="12950"/>
      </w:tabs>
    </w:pPr>
    <w:rPr>
      <w:color w:val="0000FF"/>
      <w:u w:val="single"/>
    </w:rPr>
  </w:style>
  <w:style w:type="character" w:customStyle="1" w:styleId="BalloonTextChar">
    <w:name w:val="Balloon Text Char"/>
    <w:link w:val="BalloonText"/>
    <w:rsid w:val="00DC795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AF0E35"/>
    <w:rPr>
      <w:rFonts w:ascii="Verdana" w:hAnsi="Verdana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DC795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DC795D"/>
    <w:pPr>
      <w:ind w:left="360"/>
    </w:pPr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608B4"/>
  </w:style>
  <w:style w:type="paragraph" w:customStyle="1" w:styleId="doctitle">
    <w:name w:val="doctitle"/>
    <w:basedOn w:val="Normal"/>
    <w:rsid w:val="00EF3F8A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F71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5B67"/>
    <w:rPr>
      <w:rFonts w:ascii="Verdana" w:hAnsi="Verdana"/>
      <w:sz w:val="24"/>
      <w:szCs w:val="24"/>
    </w:rPr>
  </w:style>
  <w:style w:type="character" w:styleId="CommentReference">
    <w:name w:val="annotation reference"/>
    <w:basedOn w:val="DefaultParagraphFont"/>
    <w:rsid w:val="00E95B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5B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5B6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E95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5B67"/>
    <w:rPr>
      <w:rFonts w:ascii="Verdana" w:hAnsi="Verdana"/>
      <w:b/>
      <w:bCs/>
    </w:rPr>
  </w:style>
  <w:style w:type="character" w:styleId="Mention">
    <w:name w:val="Mention"/>
    <w:basedOn w:val="DefaultParagraphFont"/>
    <w:uiPriority w:val="99"/>
    <w:unhideWhenUsed/>
    <w:rsid w:val="00E95B6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877">
              <w:marLeft w:val="2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081">
                  <w:marLeft w:val="2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#!/view?docid=c1f1028b-e42c-4b4f-a4cf-cc0b42c91606" TargetMode="External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244A19A4-2110-443E-9326-3BC8B9BED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10052-A7CB-40E6-AE88-EFB886001C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AED3C1-8088-410D-A3C4-B2AD4C081678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1449</Words>
  <Characters>8264</Characters>
  <Application>Microsoft Office Word</Application>
  <DocSecurity>2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Brown, Heather K</cp:lastModifiedBy>
  <cp:revision>3</cp:revision>
  <cp:lastPrinted>2007-01-03T17:56:00Z</cp:lastPrinted>
  <dcterms:created xsi:type="dcterms:W3CDTF">2024-09-10T18:01:00Z</dcterms:created>
  <dcterms:modified xsi:type="dcterms:W3CDTF">2024-09-10T18:02:00Z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2022-05-10T15:06:07Z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9efe8ef0-4905-43fb-81e9-22e5a374e445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