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02698" w14:textId="77777777" w:rsidR="00255C6B" w:rsidRPr="0058134F" w:rsidRDefault="002A0E7A" w:rsidP="0066139F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"/>
      <w:bookmarkEnd w:id="0"/>
      <w:r>
        <w:rPr>
          <w:rFonts w:ascii="Verdana" w:hAnsi="Verdana"/>
          <w:color w:val="000000"/>
          <w:sz w:val="36"/>
          <w:szCs w:val="36"/>
        </w:rPr>
        <w:t xml:space="preserve">Claims - Prescriber </w:t>
      </w:r>
      <w:r w:rsidR="006F0AB5">
        <w:rPr>
          <w:rFonts w:ascii="Verdana" w:hAnsi="Verdana"/>
          <w:color w:val="000000"/>
          <w:sz w:val="36"/>
          <w:szCs w:val="36"/>
        </w:rPr>
        <w:t>National Provider Identifier (</w:t>
      </w:r>
      <w:r>
        <w:rPr>
          <w:rFonts w:ascii="Verdana" w:hAnsi="Verdana"/>
          <w:color w:val="000000"/>
          <w:sz w:val="36"/>
          <w:szCs w:val="36"/>
        </w:rPr>
        <w:t>NPI</w:t>
      </w:r>
      <w:r w:rsidR="006F0AB5">
        <w:rPr>
          <w:rFonts w:ascii="Verdana" w:hAnsi="Verdana"/>
          <w:color w:val="000000"/>
          <w:sz w:val="36"/>
          <w:szCs w:val="36"/>
        </w:rPr>
        <w:t>)</w:t>
      </w:r>
      <w:r>
        <w:rPr>
          <w:rFonts w:ascii="Verdana" w:hAnsi="Verdana"/>
          <w:color w:val="000000"/>
          <w:sz w:val="36"/>
          <w:szCs w:val="36"/>
        </w:rPr>
        <w:t xml:space="preserve"> Required</w:t>
      </w:r>
    </w:p>
    <w:bookmarkEnd w:id="1"/>
    <w:p w14:paraId="0BFF4896" w14:textId="77777777" w:rsidR="0046604E" w:rsidRDefault="0046604E" w:rsidP="0066139F">
      <w:pPr>
        <w:pStyle w:val="TOC2"/>
        <w:tabs>
          <w:tab w:val="right" w:leader="dot" w:pos="12950"/>
        </w:tabs>
        <w:spacing w:before="120" w:after="120"/>
      </w:pPr>
    </w:p>
    <w:p w14:paraId="3B09892D" w14:textId="77777777" w:rsidR="00CB3594" w:rsidRPr="00CB3594" w:rsidRDefault="00CB3594" w:rsidP="0066139F">
      <w:pPr>
        <w:spacing w:before="120" w:after="120"/>
      </w:pPr>
    </w:p>
    <w:p w14:paraId="32EC9B52" w14:textId="77777777" w:rsidR="0066139F" w:rsidRDefault="0058134F" w:rsidP="0066139F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201215714" w:history="1">
        <w:r w:rsidR="0066139F" w:rsidRPr="003B0FF5">
          <w:rPr>
            <w:rStyle w:val="Hyperlink"/>
            <w:noProof/>
          </w:rPr>
          <w:t>Remin</w:t>
        </w:r>
        <w:r w:rsidR="0066139F" w:rsidRPr="003B0FF5">
          <w:rPr>
            <w:rStyle w:val="Hyperlink"/>
            <w:noProof/>
          </w:rPr>
          <w:t>d</w:t>
        </w:r>
        <w:r w:rsidR="0066139F" w:rsidRPr="003B0FF5">
          <w:rPr>
            <w:rStyle w:val="Hyperlink"/>
            <w:noProof/>
          </w:rPr>
          <w:t>ers</w:t>
        </w:r>
      </w:hyperlink>
    </w:p>
    <w:p w14:paraId="3A0F5722" w14:textId="77777777" w:rsidR="0066139F" w:rsidRDefault="0066139F" w:rsidP="0066139F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201215715" w:history="1">
        <w:r w:rsidRPr="003B0FF5">
          <w:rPr>
            <w:rStyle w:val="Hyperlink"/>
            <w:noProof/>
          </w:rPr>
          <w:t>Impact of Require</w:t>
        </w:r>
        <w:r w:rsidRPr="003B0FF5">
          <w:rPr>
            <w:rStyle w:val="Hyperlink"/>
            <w:noProof/>
          </w:rPr>
          <w:t>m</w:t>
        </w:r>
        <w:r w:rsidRPr="003B0FF5">
          <w:rPr>
            <w:rStyle w:val="Hyperlink"/>
            <w:noProof/>
          </w:rPr>
          <w:t>ents</w:t>
        </w:r>
      </w:hyperlink>
    </w:p>
    <w:p w14:paraId="798E771F" w14:textId="77777777" w:rsidR="0066139F" w:rsidRDefault="0066139F" w:rsidP="0066139F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201215716" w:history="1">
        <w:r w:rsidRPr="003B0FF5">
          <w:rPr>
            <w:rStyle w:val="Hyperlink"/>
            <w:noProof/>
          </w:rPr>
          <w:t xml:space="preserve">Rejection </w:t>
        </w:r>
        <w:r w:rsidRPr="003B0FF5">
          <w:rPr>
            <w:rStyle w:val="Hyperlink"/>
            <w:noProof/>
          </w:rPr>
          <w:t>C</w:t>
        </w:r>
        <w:r w:rsidRPr="003B0FF5">
          <w:rPr>
            <w:rStyle w:val="Hyperlink"/>
            <w:noProof/>
          </w:rPr>
          <w:t>auses</w:t>
        </w:r>
      </w:hyperlink>
    </w:p>
    <w:p w14:paraId="697CD898" w14:textId="77777777" w:rsidR="0066139F" w:rsidRDefault="0066139F" w:rsidP="0066139F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201215717" w:history="1">
        <w:r w:rsidRPr="003B0FF5">
          <w:rPr>
            <w:rStyle w:val="Hyperlink"/>
            <w:noProof/>
          </w:rPr>
          <w:t>Call Ha</w:t>
        </w:r>
        <w:r w:rsidRPr="003B0FF5">
          <w:rPr>
            <w:rStyle w:val="Hyperlink"/>
            <w:noProof/>
          </w:rPr>
          <w:t>n</w:t>
        </w:r>
        <w:r w:rsidRPr="003B0FF5">
          <w:rPr>
            <w:rStyle w:val="Hyperlink"/>
            <w:noProof/>
          </w:rPr>
          <w:t>dling</w:t>
        </w:r>
      </w:hyperlink>
    </w:p>
    <w:p w14:paraId="758E34A1" w14:textId="77777777" w:rsidR="0066139F" w:rsidRDefault="0066139F" w:rsidP="0066139F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201215718" w:history="1">
        <w:r w:rsidRPr="003B0FF5">
          <w:rPr>
            <w:rStyle w:val="Hyperlink"/>
            <w:noProof/>
          </w:rPr>
          <w:t>Related Docum</w:t>
        </w:r>
        <w:r w:rsidRPr="003B0FF5">
          <w:rPr>
            <w:rStyle w:val="Hyperlink"/>
            <w:noProof/>
          </w:rPr>
          <w:t>e</w:t>
        </w:r>
        <w:r w:rsidRPr="003B0FF5">
          <w:rPr>
            <w:rStyle w:val="Hyperlink"/>
            <w:noProof/>
          </w:rPr>
          <w:t>nts</w:t>
        </w:r>
      </w:hyperlink>
    </w:p>
    <w:p w14:paraId="68D3D337" w14:textId="6B85F687" w:rsidR="0058134F" w:rsidRDefault="0058134F" w:rsidP="0066139F">
      <w:pPr>
        <w:spacing w:before="120" w:after="120"/>
      </w:pPr>
      <w:r>
        <w:fldChar w:fldCharType="end"/>
      </w:r>
    </w:p>
    <w:p w14:paraId="4BBA7734" w14:textId="77777777" w:rsidR="0046604E" w:rsidRPr="0058134F" w:rsidRDefault="0046604E" w:rsidP="0066139F">
      <w:pPr>
        <w:spacing w:before="120" w:after="120"/>
      </w:pPr>
    </w:p>
    <w:p w14:paraId="27F77797" w14:textId="120AB494" w:rsidR="007052F5" w:rsidRDefault="00383258" w:rsidP="0066139F">
      <w:pPr>
        <w:spacing w:before="120" w:after="120"/>
      </w:pPr>
      <w:bookmarkStart w:id="2" w:name="_Overview"/>
      <w:bookmarkEnd w:id="2"/>
      <w:r w:rsidRPr="007527A7">
        <w:rPr>
          <w:b/>
          <w:bCs/>
        </w:rPr>
        <w:t>Description:</w:t>
      </w:r>
      <w:r>
        <w:t xml:space="preserve"> </w:t>
      </w:r>
      <w:r w:rsidR="005D6ACB">
        <w:t>I</w:t>
      </w:r>
      <w:r w:rsidR="007052F5">
        <w:t xml:space="preserve">nformation and procedures related to order rejections caused by </w:t>
      </w:r>
      <w:r w:rsidR="00B121B0">
        <w:t xml:space="preserve">National Provider Identifier </w:t>
      </w:r>
      <w:r w:rsidR="00CB3594">
        <w:t xml:space="preserve">(NPI) </w:t>
      </w:r>
      <w:r w:rsidR="007052F5">
        <w:t>numbers not being updated</w:t>
      </w:r>
      <w:r w:rsidR="00B121B0">
        <w:t xml:space="preserve"> or input incorrectly.</w:t>
      </w:r>
      <w:r w:rsidR="007052F5">
        <w:t xml:space="preserve"> </w:t>
      </w:r>
    </w:p>
    <w:p w14:paraId="5BB3B192" w14:textId="0E801FAE" w:rsidR="007052F5" w:rsidRPr="0058134F" w:rsidRDefault="007052F5" w:rsidP="0066139F">
      <w:pPr>
        <w:spacing w:before="120" w:after="120"/>
        <w:ind w:left="720"/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052F5" w:rsidRPr="0058134F" w14:paraId="5BBFDFA5" w14:textId="77777777" w:rsidTr="00CB3594">
        <w:tc>
          <w:tcPr>
            <w:tcW w:w="5000" w:type="pct"/>
            <w:shd w:val="clear" w:color="auto" w:fill="BFBFBF" w:themeFill="background1" w:themeFillShade="BF"/>
          </w:tcPr>
          <w:p w14:paraId="17B02674" w14:textId="77777777" w:rsidR="007052F5" w:rsidRPr="0058134F" w:rsidRDefault="007052F5" w:rsidP="0066139F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Toc201215714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3"/>
          </w:p>
        </w:tc>
      </w:tr>
    </w:tbl>
    <w:p w14:paraId="3B98D2DA" w14:textId="77777777" w:rsidR="00CB3594" w:rsidRDefault="00CB3594" w:rsidP="0066139F">
      <w:pPr>
        <w:spacing w:before="120" w:after="120"/>
      </w:pPr>
    </w:p>
    <w:p w14:paraId="6AF39CEC" w14:textId="601C5FEC" w:rsidR="007052F5" w:rsidRPr="000C7ACF" w:rsidRDefault="000A7C30" w:rsidP="0066139F">
      <w:pPr>
        <w:spacing w:before="120" w:after="120"/>
      </w:pPr>
      <w:r>
        <w:t>The PBM</w:t>
      </w:r>
      <w:r w:rsidR="007052F5" w:rsidRPr="000C7ACF">
        <w:t xml:space="preserve"> enhanc</w:t>
      </w:r>
      <w:r w:rsidR="007052F5">
        <w:t>ed</w:t>
      </w:r>
      <w:r w:rsidR="007052F5" w:rsidRPr="000C7ACF">
        <w:t xml:space="preserve"> its adjudication edits to ensure the following for clients:</w:t>
      </w:r>
    </w:p>
    <w:p w14:paraId="1ED7FDBA" w14:textId="77777777" w:rsidR="007052F5" w:rsidRPr="000C7ACF" w:rsidRDefault="007052F5" w:rsidP="0066139F">
      <w:pPr>
        <w:numPr>
          <w:ilvl w:val="0"/>
          <w:numId w:val="16"/>
        </w:numPr>
        <w:tabs>
          <w:tab w:val="clear" w:pos="720"/>
        </w:tabs>
        <w:spacing w:before="120" w:after="120"/>
        <w:ind w:left="360"/>
      </w:pPr>
      <w:r w:rsidRPr="000C7ACF">
        <w:t>The prescriber is valid and active and authorized by state and federal regulatory agencies to prescribe medicine</w:t>
      </w:r>
      <w:r>
        <w:t>.</w:t>
      </w:r>
    </w:p>
    <w:p w14:paraId="5F2D82F0" w14:textId="064895DF" w:rsidR="007052F5" w:rsidRPr="000C7ACF" w:rsidRDefault="007052F5" w:rsidP="0066139F">
      <w:pPr>
        <w:numPr>
          <w:ilvl w:val="0"/>
          <w:numId w:val="16"/>
        </w:numPr>
        <w:tabs>
          <w:tab w:val="clear" w:pos="720"/>
        </w:tabs>
        <w:spacing w:before="120" w:after="120"/>
        <w:ind w:left="360"/>
      </w:pPr>
      <w:r w:rsidRPr="000C7ACF">
        <w:t>The prescriber has a Type 1 individual national prescriber identifier (NPI) which must be submitted on the prescription claim. No other form of prescriber identification will be accepted.</w:t>
      </w:r>
      <w:r w:rsidR="00C02B39">
        <w:t xml:space="preserve"> </w:t>
      </w:r>
      <w:r w:rsidRPr="000C7ACF">
        <w:t>Any claim submitted with an invalid NPI will</w:t>
      </w:r>
      <w:r>
        <w:t xml:space="preserve"> be </w:t>
      </w:r>
      <w:r w:rsidRPr="000C7ACF">
        <w:t>reject</w:t>
      </w:r>
      <w:r>
        <w:t>ed.</w:t>
      </w:r>
      <w:r w:rsidRPr="000C7ACF">
        <w:t xml:space="preserve"> </w:t>
      </w:r>
    </w:p>
    <w:p w14:paraId="70051E21" w14:textId="77777777" w:rsidR="007052F5" w:rsidRPr="000C7ACF" w:rsidRDefault="007052F5" w:rsidP="0066139F">
      <w:pPr>
        <w:numPr>
          <w:ilvl w:val="0"/>
          <w:numId w:val="16"/>
        </w:numPr>
        <w:tabs>
          <w:tab w:val="clear" w:pos="720"/>
        </w:tabs>
        <w:spacing w:before="120" w:after="120"/>
        <w:ind w:left="360"/>
      </w:pPr>
      <w:r w:rsidRPr="000C7ACF">
        <w:t>For controlled substance prescribing, a prescriber must have an active drug enforcement agency (DEA) identifier in good standing, as well as have the authority to prescribe a controlled substance in a given DEA drug class schedule</w:t>
      </w:r>
      <w:r>
        <w:t>.</w:t>
      </w:r>
    </w:p>
    <w:p w14:paraId="0F61DC3D" w14:textId="4660ACFE" w:rsidR="007052F5" w:rsidRDefault="002A0E7A" w:rsidP="0066139F">
      <w:pPr>
        <w:numPr>
          <w:ilvl w:val="0"/>
          <w:numId w:val="24"/>
        </w:numPr>
        <w:spacing w:before="120" w:after="120"/>
        <w:ind w:left="360"/>
      </w:pPr>
      <w:r w:rsidRPr="000C7ACF">
        <w:t xml:space="preserve">These Retail and </w:t>
      </w:r>
      <w:r w:rsidR="007052F5">
        <w:t xml:space="preserve">Mail Order </w:t>
      </w:r>
      <w:r w:rsidR="00827D09">
        <w:t>Delivery</w:t>
      </w:r>
      <w:r w:rsidRPr="000C7ACF">
        <w:t xml:space="preserve"> Claim adjudication edits </w:t>
      </w:r>
      <w:r w:rsidR="0066139F">
        <w:t>u</w:t>
      </w:r>
      <w:r w:rsidR="0066139F" w:rsidRPr="000C7ACF">
        <w:t>tiliz</w:t>
      </w:r>
      <w:r w:rsidR="0066139F">
        <w:t>e</w:t>
      </w:r>
      <w:r w:rsidRPr="000C7ACF">
        <w:t xml:space="preserve"> the Prescriber Data Management (PDM) database.</w:t>
      </w:r>
      <w:r w:rsidR="00A61EA2">
        <w:t xml:space="preserve"> </w:t>
      </w:r>
    </w:p>
    <w:p w14:paraId="384ADA91" w14:textId="61B2E3CD" w:rsidR="007052F5" w:rsidRDefault="002A0E7A" w:rsidP="0066139F">
      <w:pPr>
        <w:numPr>
          <w:ilvl w:val="0"/>
          <w:numId w:val="24"/>
        </w:numPr>
        <w:spacing w:before="120" w:after="120"/>
        <w:ind w:left="360"/>
      </w:pPr>
      <w:r w:rsidRPr="000C7ACF">
        <w:t>This is a database of “golden prescriber” records which have been pre-checked for state/federal requirements by our prescriber vendor, Health Market Science (HMS) to ensure compliance</w:t>
      </w:r>
      <w:r w:rsidR="0066139F" w:rsidRPr="000C7ACF">
        <w:t>.</w:t>
      </w:r>
      <w:r w:rsidR="0066139F">
        <w:t xml:space="preserve"> </w:t>
      </w:r>
    </w:p>
    <w:p w14:paraId="2AAFAE51" w14:textId="77777777" w:rsidR="002A0E7A" w:rsidRPr="000C7ACF" w:rsidRDefault="002A0E7A" w:rsidP="0066139F">
      <w:pPr>
        <w:numPr>
          <w:ilvl w:val="0"/>
          <w:numId w:val="24"/>
        </w:numPr>
        <w:spacing w:before="120" w:after="120"/>
        <w:ind w:left="360"/>
      </w:pPr>
      <w:r w:rsidRPr="000C7ACF">
        <w:t xml:space="preserve">This process </w:t>
      </w:r>
      <w:r w:rsidR="006F0AB5" w:rsidRPr="000C7ACF">
        <w:t>help</w:t>
      </w:r>
      <w:r w:rsidR="006F0AB5">
        <w:t>s</w:t>
      </w:r>
      <w:r w:rsidR="007052F5">
        <w:t xml:space="preserve"> to</w:t>
      </w:r>
      <w:r w:rsidRPr="000C7ACF">
        <w:t xml:space="preserve"> mitigate our risk and/or clients</w:t>
      </w:r>
      <w:r w:rsidR="00A61EA2">
        <w:t>’</w:t>
      </w:r>
      <w:r w:rsidRPr="000C7ACF">
        <w:t xml:space="preserve"> risks with false claim processing when dummy prescriber </w:t>
      </w:r>
      <w:r w:rsidR="007052F5">
        <w:t>ID</w:t>
      </w:r>
      <w:r w:rsidRPr="000C7ACF">
        <w:t xml:space="preserve">s </w:t>
      </w:r>
      <w:r w:rsidR="006F0AB5">
        <w:t xml:space="preserve">are </w:t>
      </w:r>
      <w:r w:rsidRPr="000C7ACF">
        <w:t xml:space="preserve">submitted on these HIPAA prescription claim transactions. </w:t>
      </w:r>
    </w:p>
    <w:p w14:paraId="30BF1166" w14:textId="77777777" w:rsidR="002A0E7A" w:rsidRPr="000C7ACF" w:rsidRDefault="002A0E7A" w:rsidP="0066139F">
      <w:pPr>
        <w:numPr>
          <w:ilvl w:val="0"/>
          <w:numId w:val="24"/>
        </w:numPr>
        <w:spacing w:before="120" w:after="120"/>
        <w:ind w:left="360"/>
      </w:pPr>
      <w:r w:rsidRPr="000C7ACF">
        <w:t xml:space="preserve">An individual National Provider Identifier (NPI) is required to be submitted as the prescriber </w:t>
      </w:r>
      <w:r w:rsidR="00827D09">
        <w:t>ID</w:t>
      </w:r>
      <w:r w:rsidRPr="000C7ACF">
        <w:t>. The NPI is a unique identifying number assigned to health care providers. These prescriber edits are already in place for Medicare-D claims, but this requirement is now being expanded to commercial claims and will impact retail</w:t>
      </w:r>
      <w:r w:rsidR="00A61EA2">
        <w:t xml:space="preserve">, </w:t>
      </w:r>
      <w:r w:rsidR="00827D09">
        <w:t>home delivery</w:t>
      </w:r>
      <w:r w:rsidR="00A61EA2">
        <w:t>, and paper claims.</w:t>
      </w:r>
    </w:p>
    <w:p w14:paraId="2D0B43D5" w14:textId="77777777" w:rsidR="002C7CA4" w:rsidRDefault="002C7CA4" w:rsidP="0066139F">
      <w:pPr>
        <w:spacing w:before="120" w:after="120"/>
      </w:pPr>
    </w:p>
    <w:p w14:paraId="24360AB0" w14:textId="77777777" w:rsidR="002A0E7A" w:rsidRPr="0058134F" w:rsidRDefault="002A0E7A" w:rsidP="0066139F">
      <w:pPr>
        <w:spacing w:before="120" w:after="120"/>
        <w:jc w:val="right"/>
      </w:pPr>
      <w:hyperlink w:anchor="_top" w:history="1">
        <w:r w:rsidRPr="00793212">
          <w:rPr>
            <w:rStyle w:val="Hyperlink"/>
          </w:rPr>
          <w:t>Top of</w:t>
        </w:r>
        <w:r w:rsidRPr="00793212">
          <w:rPr>
            <w:rStyle w:val="Hyperlink"/>
          </w:rPr>
          <w:t xml:space="preserve"> </w:t>
        </w:r>
        <w:r w:rsidRPr="00793212">
          <w:rPr>
            <w:rStyle w:val="Hyperlink"/>
          </w:rPr>
          <w:t>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A0E7A" w:rsidRPr="0058134F" w14:paraId="1091426E" w14:textId="77777777" w:rsidTr="00CB3594">
        <w:tc>
          <w:tcPr>
            <w:tcW w:w="5000" w:type="pct"/>
            <w:shd w:val="clear" w:color="auto" w:fill="BFBFBF" w:themeFill="background1" w:themeFillShade="BF"/>
          </w:tcPr>
          <w:p w14:paraId="4844C047" w14:textId="5CD67D60" w:rsidR="002A0E7A" w:rsidRPr="0058134F" w:rsidRDefault="002A0E7A" w:rsidP="0066139F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Toc201215715"/>
            <w:r>
              <w:rPr>
                <w:rFonts w:ascii="Verdana" w:hAnsi="Verdana"/>
                <w:i w:val="0"/>
                <w:iCs w:val="0"/>
              </w:rPr>
              <w:t>Impact of Requirements</w:t>
            </w:r>
            <w:bookmarkEnd w:id="4"/>
          </w:p>
        </w:tc>
      </w:tr>
    </w:tbl>
    <w:p w14:paraId="0039DB4C" w14:textId="77777777" w:rsidR="00CB3594" w:rsidRDefault="00CB3594" w:rsidP="0066139F">
      <w:pPr>
        <w:spacing w:before="120" w:after="120"/>
        <w:rPr>
          <w:b/>
        </w:rPr>
      </w:pPr>
    </w:p>
    <w:p w14:paraId="49D70412" w14:textId="155C426F" w:rsidR="002A0E7A" w:rsidRPr="0066139F" w:rsidRDefault="002A0E7A" w:rsidP="0066139F">
      <w:pPr>
        <w:spacing w:before="120" w:after="120"/>
        <w:rPr>
          <w:b/>
        </w:rPr>
      </w:pPr>
      <w:r w:rsidRPr="000C7ACF">
        <w:rPr>
          <w:b/>
        </w:rPr>
        <w:t>NPI Requirements</w:t>
      </w:r>
      <w:r w:rsidR="0066139F">
        <w:rPr>
          <w:b/>
        </w:rPr>
        <w:t xml:space="preserve">: </w:t>
      </w:r>
      <w:r w:rsidR="000A7C30">
        <w:t>P</w:t>
      </w:r>
      <w:r w:rsidRPr="000C7ACF">
        <w:t xml:space="preserve">harmacies should </w:t>
      </w:r>
      <w:r w:rsidR="000221A9" w:rsidRPr="000C7ACF">
        <w:t>submit</w:t>
      </w:r>
      <w:r w:rsidRPr="000C7ACF">
        <w:t xml:space="preserve"> the prescriber’s NPI on all prescription claims. This HIPAA requirement for electronic claim transactions to require the NPI number was introduced </w:t>
      </w:r>
      <w:r w:rsidR="00A61EA2">
        <w:t>in 2007</w:t>
      </w:r>
      <w:r w:rsidR="0066139F">
        <w:t xml:space="preserve">. </w:t>
      </w:r>
    </w:p>
    <w:p w14:paraId="7CC1B5FD" w14:textId="3B29FB00" w:rsidR="000C5B22" w:rsidRPr="0066139F" w:rsidRDefault="002A0E7A" w:rsidP="0066139F">
      <w:pPr>
        <w:spacing w:before="120" w:after="120"/>
        <w:rPr>
          <w:b/>
        </w:rPr>
      </w:pPr>
      <w:r w:rsidRPr="000C7ACF">
        <w:rPr>
          <w:b/>
        </w:rPr>
        <w:t>DEA Requirements</w:t>
      </w:r>
      <w:r w:rsidR="0066139F">
        <w:rPr>
          <w:b/>
        </w:rPr>
        <w:t xml:space="preserve">: </w:t>
      </w:r>
      <w:r w:rsidR="000A7C30">
        <w:t>P</w:t>
      </w:r>
      <w:r w:rsidRPr="000C7ACF">
        <w:t>ractitioners should be prescribing within their practice and DEA authority (2,</w:t>
      </w:r>
      <w:r w:rsidR="00A61EA2">
        <w:t xml:space="preserve"> </w:t>
      </w:r>
      <w:r w:rsidRPr="000C7ACF">
        <w:t>2N, 3,</w:t>
      </w:r>
      <w:r w:rsidR="00A61EA2">
        <w:t xml:space="preserve"> </w:t>
      </w:r>
      <w:r w:rsidRPr="000C7ACF">
        <w:t>3N, 4,</w:t>
      </w:r>
      <w:r w:rsidR="00BA5770">
        <w:t xml:space="preserve"> </w:t>
      </w:r>
      <w:r w:rsidR="00A61EA2">
        <w:t>5).</w:t>
      </w:r>
    </w:p>
    <w:p w14:paraId="7CCB237A" w14:textId="77777777" w:rsidR="00CB3594" w:rsidRDefault="00CB3594" w:rsidP="0066139F">
      <w:pPr>
        <w:spacing w:before="120" w:after="120"/>
      </w:pPr>
    </w:p>
    <w:p w14:paraId="53B7A3DF" w14:textId="2AA8A8D3" w:rsidR="00CB3594" w:rsidRDefault="00BA5770" w:rsidP="0066139F">
      <w:pPr>
        <w:spacing w:before="120" w:after="120"/>
      </w:pPr>
      <w:r w:rsidRPr="00CB3594">
        <w:rPr>
          <w:b/>
        </w:rPr>
        <w:t>Note</w:t>
      </w:r>
      <w:r w:rsidR="002A0E7A" w:rsidRPr="00CB3594">
        <w:rPr>
          <w:b/>
        </w:rPr>
        <w:t>:</w:t>
      </w:r>
      <w:r w:rsidR="002A0E7A" w:rsidRPr="000C7ACF">
        <w:t xml:space="preserve"> DEA restrictions editing is a</w:t>
      </w:r>
      <w:r w:rsidR="000A7C30">
        <w:t xml:space="preserve">n </w:t>
      </w:r>
      <w:r w:rsidR="002A0E7A" w:rsidRPr="000C7ACF">
        <w:t>edit for Commercial</w:t>
      </w:r>
      <w:r w:rsidR="000A7C30">
        <w:t>, MED-D</w:t>
      </w:r>
      <w:r w:rsidR="002A0E7A" w:rsidRPr="000C7ACF">
        <w:t xml:space="preserve"> and Medicaid book-of-business</w:t>
      </w:r>
      <w:r w:rsidR="000A7C30">
        <w:t xml:space="preserve">. </w:t>
      </w:r>
    </w:p>
    <w:p w14:paraId="647E5E05" w14:textId="77777777" w:rsidR="002A0E7A" w:rsidRPr="0058134F" w:rsidRDefault="002A0E7A" w:rsidP="0066139F">
      <w:pPr>
        <w:spacing w:before="120" w:after="120"/>
        <w:jc w:val="right"/>
      </w:pPr>
      <w:hyperlink w:anchor="_top" w:history="1">
        <w:r w:rsidRPr="00793212">
          <w:rPr>
            <w:rStyle w:val="Hyperlink"/>
          </w:rPr>
          <w:t xml:space="preserve">Top </w:t>
        </w:r>
        <w:r w:rsidRPr="00793212">
          <w:rPr>
            <w:rStyle w:val="Hyperlink"/>
          </w:rPr>
          <w:t>o</w:t>
        </w:r>
        <w:r w:rsidRPr="00793212">
          <w:rPr>
            <w:rStyle w:val="Hyperlink"/>
          </w:rPr>
          <w:t>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A0E7A" w:rsidRPr="0058134F" w14:paraId="494A979E" w14:textId="77777777" w:rsidTr="00CB3594">
        <w:tc>
          <w:tcPr>
            <w:tcW w:w="5000" w:type="pct"/>
            <w:shd w:val="clear" w:color="auto" w:fill="BFBFBF" w:themeFill="background1" w:themeFillShade="BF"/>
          </w:tcPr>
          <w:p w14:paraId="5EE9C580" w14:textId="77777777" w:rsidR="002A0E7A" w:rsidRPr="0058134F" w:rsidRDefault="002A0E7A" w:rsidP="0066139F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Toc201215716"/>
            <w:r>
              <w:rPr>
                <w:rFonts w:ascii="Verdana" w:hAnsi="Verdana"/>
                <w:i w:val="0"/>
                <w:iCs w:val="0"/>
              </w:rPr>
              <w:t>Rejection Causes</w:t>
            </w:r>
            <w:bookmarkEnd w:id="5"/>
          </w:p>
        </w:tc>
      </w:tr>
    </w:tbl>
    <w:p w14:paraId="4569228E" w14:textId="77777777" w:rsidR="00CB3594" w:rsidRDefault="00CB3594" w:rsidP="0066139F">
      <w:pPr>
        <w:spacing w:before="120" w:after="120"/>
      </w:pPr>
    </w:p>
    <w:p w14:paraId="4DA75340" w14:textId="4716813F" w:rsidR="000A7C30" w:rsidRDefault="002A0E7A" w:rsidP="0066139F">
      <w:pPr>
        <w:spacing w:before="120" w:after="120"/>
      </w:pPr>
      <w:r>
        <w:t xml:space="preserve">If a </w:t>
      </w:r>
      <w:r w:rsidRPr="00AB3750">
        <w:t xml:space="preserve">claim is submitted without a Prescriber’s </w:t>
      </w:r>
      <w:r>
        <w:t xml:space="preserve">Individual </w:t>
      </w:r>
      <w:r w:rsidRPr="00AB3750">
        <w:t xml:space="preserve">NPI, or if the NPI provided is a </w:t>
      </w:r>
      <w:r w:rsidRPr="00B121B0">
        <w:rPr>
          <w:bCs/>
        </w:rPr>
        <w:t>group</w:t>
      </w:r>
      <w:r w:rsidRPr="000A7C30">
        <w:rPr>
          <w:bCs/>
        </w:rPr>
        <w:t xml:space="preserve"> number rather than an </w:t>
      </w:r>
      <w:r w:rsidRPr="00B121B0">
        <w:rPr>
          <w:bCs/>
        </w:rPr>
        <w:t>individual</w:t>
      </w:r>
      <w:r w:rsidRPr="00AB3750">
        <w:t xml:space="preserve"> number, then the claim will </w:t>
      </w:r>
      <w:r w:rsidR="000221A9" w:rsidRPr="00AB3750">
        <w:t>be rejected</w:t>
      </w:r>
      <w:r w:rsidRPr="00AB3750">
        <w:t>. Additional rejections will fall under this requirement as well</w:t>
      </w:r>
      <w:r w:rsidR="000A7C30">
        <w:t>, if the individual NPI submitted with the claim:</w:t>
      </w:r>
    </w:p>
    <w:p w14:paraId="2731A9B3" w14:textId="1BFEFDE7" w:rsidR="002A0E7A" w:rsidRPr="00AB3750" w:rsidRDefault="000A7C30" w:rsidP="0066139F">
      <w:pPr>
        <w:numPr>
          <w:ilvl w:val="0"/>
          <w:numId w:val="25"/>
        </w:numPr>
        <w:spacing w:before="120" w:after="120"/>
        <w:ind w:left="360"/>
      </w:pPr>
      <w:r>
        <w:t>I</w:t>
      </w:r>
      <w:r w:rsidR="002A0E7A" w:rsidRPr="00AB3750">
        <w:t xml:space="preserve">s invalid or </w:t>
      </w:r>
      <w:r w:rsidR="000221A9" w:rsidRPr="00AB3750">
        <w:t>inactive.</w:t>
      </w:r>
    </w:p>
    <w:p w14:paraId="3747FDA3" w14:textId="205F3C6B" w:rsidR="002A0E7A" w:rsidRPr="00AB3750" w:rsidRDefault="000A7C30" w:rsidP="0066139F">
      <w:pPr>
        <w:numPr>
          <w:ilvl w:val="0"/>
          <w:numId w:val="17"/>
        </w:numPr>
        <w:spacing w:before="120" w:after="120"/>
        <w:ind w:left="360"/>
      </w:pPr>
      <w:r>
        <w:t>H</w:t>
      </w:r>
      <w:r w:rsidR="002A0E7A" w:rsidRPr="00AB3750">
        <w:t>as restrictions on prescriber or ID</w:t>
      </w:r>
      <w:r w:rsidR="000221A9">
        <w:t>.</w:t>
      </w:r>
    </w:p>
    <w:p w14:paraId="5FDA263D" w14:textId="6D5F852A" w:rsidR="002A0E7A" w:rsidRPr="00AB3750" w:rsidRDefault="000A7C30" w:rsidP="0066139F">
      <w:pPr>
        <w:numPr>
          <w:ilvl w:val="0"/>
          <w:numId w:val="17"/>
        </w:numPr>
        <w:spacing w:before="120" w:after="120"/>
        <w:ind w:left="360"/>
      </w:pPr>
      <w:r>
        <w:t>W</w:t>
      </w:r>
      <w:r w:rsidR="002A0E7A" w:rsidRPr="00AB3750">
        <w:t>as not an authorized prescriber for medication in question (such as controlled substances)</w:t>
      </w:r>
      <w:r w:rsidR="00CB3594">
        <w:t>.</w:t>
      </w:r>
      <w:r w:rsidR="002A0E7A" w:rsidRPr="00AB3750">
        <w:t xml:space="preserve"> </w:t>
      </w:r>
    </w:p>
    <w:p w14:paraId="4EF9CBB3" w14:textId="77777777" w:rsidR="002A0E7A" w:rsidRPr="00AB3750" w:rsidRDefault="002A0E7A" w:rsidP="0066139F">
      <w:pPr>
        <w:spacing w:before="120" w:after="120"/>
      </w:pPr>
    </w:p>
    <w:p w14:paraId="60086E30" w14:textId="77777777" w:rsidR="002A0E7A" w:rsidRDefault="002A0E7A" w:rsidP="0066139F">
      <w:pPr>
        <w:spacing w:before="120" w:after="120"/>
      </w:pPr>
      <w:r>
        <w:t xml:space="preserve">This requirement may cause any of the following rejection codes: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11462"/>
      </w:tblGrid>
      <w:tr w:rsidR="002A0E7A" w14:paraId="00D47D3A" w14:textId="77777777" w:rsidTr="0066139F">
        <w:tc>
          <w:tcPr>
            <w:tcW w:w="553" w:type="pct"/>
            <w:shd w:val="clear" w:color="auto" w:fill="D9D9D9" w:themeFill="background1" w:themeFillShade="D9"/>
          </w:tcPr>
          <w:p w14:paraId="3E781150" w14:textId="77777777" w:rsidR="002A0E7A" w:rsidRPr="00680305" w:rsidRDefault="002A0E7A" w:rsidP="0066139F">
            <w:pPr>
              <w:spacing w:before="120" w:after="120"/>
              <w:jc w:val="center"/>
              <w:rPr>
                <w:b/>
              </w:rPr>
            </w:pPr>
            <w:r w:rsidRPr="00680305">
              <w:rPr>
                <w:b/>
              </w:rPr>
              <w:t>Rejection Code</w:t>
            </w:r>
          </w:p>
        </w:tc>
        <w:tc>
          <w:tcPr>
            <w:tcW w:w="4447" w:type="pct"/>
            <w:shd w:val="clear" w:color="auto" w:fill="D9D9D9" w:themeFill="background1" w:themeFillShade="D9"/>
          </w:tcPr>
          <w:p w14:paraId="1F3CF6CB" w14:textId="77777777" w:rsidR="002A0E7A" w:rsidRPr="00680305" w:rsidRDefault="002A0E7A" w:rsidP="0066139F">
            <w:pPr>
              <w:spacing w:before="120" w:after="120"/>
              <w:jc w:val="center"/>
              <w:rPr>
                <w:b/>
              </w:rPr>
            </w:pPr>
            <w:r w:rsidRPr="00680305">
              <w:rPr>
                <w:b/>
              </w:rPr>
              <w:t>Plan's Prescriber data base indicates</w:t>
            </w:r>
            <w:r w:rsidR="002D15CD">
              <w:rPr>
                <w:b/>
              </w:rPr>
              <w:t xml:space="preserve"> the</w:t>
            </w:r>
            <w:r w:rsidRPr="00680305">
              <w:rPr>
                <w:b/>
              </w:rPr>
              <w:t>…</w:t>
            </w:r>
          </w:p>
        </w:tc>
      </w:tr>
      <w:tr w:rsidR="002A0E7A" w14:paraId="698E052F" w14:textId="77777777" w:rsidTr="0066139F">
        <w:tc>
          <w:tcPr>
            <w:tcW w:w="553" w:type="pct"/>
          </w:tcPr>
          <w:p w14:paraId="72D4C560" w14:textId="77777777" w:rsidR="002A0E7A" w:rsidRPr="00680305" w:rsidRDefault="002A0E7A" w:rsidP="0066139F">
            <w:pPr>
              <w:spacing w:before="120" w:after="120"/>
              <w:rPr>
                <w:b/>
              </w:rPr>
            </w:pPr>
            <w:r w:rsidRPr="00680305">
              <w:rPr>
                <w:b/>
              </w:rPr>
              <w:t>A2</w:t>
            </w:r>
          </w:p>
        </w:tc>
        <w:tc>
          <w:tcPr>
            <w:tcW w:w="4447" w:type="pct"/>
          </w:tcPr>
          <w:p w14:paraId="67A4F3A0" w14:textId="77777777" w:rsidR="002A0E7A" w:rsidRDefault="002A0E7A" w:rsidP="0066139F">
            <w:pPr>
              <w:spacing w:before="120" w:after="120"/>
            </w:pPr>
            <w:r w:rsidRPr="00AB3750">
              <w:t>Prescriber ID submitted is associated with a deceased prescriber and the Date of Fill/Service of the claim is</w:t>
            </w:r>
            <w:r>
              <w:t xml:space="preserve">: </w:t>
            </w:r>
          </w:p>
          <w:p w14:paraId="3E234154" w14:textId="77777777" w:rsidR="002A0E7A" w:rsidRPr="00AB3750" w:rsidRDefault="002A0E7A" w:rsidP="0066139F">
            <w:pPr>
              <w:numPr>
                <w:ilvl w:val="0"/>
                <w:numId w:val="18"/>
              </w:numPr>
              <w:spacing w:before="120" w:after="120"/>
              <w:ind w:left="376" w:hanging="376"/>
            </w:pPr>
            <w:r>
              <w:t>O</w:t>
            </w:r>
            <w:r w:rsidRPr="00AB3750">
              <w:t xml:space="preserve">ne year after the deceased date for a non-controlled substance </w:t>
            </w:r>
            <w:r w:rsidR="000A7C30">
              <w:t xml:space="preserve">or </w:t>
            </w:r>
            <w:r w:rsidRPr="00AB3750">
              <w:t>180 days after the deceased date for controlled substance</w:t>
            </w:r>
          </w:p>
        </w:tc>
      </w:tr>
      <w:tr w:rsidR="002A0E7A" w14:paraId="3EE57047" w14:textId="77777777" w:rsidTr="0066139F">
        <w:tc>
          <w:tcPr>
            <w:tcW w:w="553" w:type="pct"/>
          </w:tcPr>
          <w:p w14:paraId="0869DBD5" w14:textId="77777777" w:rsidR="002A0E7A" w:rsidRPr="00680305" w:rsidRDefault="002A0E7A" w:rsidP="0066139F">
            <w:pPr>
              <w:spacing w:before="120" w:after="120"/>
              <w:rPr>
                <w:b/>
              </w:rPr>
            </w:pPr>
            <w:r w:rsidRPr="00680305">
              <w:rPr>
                <w:b/>
              </w:rPr>
              <w:t>Reject 42</w:t>
            </w:r>
          </w:p>
        </w:tc>
        <w:tc>
          <w:tcPr>
            <w:tcW w:w="4447" w:type="pct"/>
          </w:tcPr>
          <w:p w14:paraId="6023223D" w14:textId="77777777" w:rsidR="002A0E7A" w:rsidRPr="00AB3750" w:rsidRDefault="002A0E7A" w:rsidP="0066139F">
            <w:pPr>
              <w:spacing w:before="120" w:after="120"/>
            </w:pPr>
            <w:r>
              <w:t>Prescriber ID s</w:t>
            </w:r>
            <w:r w:rsidRPr="00AB3750">
              <w:t>ubmitted is inactive or is not found</w:t>
            </w:r>
          </w:p>
        </w:tc>
      </w:tr>
      <w:tr w:rsidR="002A0E7A" w14:paraId="71FD754C" w14:textId="77777777" w:rsidTr="0066139F">
        <w:tc>
          <w:tcPr>
            <w:tcW w:w="553" w:type="pct"/>
          </w:tcPr>
          <w:p w14:paraId="03111FC6" w14:textId="77777777" w:rsidR="002A0E7A" w:rsidRPr="00680305" w:rsidRDefault="002A0E7A" w:rsidP="0066139F">
            <w:pPr>
              <w:spacing w:before="120" w:after="120"/>
              <w:rPr>
                <w:b/>
              </w:rPr>
            </w:pPr>
            <w:r w:rsidRPr="00680305">
              <w:rPr>
                <w:b/>
              </w:rPr>
              <w:t>Reject 44</w:t>
            </w:r>
          </w:p>
        </w:tc>
        <w:tc>
          <w:tcPr>
            <w:tcW w:w="4447" w:type="pct"/>
          </w:tcPr>
          <w:p w14:paraId="42FCA973" w14:textId="77777777" w:rsidR="002A0E7A" w:rsidRPr="00AB3750" w:rsidRDefault="002D15CD" w:rsidP="0066139F">
            <w:pPr>
              <w:spacing w:before="120" w:after="120"/>
            </w:pPr>
            <w:r>
              <w:t>A</w:t>
            </w:r>
            <w:r w:rsidR="002A0E7A" w:rsidRPr="00AB3750">
              <w:t xml:space="preserve">ssociated DEA </w:t>
            </w:r>
            <w:r w:rsidR="002A0E7A">
              <w:t xml:space="preserve">number </w:t>
            </w:r>
            <w:r w:rsidR="002A0E7A" w:rsidRPr="00AB3750">
              <w:t>to the submit</w:t>
            </w:r>
            <w:r w:rsidR="002A0E7A">
              <w:t>ted Prescriber ID is not found</w:t>
            </w:r>
          </w:p>
        </w:tc>
      </w:tr>
      <w:tr w:rsidR="002A0E7A" w14:paraId="64728E76" w14:textId="77777777" w:rsidTr="0066139F">
        <w:tc>
          <w:tcPr>
            <w:tcW w:w="553" w:type="pct"/>
          </w:tcPr>
          <w:p w14:paraId="2389D142" w14:textId="77777777" w:rsidR="002A0E7A" w:rsidRPr="00680305" w:rsidRDefault="002A0E7A" w:rsidP="0066139F">
            <w:pPr>
              <w:spacing w:before="120" w:after="120"/>
              <w:rPr>
                <w:b/>
              </w:rPr>
            </w:pPr>
            <w:r w:rsidRPr="00680305">
              <w:rPr>
                <w:b/>
              </w:rPr>
              <w:t>Reject 43</w:t>
            </w:r>
          </w:p>
        </w:tc>
        <w:tc>
          <w:tcPr>
            <w:tcW w:w="4447" w:type="pct"/>
          </w:tcPr>
          <w:p w14:paraId="792D9323" w14:textId="77777777" w:rsidR="002A0E7A" w:rsidRPr="00AB3750" w:rsidRDefault="002D15CD" w:rsidP="0066139F">
            <w:pPr>
              <w:spacing w:before="120" w:after="120"/>
            </w:pPr>
            <w:r>
              <w:t>A</w:t>
            </w:r>
            <w:r w:rsidR="002A0E7A" w:rsidRPr="00AB3750">
              <w:t xml:space="preserve">ssociated DEA </w:t>
            </w:r>
            <w:r w:rsidR="002A0E7A">
              <w:t xml:space="preserve">number </w:t>
            </w:r>
            <w:r w:rsidR="002A0E7A" w:rsidRPr="00AB3750">
              <w:t>to the submi</w:t>
            </w:r>
            <w:r w:rsidR="002A0E7A">
              <w:t>tted Prescriber ID is inactive</w:t>
            </w:r>
          </w:p>
        </w:tc>
      </w:tr>
      <w:tr w:rsidR="002A0E7A" w14:paraId="76F9D581" w14:textId="77777777" w:rsidTr="0066139F">
        <w:tc>
          <w:tcPr>
            <w:tcW w:w="553" w:type="pct"/>
          </w:tcPr>
          <w:p w14:paraId="19D042AD" w14:textId="77777777" w:rsidR="002A0E7A" w:rsidRPr="00680305" w:rsidRDefault="002A0E7A" w:rsidP="0066139F">
            <w:pPr>
              <w:spacing w:before="120" w:after="120"/>
              <w:rPr>
                <w:b/>
              </w:rPr>
            </w:pPr>
            <w:r w:rsidRPr="00680305">
              <w:rPr>
                <w:b/>
              </w:rPr>
              <w:t>Reject 46</w:t>
            </w:r>
          </w:p>
        </w:tc>
        <w:tc>
          <w:tcPr>
            <w:tcW w:w="4447" w:type="pct"/>
          </w:tcPr>
          <w:p w14:paraId="659A9959" w14:textId="77777777" w:rsidR="002A0E7A" w:rsidRPr="00AB3750" w:rsidRDefault="002D15CD" w:rsidP="0066139F">
            <w:pPr>
              <w:spacing w:before="120" w:after="120"/>
            </w:pPr>
            <w:r>
              <w:t>A</w:t>
            </w:r>
            <w:r w:rsidR="002A0E7A" w:rsidRPr="00AB3750">
              <w:t xml:space="preserve">ssociated DEA </w:t>
            </w:r>
            <w:r w:rsidR="002A0E7A">
              <w:t xml:space="preserve">number </w:t>
            </w:r>
            <w:r w:rsidR="002A0E7A" w:rsidRPr="00AB3750">
              <w:t xml:space="preserve">to </w:t>
            </w:r>
            <w:r w:rsidR="002A0E7A">
              <w:t xml:space="preserve">the </w:t>
            </w:r>
            <w:r w:rsidR="002A0E7A" w:rsidRPr="00AB3750">
              <w:t>submitted Prescriber ID does</w:t>
            </w:r>
            <w:r w:rsidR="002A0E7A">
              <w:t xml:space="preserve"> not allow this drug DEA class</w:t>
            </w:r>
            <w:r w:rsidR="002A0E7A" w:rsidRPr="00AB3750">
              <w:t xml:space="preserve"> </w:t>
            </w:r>
          </w:p>
        </w:tc>
      </w:tr>
      <w:tr w:rsidR="002A0E7A" w14:paraId="2D58C1AA" w14:textId="77777777" w:rsidTr="0066139F">
        <w:tc>
          <w:tcPr>
            <w:tcW w:w="553" w:type="pct"/>
          </w:tcPr>
          <w:p w14:paraId="69809E76" w14:textId="77777777" w:rsidR="002A0E7A" w:rsidRPr="00680305" w:rsidRDefault="002A0E7A" w:rsidP="0066139F">
            <w:pPr>
              <w:spacing w:before="120" w:after="120"/>
              <w:rPr>
                <w:b/>
              </w:rPr>
            </w:pPr>
            <w:r w:rsidRPr="00680305">
              <w:rPr>
                <w:b/>
              </w:rPr>
              <w:t>Reject 56</w:t>
            </w:r>
          </w:p>
        </w:tc>
        <w:tc>
          <w:tcPr>
            <w:tcW w:w="4447" w:type="pct"/>
          </w:tcPr>
          <w:p w14:paraId="064C0497" w14:textId="77777777" w:rsidR="002A0E7A" w:rsidRPr="00AB3750" w:rsidRDefault="002A0E7A" w:rsidP="0066139F">
            <w:pPr>
              <w:spacing w:before="120" w:after="120"/>
            </w:pPr>
            <w:r>
              <w:t>Prescriber ID does not match</w:t>
            </w:r>
          </w:p>
        </w:tc>
      </w:tr>
      <w:tr w:rsidR="002A0E7A" w14:paraId="09F2AB38" w14:textId="77777777" w:rsidTr="0066139F">
        <w:tc>
          <w:tcPr>
            <w:tcW w:w="553" w:type="pct"/>
          </w:tcPr>
          <w:p w14:paraId="410A6210" w14:textId="77777777" w:rsidR="002A0E7A" w:rsidRPr="00680305" w:rsidRDefault="002A0E7A" w:rsidP="0066139F">
            <w:pPr>
              <w:spacing w:before="120" w:after="120"/>
              <w:rPr>
                <w:b/>
              </w:rPr>
            </w:pPr>
            <w:r w:rsidRPr="00680305">
              <w:rPr>
                <w:b/>
                <w:bCs/>
              </w:rPr>
              <w:t>Reject 619</w:t>
            </w:r>
          </w:p>
        </w:tc>
        <w:tc>
          <w:tcPr>
            <w:tcW w:w="4447" w:type="pct"/>
          </w:tcPr>
          <w:p w14:paraId="4660C858" w14:textId="77777777" w:rsidR="002A0E7A" w:rsidRPr="00AB3750" w:rsidRDefault="002A0E7A" w:rsidP="0066139F">
            <w:pPr>
              <w:spacing w:before="120" w:after="120"/>
            </w:pPr>
            <w:r>
              <w:t>Prescriber NPI Required</w:t>
            </w:r>
          </w:p>
        </w:tc>
      </w:tr>
    </w:tbl>
    <w:p w14:paraId="3D9F2F41" w14:textId="77777777" w:rsidR="002A0E7A" w:rsidRDefault="002A0E7A" w:rsidP="0066139F">
      <w:pPr>
        <w:spacing w:before="120" w:after="120"/>
      </w:pPr>
    </w:p>
    <w:p w14:paraId="1EE49506" w14:textId="77777777" w:rsidR="00F81783" w:rsidRPr="0058134F" w:rsidRDefault="00F81783" w:rsidP="0066139F">
      <w:pPr>
        <w:spacing w:before="120" w:after="120"/>
        <w:jc w:val="right"/>
      </w:pPr>
      <w:hyperlink w:anchor="_top" w:history="1">
        <w:r w:rsidRPr="00793212">
          <w:rPr>
            <w:rStyle w:val="Hyperlink"/>
          </w:rPr>
          <w:t xml:space="preserve">Top of the </w:t>
        </w:r>
        <w:r w:rsidRPr="00793212">
          <w:rPr>
            <w:rStyle w:val="Hyperlink"/>
          </w:rPr>
          <w:t>D</w:t>
        </w:r>
        <w:r w:rsidRPr="00793212">
          <w:rPr>
            <w:rStyle w:val="Hyperlink"/>
          </w:rPr>
          <w:t>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F81783" w:rsidRPr="0058134F" w14:paraId="2717B939" w14:textId="77777777" w:rsidTr="005B250E">
        <w:tc>
          <w:tcPr>
            <w:tcW w:w="5000" w:type="pct"/>
            <w:shd w:val="clear" w:color="auto" w:fill="BFBFBF" w:themeFill="background1" w:themeFillShade="BF"/>
          </w:tcPr>
          <w:p w14:paraId="4235DACD" w14:textId="2709D99C" w:rsidR="00F81783" w:rsidRPr="0058134F" w:rsidRDefault="002A0E7A" w:rsidP="0066139F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Toc201215717"/>
            <w:r>
              <w:rPr>
                <w:rFonts w:ascii="Verdana" w:hAnsi="Verdana"/>
                <w:i w:val="0"/>
                <w:iCs w:val="0"/>
              </w:rPr>
              <w:t>Call Handling</w:t>
            </w:r>
            <w:bookmarkEnd w:id="6"/>
          </w:p>
        </w:tc>
      </w:tr>
    </w:tbl>
    <w:p w14:paraId="04F12FA6" w14:textId="77777777" w:rsidR="0066139F" w:rsidRDefault="0066139F" w:rsidP="0066139F">
      <w:pPr>
        <w:spacing w:before="120" w:after="120"/>
        <w:textAlignment w:val="top"/>
        <w:rPr>
          <w:rFonts w:cs="Arial"/>
          <w:bCs/>
          <w:color w:val="333333"/>
        </w:rPr>
      </w:pPr>
    </w:p>
    <w:p w14:paraId="542995E0" w14:textId="0D72B75D" w:rsidR="00A57D26" w:rsidRPr="0058134F" w:rsidRDefault="000A7C30" w:rsidP="0066139F">
      <w:pPr>
        <w:spacing w:before="120" w:after="120"/>
        <w:textAlignment w:val="top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Perform the step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917"/>
        <w:gridCol w:w="11195"/>
      </w:tblGrid>
      <w:tr w:rsidR="008230FA" w:rsidRPr="0058134F" w14:paraId="77BB4165" w14:textId="77777777" w:rsidTr="0066139F">
        <w:trPr>
          <w:trHeight w:val="341"/>
        </w:trPr>
        <w:tc>
          <w:tcPr>
            <w:tcW w:w="162" w:type="pct"/>
            <w:shd w:val="clear" w:color="auto" w:fill="D9D9D9" w:themeFill="background1" w:themeFillShade="D9"/>
          </w:tcPr>
          <w:p w14:paraId="5A6787DE" w14:textId="77777777" w:rsidR="008230FA" w:rsidRPr="0058134F" w:rsidRDefault="008230FA" w:rsidP="0066139F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58134F">
              <w:rPr>
                <w:rFonts w:cs="Arial"/>
                <w:b/>
                <w:bCs/>
                <w:color w:val="333333"/>
              </w:rPr>
              <w:t>Step</w:t>
            </w:r>
            <w:r w:rsidR="00913B1B" w:rsidRPr="0058134F">
              <w:rPr>
                <w:rFonts w:cs="Arial"/>
                <w:b/>
                <w:bCs/>
                <w:color w:val="333333"/>
              </w:rPr>
              <w:t xml:space="preserve"> </w:t>
            </w:r>
          </w:p>
        </w:tc>
        <w:tc>
          <w:tcPr>
            <w:tcW w:w="4838" w:type="pct"/>
            <w:gridSpan w:val="2"/>
            <w:shd w:val="clear" w:color="auto" w:fill="D9D9D9" w:themeFill="background1" w:themeFillShade="D9"/>
          </w:tcPr>
          <w:p w14:paraId="50D43327" w14:textId="77777777" w:rsidR="008230FA" w:rsidRPr="0058134F" w:rsidRDefault="008230FA" w:rsidP="0066139F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58134F">
              <w:rPr>
                <w:rFonts w:cs="Arial"/>
                <w:b/>
                <w:bCs/>
                <w:color w:val="333333"/>
              </w:rPr>
              <w:t>Action</w:t>
            </w:r>
            <w:r w:rsidR="00913B1B" w:rsidRPr="0058134F">
              <w:rPr>
                <w:rFonts w:cs="Arial"/>
                <w:b/>
                <w:bCs/>
                <w:color w:val="333333"/>
              </w:rPr>
              <w:t xml:space="preserve"> </w:t>
            </w:r>
          </w:p>
        </w:tc>
      </w:tr>
      <w:tr w:rsidR="002A0E7A" w:rsidRPr="0058134F" w14:paraId="776DBF16" w14:textId="77777777" w:rsidTr="0066139F">
        <w:trPr>
          <w:trHeight w:val="102"/>
        </w:trPr>
        <w:tc>
          <w:tcPr>
            <w:tcW w:w="162" w:type="pct"/>
            <w:vMerge w:val="restart"/>
          </w:tcPr>
          <w:p w14:paraId="65C8C4E9" w14:textId="77777777" w:rsidR="002A0E7A" w:rsidRDefault="000A7C30" w:rsidP="0066139F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1</w:t>
            </w:r>
          </w:p>
        </w:tc>
        <w:tc>
          <w:tcPr>
            <w:tcW w:w="4838" w:type="pct"/>
            <w:gridSpan w:val="2"/>
          </w:tcPr>
          <w:p w14:paraId="62371D59" w14:textId="77777777" w:rsidR="002A0E7A" w:rsidRPr="0058134F" w:rsidRDefault="000A7C30" w:rsidP="0066139F">
            <w:p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  <w:r w:rsidRPr="002A0E7A">
              <w:rPr>
                <w:rFonts w:cs="Arial"/>
                <w:bCs/>
                <w:color w:val="333333"/>
              </w:rPr>
              <w:t>Educate the member about the requirements for prescriber NPI</w:t>
            </w:r>
            <w:r>
              <w:rPr>
                <w:rFonts w:cs="Arial"/>
                <w:bCs/>
                <w:color w:val="333333"/>
              </w:rPr>
              <w:t xml:space="preserve"> and d</w:t>
            </w:r>
            <w:r w:rsidR="002A0E7A">
              <w:rPr>
                <w:rFonts w:cs="Arial"/>
                <w:bCs/>
                <w:color w:val="333333"/>
              </w:rPr>
              <w:t>etermine the claim type</w:t>
            </w:r>
            <w:r w:rsidR="00A822C8">
              <w:rPr>
                <w:rFonts w:cs="Arial"/>
                <w:bCs/>
                <w:color w:val="333333"/>
              </w:rPr>
              <w:t>:</w:t>
            </w:r>
          </w:p>
        </w:tc>
      </w:tr>
      <w:tr w:rsidR="00016A57" w:rsidRPr="0058134F" w14:paraId="1BD20FAA" w14:textId="77777777" w:rsidTr="0066139F">
        <w:trPr>
          <w:trHeight w:val="102"/>
        </w:trPr>
        <w:tc>
          <w:tcPr>
            <w:tcW w:w="162" w:type="pct"/>
            <w:vMerge/>
          </w:tcPr>
          <w:p w14:paraId="4848B470" w14:textId="77777777" w:rsidR="002A0E7A" w:rsidRDefault="002A0E7A" w:rsidP="0066139F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</w:tcPr>
          <w:p w14:paraId="283F19DC" w14:textId="77777777" w:rsidR="002A0E7A" w:rsidRPr="001E665A" w:rsidRDefault="002A0E7A" w:rsidP="0066139F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If…</w:t>
            </w:r>
          </w:p>
        </w:tc>
        <w:tc>
          <w:tcPr>
            <w:tcW w:w="4464" w:type="pct"/>
            <w:shd w:val="clear" w:color="auto" w:fill="D9D9D9" w:themeFill="background1" w:themeFillShade="D9"/>
          </w:tcPr>
          <w:p w14:paraId="17CFD95A" w14:textId="77777777" w:rsidR="002A0E7A" w:rsidRPr="001E665A" w:rsidRDefault="002A0E7A" w:rsidP="0066139F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Then…</w:t>
            </w:r>
          </w:p>
        </w:tc>
      </w:tr>
      <w:tr w:rsidR="00016A57" w:rsidRPr="0058134F" w14:paraId="226BA5A5" w14:textId="77777777" w:rsidTr="0066139F">
        <w:trPr>
          <w:trHeight w:val="102"/>
        </w:trPr>
        <w:tc>
          <w:tcPr>
            <w:tcW w:w="162" w:type="pct"/>
            <w:vMerge/>
          </w:tcPr>
          <w:p w14:paraId="64AFA88C" w14:textId="77777777" w:rsidR="002A0E7A" w:rsidRDefault="002A0E7A" w:rsidP="0066139F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374" w:type="pct"/>
          </w:tcPr>
          <w:p w14:paraId="41E2011D" w14:textId="77777777" w:rsidR="002A0E7A" w:rsidRPr="0058134F" w:rsidRDefault="002A0E7A" w:rsidP="0066139F">
            <w:p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>Retail</w:t>
            </w:r>
          </w:p>
        </w:tc>
        <w:tc>
          <w:tcPr>
            <w:tcW w:w="4464" w:type="pct"/>
          </w:tcPr>
          <w:p w14:paraId="165191DA" w14:textId="2A4FE564" w:rsidR="002A0E7A" w:rsidRDefault="002A0E7A" w:rsidP="0066139F">
            <w:p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  <w:r w:rsidRPr="002A0E7A">
              <w:rPr>
                <w:rFonts w:cs="Arial"/>
                <w:bCs/>
                <w:color w:val="333333"/>
              </w:rPr>
              <w:t xml:space="preserve">Ask the member to have their pharmacy contact the </w:t>
            </w:r>
            <w:r w:rsidR="0080149C">
              <w:rPr>
                <w:rFonts w:cs="Arial"/>
                <w:bCs/>
                <w:color w:val="333333"/>
              </w:rPr>
              <w:t>Pharmacy</w:t>
            </w:r>
            <w:r w:rsidR="0080149C" w:rsidRPr="002A0E7A">
              <w:rPr>
                <w:rFonts w:cs="Arial"/>
                <w:bCs/>
                <w:color w:val="333333"/>
              </w:rPr>
              <w:t xml:space="preserve"> </w:t>
            </w:r>
            <w:r w:rsidRPr="002A0E7A">
              <w:rPr>
                <w:rFonts w:cs="Arial"/>
                <w:bCs/>
                <w:color w:val="333333"/>
              </w:rPr>
              <w:t>Help Desk with this issue</w:t>
            </w:r>
            <w:r>
              <w:rPr>
                <w:rFonts w:cs="Arial"/>
                <w:bCs/>
                <w:color w:val="333333"/>
              </w:rPr>
              <w:t>.</w:t>
            </w:r>
          </w:p>
          <w:p w14:paraId="52550347" w14:textId="665B4C2C" w:rsidR="00A07052" w:rsidRPr="0058134F" w:rsidRDefault="002A0E7A" w:rsidP="0066139F">
            <w:p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  <w:r w:rsidRPr="002A0E7A">
              <w:rPr>
                <w:rFonts w:cs="Arial"/>
                <w:b/>
                <w:bCs/>
                <w:color w:val="333333"/>
              </w:rPr>
              <w:t>Note:</w:t>
            </w:r>
            <w:r w:rsidRPr="002A0E7A">
              <w:rPr>
                <w:rFonts w:cs="Arial"/>
                <w:bCs/>
                <w:color w:val="333333"/>
              </w:rPr>
              <w:t xml:space="preserve"> The </w:t>
            </w:r>
            <w:r w:rsidR="0080149C">
              <w:rPr>
                <w:rFonts w:cs="Arial"/>
                <w:bCs/>
                <w:color w:val="333333"/>
              </w:rPr>
              <w:t>Pharmacy</w:t>
            </w:r>
            <w:r w:rsidR="0080149C" w:rsidRPr="002A0E7A">
              <w:rPr>
                <w:rFonts w:cs="Arial"/>
                <w:bCs/>
                <w:color w:val="333333"/>
              </w:rPr>
              <w:t xml:space="preserve"> </w:t>
            </w:r>
            <w:r w:rsidRPr="002A0E7A">
              <w:rPr>
                <w:rFonts w:cs="Arial"/>
                <w:bCs/>
                <w:color w:val="333333"/>
              </w:rPr>
              <w:t>Help Desk will be able to provide detailed instruction advising the pharmacy how to address the rejection.</w:t>
            </w:r>
          </w:p>
        </w:tc>
      </w:tr>
      <w:tr w:rsidR="00016A57" w:rsidRPr="0058134F" w14:paraId="78D4CDB7" w14:textId="77777777" w:rsidTr="0066139F">
        <w:trPr>
          <w:trHeight w:val="102"/>
        </w:trPr>
        <w:tc>
          <w:tcPr>
            <w:tcW w:w="162" w:type="pct"/>
            <w:vMerge/>
          </w:tcPr>
          <w:p w14:paraId="16BE5F2B" w14:textId="77777777" w:rsidR="002A0E7A" w:rsidRDefault="002A0E7A" w:rsidP="0066139F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374" w:type="pct"/>
          </w:tcPr>
          <w:p w14:paraId="2055BF40" w14:textId="77777777" w:rsidR="002A0E7A" w:rsidRPr="0058134F" w:rsidRDefault="007052F5" w:rsidP="0066139F">
            <w:p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>Mail Order</w:t>
            </w:r>
          </w:p>
        </w:tc>
        <w:tc>
          <w:tcPr>
            <w:tcW w:w="4464" w:type="pct"/>
          </w:tcPr>
          <w:p w14:paraId="1496D0CC" w14:textId="12591A0F" w:rsidR="00827D09" w:rsidRPr="0058134F" w:rsidRDefault="002A0E7A" w:rsidP="0066139F">
            <w:p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  <w:r>
              <w:t>Refer to</w:t>
            </w:r>
            <w:r w:rsidR="000A7C30">
              <w:t xml:space="preserve"> </w:t>
            </w:r>
            <w:r w:rsidR="0080149C">
              <w:t>Clinical.</w:t>
            </w:r>
            <w:r w:rsidR="000A7C30">
              <w:t xml:space="preserve"> </w:t>
            </w:r>
          </w:p>
        </w:tc>
      </w:tr>
      <w:tr w:rsidR="00016A57" w:rsidRPr="0058134F" w14:paraId="1A8EB7E7" w14:textId="77777777" w:rsidTr="0066139F">
        <w:trPr>
          <w:trHeight w:val="102"/>
        </w:trPr>
        <w:tc>
          <w:tcPr>
            <w:tcW w:w="162" w:type="pct"/>
            <w:vMerge/>
          </w:tcPr>
          <w:p w14:paraId="16E4DABF" w14:textId="77777777" w:rsidR="002A0E7A" w:rsidRDefault="002A0E7A" w:rsidP="0066139F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374" w:type="pct"/>
          </w:tcPr>
          <w:p w14:paraId="64A88F33" w14:textId="77777777" w:rsidR="002A0E7A" w:rsidRPr="0058134F" w:rsidRDefault="002A0E7A" w:rsidP="0066139F">
            <w:p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>Paper Claim</w:t>
            </w:r>
          </w:p>
        </w:tc>
        <w:tc>
          <w:tcPr>
            <w:tcW w:w="4464" w:type="pct"/>
          </w:tcPr>
          <w:p w14:paraId="318A921C" w14:textId="77777777" w:rsidR="002A0E7A" w:rsidRDefault="002A0E7A" w:rsidP="0066139F">
            <w:pPr>
              <w:spacing w:before="120" w:after="120"/>
            </w:pPr>
            <w:r>
              <w:t>Educate the member about the requirements for prescriber NPI</w:t>
            </w:r>
            <w:r w:rsidR="006F0AB5">
              <w:t xml:space="preserve"> and a</w:t>
            </w:r>
            <w:r>
              <w:t>dvise the member that they can reach out to their</w:t>
            </w:r>
            <w:r w:rsidRPr="00AB3750">
              <w:t xml:space="preserve"> pharmacy for a new print out that will indicate wha</w:t>
            </w:r>
            <w:r>
              <w:t>t the NPI is for the prescriber.</w:t>
            </w:r>
          </w:p>
          <w:p w14:paraId="2C141C4E" w14:textId="57863383" w:rsidR="00827D09" w:rsidRPr="0058134F" w:rsidRDefault="002A0E7A" w:rsidP="0066139F">
            <w:p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  <w:r w:rsidRPr="00680305">
              <w:rPr>
                <w:b/>
              </w:rPr>
              <w:t>Note:</w:t>
            </w:r>
            <w:r w:rsidR="007527A7">
              <w:rPr>
                <w:b/>
              </w:rPr>
              <w:t xml:space="preserve"> </w:t>
            </w:r>
            <w:r w:rsidRPr="00AB3750">
              <w:t>Foreign claims and Medicaid subr</w:t>
            </w:r>
            <w:r>
              <w:t>o</w:t>
            </w:r>
            <w:r w:rsidRPr="00AB3750">
              <w:t xml:space="preserve">gation are excluded </w:t>
            </w:r>
            <w:r>
              <w:t>from these rejections.</w:t>
            </w:r>
          </w:p>
        </w:tc>
      </w:tr>
    </w:tbl>
    <w:p w14:paraId="7031CB0B" w14:textId="77777777" w:rsidR="00F81783" w:rsidRDefault="00F81783" w:rsidP="0066139F">
      <w:pPr>
        <w:spacing w:before="120" w:after="120"/>
      </w:pPr>
      <w:bookmarkStart w:id="7" w:name="_Parent_SOP"/>
      <w:bookmarkEnd w:id="7"/>
    </w:p>
    <w:p w14:paraId="414752B1" w14:textId="77777777" w:rsidR="00220217" w:rsidRPr="0058134F" w:rsidRDefault="00220217" w:rsidP="0066139F">
      <w:pPr>
        <w:spacing w:before="120" w:after="120"/>
        <w:jc w:val="right"/>
      </w:pPr>
      <w:hyperlink w:anchor="_top" w:history="1">
        <w:r w:rsidRPr="00793212">
          <w:rPr>
            <w:rStyle w:val="Hyperlink"/>
          </w:rPr>
          <w:t xml:space="preserve">Top of </w:t>
        </w:r>
        <w:r w:rsidRPr="00793212">
          <w:rPr>
            <w:rStyle w:val="Hyperlink"/>
          </w:rPr>
          <w:t>t</w:t>
        </w:r>
        <w:r w:rsidRPr="00793212">
          <w:rPr>
            <w:rStyle w:val="Hyperlink"/>
          </w:rPr>
          <w:t>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20217" w:rsidRPr="0058134F" w14:paraId="66B67DEC" w14:textId="77777777" w:rsidTr="00CB3594">
        <w:tc>
          <w:tcPr>
            <w:tcW w:w="5000" w:type="pct"/>
            <w:shd w:val="clear" w:color="auto" w:fill="BFBFBF" w:themeFill="background1" w:themeFillShade="BF"/>
          </w:tcPr>
          <w:p w14:paraId="683C2724" w14:textId="24B1961D" w:rsidR="00220217" w:rsidRPr="0058134F" w:rsidRDefault="00220217" w:rsidP="0066139F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Toc201215718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8"/>
          </w:p>
        </w:tc>
      </w:tr>
    </w:tbl>
    <w:p w14:paraId="5DD1CE68" w14:textId="77777777" w:rsidR="00CB3594" w:rsidRDefault="00CB3594" w:rsidP="0066139F">
      <w:pPr>
        <w:spacing w:before="120" w:after="120"/>
        <w:rPr>
          <w:b/>
          <w:bCs/>
        </w:rPr>
      </w:pPr>
    </w:p>
    <w:p w14:paraId="51DEB5DE" w14:textId="1A7A3862" w:rsidR="007052F5" w:rsidRDefault="007052F5" w:rsidP="0066139F">
      <w:pPr>
        <w:spacing w:before="120" w:after="120"/>
      </w:pPr>
      <w:r w:rsidRPr="00B121B0">
        <w:rPr>
          <w:b/>
          <w:bCs/>
        </w:rPr>
        <w:t xml:space="preserve">Parent Document:  </w:t>
      </w:r>
      <w:hyperlink r:id="rId11" w:tgtFrame="_blank" w:history="1">
        <w:r w:rsidRPr="00DB338D">
          <w:rPr>
            <w:rStyle w:val="Hyperlink"/>
          </w:rPr>
          <w:t>Customer Care Internal and External Call Handling (CALL</w:t>
        </w:r>
        <w:r>
          <w:rPr>
            <w:rStyle w:val="Hyperlink"/>
          </w:rPr>
          <w:t>-</w:t>
        </w:r>
        <w:r w:rsidRPr="00DB338D">
          <w:rPr>
            <w:rStyle w:val="Hyperlink"/>
          </w:rPr>
          <w:t>0049)</w:t>
        </w:r>
      </w:hyperlink>
    </w:p>
    <w:p w14:paraId="1BB57CAE" w14:textId="3645457C" w:rsidR="00CB3594" w:rsidRDefault="00CB3594" w:rsidP="0066139F">
      <w:pPr>
        <w:spacing w:before="120" w:after="120"/>
      </w:pPr>
      <w:r w:rsidRPr="00CB3594">
        <w:rPr>
          <w:b/>
          <w:bCs/>
          <w:color w:val="000000"/>
        </w:rPr>
        <w:t>Abbreviations/Definitions:</w:t>
      </w:r>
      <w:r w:rsidRPr="00CB3594">
        <w:rPr>
          <w:color w:val="000000"/>
        </w:rPr>
        <w:t> </w:t>
      </w:r>
      <w:hyperlink r:id="rId12" w:anchor="!/view?docid=c1f1028b-e42c-4b4f-a4cf-cc0b42c91606" w:tgtFrame="_blank" w:history="1">
        <w:r w:rsidRPr="00CB3594">
          <w:rPr>
            <w:color w:val="0000FF"/>
            <w:u w:val="single"/>
          </w:rPr>
          <w:t>Customer Care Abbreviations, Definitions, and Terms Index (017428)</w:t>
        </w:r>
      </w:hyperlink>
    </w:p>
    <w:p w14:paraId="79D2574D" w14:textId="77777777" w:rsidR="00CB3594" w:rsidRPr="0034489A" w:rsidRDefault="00CB3594" w:rsidP="0066139F">
      <w:pPr>
        <w:spacing w:before="120" w:after="120"/>
        <w:rPr>
          <w:rFonts w:cs="Helvetica"/>
          <w:color w:val="000000"/>
          <w:shd w:val="clear" w:color="auto" w:fill="FFFFFF"/>
        </w:rPr>
      </w:pPr>
      <w:hyperlink r:id="rId13" w:anchor="!/view?docid=a88ce20f-8795-482c-85d1-6279bfa1c1e8" w:history="1">
        <w:r w:rsidRPr="469568CF">
          <w:rPr>
            <w:rStyle w:val="Hyperlink"/>
            <w:rFonts w:cs="Helvetica"/>
            <w:shd w:val="clear" w:color="auto" w:fill="FFFFFF"/>
          </w:rPr>
          <w:t>NPI (National Provider Identifier)</w:t>
        </w:r>
        <w:r>
          <w:rPr>
            <w:rStyle w:val="Hyperlink"/>
            <w:rFonts w:cs="Helvetica"/>
            <w:shd w:val="clear" w:color="auto" w:fill="FFFFFF"/>
          </w:rPr>
          <w:t xml:space="preserve"> (025779)</w:t>
        </w:r>
        <w:r w:rsidRPr="469568CF">
          <w:rPr>
            <w:rFonts w:cs="Helvetica"/>
            <w:shd w:val="clear" w:color="auto" w:fill="FFFFFF"/>
          </w:rPr>
          <w:t xml:space="preserve"> </w:t>
        </w:r>
      </w:hyperlink>
    </w:p>
    <w:p w14:paraId="156C2361" w14:textId="77777777" w:rsidR="00CB3594" w:rsidRPr="005A2200" w:rsidRDefault="00CB3594" w:rsidP="0066139F">
      <w:pPr>
        <w:spacing w:before="120" w:after="120"/>
        <w:rPr>
          <w:rFonts w:eastAsia="Verdana" w:cs="Verdana"/>
        </w:rPr>
      </w:pPr>
      <w:hyperlink r:id="rId14" w:anchor="!/view?docid=1f72603c-4632-4e85-8d97-16cb51a3be1f" w:history="1">
        <w:r w:rsidRPr="005A2200">
          <w:rPr>
            <w:rStyle w:val="Hyperlink"/>
            <w:rFonts w:eastAsia="Helvetica" w:cs="Helvetica"/>
          </w:rPr>
          <w:t>Paper Claim Index (</w:t>
        </w:r>
        <w:r>
          <w:rPr>
            <w:rStyle w:val="Hyperlink"/>
            <w:rFonts w:eastAsia="Helvetica" w:cs="Helvetica"/>
          </w:rPr>
          <w:t>0</w:t>
        </w:r>
        <w:r w:rsidRPr="005A2200">
          <w:rPr>
            <w:rStyle w:val="Hyperlink"/>
            <w:rFonts w:eastAsia="Helvetica" w:cs="Helvetica"/>
          </w:rPr>
          <w:t>42914)</w:t>
        </w:r>
      </w:hyperlink>
    </w:p>
    <w:p w14:paraId="67F3EB66" w14:textId="3DB57210" w:rsidR="00827D09" w:rsidRDefault="00827D09" w:rsidP="0066139F">
      <w:pPr>
        <w:spacing w:before="120" w:after="120"/>
      </w:pPr>
    </w:p>
    <w:p w14:paraId="139A9B86" w14:textId="77777777" w:rsidR="00827D09" w:rsidRDefault="00827D09" w:rsidP="0066139F">
      <w:pPr>
        <w:spacing w:before="120" w:after="120"/>
        <w:jc w:val="right"/>
        <w:rPr>
          <w:sz w:val="16"/>
          <w:szCs w:val="16"/>
        </w:rPr>
      </w:pPr>
      <w:hyperlink w:anchor="_top" w:history="1">
        <w:r w:rsidRPr="008B69C1">
          <w:rPr>
            <w:rStyle w:val="Hyperlink"/>
          </w:rPr>
          <w:t>Top of t</w:t>
        </w:r>
        <w:r w:rsidRPr="008B69C1">
          <w:rPr>
            <w:rStyle w:val="Hyperlink"/>
          </w:rPr>
          <w:t>h</w:t>
        </w:r>
        <w:r w:rsidRPr="008B69C1">
          <w:rPr>
            <w:rStyle w:val="Hyperlink"/>
          </w:rPr>
          <w:t>e Document</w:t>
        </w:r>
      </w:hyperlink>
    </w:p>
    <w:p w14:paraId="00F71149" w14:textId="77777777" w:rsidR="00827D09" w:rsidRDefault="00827D09" w:rsidP="00CB3594">
      <w:pPr>
        <w:rPr>
          <w:sz w:val="16"/>
          <w:szCs w:val="16"/>
        </w:rPr>
      </w:pPr>
    </w:p>
    <w:p w14:paraId="215ED26C" w14:textId="77777777" w:rsidR="00827D09" w:rsidRPr="00C247CB" w:rsidRDefault="00827D09" w:rsidP="00827D09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4DBB35DA" w14:textId="77777777" w:rsidR="00827D09" w:rsidRPr="00C247CB" w:rsidRDefault="00827D09" w:rsidP="00827D09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220DCF84" w14:textId="77777777" w:rsidR="00827D09" w:rsidRPr="00C247CB" w:rsidRDefault="00827D09" w:rsidP="00827D09">
      <w:pPr>
        <w:jc w:val="center"/>
        <w:rPr>
          <w:sz w:val="16"/>
          <w:szCs w:val="16"/>
        </w:rPr>
      </w:pPr>
    </w:p>
    <w:p w14:paraId="06DEB88C" w14:textId="77777777" w:rsidR="00827D09" w:rsidRPr="00C247CB" w:rsidRDefault="00827D09" w:rsidP="00827D09">
      <w:pPr>
        <w:jc w:val="center"/>
        <w:rPr>
          <w:b/>
          <w:color w:val="000000"/>
          <w:sz w:val="16"/>
          <w:szCs w:val="16"/>
        </w:rPr>
      </w:pPr>
    </w:p>
    <w:p w14:paraId="295A922D" w14:textId="77777777" w:rsidR="00827D09" w:rsidRPr="00C247CB" w:rsidRDefault="00827D09" w:rsidP="00827D09">
      <w:pPr>
        <w:jc w:val="center"/>
        <w:rPr>
          <w:sz w:val="16"/>
          <w:szCs w:val="16"/>
        </w:rPr>
      </w:pPr>
    </w:p>
    <w:p w14:paraId="12A68E7C" w14:textId="77777777" w:rsidR="005A64DA" w:rsidRPr="0058134F" w:rsidRDefault="005A64DA" w:rsidP="00827D09">
      <w:pPr>
        <w:rPr>
          <w:sz w:val="16"/>
          <w:szCs w:val="16"/>
        </w:rPr>
      </w:pPr>
    </w:p>
    <w:sectPr w:rsidR="005A64DA" w:rsidRPr="0058134F" w:rsidSect="00EB1F94">
      <w:footerReference w:type="default" r:id="rId15"/>
      <w:headerReference w:type="first" r:id="rId16"/>
      <w:footerReference w:type="first" r:id="rId1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C9F0D" w14:textId="77777777" w:rsidR="0067705A" w:rsidRDefault="0067705A">
      <w:r>
        <w:separator/>
      </w:r>
    </w:p>
  </w:endnote>
  <w:endnote w:type="continuationSeparator" w:id="0">
    <w:p w14:paraId="7890846F" w14:textId="77777777" w:rsidR="0067705A" w:rsidRDefault="00677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B051A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471A4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9CB3D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4DF20" w14:textId="77777777" w:rsidR="0067705A" w:rsidRDefault="0067705A">
      <w:r>
        <w:separator/>
      </w:r>
    </w:p>
  </w:footnote>
  <w:footnote w:type="continuationSeparator" w:id="0">
    <w:p w14:paraId="6C4D8135" w14:textId="77777777" w:rsidR="0067705A" w:rsidRDefault="00677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BD70C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C539B"/>
    <w:multiLevelType w:val="hybridMultilevel"/>
    <w:tmpl w:val="4F7E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35405"/>
    <w:multiLevelType w:val="hybridMultilevel"/>
    <w:tmpl w:val="3C7E0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5007814"/>
    <w:multiLevelType w:val="hybridMultilevel"/>
    <w:tmpl w:val="BCA2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22826"/>
    <w:multiLevelType w:val="hybridMultilevel"/>
    <w:tmpl w:val="0CE4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F7A04"/>
    <w:multiLevelType w:val="hybridMultilevel"/>
    <w:tmpl w:val="8E7CA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60B5B62"/>
    <w:multiLevelType w:val="hybridMultilevel"/>
    <w:tmpl w:val="F910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C7E6A"/>
    <w:multiLevelType w:val="multilevel"/>
    <w:tmpl w:val="E270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56970"/>
    <w:multiLevelType w:val="hybridMultilevel"/>
    <w:tmpl w:val="6CB4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629D6"/>
    <w:multiLevelType w:val="hybridMultilevel"/>
    <w:tmpl w:val="037CE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3B5145"/>
    <w:multiLevelType w:val="hybridMultilevel"/>
    <w:tmpl w:val="0B30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7919684">
    <w:abstractNumId w:val="16"/>
  </w:num>
  <w:num w:numId="2" w16cid:durableId="1917787782">
    <w:abstractNumId w:val="4"/>
  </w:num>
  <w:num w:numId="3" w16cid:durableId="1801337503">
    <w:abstractNumId w:val="20"/>
  </w:num>
  <w:num w:numId="4" w16cid:durableId="1607809938">
    <w:abstractNumId w:val="22"/>
  </w:num>
  <w:num w:numId="5" w16cid:durableId="122886479">
    <w:abstractNumId w:val="1"/>
  </w:num>
  <w:num w:numId="6" w16cid:durableId="741948349">
    <w:abstractNumId w:val="23"/>
  </w:num>
  <w:num w:numId="7" w16cid:durableId="2146580217">
    <w:abstractNumId w:val="13"/>
  </w:num>
  <w:num w:numId="8" w16cid:durableId="10122958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87892801">
    <w:abstractNumId w:val="6"/>
  </w:num>
  <w:num w:numId="10" w16cid:durableId="967979671">
    <w:abstractNumId w:val="0"/>
  </w:num>
  <w:num w:numId="11" w16cid:durableId="336733984">
    <w:abstractNumId w:val="5"/>
  </w:num>
  <w:num w:numId="12" w16cid:durableId="590509588">
    <w:abstractNumId w:val="2"/>
  </w:num>
  <w:num w:numId="13" w16cid:durableId="2077391281">
    <w:abstractNumId w:val="9"/>
  </w:num>
  <w:num w:numId="14" w16cid:durableId="774208747">
    <w:abstractNumId w:val="8"/>
  </w:num>
  <w:num w:numId="15" w16cid:durableId="401677973">
    <w:abstractNumId w:val="18"/>
  </w:num>
  <w:num w:numId="16" w16cid:durableId="39080636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32919167">
    <w:abstractNumId w:val="10"/>
  </w:num>
  <w:num w:numId="18" w16cid:durableId="897671095">
    <w:abstractNumId w:val="21"/>
  </w:num>
  <w:num w:numId="19" w16cid:durableId="560601144">
    <w:abstractNumId w:val="11"/>
  </w:num>
  <w:num w:numId="20" w16cid:durableId="1373773017">
    <w:abstractNumId w:val="19"/>
  </w:num>
  <w:num w:numId="21" w16cid:durableId="1497645025">
    <w:abstractNumId w:val="7"/>
  </w:num>
  <w:num w:numId="22" w16cid:durableId="1785463929">
    <w:abstractNumId w:val="12"/>
  </w:num>
  <w:num w:numId="23" w16cid:durableId="1230454745">
    <w:abstractNumId w:val="17"/>
  </w:num>
  <w:num w:numId="24" w16cid:durableId="912861807">
    <w:abstractNumId w:val="14"/>
  </w:num>
  <w:num w:numId="25" w16cid:durableId="173611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514"/>
    <w:rsid w:val="0000390B"/>
    <w:rsid w:val="00015A2E"/>
    <w:rsid w:val="00016A57"/>
    <w:rsid w:val="00017641"/>
    <w:rsid w:val="000221A9"/>
    <w:rsid w:val="00035BED"/>
    <w:rsid w:val="0004181B"/>
    <w:rsid w:val="00061AD2"/>
    <w:rsid w:val="000706D4"/>
    <w:rsid w:val="000749A3"/>
    <w:rsid w:val="00077558"/>
    <w:rsid w:val="000863D4"/>
    <w:rsid w:val="0008665F"/>
    <w:rsid w:val="00095AB5"/>
    <w:rsid w:val="000A3DCC"/>
    <w:rsid w:val="000A6B88"/>
    <w:rsid w:val="000A7C30"/>
    <w:rsid w:val="000B3C4C"/>
    <w:rsid w:val="000B656F"/>
    <w:rsid w:val="000B6A57"/>
    <w:rsid w:val="000B72DF"/>
    <w:rsid w:val="000C5B22"/>
    <w:rsid w:val="000D1870"/>
    <w:rsid w:val="000D2E81"/>
    <w:rsid w:val="000D4BA2"/>
    <w:rsid w:val="000D6714"/>
    <w:rsid w:val="000E485E"/>
    <w:rsid w:val="000F0D1B"/>
    <w:rsid w:val="000F54AF"/>
    <w:rsid w:val="00104CDE"/>
    <w:rsid w:val="00115944"/>
    <w:rsid w:val="0012373E"/>
    <w:rsid w:val="00130444"/>
    <w:rsid w:val="001360A5"/>
    <w:rsid w:val="001566E4"/>
    <w:rsid w:val="00161D03"/>
    <w:rsid w:val="0016273A"/>
    <w:rsid w:val="00181B1A"/>
    <w:rsid w:val="0019130B"/>
    <w:rsid w:val="001A5256"/>
    <w:rsid w:val="001B3879"/>
    <w:rsid w:val="001D1327"/>
    <w:rsid w:val="001E7746"/>
    <w:rsid w:val="001F0774"/>
    <w:rsid w:val="001F1218"/>
    <w:rsid w:val="001F5947"/>
    <w:rsid w:val="002016B4"/>
    <w:rsid w:val="002055CF"/>
    <w:rsid w:val="00220217"/>
    <w:rsid w:val="002229AE"/>
    <w:rsid w:val="00243EBB"/>
    <w:rsid w:val="00255C6B"/>
    <w:rsid w:val="00265D86"/>
    <w:rsid w:val="002750DC"/>
    <w:rsid w:val="00287CB1"/>
    <w:rsid w:val="00291CE8"/>
    <w:rsid w:val="00296127"/>
    <w:rsid w:val="00296765"/>
    <w:rsid w:val="002A0E7A"/>
    <w:rsid w:val="002A673F"/>
    <w:rsid w:val="002B593E"/>
    <w:rsid w:val="002C7CA4"/>
    <w:rsid w:val="002D0E97"/>
    <w:rsid w:val="002D15CD"/>
    <w:rsid w:val="002D5FCF"/>
    <w:rsid w:val="002E6E58"/>
    <w:rsid w:val="002F1F92"/>
    <w:rsid w:val="002F6F9E"/>
    <w:rsid w:val="003149C2"/>
    <w:rsid w:val="0033143E"/>
    <w:rsid w:val="0034318F"/>
    <w:rsid w:val="0034489A"/>
    <w:rsid w:val="0034552B"/>
    <w:rsid w:val="003725A1"/>
    <w:rsid w:val="00383258"/>
    <w:rsid w:val="003868A2"/>
    <w:rsid w:val="00392A5B"/>
    <w:rsid w:val="003973A0"/>
    <w:rsid w:val="003A6D70"/>
    <w:rsid w:val="003B1F86"/>
    <w:rsid w:val="003C4627"/>
    <w:rsid w:val="003E6C1A"/>
    <w:rsid w:val="003F778E"/>
    <w:rsid w:val="0040640A"/>
    <w:rsid w:val="00406DB5"/>
    <w:rsid w:val="00413C57"/>
    <w:rsid w:val="0042336D"/>
    <w:rsid w:val="00423DA9"/>
    <w:rsid w:val="004552A3"/>
    <w:rsid w:val="00457EAE"/>
    <w:rsid w:val="0046604E"/>
    <w:rsid w:val="004768BE"/>
    <w:rsid w:val="00477F73"/>
    <w:rsid w:val="0048355A"/>
    <w:rsid w:val="00484781"/>
    <w:rsid w:val="00486108"/>
    <w:rsid w:val="004A0047"/>
    <w:rsid w:val="004B62EC"/>
    <w:rsid w:val="004D0AF2"/>
    <w:rsid w:val="004D25E3"/>
    <w:rsid w:val="004D3C53"/>
    <w:rsid w:val="004F7F34"/>
    <w:rsid w:val="00505588"/>
    <w:rsid w:val="005057CE"/>
    <w:rsid w:val="00511AA8"/>
    <w:rsid w:val="00512486"/>
    <w:rsid w:val="0052465B"/>
    <w:rsid w:val="00524CDD"/>
    <w:rsid w:val="00547C68"/>
    <w:rsid w:val="00551629"/>
    <w:rsid w:val="00565A58"/>
    <w:rsid w:val="00577909"/>
    <w:rsid w:val="0058134F"/>
    <w:rsid w:val="00582E85"/>
    <w:rsid w:val="00587EE4"/>
    <w:rsid w:val="005910B5"/>
    <w:rsid w:val="005A2200"/>
    <w:rsid w:val="005A6118"/>
    <w:rsid w:val="005A64DA"/>
    <w:rsid w:val="005B250E"/>
    <w:rsid w:val="005B446E"/>
    <w:rsid w:val="005C1D83"/>
    <w:rsid w:val="005D6ACB"/>
    <w:rsid w:val="005E650E"/>
    <w:rsid w:val="005F620E"/>
    <w:rsid w:val="0062203F"/>
    <w:rsid w:val="00622D77"/>
    <w:rsid w:val="00627F34"/>
    <w:rsid w:val="00636B18"/>
    <w:rsid w:val="00637CA1"/>
    <w:rsid w:val="00640B0C"/>
    <w:rsid w:val="00645A33"/>
    <w:rsid w:val="006471A4"/>
    <w:rsid w:val="00647CDD"/>
    <w:rsid w:val="00647FD2"/>
    <w:rsid w:val="00655D53"/>
    <w:rsid w:val="0066139F"/>
    <w:rsid w:val="00662334"/>
    <w:rsid w:val="006631A0"/>
    <w:rsid w:val="0066617F"/>
    <w:rsid w:val="00674A16"/>
    <w:rsid w:val="0067705A"/>
    <w:rsid w:val="00691E10"/>
    <w:rsid w:val="006A0481"/>
    <w:rsid w:val="006A45FE"/>
    <w:rsid w:val="006C653F"/>
    <w:rsid w:val="006F0AB5"/>
    <w:rsid w:val="006F7DFC"/>
    <w:rsid w:val="00704AF2"/>
    <w:rsid w:val="007052F5"/>
    <w:rsid w:val="0070776C"/>
    <w:rsid w:val="00710E68"/>
    <w:rsid w:val="00714BA0"/>
    <w:rsid w:val="00725B82"/>
    <w:rsid w:val="007269B6"/>
    <w:rsid w:val="00726E7A"/>
    <w:rsid w:val="007277BA"/>
    <w:rsid w:val="0073294A"/>
    <w:rsid w:val="00732E52"/>
    <w:rsid w:val="00736607"/>
    <w:rsid w:val="00751C69"/>
    <w:rsid w:val="007527A7"/>
    <w:rsid w:val="00752801"/>
    <w:rsid w:val="00785118"/>
    <w:rsid w:val="00785C47"/>
    <w:rsid w:val="00786BEB"/>
    <w:rsid w:val="007917DB"/>
    <w:rsid w:val="00793212"/>
    <w:rsid w:val="007A403E"/>
    <w:rsid w:val="007A6827"/>
    <w:rsid w:val="007A75EA"/>
    <w:rsid w:val="007B710F"/>
    <w:rsid w:val="007C2536"/>
    <w:rsid w:val="007C77DD"/>
    <w:rsid w:val="007E3EA6"/>
    <w:rsid w:val="007F04AB"/>
    <w:rsid w:val="0080149C"/>
    <w:rsid w:val="00803AE3"/>
    <w:rsid w:val="008042E1"/>
    <w:rsid w:val="00804D63"/>
    <w:rsid w:val="00806B9D"/>
    <w:rsid w:val="00812777"/>
    <w:rsid w:val="008230FA"/>
    <w:rsid w:val="00827D09"/>
    <w:rsid w:val="00835164"/>
    <w:rsid w:val="0084129E"/>
    <w:rsid w:val="00843390"/>
    <w:rsid w:val="00846373"/>
    <w:rsid w:val="00846ECB"/>
    <w:rsid w:val="008568AE"/>
    <w:rsid w:val="00860590"/>
    <w:rsid w:val="00861316"/>
    <w:rsid w:val="008614E8"/>
    <w:rsid w:val="00867EDF"/>
    <w:rsid w:val="008734D7"/>
    <w:rsid w:val="00874E96"/>
    <w:rsid w:val="00875F0D"/>
    <w:rsid w:val="00877414"/>
    <w:rsid w:val="008825E7"/>
    <w:rsid w:val="00890098"/>
    <w:rsid w:val="008A03B7"/>
    <w:rsid w:val="008C2197"/>
    <w:rsid w:val="008C3493"/>
    <w:rsid w:val="008C3A2A"/>
    <w:rsid w:val="008D11A6"/>
    <w:rsid w:val="008D1F7B"/>
    <w:rsid w:val="008D2D64"/>
    <w:rsid w:val="008E21BE"/>
    <w:rsid w:val="00902E07"/>
    <w:rsid w:val="00913B1B"/>
    <w:rsid w:val="00927861"/>
    <w:rsid w:val="0094148C"/>
    <w:rsid w:val="00942635"/>
    <w:rsid w:val="00945D57"/>
    <w:rsid w:val="00947783"/>
    <w:rsid w:val="00954FE8"/>
    <w:rsid w:val="00955BEC"/>
    <w:rsid w:val="00967866"/>
    <w:rsid w:val="009726E0"/>
    <w:rsid w:val="00990822"/>
    <w:rsid w:val="009A058A"/>
    <w:rsid w:val="009C4A31"/>
    <w:rsid w:val="009E00C2"/>
    <w:rsid w:val="009F3EE1"/>
    <w:rsid w:val="009F6FD2"/>
    <w:rsid w:val="009F78D3"/>
    <w:rsid w:val="00A07052"/>
    <w:rsid w:val="00A12658"/>
    <w:rsid w:val="00A31F37"/>
    <w:rsid w:val="00A4732A"/>
    <w:rsid w:val="00A57D26"/>
    <w:rsid w:val="00A61EA2"/>
    <w:rsid w:val="00A7166B"/>
    <w:rsid w:val="00A71B4C"/>
    <w:rsid w:val="00A72DEB"/>
    <w:rsid w:val="00A809E0"/>
    <w:rsid w:val="00A816B8"/>
    <w:rsid w:val="00A822C8"/>
    <w:rsid w:val="00A83BA0"/>
    <w:rsid w:val="00A84F18"/>
    <w:rsid w:val="00A85045"/>
    <w:rsid w:val="00A95738"/>
    <w:rsid w:val="00A97B7D"/>
    <w:rsid w:val="00AA2252"/>
    <w:rsid w:val="00AA4825"/>
    <w:rsid w:val="00AB2E96"/>
    <w:rsid w:val="00AB33E1"/>
    <w:rsid w:val="00AB5EE3"/>
    <w:rsid w:val="00AB6809"/>
    <w:rsid w:val="00AC1C3B"/>
    <w:rsid w:val="00AC2769"/>
    <w:rsid w:val="00AC4214"/>
    <w:rsid w:val="00AC6E70"/>
    <w:rsid w:val="00AD1646"/>
    <w:rsid w:val="00AD7AB4"/>
    <w:rsid w:val="00AF038B"/>
    <w:rsid w:val="00AF78FA"/>
    <w:rsid w:val="00B078F6"/>
    <w:rsid w:val="00B121B0"/>
    <w:rsid w:val="00B26045"/>
    <w:rsid w:val="00B3447D"/>
    <w:rsid w:val="00B34A5C"/>
    <w:rsid w:val="00B44C55"/>
    <w:rsid w:val="00B46072"/>
    <w:rsid w:val="00B46A95"/>
    <w:rsid w:val="00B5114C"/>
    <w:rsid w:val="00B5123C"/>
    <w:rsid w:val="00B544C2"/>
    <w:rsid w:val="00B5566F"/>
    <w:rsid w:val="00B55E38"/>
    <w:rsid w:val="00B630A6"/>
    <w:rsid w:val="00B70CC4"/>
    <w:rsid w:val="00B81026"/>
    <w:rsid w:val="00BA5770"/>
    <w:rsid w:val="00BB02DE"/>
    <w:rsid w:val="00BB371A"/>
    <w:rsid w:val="00BD5E06"/>
    <w:rsid w:val="00BD7B25"/>
    <w:rsid w:val="00BE1AFF"/>
    <w:rsid w:val="00BF74E9"/>
    <w:rsid w:val="00BF7A25"/>
    <w:rsid w:val="00C02B39"/>
    <w:rsid w:val="00C247CB"/>
    <w:rsid w:val="00C300A8"/>
    <w:rsid w:val="00C32D18"/>
    <w:rsid w:val="00C360BD"/>
    <w:rsid w:val="00C476E1"/>
    <w:rsid w:val="00C52E77"/>
    <w:rsid w:val="00C566B3"/>
    <w:rsid w:val="00C65249"/>
    <w:rsid w:val="00C67B32"/>
    <w:rsid w:val="00C72007"/>
    <w:rsid w:val="00C75C83"/>
    <w:rsid w:val="00C80F5D"/>
    <w:rsid w:val="00C837BA"/>
    <w:rsid w:val="00C90369"/>
    <w:rsid w:val="00C95346"/>
    <w:rsid w:val="00CA3B23"/>
    <w:rsid w:val="00CA62F6"/>
    <w:rsid w:val="00CB0C1D"/>
    <w:rsid w:val="00CB3594"/>
    <w:rsid w:val="00CC5AA2"/>
    <w:rsid w:val="00CC721A"/>
    <w:rsid w:val="00CD0963"/>
    <w:rsid w:val="00CD5C71"/>
    <w:rsid w:val="00CE3D42"/>
    <w:rsid w:val="00CE53E6"/>
    <w:rsid w:val="00CE53F7"/>
    <w:rsid w:val="00CE66B6"/>
    <w:rsid w:val="00CF539A"/>
    <w:rsid w:val="00CF6131"/>
    <w:rsid w:val="00D06EAA"/>
    <w:rsid w:val="00D174DA"/>
    <w:rsid w:val="00D36733"/>
    <w:rsid w:val="00D471B5"/>
    <w:rsid w:val="00D471C4"/>
    <w:rsid w:val="00D571DB"/>
    <w:rsid w:val="00D6774D"/>
    <w:rsid w:val="00D75191"/>
    <w:rsid w:val="00D76195"/>
    <w:rsid w:val="00D80929"/>
    <w:rsid w:val="00D85254"/>
    <w:rsid w:val="00D92FCF"/>
    <w:rsid w:val="00D94A5F"/>
    <w:rsid w:val="00DC1D2F"/>
    <w:rsid w:val="00DC4FFC"/>
    <w:rsid w:val="00DE1E91"/>
    <w:rsid w:val="00DE79F7"/>
    <w:rsid w:val="00DF6BE4"/>
    <w:rsid w:val="00DF73E8"/>
    <w:rsid w:val="00E02E1D"/>
    <w:rsid w:val="00E157BC"/>
    <w:rsid w:val="00E168B4"/>
    <w:rsid w:val="00E20744"/>
    <w:rsid w:val="00E414EC"/>
    <w:rsid w:val="00E50E4A"/>
    <w:rsid w:val="00E56C3F"/>
    <w:rsid w:val="00E650D0"/>
    <w:rsid w:val="00E712E1"/>
    <w:rsid w:val="00E76334"/>
    <w:rsid w:val="00E85391"/>
    <w:rsid w:val="00E91F5F"/>
    <w:rsid w:val="00EB12DD"/>
    <w:rsid w:val="00EB153E"/>
    <w:rsid w:val="00EB1F94"/>
    <w:rsid w:val="00EB57EB"/>
    <w:rsid w:val="00ED50CF"/>
    <w:rsid w:val="00F1152F"/>
    <w:rsid w:val="00F207B3"/>
    <w:rsid w:val="00F32941"/>
    <w:rsid w:val="00F54165"/>
    <w:rsid w:val="00F5486B"/>
    <w:rsid w:val="00F62BC4"/>
    <w:rsid w:val="00F658E0"/>
    <w:rsid w:val="00F6686D"/>
    <w:rsid w:val="00F7607C"/>
    <w:rsid w:val="00F81783"/>
    <w:rsid w:val="00F859B7"/>
    <w:rsid w:val="00F877B4"/>
    <w:rsid w:val="00FA0125"/>
    <w:rsid w:val="00FA3073"/>
    <w:rsid w:val="00FA5D8E"/>
    <w:rsid w:val="00FB0924"/>
    <w:rsid w:val="00FB2D67"/>
    <w:rsid w:val="00FB3DBC"/>
    <w:rsid w:val="00FC1C44"/>
    <w:rsid w:val="00FF636B"/>
    <w:rsid w:val="0EEF094E"/>
    <w:rsid w:val="120FC409"/>
    <w:rsid w:val="12BEAEBA"/>
    <w:rsid w:val="1A43B4FE"/>
    <w:rsid w:val="28BFB318"/>
    <w:rsid w:val="390A001C"/>
    <w:rsid w:val="469568CF"/>
    <w:rsid w:val="4D2978E1"/>
    <w:rsid w:val="50E317B8"/>
    <w:rsid w:val="5AE211C8"/>
    <w:rsid w:val="725B83B7"/>
    <w:rsid w:val="76F5FAEA"/>
    <w:rsid w:val="7AC0B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."/>
  <w:listSeparator w:val=","/>
  <w14:docId w14:val="36DA0750"/>
  <w15:chartTrackingRefBased/>
  <w15:docId w15:val="{732EC8EC-20B9-4346-A1B7-6D047162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uiPriority w:val="9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BA5770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58134F"/>
    <w:rPr>
      <w:color w:val="0000FF"/>
      <w:u w:val="single"/>
    </w:rPr>
  </w:style>
  <w:style w:type="character" w:customStyle="1" w:styleId="BalloonTextChar">
    <w:name w:val="Balloon Text Char"/>
    <w:link w:val="BalloonText"/>
    <w:rsid w:val="00BA57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822C8"/>
    <w:rPr>
      <w:rFonts w:ascii="Verdana" w:hAnsi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423DA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3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licy.corp.cvscaremark.com/pnp/faces/DocRenderer?documentId=CALL-0049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A4B1D-CE7A-48E9-B76B-3B31FF359ABB}">
  <ds:schemaRefs>
    <ds:schemaRef ds:uri="http://purl.org/dc/elements/1.1/"/>
    <ds:schemaRef ds:uri="http://schemas.microsoft.com/office/2006/metadata/properties"/>
    <ds:schemaRef ds:uri="fad01eb7-d870-475a-9d28-789bb88fcc63"/>
    <ds:schemaRef ds:uri="http://purl.org/dc/terms/"/>
    <ds:schemaRef ds:uri="1e718eae-16bc-49f1-9e0a-85226ba39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FD3EEE-3763-471A-8C4E-4DF1EBD01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BAC0E4-5842-4009-8B6A-DDA0F62FD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711</Words>
  <Characters>4802</Characters>
  <Application>Microsoft Office Word</Application>
  <DocSecurity>2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Matty, Craig</cp:lastModifiedBy>
  <cp:revision>2</cp:revision>
  <cp:lastPrinted>2007-01-03T17:56:00Z</cp:lastPrinted>
  <dcterms:created xsi:type="dcterms:W3CDTF">2025-06-19T13:05:00Z</dcterms:created>
  <dcterms:modified xsi:type="dcterms:W3CDTF">2025-06-19T13:05:00Z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2022-05-10T15:05:16Z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7310cfa7-f715-4902-8437-fa7d92e3c878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