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5CD25" w14:textId="36488D31" w:rsidR="00E32E9B" w:rsidRPr="0058134F" w:rsidRDefault="00EA6982" w:rsidP="00E32E9B">
      <w:pPr>
        <w:pStyle w:val="Heading1"/>
        <w:rPr>
          <w:color w:val="000000"/>
          <w:szCs w:val="36"/>
        </w:rPr>
      </w:pPr>
      <w:bookmarkStart w:id="0" w:name="_top"/>
      <w:bookmarkEnd w:id="0"/>
      <w:r>
        <w:rPr>
          <w:color w:val="000000"/>
          <w:szCs w:val="36"/>
        </w:rPr>
        <w:t xml:space="preserve">Compass and </w:t>
      </w:r>
      <w:r w:rsidR="001449C6">
        <w:rPr>
          <w:color w:val="000000"/>
          <w:szCs w:val="36"/>
        </w:rPr>
        <w:t>Other Documents</w:t>
      </w:r>
      <w:r>
        <w:rPr>
          <w:color w:val="000000"/>
          <w:szCs w:val="36"/>
        </w:rPr>
        <w:t xml:space="preserve"> - </w:t>
      </w:r>
      <w:r w:rsidR="00E32E9B">
        <w:rPr>
          <w:color w:val="000000"/>
          <w:szCs w:val="36"/>
        </w:rPr>
        <w:t xml:space="preserve">Frequently </w:t>
      </w:r>
      <w:r w:rsidR="00D22900">
        <w:rPr>
          <w:color w:val="000000"/>
          <w:szCs w:val="36"/>
        </w:rPr>
        <w:t xml:space="preserve">Accessed </w:t>
      </w:r>
      <w:r w:rsidR="00E32E9B">
        <w:rPr>
          <w:color w:val="000000"/>
          <w:szCs w:val="36"/>
        </w:rPr>
        <w:t xml:space="preserve">Documents </w:t>
      </w:r>
      <w:r w:rsidR="00556721">
        <w:rPr>
          <w:color w:val="000000"/>
          <w:szCs w:val="36"/>
        </w:rPr>
        <w:t>(Greatest Number of Views)</w:t>
      </w:r>
    </w:p>
    <w:p w14:paraId="26907926" w14:textId="44A8CAA1" w:rsidR="001B6A61" w:rsidRDefault="001B6A61" w:rsidP="00A03BB7">
      <w:pPr>
        <w:rPr>
          <w:b/>
        </w:rPr>
      </w:pPr>
      <w:r w:rsidRPr="001B6A61">
        <w:rPr>
          <w:b/>
        </w:rPr>
        <w:t xml:space="preserve"> </w:t>
      </w:r>
    </w:p>
    <w:p w14:paraId="0F7AF43D" w14:textId="56CD8687" w:rsidR="00B42B81" w:rsidRDefault="007D7BED" w:rsidP="009A685D">
      <w:pPr>
        <w:pStyle w:val="TOC2"/>
        <w:rPr>
          <w:rFonts w:asciiTheme="minorHAnsi" w:eastAsiaTheme="minorEastAsia" w:hAnsiTheme="minorHAnsi" w:cstheme="minorBidi"/>
          <w:noProof/>
          <w:sz w:val="22"/>
          <w:szCs w:val="22"/>
        </w:rPr>
      </w:pPr>
      <w:r>
        <w:rPr>
          <w:b/>
        </w:rPr>
        <w:fldChar w:fldCharType="begin"/>
      </w:r>
      <w:r>
        <w:rPr>
          <w:b/>
        </w:rPr>
        <w:instrText xml:space="preserve"> TOC \o "2-2" \n \p " " \h \z \u </w:instrText>
      </w:r>
      <w:r>
        <w:rPr>
          <w:b/>
        </w:rPr>
        <w:fldChar w:fldCharType="separate"/>
      </w:r>
      <w:hyperlink w:anchor="_Toc155883917" w:history="1">
        <w:r w:rsidR="00B42B81" w:rsidRPr="00980CE1">
          <w:rPr>
            <w:rStyle w:val="Hyperlink"/>
            <w:noProof/>
          </w:rPr>
          <w:t>Compass - Documents with the Greatest Number of Views</w:t>
        </w:r>
      </w:hyperlink>
    </w:p>
    <w:p w14:paraId="7AF887B3" w14:textId="400F0064" w:rsidR="00B42B81" w:rsidRDefault="00B42B81" w:rsidP="009A685D">
      <w:pPr>
        <w:pStyle w:val="TOC2"/>
        <w:rPr>
          <w:rFonts w:asciiTheme="minorHAnsi" w:eastAsiaTheme="minorEastAsia" w:hAnsiTheme="minorHAnsi" w:cstheme="minorBidi"/>
          <w:noProof/>
          <w:sz w:val="22"/>
          <w:szCs w:val="22"/>
        </w:rPr>
      </w:pPr>
      <w:hyperlink w:anchor="_Toc155883918" w:history="1">
        <w:r w:rsidRPr="00980CE1">
          <w:rPr>
            <w:rStyle w:val="Hyperlink"/>
            <w:noProof/>
          </w:rPr>
          <w:t>Documents with the Greatest Number of Views</w:t>
        </w:r>
      </w:hyperlink>
    </w:p>
    <w:p w14:paraId="2B7AD012" w14:textId="7281DAE6" w:rsidR="00B42B81" w:rsidRDefault="00B42B81" w:rsidP="009A685D">
      <w:pPr>
        <w:pStyle w:val="TOC2"/>
        <w:rPr>
          <w:rFonts w:asciiTheme="minorHAnsi" w:eastAsiaTheme="minorEastAsia" w:hAnsiTheme="minorHAnsi" w:cstheme="minorBidi"/>
          <w:noProof/>
          <w:sz w:val="22"/>
          <w:szCs w:val="22"/>
        </w:rPr>
      </w:pPr>
      <w:hyperlink w:anchor="_Toc155883919" w:history="1">
        <w:r w:rsidRPr="00980CE1">
          <w:rPr>
            <w:rStyle w:val="Hyperlink"/>
            <w:noProof/>
          </w:rPr>
          <w:t>Related Documents</w:t>
        </w:r>
      </w:hyperlink>
    </w:p>
    <w:p w14:paraId="1A7250DE" w14:textId="161CBEB1" w:rsidR="007D7BED" w:rsidRDefault="007D7BED" w:rsidP="00A03BB7">
      <w:pPr>
        <w:rPr>
          <w:b/>
        </w:rPr>
      </w:pPr>
      <w:r>
        <w:rPr>
          <w:b/>
        </w:rPr>
        <w:fldChar w:fldCharType="end"/>
      </w:r>
    </w:p>
    <w:p w14:paraId="265FC58F" w14:textId="77777777" w:rsidR="007D7BED" w:rsidRPr="001B6A61" w:rsidRDefault="007D7BED" w:rsidP="00A03BB7">
      <w:pPr>
        <w:rPr>
          <w:b/>
        </w:rPr>
      </w:pPr>
    </w:p>
    <w:p w14:paraId="236AFBC8" w14:textId="108D5C5F" w:rsidR="00846373" w:rsidRDefault="00756A57" w:rsidP="002E66B3">
      <w:bookmarkStart w:id="1" w:name="_Overview"/>
      <w:bookmarkEnd w:id="1"/>
      <w:r w:rsidRPr="00756A57">
        <w:rPr>
          <w:b/>
          <w:bCs/>
        </w:rPr>
        <w:t>Description:</w:t>
      </w:r>
      <w:r>
        <w:t xml:space="preserve">  </w:t>
      </w:r>
      <w:bookmarkStart w:id="2" w:name="OLE_LINK82"/>
      <w:bookmarkStart w:id="3" w:name="OLE_LINK41"/>
      <w:r w:rsidR="000808D7">
        <w:t>P</w:t>
      </w:r>
      <w:r w:rsidR="00E32E9B">
        <w:t xml:space="preserve">rovides </w:t>
      </w:r>
      <w:r w:rsidR="00977E98">
        <w:t>titles, hyper</w:t>
      </w:r>
      <w:r w:rsidR="00E32E9B">
        <w:t>links and descriptions to documents</w:t>
      </w:r>
      <w:r w:rsidR="00D443F2">
        <w:t xml:space="preserve"> with the greatest number of views</w:t>
      </w:r>
      <w:r w:rsidR="006869B9">
        <w:t xml:space="preserve"> in alphabetical order</w:t>
      </w:r>
      <w:r w:rsidR="00E32E9B">
        <w:t xml:space="preserve">. If you find yourself looking for the same documents, </w:t>
      </w:r>
      <w:r w:rsidR="004017A6" w:rsidRPr="00DB1693">
        <w:rPr>
          <w:b/>
          <w:bCs/>
        </w:rPr>
        <w:t>b</w:t>
      </w:r>
      <w:r w:rsidR="00B75F15" w:rsidRPr="00DB1693">
        <w:rPr>
          <w:b/>
          <w:bCs/>
        </w:rPr>
        <w:t>ookmark</w:t>
      </w:r>
      <w:r w:rsidR="00B75F15">
        <w:rPr>
          <w:b/>
        </w:rPr>
        <w:t xml:space="preserve"> </w:t>
      </w:r>
      <w:r w:rsidR="00E32E9B">
        <w:t>th</w:t>
      </w:r>
      <w:r w:rsidR="004017A6">
        <w:t>e</w:t>
      </w:r>
      <w:r w:rsidR="00E32E9B">
        <w:t xml:space="preserve"> document</w:t>
      </w:r>
      <w:r w:rsidR="00B75F15">
        <w:t xml:space="preserve"> in Google Chrome</w:t>
      </w:r>
      <w:r w:rsidR="00E32E9B">
        <w:t xml:space="preserve"> for easy reference in the future</w:t>
      </w:r>
      <w:bookmarkEnd w:id="2"/>
      <w:bookmarkEnd w:id="3"/>
      <w:r w:rsidR="009A685D">
        <w:t xml:space="preserve">! </w:t>
      </w:r>
    </w:p>
    <w:p w14:paraId="550FCAC1" w14:textId="77777777" w:rsidR="00973852" w:rsidRDefault="00973852" w:rsidP="002E66B3"/>
    <w:p w14:paraId="1363EA34" w14:textId="77777777" w:rsidR="00973852" w:rsidRDefault="00973852" w:rsidP="0097385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73852" w14:paraId="12BCC20F" w14:textId="77777777" w:rsidTr="004A336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B1C963E" w14:textId="4857FA8D" w:rsidR="00973852" w:rsidRPr="00BE3DEF" w:rsidRDefault="00973852" w:rsidP="00282EC4">
            <w:pPr>
              <w:pStyle w:val="Heading2"/>
              <w:spacing w:before="120" w:after="120"/>
            </w:pPr>
            <w:bookmarkStart w:id="4" w:name="_Toc155883917"/>
            <w:bookmarkStart w:id="5" w:name="_Hlk169687444"/>
            <w:r>
              <w:t>Compass - Documents with the Greatest Number of Views</w:t>
            </w:r>
            <w:bookmarkEnd w:id="4"/>
            <w:r w:rsidRPr="00BE3DEF">
              <w:t xml:space="preserve">  </w:t>
            </w:r>
            <w:bookmarkEnd w:id="5"/>
          </w:p>
        </w:tc>
      </w:tr>
    </w:tbl>
    <w:p w14:paraId="6E6D84E6" w14:textId="582EACB7" w:rsidR="00973852" w:rsidRDefault="00973852" w:rsidP="00973852"/>
    <w:p w14:paraId="7A906862" w14:textId="78D0C7E9" w:rsidR="00973852" w:rsidRDefault="00973852" w:rsidP="00973852">
      <w:r w:rsidRPr="007D58D3">
        <w:rPr>
          <w:b/>
          <w:bCs/>
        </w:rPr>
        <w:t>Note:</w:t>
      </w:r>
      <w:r>
        <w:t xml:space="preserve">  This list was identified by reviewing reports that indicate the total number of times that a document was viewed</w:t>
      </w:r>
      <w:r w:rsidR="009A685D">
        <w:t xml:space="preserve">. </w:t>
      </w:r>
      <w:r>
        <w:t>The highest reviewed documents are listed below</w:t>
      </w:r>
      <w:r w:rsidR="009A685D">
        <w:t xml:space="preserve">. </w:t>
      </w:r>
    </w:p>
    <w:p w14:paraId="1101691F" w14:textId="77777777" w:rsidR="00973852" w:rsidRDefault="00973852" w:rsidP="00973852"/>
    <w:tbl>
      <w:tblPr>
        <w:tblStyle w:val="TableGrid"/>
        <w:tblW w:w="5000" w:type="pct"/>
        <w:tblLook w:val="04A0" w:firstRow="1" w:lastRow="0" w:firstColumn="1" w:lastColumn="0" w:noHBand="0" w:noVBand="1"/>
      </w:tblPr>
      <w:tblGrid>
        <w:gridCol w:w="3339"/>
        <w:gridCol w:w="9611"/>
      </w:tblGrid>
      <w:tr w:rsidR="00642AE6" w14:paraId="0E234131" w14:textId="77777777" w:rsidTr="009416B3">
        <w:tc>
          <w:tcPr>
            <w:tcW w:w="1289" w:type="pct"/>
            <w:tcBorders>
              <w:top w:val="single" w:sz="4" w:space="0" w:color="auto"/>
              <w:left w:val="single" w:sz="4" w:space="0" w:color="auto"/>
              <w:bottom w:val="single" w:sz="4" w:space="0" w:color="auto"/>
              <w:right w:val="single" w:sz="4" w:space="0" w:color="auto"/>
            </w:tcBorders>
            <w:shd w:val="clear" w:color="auto" w:fill="E6E6E6"/>
            <w:hideMark/>
          </w:tcPr>
          <w:p w14:paraId="7E2A84ED" w14:textId="77777777" w:rsidR="00973852" w:rsidRPr="00AE0B45" w:rsidRDefault="00973852" w:rsidP="00282EC4">
            <w:pPr>
              <w:spacing w:before="120" w:after="120"/>
              <w:jc w:val="center"/>
              <w:rPr>
                <w:b/>
              </w:rPr>
            </w:pPr>
            <w:r w:rsidRPr="00AE0B45">
              <w:rPr>
                <w:b/>
              </w:rPr>
              <w:t>Document Title with Hyperlink</w:t>
            </w:r>
          </w:p>
        </w:tc>
        <w:tc>
          <w:tcPr>
            <w:tcW w:w="3711" w:type="pct"/>
            <w:tcBorders>
              <w:top w:val="single" w:sz="4" w:space="0" w:color="auto"/>
              <w:left w:val="single" w:sz="4" w:space="0" w:color="auto"/>
              <w:bottom w:val="single" w:sz="4" w:space="0" w:color="auto"/>
              <w:right w:val="single" w:sz="4" w:space="0" w:color="auto"/>
            </w:tcBorders>
            <w:shd w:val="clear" w:color="auto" w:fill="E6E6E6"/>
            <w:hideMark/>
          </w:tcPr>
          <w:p w14:paraId="403A80EB" w14:textId="77777777" w:rsidR="00973852" w:rsidRPr="00AE0B45" w:rsidRDefault="00973852" w:rsidP="00282EC4">
            <w:pPr>
              <w:spacing w:before="120" w:after="120"/>
              <w:jc w:val="center"/>
              <w:rPr>
                <w:b/>
              </w:rPr>
            </w:pPr>
            <w:r w:rsidRPr="00AE0B45">
              <w:rPr>
                <w:b/>
              </w:rPr>
              <w:t>Provides…</w:t>
            </w:r>
          </w:p>
        </w:tc>
      </w:tr>
      <w:tr w:rsidR="00BC410B" w14:paraId="117D4AED" w14:textId="77777777" w:rsidTr="009416B3">
        <w:tc>
          <w:tcPr>
            <w:tcW w:w="1289" w:type="pct"/>
          </w:tcPr>
          <w:p w14:paraId="04FD535F" w14:textId="77777777" w:rsidR="00602DDA" w:rsidRDefault="00602DDA" w:rsidP="00602DDA">
            <w:pPr>
              <w:spacing w:before="120" w:after="120"/>
              <w:rPr>
                <w:b/>
                <w:bCs/>
              </w:rPr>
            </w:pPr>
            <w:r w:rsidRPr="003235FC">
              <w:rPr>
                <w:b/>
                <w:bCs/>
              </w:rPr>
              <w:t>Compass - Add, Edit, and Delete Mail Order Payment Methods (Credit Card &amp; eCheck)</w:t>
            </w:r>
          </w:p>
          <w:p w14:paraId="47713FAD" w14:textId="1215CB97" w:rsidR="00602DDA" w:rsidRPr="00DC3359" w:rsidRDefault="00602DDA" w:rsidP="00602DDA">
            <w:pPr>
              <w:spacing w:before="120" w:after="120"/>
            </w:pPr>
            <w:hyperlink r:id="rId11" w:anchor="!/view?docid=5a1a67eb-a7b1-4ae5-bcfe-e986bbe4aa3d" w:history="1">
              <w:r w:rsidRPr="00DC3359">
                <w:rPr>
                  <w:rStyle w:val="Hyperlink"/>
                </w:rPr>
                <w:t>TSRC-PROD-056289</w:t>
              </w:r>
            </w:hyperlink>
          </w:p>
        </w:tc>
        <w:tc>
          <w:tcPr>
            <w:tcW w:w="3711" w:type="pct"/>
          </w:tcPr>
          <w:p w14:paraId="5EA49C0C" w14:textId="6A7ECF0B" w:rsidR="00602DDA" w:rsidRPr="00DC3359" w:rsidRDefault="00B42B81" w:rsidP="00602DDA">
            <w:pPr>
              <w:spacing w:before="120" w:after="120"/>
              <w:rPr>
                <w:rFonts w:cs="Helvetica"/>
                <w:color w:val="000000" w:themeColor="text1"/>
                <w:shd w:val="clear" w:color="auto" w:fill="FFFFFF"/>
              </w:rPr>
            </w:pPr>
            <w:r w:rsidRPr="00DC3359">
              <w:rPr>
                <w:rFonts w:cs="Helvetica"/>
                <w:color w:val="000000" w:themeColor="text1"/>
                <w:shd w:val="clear" w:color="auto" w:fill="FFFFFF"/>
              </w:rPr>
              <w:t>Provides the process to add, edit, and delete credit cards and eChecks for payments of prescriptions on the member’s account in Compass. The Mail Order Payments tab in Compass gives the agent the ability to view all payment method types listed on the account.</w:t>
            </w:r>
          </w:p>
        </w:tc>
      </w:tr>
      <w:tr w:rsidR="00981C4D" w14:paraId="0AF5C1B4" w14:textId="77777777" w:rsidTr="009416B3">
        <w:tc>
          <w:tcPr>
            <w:tcW w:w="1289" w:type="pct"/>
          </w:tcPr>
          <w:p w14:paraId="1EEC39CD" w14:textId="6580D9E0" w:rsidR="00981C4D" w:rsidRDefault="00981C4D" w:rsidP="008658FA">
            <w:pPr>
              <w:spacing w:before="120" w:after="120"/>
            </w:pPr>
            <w:r w:rsidRPr="00A312DE">
              <w:rPr>
                <w:b/>
                <w:bCs/>
              </w:rPr>
              <w:t>Compass - Basic Call Handling – Opening the Call, Call Hold, Warm and Cold Transfer</w:t>
            </w:r>
            <w:r>
              <w:rPr>
                <w:b/>
                <w:bCs/>
              </w:rPr>
              <w:t xml:space="preserve"> </w:t>
            </w:r>
            <w:r>
              <w:rPr>
                <w:rFonts w:ascii="Times New Roman" w:hAnsi="Times New Roman"/>
                <w:b/>
                <w:bCs/>
                <w:sz w:val="20"/>
                <w:szCs w:val="20"/>
              </w:rPr>
              <w:t xml:space="preserve"> </w:t>
            </w:r>
          </w:p>
          <w:p w14:paraId="09D2605C" w14:textId="7735FD91" w:rsidR="00981C4D" w:rsidRPr="009416B3" w:rsidRDefault="00981C4D" w:rsidP="008658FA">
            <w:pPr>
              <w:spacing w:before="120" w:after="120"/>
              <w:rPr>
                <w:b/>
                <w:bCs/>
              </w:rPr>
            </w:pPr>
            <w:hyperlink r:id="rId12" w:anchor="!/view?docid=18c64566-0ebb-4760-96fe-04da06185de0" w:history="1">
              <w:r w:rsidRPr="009416B3">
                <w:rPr>
                  <w:rStyle w:val="Hyperlink"/>
                  <w:rFonts w:cs="Helvetica"/>
                  <w:shd w:val="clear" w:color="auto" w:fill="FFFFFF"/>
                </w:rPr>
                <w:t>TSRC-PROD-066076</w:t>
              </w:r>
            </w:hyperlink>
          </w:p>
        </w:tc>
        <w:tc>
          <w:tcPr>
            <w:tcW w:w="3711" w:type="pct"/>
          </w:tcPr>
          <w:p w14:paraId="66C76836" w14:textId="22F63E77" w:rsidR="00981C4D" w:rsidRPr="00DC3359" w:rsidRDefault="00981C4D" w:rsidP="008658FA">
            <w:pPr>
              <w:spacing w:before="120" w:after="120"/>
              <w:rPr>
                <w:rFonts w:cs="Helvetica"/>
                <w:color w:val="000000" w:themeColor="text1"/>
                <w:shd w:val="clear" w:color="auto" w:fill="FFFFFF"/>
              </w:rPr>
            </w:pPr>
            <w:r>
              <w:rPr>
                <w:color w:val="000000"/>
              </w:rPr>
              <w:t>How to accept and redirect inbound calls within Compass regarding a plan member’s prescription benefit plan</w:t>
            </w:r>
          </w:p>
        </w:tc>
      </w:tr>
      <w:tr w:rsidR="00887227" w14:paraId="29DF5AE7" w14:textId="77777777" w:rsidTr="009416B3">
        <w:tc>
          <w:tcPr>
            <w:tcW w:w="1289" w:type="pct"/>
          </w:tcPr>
          <w:p w14:paraId="5024ACDF" w14:textId="0C2665D4" w:rsidR="00973852" w:rsidRDefault="00937CA2" w:rsidP="00282EC4">
            <w:pPr>
              <w:spacing w:before="120" w:after="120"/>
              <w:rPr>
                <w:b/>
                <w:bCs/>
              </w:rPr>
            </w:pPr>
            <w:r w:rsidRPr="00B26390">
              <w:rPr>
                <w:b/>
                <w:bCs/>
              </w:rPr>
              <w:t>Compass - Customer Care Document Index</w:t>
            </w:r>
          </w:p>
          <w:p w14:paraId="60999834" w14:textId="32537676" w:rsidR="00937CA2" w:rsidRPr="00DC3359" w:rsidRDefault="00937CA2" w:rsidP="00602DDA">
            <w:pPr>
              <w:spacing w:before="120" w:after="120"/>
            </w:pPr>
            <w:hyperlink r:id="rId13" w:anchor="!/view?docid=5adafaf7-02a1-49b8-b58b-3abceda07ad2" w:history="1">
              <w:r w:rsidRPr="00DC3359">
                <w:rPr>
                  <w:rStyle w:val="Hyperlink"/>
                </w:rPr>
                <w:t>TSRC-PROD-058484</w:t>
              </w:r>
            </w:hyperlink>
          </w:p>
        </w:tc>
        <w:tc>
          <w:tcPr>
            <w:tcW w:w="3711" w:type="pct"/>
          </w:tcPr>
          <w:p w14:paraId="7F70E066" w14:textId="658A643A" w:rsidR="00973852" w:rsidRPr="00DC3359" w:rsidRDefault="00CD3E53" w:rsidP="00282EC4">
            <w:pPr>
              <w:spacing w:before="120" w:after="120"/>
              <w:rPr>
                <w:color w:val="000000" w:themeColor="text1"/>
              </w:rPr>
            </w:pPr>
            <w:r w:rsidRPr="00DC3359">
              <w:rPr>
                <w:rFonts w:cs="Helvetica"/>
                <w:color w:val="000000" w:themeColor="text1"/>
                <w:shd w:val="clear" w:color="auto" w:fill="FFFFFF"/>
              </w:rPr>
              <w:t>Hyperlinks to Compass documents. </w:t>
            </w:r>
          </w:p>
        </w:tc>
      </w:tr>
      <w:tr w:rsidR="00791B97" w14:paraId="132F3104" w14:textId="77777777" w:rsidTr="009416B3">
        <w:tc>
          <w:tcPr>
            <w:tcW w:w="1289" w:type="pct"/>
          </w:tcPr>
          <w:p w14:paraId="0A41B1FF" w14:textId="77777777" w:rsidR="00602DDA" w:rsidRDefault="00602DDA" w:rsidP="00602DDA">
            <w:pPr>
              <w:spacing w:before="120" w:after="120"/>
              <w:rPr>
                <w:b/>
                <w:bCs/>
              </w:rPr>
            </w:pPr>
            <w:r w:rsidRPr="00B26390">
              <w:rPr>
                <w:b/>
                <w:bCs/>
              </w:rPr>
              <w:t>Compass - Guided Caller Authentication</w:t>
            </w:r>
          </w:p>
          <w:p w14:paraId="4D90F1F0" w14:textId="0ACCBC5E" w:rsidR="00602DDA" w:rsidRPr="00DC3359" w:rsidRDefault="00602DDA" w:rsidP="005A4FAE">
            <w:pPr>
              <w:tabs>
                <w:tab w:val="left" w:pos="2677"/>
              </w:tabs>
              <w:spacing w:before="120" w:after="120"/>
            </w:pPr>
            <w:hyperlink r:id="rId14" w:anchor="!/view?docid=80476f74-7dca-4548-bf35-185ca8d45c13" w:history="1">
              <w:r w:rsidRPr="00DC3359">
                <w:rPr>
                  <w:rStyle w:val="Hyperlink"/>
                </w:rPr>
                <w:t>TSRC-PROD-050163</w:t>
              </w:r>
            </w:hyperlink>
          </w:p>
        </w:tc>
        <w:tc>
          <w:tcPr>
            <w:tcW w:w="3711" w:type="pct"/>
          </w:tcPr>
          <w:p w14:paraId="4C9E637F" w14:textId="7F47A3D8" w:rsidR="00602DDA" w:rsidRPr="00DC3359" w:rsidRDefault="000577F9"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Guided Caller authentication steps and functionality for Compass.</w:t>
            </w:r>
          </w:p>
        </w:tc>
      </w:tr>
      <w:tr w:rsidR="00040858" w14:paraId="1E102A32" w14:textId="77777777" w:rsidTr="009416B3">
        <w:tc>
          <w:tcPr>
            <w:tcW w:w="1289" w:type="pct"/>
          </w:tcPr>
          <w:p w14:paraId="46A34A8F" w14:textId="77777777" w:rsidR="00040858" w:rsidRDefault="00040858" w:rsidP="00040858">
            <w:pPr>
              <w:spacing w:before="120" w:after="120"/>
            </w:pPr>
            <w:r>
              <w:rPr>
                <w:rFonts w:cs="Helvetica"/>
                <w:noProof/>
                <w:color w:val="1A042E"/>
                <w:spacing w:val="2"/>
                <w:shd w:val="clear" w:color="auto" w:fill="EBF2FF"/>
              </w:rPr>
              <w:drawing>
                <wp:inline distT="0" distB="0" distL="0" distR="0" wp14:anchorId="44623A30" wp14:editId="075F1DF5">
                  <wp:extent cx="304762" cy="304762"/>
                  <wp:effectExtent l="0" t="0" r="635" b="635"/>
                  <wp:docPr id="154798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3149" name="Picture 114243149"/>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A747D">
              <w:rPr>
                <w:b/>
                <w:bCs/>
              </w:rPr>
              <w:t>How to access the Compass Production Environment (Log In, Log Out, Check for Open Cases)</w:t>
            </w:r>
          </w:p>
          <w:p w14:paraId="69EC8137" w14:textId="01701856" w:rsidR="00040858" w:rsidRPr="00630420" w:rsidRDefault="00040858" w:rsidP="00040858">
            <w:pPr>
              <w:spacing w:before="120" w:after="120"/>
              <w:rPr>
                <w:b/>
                <w:bCs/>
              </w:rPr>
            </w:pPr>
            <w:hyperlink r:id="rId16" w:anchor="!/view?docid=5a89e3bd-1ddc-4466-bd1b-93f0cbe17013" w:history="1">
              <w:r w:rsidRPr="00E75BDF">
                <w:rPr>
                  <w:rStyle w:val="Hyperlink"/>
                </w:rPr>
                <w:t>TSRC-PROD-050012</w:t>
              </w:r>
            </w:hyperlink>
          </w:p>
        </w:tc>
        <w:tc>
          <w:tcPr>
            <w:tcW w:w="3711" w:type="pct"/>
          </w:tcPr>
          <w:p w14:paraId="31261C15" w14:textId="670CE8C3" w:rsidR="00040858" w:rsidRPr="00DC3359" w:rsidRDefault="00040858" w:rsidP="00040858">
            <w:pPr>
              <w:spacing w:before="120" w:after="120"/>
              <w:rPr>
                <w:rFonts w:cs="Helvetica"/>
                <w:color w:val="000000" w:themeColor="text1"/>
                <w:shd w:val="clear" w:color="auto" w:fill="FFFFFF"/>
              </w:rPr>
            </w:pPr>
            <w:r w:rsidRPr="00174A9E">
              <w:rPr>
                <w:rFonts w:cs="Helvetica"/>
                <w:color w:val="333333"/>
                <w:shd w:val="clear" w:color="auto" w:fill="FFFFFF"/>
              </w:rPr>
              <w:t>Steps for accessing the Compass Production Environment, including logging in, logging out, and checking for open cases.</w:t>
            </w:r>
          </w:p>
        </w:tc>
      </w:tr>
      <w:tr w:rsidR="00EE2839" w14:paraId="23A8469F" w14:textId="77777777" w:rsidTr="009416B3">
        <w:tc>
          <w:tcPr>
            <w:tcW w:w="1289" w:type="pct"/>
          </w:tcPr>
          <w:p w14:paraId="2FAB59C8" w14:textId="77777777" w:rsidR="00EE2839" w:rsidRDefault="00353120" w:rsidP="00602DDA">
            <w:pPr>
              <w:spacing w:before="120" w:after="120"/>
              <w:rPr>
                <w:b/>
                <w:bCs/>
              </w:rPr>
            </w:pPr>
            <w:r w:rsidRPr="00630420">
              <w:rPr>
                <w:b/>
                <w:bCs/>
              </w:rPr>
              <w:t>Compass - Log In (Login) and Out of Five9</w:t>
            </w:r>
          </w:p>
          <w:p w14:paraId="2251F60E" w14:textId="4253AA2A" w:rsidR="00353120" w:rsidRPr="00DC3359" w:rsidRDefault="00353120" w:rsidP="00602DDA">
            <w:pPr>
              <w:spacing w:before="120" w:after="120"/>
            </w:pPr>
            <w:hyperlink r:id="rId17" w:anchor="!/view?docid=f143ae89-173a-4c0c-a2f4-0be0d45ad858" w:history="1">
              <w:r w:rsidRPr="00DC3359">
                <w:rPr>
                  <w:rStyle w:val="Hyperlink"/>
                </w:rPr>
                <w:t>TSRC-PROD-056724</w:t>
              </w:r>
            </w:hyperlink>
          </w:p>
        </w:tc>
        <w:tc>
          <w:tcPr>
            <w:tcW w:w="3711" w:type="pct"/>
          </w:tcPr>
          <w:p w14:paraId="3D593DE5" w14:textId="51F61D01" w:rsidR="00EE2839" w:rsidRPr="00DC3359" w:rsidRDefault="00642AE6"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Provides CCRs with the steps to log in and out of Five9 in Compass.</w:t>
            </w:r>
          </w:p>
        </w:tc>
      </w:tr>
      <w:tr w:rsidR="00027090" w14:paraId="4DC843C9" w14:textId="77777777" w:rsidTr="009416B3">
        <w:tc>
          <w:tcPr>
            <w:tcW w:w="1289" w:type="pct"/>
          </w:tcPr>
          <w:p w14:paraId="77A63430" w14:textId="2EEF98EA" w:rsidR="00027090" w:rsidRDefault="00027090" w:rsidP="00602DDA">
            <w:pPr>
              <w:spacing w:before="120" w:after="120"/>
            </w:pPr>
            <w:r>
              <w:rPr>
                <w:rFonts w:cs="Helvetica"/>
                <w:noProof/>
                <w:spacing w:val="2"/>
                <w:shd w:val="clear" w:color="auto" w:fill="EBF2FF"/>
              </w:rPr>
              <w:drawing>
                <wp:inline distT="0" distB="0" distL="0" distR="0" wp14:anchorId="38CA1E34" wp14:editId="3CF57886">
                  <wp:extent cx="304762" cy="304762"/>
                  <wp:effectExtent l="0" t="0" r="635" b="635"/>
                  <wp:docPr id="180990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6476" name="Picture 1809906476"/>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027090">
              <w:rPr>
                <w:b/>
                <w:bCs/>
              </w:rPr>
              <w:t>Compass – Log In (Login) to Compass Using CVS Multi Factor Authentication (MFA) with SiteMinder</w:t>
            </w:r>
          </w:p>
          <w:p w14:paraId="32C0502B" w14:textId="5AF15712" w:rsidR="00027090" w:rsidRPr="002F60E5" w:rsidRDefault="00027090" w:rsidP="00602DDA">
            <w:pPr>
              <w:spacing w:before="120" w:after="120"/>
              <w:rPr>
                <w:b/>
                <w:bCs/>
              </w:rPr>
            </w:pPr>
            <w:hyperlink r:id="rId18" w:anchor="!/view?docid=647f7523-3f45-43f1-8564-3551d316cb8c" w:history="1">
              <w:r w:rsidRPr="00E53E3A">
                <w:rPr>
                  <w:rStyle w:val="Hyperlink"/>
                </w:rPr>
                <w:t>TSRC-PROD-056719</w:t>
              </w:r>
            </w:hyperlink>
          </w:p>
        </w:tc>
        <w:tc>
          <w:tcPr>
            <w:tcW w:w="3711" w:type="pct"/>
          </w:tcPr>
          <w:p w14:paraId="16D03D31" w14:textId="000A985F" w:rsidR="00027090" w:rsidRPr="00DC3359" w:rsidRDefault="00027090" w:rsidP="00282EC4">
            <w:pPr>
              <w:spacing w:before="120" w:after="120"/>
              <w:rPr>
                <w:rFonts w:cs="Helvetica"/>
                <w:color w:val="000000" w:themeColor="text1"/>
                <w:shd w:val="clear" w:color="auto" w:fill="FFFFFF"/>
              </w:rPr>
            </w:pPr>
            <w:r w:rsidRPr="00FB15FD">
              <w:rPr>
                <w:rFonts w:cs="Helvetica"/>
                <w:color w:val="333333"/>
                <w:shd w:val="clear" w:color="auto" w:fill="FFFFFF"/>
              </w:rPr>
              <w:t>Provides the steps to log in to the Compass production environment using CVS Multi Factor Authentication (MFA) with SiteMinder.</w:t>
            </w:r>
          </w:p>
        </w:tc>
      </w:tr>
      <w:tr w:rsidR="00B42B81" w14:paraId="1C62A1EE" w14:textId="77777777" w:rsidTr="009416B3">
        <w:tc>
          <w:tcPr>
            <w:tcW w:w="1289" w:type="pct"/>
          </w:tcPr>
          <w:p w14:paraId="4F5656C0" w14:textId="77777777" w:rsidR="00602DDA" w:rsidRDefault="00602DDA" w:rsidP="00602DDA">
            <w:pPr>
              <w:spacing w:before="120" w:after="120"/>
              <w:rPr>
                <w:b/>
                <w:bCs/>
              </w:rPr>
            </w:pPr>
            <w:r w:rsidRPr="002F60E5">
              <w:rPr>
                <w:b/>
                <w:bCs/>
              </w:rPr>
              <w:t>Compass - Mail Order History / Order Status</w:t>
            </w:r>
          </w:p>
          <w:p w14:paraId="539B732F" w14:textId="4B8EC5ED" w:rsidR="00602DDA" w:rsidRPr="00DC3359" w:rsidRDefault="00602DDA" w:rsidP="00BE21A3">
            <w:pPr>
              <w:spacing w:before="120" w:after="120"/>
            </w:pPr>
            <w:hyperlink r:id="rId19" w:anchor="!/view?docid=0ad0ab77-cb2e-4521-8f97-659304a0c8f8" w:history="1">
              <w:r w:rsidRPr="00DC3359">
                <w:rPr>
                  <w:rStyle w:val="Hyperlink"/>
                </w:rPr>
                <w:t>TSRC-PROD-056369</w:t>
              </w:r>
            </w:hyperlink>
          </w:p>
        </w:tc>
        <w:tc>
          <w:tcPr>
            <w:tcW w:w="3711" w:type="pct"/>
          </w:tcPr>
          <w:p w14:paraId="0D9EA194" w14:textId="3C9452C8" w:rsidR="00602DDA" w:rsidRPr="00DC3359" w:rsidRDefault="00A2252D"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Steps to use when researching the status of a Mail Order. Orders on the Mail Order History tab indicate the order has adjudicated (processed through member’s insurance). The Mail Order History table will show the status of the orders after adjudication.</w:t>
            </w:r>
          </w:p>
        </w:tc>
      </w:tr>
      <w:tr w:rsidR="00EA59C1" w14:paraId="16BEB9EA" w14:textId="77777777" w:rsidTr="009416B3">
        <w:tc>
          <w:tcPr>
            <w:tcW w:w="1289" w:type="pct"/>
          </w:tcPr>
          <w:p w14:paraId="5D96EC33" w14:textId="77777777" w:rsidR="00BC4236" w:rsidRDefault="00BC4236" w:rsidP="00282EC4">
            <w:pPr>
              <w:spacing w:before="120" w:after="120"/>
              <w:rPr>
                <w:b/>
                <w:bCs/>
              </w:rPr>
            </w:pPr>
            <w:r w:rsidRPr="000E2206">
              <w:rPr>
                <w:b/>
                <w:bCs/>
              </w:rPr>
              <w:t>Compass - Mail Rx Refill/Renewal (Order Placement)</w:t>
            </w:r>
          </w:p>
          <w:p w14:paraId="4CFD402D" w14:textId="402C7A57" w:rsidR="00BC4236" w:rsidRPr="00DC3359" w:rsidRDefault="00BC4236" w:rsidP="00282EC4">
            <w:pPr>
              <w:spacing w:before="120" w:after="120"/>
            </w:pPr>
            <w:hyperlink r:id="rId20" w:anchor="!/view?docid=ad3a7263-725b-4d5d-a2ec-440f1f30d79c" w:history="1">
              <w:r w:rsidRPr="00DC3359">
                <w:rPr>
                  <w:rStyle w:val="Hyperlink"/>
                </w:rPr>
                <w:t>TSRC-PROD-054262</w:t>
              </w:r>
            </w:hyperlink>
          </w:p>
        </w:tc>
        <w:tc>
          <w:tcPr>
            <w:tcW w:w="3711" w:type="pct"/>
          </w:tcPr>
          <w:p w14:paraId="2A93CB60" w14:textId="545171A6" w:rsidR="00BC4236" w:rsidRPr="00DC3359" w:rsidRDefault="007E3683"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Process used when a plan member contacts Customer Care to refill a Mail Order prescription or renew a previous Mail Order prescription.</w:t>
            </w:r>
          </w:p>
        </w:tc>
      </w:tr>
      <w:tr w:rsidR="00887227" w14:paraId="2960F59B" w14:textId="77777777" w:rsidTr="009416B3">
        <w:tc>
          <w:tcPr>
            <w:tcW w:w="1289" w:type="pct"/>
          </w:tcPr>
          <w:p w14:paraId="2556ECBB" w14:textId="77777777" w:rsidR="00602DDA" w:rsidRDefault="00602DDA" w:rsidP="00602DDA">
            <w:pPr>
              <w:spacing w:before="120" w:after="120"/>
              <w:rPr>
                <w:b/>
                <w:bCs/>
              </w:rPr>
            </w:pPr>
            <w:r w:rsidRPr="003A772F">
              <w:rPr>
                <w:b/>
                <w:bCs/>
              </w:rPr>
              <w:t>Compass - Maintenance Choice (MChoice) Opt Out</w:t>
            </w:r>
          </w:p>
          <w:p w14:paraId="67C1E7C0" w14:textId="5FE9C72E" w:rsidR="00602DDA" w:rsidRPr="00DC3359" w:rsidRDefault="00602DDA" w:rsidP="00602DDA">
            <w:pPr>
              <w:spacing w:before="120" w:after="120"/>
            </w:pPr>
            <w:hyperlink r:id="rId21" w:anchor="!/view?docid=071ddb5a-1f72-4cef-baa6-5164c512e782" w:history="1">
              <w:r w:rsidRPr="00DC3359">
                <w:rPr>
                  <w:rStyle w:val="Hyperlink"/>
                </w:rPr>
                <w:t>TSRC-PROD-053799</w:t>
              </w:r>
            </w:hyperlink>
          </w:p>
        </w:tc>
        <w:tc>
          <w:tcPr>
            <w:tcW w:w="3711" w:type="pct"/>
          </w:tcPr>
          <w:p w14:paraId="14E495D5" w14:textId="38341EF9" w:rsidR="00602DDA" w:rsidRPr="00DC3359" w:rsidRDefault="00A77657"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 xml:space="preserve">Instructions for Customer Care to review the </w:t>
            </w:r>
            <w:proofErr w:type="gramStart"/>
            <w:r w:rsidRPr="00DC3359">
              <w:rPr>
                <w:rFonts w:cs="Helvetica"/>
                <w:color w:val="000000" w:themeColor="text1"/>
                <w:shd w:val="clear" w:color="auto" w:fill="FFFFFF"/>
              </w:rPr>
              <w:t>member's</w:t>
            </w:r>
            <w:proofErr w:type="gramEnd"/>
            <w:r w:rsidRPr="00DC3359">
              <w:rPr>
                <w:rFonts w:cs="Helvetica"/>
                <w:color w:val="000000" w:themeColor="text1"/>
                <w:shd w:val="clear" w:color="auto" w:fill="FFFFFF"/>
              </w:rPr>
              <w:t xml:space="preserve"> plan for the Maintenance Choice (MChoice) Opt Out provision and to Opt Out the member from Mandatory MChoice and Mandatory Mail plan requirements when available.</w:t>
            </w:r>
          </w:p>
        </w:tc>
      </w:tr>
      <w:tr w:rsidR="008233F4" w14:paraId="02C28D46" w14:textId="77777777" w:rsidTr="009416B3">
        <w:tc>
          <w:tcPr>
            <w:tcW w:w="1289" w:type="pct"/>
          </w:tcPr>
          <w:p w14:paraId="1580E16A" w14:textId="77777777" w:rsidR="00030E32" w:rsidRDefault="00030E32" w:rsidP="00282EC4">
            <w:pPr>
              <w:spacing w:before="120" w:after="120"/>
              <w:rPr>
                <w:b/>
                <w:bCs/>
              </w:rPr>
            </w:pPr>
            <w:r w:rsidRPr="003A772F">
              <w:rPr>
                <w:b/>
                <w:bCs/>
              </w:rPr>
              <w:t>Compass - Obtaining a New Prescription (Rx) for the Member (New Rx Request)</w:t>
            </w:r>
          </w:p>
          <w:p w14:paraId="00BB37FE" w14:textId="73C3FD19" w:rsidR="00030E32" w:rsidRPr="00DC3359" w:rsidRDefault="00030E32" w:rsidP="00602DDA">
            <w:pPr>
              <w:spacing w:before="120" w:after="120"/>
            </w:pPr>
            <w:hyperlink r:id="rId22" w:anchor="!/view?docid=a7684ce9-c2bc-4cbc-ab37-c1ffb7789706" w:history="1">
              <w:r w:rsidRPr="00DC3359">
                <w:rPr>
                  <w:rStyle w:val="Hyperlink"/>
                </w:rPr>
                <w:t>TSRC-PROD-054208</w:t>
              </w:r>
            </w:hyperlink>
          </w:p>
        </w:tc>
        <w:tc>
          <w:tcPr>
            <w:tcW w:w="3711" w:type="pct"/>
          </w:tcPr>
          <w:p w14:paraId="295FB84F" w14:textId="71C2E8FF" w:rsidR="00030E32" w:rsidRPr="00DC3359" w:rsidRDefault="008233F4"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Process on how to start the member's prescription at Mail Order in Compass.</w:t>
            </w:r>
          </w:p>
        </w:tc>
      </w:tr>
      <w:tr w:rsidR="00A2252D" w14:paraId="4B51C039" w14:textId="77777777" w:rsidTr="009416B3">
        <w:tc>
          <w:tcPr>
            <w:tcW w:w="1289" w:type="pct"/>
          </w:tcPr>
          <w:p w14:paraId="2B2D3DB9" w14:textId="77777777" w:rsidR="00602DDA" w:rsidRDefault="00602DDA" w:rsidP="00602DDA">
            <w:pPr>
              <w:spacing w:before="120" w:after="120"/>
              <w:rPr>
                <w:b/>
                <w:bCs/>
              </w:rPr>
            </w:pPr>
            <w:r w:rsidRPr="000563D3">
              <w:rPr>
                <w:b/>
                <w:bCs/>
              </w:rPr>
              <w:t>Compass - Override / PA History</w:t>
            </w:r>
          </w:p>
          <w:p w14:paraId="23119B81" w14:textId="38649F40" w:rsidR="00602DDA" w:rsidRPr="00DC3359" w:rsidRDefault="00602DDA" w:rsidP="00602DDA">
            <w:pPr>
              <w:spacing w:before="120" w:after="120"/>
            </w:pPr>
            <w:hyperlink r:id="rId23" w:anchor="!/view?docid=74e6ea18-d5de-4ba0-9529-5d452f814e93" w:history="1">
              <w:r w:rsidRPr="00DC3359">
                <w:rPr>
                  <w:rStyle w:val="Hyperlink"/>
                </w:rPr>
                <w:t>TSRC-PROD-050015</w:t>
              </w:r>
            </w:hyperlink>
          </w:p>
        </w:tc>
        <w:tc>
          <w:tcPr>
            <w:tcW w:w="3711" w:type="pct"/>
          </w:tcPr>
          <w:p w14:paraId="75875DC8" w14:textId="03C4E868" w:rsidR="00602DDA" w:rsidRPr="00DC3359" w:rsidRDefault="00BC410B"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Outlines the Override / PA History tab and Override Details screens in Compass.</w:t>
            </w:r>
          </w:p>
        </w:tc>
      </w:tr>
      <w:tr w:rsidR="00027090" w14:paraId="63AB595B" w14:textId="77777777" w:rsidTr="009416B3">
        <w:tc>
          <w:tcPr>
            <w:tcW w:w="1289" w:type="pct"/>
          </w:tcPr>
          <w:p w14:paraId="3026AE69" w14:textId="77777777" w:rsidR="00027090" w:rsidRDefault="00027090" w:rsidP="00027090">
            <w:pPr>
              <w:spacing w:before="120" w:after="120"/>
              <w:rPr>
                <w:b/>
                <w:bCs/>
              </w:rPr>
            </w:pPr>
            <w:r w:rsidRPr="00A312DE">
              <w:rPr>
                <w:b/>
                <w:bCs/>
              </w:rPr>
              <w:t>Compass – Plan Benefit Override (PBO) Guide</w:t>
            </w:r>
            <w:r w:rsidRPr="00DA3A3F">
              <w:rPr>
                <w:b/>
                <w:bCs/>
              </w:rPr>
              <w:t xml:space="preserve"> </w:t>
            </w:r>
          </w:p>
          <w:p w14:paraId="165AE693" w14:textId="56FDBD4C" w:rsidR="00027090" w:rsidRPr="000563D3" w:rsidRDefault="00027090" w:rsidP="00027090">
            <w:pPr>
              <w:autoSpaceDE w:val="0"/>
              <w:autoSpaceDN w:val="0"/>
              <w:spacing w:before="120" w:after="120" w:line="240" w:lineRule="atLeast"/>
              <w:rPr>
                <w:rFonts w:cs="Helvetica"/>
                <w:b/>
                <w:bCs/>
                <w:color w:val="000000"/>
                <w:shd w:val="clear" w:color="auto" w:fill="FFFFFF"/>
              </w:rPr>
            </w:pPr>
            <w:hyperlink r:id="rId24" w:anchor="!/view?docid=44418b02-7e70-41cc-bb2e-bb38164a951f" w:history="1">
              <w:r w:rsidRPr="008658FA">
                <w:rPr>
                  <w:rStyle w:val="Hyperlink"/>
                </w:rPr>
                <w:t>TSRC-PROD-061708</w:t>
              </w:r>
            </w:hyperlink>
          </w:p>
        </w:tc>
        <w:tc>
          <w:tcPr>
            <w:tcW w:w="3711" w:type="pct"/>
          </w:tcPr>
          <w:p w14:paraId="384C56D1" w14:textId="5F53ED91" w:rsidR="00027090" w:rsidRDefault="00027090" w:rsidP="00027090">
            <w:pPr>
              <w:spacing w:before="120" w:after="120"/>
              <w:rPr>
                <w:color w:val="000000"/>
              </w:rPr>
            </w:pPr>
            <w:bookmarkStart w:id="6" w:name="OLE_LINK40"/>
            <w:r>
              <w:rPr>
                <w:color w:val="000000"/>
              </w:rPr>
              <w:t>Instructions for handling override requests. A Plan Benefit Override (PBO) bypasses the general plan design limitations by permitting a claim to pay and allowing a covered medication to be filled.</w:t>
            </w:r>
            <w:bookmarkEnd w:id="6"/>
          </w:p>
        </w:tc>
      </w:tr>
      <w:tr w:rsidR="00825F40" w14:paraId="33CAD660" w14:textId="77777777" w:rsidTr="009416B3">
        <w:tc>
          <w:tcPr>
            <w:tcW w:w="1289" w:type="pct"/>
          </w:tcPr>
          <w:p w14:paraId="71BB3044" w14:textId="61313DB5" w:rsidR="00BA45F4" w:rsidRPr="0061409E" w:rsidRDefault="00BA45F4" w:rsidP="008658FA">
            <w:pPr>
              <w:autoSpaceDE w:val="0"/>
              <w:autoSpaceDN w:val="0"/>
              <w:spacing w:before="120" w:after="120" w:line="240" w:lineRule="atLeast"/>
              <w:rPr>
                <w:rFonts w:cs="Segoe UI"/>
                <w:color w:val="333333"/>
              </w:rPr>
            </w:pPr>
            <w:r w:rsidRPr="000563D3">
              <w:rPr>
                <w:rFonts w:cs="Helvetica"/>
                <w:b/>
                <w:bCs/>
                <w:color w:val="000000"/>
                <w:shd w:val="clear" w:color="auto" w:fill="FFFFFF"/>
              </w:rPr>
              <w:t>Compass and PeopleSafe - Prior Authorization, Exceptions, Appeals Guide</w:t>
            </w:r>
            <w:r w:rsidRPr="00A10A91">
              <w:rPr>
                <w:rFonts w:cs="Helvetica"/>
                <w:color w:val="000000"/>
                <w:shd w:val="clear" w:color="auto" w:fill="FFFFFF"/>
              </w:rPr>
              <w:t xml:space="preserve"> </w:t>
            </w:r>
          </w:p>
          <w:p w14:paraId="649D1084" w14:textId="250B6404" w:rsidR="00825F40" w:rsidRPr="00BE4BC4" w:rsidRDefault="00BA45F4" w:rsidP="008658FA">
            <w:pPr>
              <w:spacing w:before="120" w:after="120"/>
              <w:rPr>
                <w:b/>
                <w:bCs/>
              </w:rPr>
            </w:pPr>
            <w:hyperlink r:id="rId25" w:anchor="!/view?docid=657ddfe3-27d1-4a21-8f51-8cbd3961001c" w:history="1">
              <w:r w:rsidRPr="00500FD9">
                <w:rPr>
                  <w:rStyle w:val="Hyperlink"/>
                  <w:rFonts w:ascii="Helvetica" w:hAnsi="Helvetica" w:cs="Helvetica"/>
                  <w:shd w:val="clear" w:color="auto" w:fill="FFFFFF"/>
                </w:rPr>
                <w:t>TSRC-PROD-063978</w:t>
              </w:r>
            </w:hyperlink>
          </w:p>
        </w:tc>
        <w:tc>
          <w:tcPr>
            <w:tcW w:w="3711" w:type="pct"/>
          </w:tcPr>
          <w:p w14:paraId="788F7D67" w14:textId="1E16FC78" w:rsidR="00825F40" w:rsidRPr="00DC3359" w:rsidRDefault="00500FD9" w:rsidP="008658FA">
            <w:pPr>
              <w:spacing w:before="120" w:after="120"/>
              <w:rPr>
                <w:rFonts w:cs="Helvetica"/>
                <w:color w:val="000000" w:themeColor="text1"/>
                <w:shd w:val="clear" w:color="auto" w:fill="FFFFFF"/>
              </w:rPr>
            </w:pPr>
            <w:r>
              <w:rPr>
                <w:color w:val="000000"/>
              </w:rPr>
              <w:t>Process steps to ensure agents are determining if a Prior Authorization or Clinical Exception is appropriate, and an index of links to specific Prior Authorization, Clinical Exception, and non-Clinical Exception specific process documents. This document applies to both Compass and PeopleSafe.</w:t>
            </w:r>
          </w:p>
        </w:tc>
      </w:tr>
      <w:tr w:rsidR="00BE4BC4" w14:paraId="7FDD20D3" w14:textId="77777777" w:rsidTr="009416B3">
        <w:tc>
          <w:tcPr>
            <w:tcW w:w="1289" w:type="pct"/>
          </w:tcPr>
          <w:p w14:paraId="44878148" w14:textId="77777777" w:rsidR="00BE4BC4" w:rsidRDefault="00BE4BC4" w:rsidP="00602DDA">
            <w:pPr>
              <w:spacing w:before="120" w:after="120"/>
              <w:rPr>
                <w:b/>
                <w:bCs/>
              </w:rPr>
            </w:pPr>
            <w:r w:rsidRPr="0031161F">
              <w:rPr>
                <w:b/>
                <w:bCs/>
              </w:rPr>
              <w:t>Compass - Prescription (Rx) Transfer</w:t>
            </w:r>
          </w:p>
          <w:p w14:paraId="4DACFA99" w14:textId="2BABA4EA" w:rsidR="00BE4BC4" w:rsidRPr="00DC3359" w:rsidRDefault="00EA59C1" w:rsidP="00602DDA">
            <w:pPr>
              <w:spacing w:before="120" w:after="120"/>
            </w:pPr>
            <w:hyperlink r:id="rId26" w:anchor="!/view?docid=1e31ea60-77a3-4bb9-a619-7340ebf57484" w:history="1">
              <w:r w:rsidRPr="00DC3359">
                <w:rPr>
                  <w:rStyle w:val="Hyperlink"/>
                </w:rPr>
                <w:t>TSRC-PROD-053932</w:t>
              </w:r>
            </w:hyperlink>
          </w:p>
        </w:tc>
        <w:tc>
          <w:tcPr>
            <w:tcW w:w="3711" w:type="pct"/>
          </w:tcPr>
          <w:p w14:paraId="0016A5A3" w14:textId="6A485E96" w:rsidR="00BE4BC4" w:rsidRPr="00DC3359" w:rsidRDefault="00797D7A"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How to transfer a Retail pharmacy prescription (Rx) to our Mail Order pharmacy and outlines the steps for agents to open an automated Support Task (formerly known as Resolution Manager [RM] Task/Service Resolution) with an existing claim in Compass. (This process is just initiating the request.)</w:t>
            </w:r>
          </w:p>
        </w:tc>
      </w:tr>
      <w:tr w:rsidR="00027090" w14:paraId="5F61701A" w14:textId="77777777" w:rsidTr="009416B3">
        <w:tc>
          <w:tcPr>
            <w:tcW w:w="1289" w:type="pct"/>
          </w:tcPr>
          <w:p w14:paraId="55A54149" w14:textId="08BA3973" w:rsidR="00027090" w:rsidRPr="00027090" w:rsidRDefault="00027090" w:rsidP="00602DDA">
            <w:pPr>
              <w:spacing w:before="120" w:after="120"/>
              <w:rPr>
                <w:b/>
                <w:bCs/>
              </w:rPr>
            </w:pPr>
            <w:r>
              <w:rPr>
                <w:rFonts w:cs="Helvetica"/>
                <w:noProof/>
                <w:color w:val="1A042E"/>
                <w:spacing w:val="2"/>
                <w:shd w:val="clear" w:color="auto" w:fill="EBF2FF"/>
              </w:rPr>
              <w:drawing>
                <wp:inline distT="0" distB="0" distL="0" distR="0" wp14:anchorId="6B3A950B" wp14:editId="4174A90A">
                  <wp:extent cx="304762" cy="304762"/>
                  <wp:effectExtent l="0" t="0" r="635" b="635"/>
                  <wp:docPr id="11424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3149" name="Picture 114243149"/>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Compass- Rejection Codes and Resolutions (Reject 01-Reject ZN)</w:t>
            </w:r>
          </w:p>
          <w:p w14:paraId="6610A5DE" w14:textId="15CF881B" w:rsidR="00027090" w:rsidRPr="00B04103" w:rsidRDefault="00027090" w:rsidP="00602DDA">
            <w:pPr>
              <w:spacing w:before="120" w:after="120"/>
              <w:rPr>
                <w:b/>
                <w:bCs/>
              </w:rPr>
            </w:pPr>
            <w:hyperlink r:id="rId27" w:anchor="!/view?docid=104c3318-95ba-42e2-bd05-17877b0a8045" w:history="1">
              <w:r w:rsidRPr="00E53E3A">
                <w:rPr>
                  <w:rStyle w:val="Hyperlink"/>
                </w:rPr>
                <w:t>TSRC-PROD-067649</w:t>
              </w:r>
            </w:hyperlink>
          </w:p>
        </w:tc>
        <w:tc>
          <w:tcPr>
            <w:tcW w:w="3711" w:type="pct"/>
          </w:tcPr>
          <w:p w14:paraId="27B82B4A" w14:textId="6DB0EB4F" w:rsidR="00027090" w:rsidRPr="00DC3359" w:rsidRDefault="00027090" w:rsidP="00282EC4">
            <w:pPr>
              <w:spacing w:before="120" w:after="120"/>
              <w:rPr>
                <w:rFonts w:cs="Helvetica"/>
                <w:color w:val="000000" w:themeColor="text1"/>
                <w:shd w:val="clear" w:color="auto" w:fill="FFFFFF"/>
              </w:rPr>
            </w:pPr>
            <w:r w:rsidRPr="0031161F">
              <w:rPr>
                <w:rFonts w:cs="Helvetica"/>
                <w:color w:val="333333"/>
                <w:shd w:val="clear" w:color="auto" w:fill="FFFFFF"/>
              </w:rPr>
              <w:t>List of rejection codes, the reason for the rejection and how to resolve the issue. It is used to support the Pharmacy Help Desk callers with questions about rejections</w:t>
            </w:r>
            <w:r>
              <w:rPr>
                <w:rFonts w:cs="Helvetica"/>
                <w:color w:val="333333"/>
                <w:shd w:val="clear" w:color="auto" w:fill="FFFFFF"/>
              </w:rPr>
              <w:t>.</w:t>
            </w:r>
          </w:p>
        </w:tc>
      </w:tr>
      <w:tr w:rsidR="007E3683" w14:paraId="057C2F9E" w14:textId="77777777" w:rsidTr="009416B3">
        <w:tc>
          <w:tcPr>
            <w:tcW w:w="1289" w:type="pct"/>
          </w:tcPr>
          <w:p w14:paraId="31889DA1" w14:textId="77777777" w:rsidR="00602DDA" w:rsidRDefault="00602DDA" w:rsidP="00602DDA">
            <w:pPr>
              <w:spacing w:before="120" w:after="120"/>
              <w:rPr>
                <w:b/>
                <w:bCs/>
              </w:rPr>
            </w:pPr>
            <w:r w:rsidRPr="00B04103">
              <w:rPr>
                <w:b/>
                <w:bCs/>
              </w:rPr>
              <w:t>Compass - Test Claims</w:t>
            </w:r>
          </w:p>
          <w:p w14:paraId="1971A5EC" w14:textId="4740C360" w:rsidR="00596DC5" w:rsidRPr="00DC3359" w:rsidRDefault="00602DDA" w:rsidP="00602DDA">
            <w:pPr>
              <w:spacing w:before="120" w:after="120"/>
            </w:pPr>
            <w:hyperlink r:id="rId28" w:anchor="!/view?docid=60c20ea0-1d07-46e3-809a-b54734b80fbe" w:history="1">
              <w:r w:rsidRPr="00DC3359">
                <w:rPr>
                  <w:rStyle w:val="Hyperlink"/>
                </w:rPr>
                <w:t>TSRC-PROD-050041</w:t>
              </w:r>
            </w:hyperlink>
          </w:p>
        </w:tc>
        <w:tc>
          <w:tcPr>
            <w:tcW w:w="3711" w:type="pct"/>
          </w:tcPr>
          <w:p w14:paraId="37F6FBB1" w14:textId="4722F111" w:rsidR="00030E32" w:rsidRPr="00DC3359" w:rsidRDefault="006A6E1D" w:rsidP="00282EC4">
            <w:pPr>
              <w:spacing w:before="120" w:after="120"/>
              <w:rPr>
                <w:rFonts w:cs="Helvetica"/>
                <w:color w:val="000000" w:themeColor="text1"/>
                <w:shd w:val="clear" w:color="auto" w:fill="FFFFFF"/>
              </w:rPr>
            </w:pPr>
            <w:r w:rsidRPr="00DC3359">
              <w:rPr>
                <w:rFonts w:cs="Helvetica"/>
                <w:color w:val="000000" w:themeColor="text1"/>
                <w:shd w:val="clear" w:color="auto" w:fill="FFFFFF"/>
              </w:rPr>
              <w:t>Steps regarding when and how to run and/or perform a Test Claim (a tool to estimate cost and coverage) in Compass.</w:t>
            </w:r>
          </w:p>
        </w:tc>
      </w:tr>
      <w:tr w:rsidR="00CD3E53" w14:paraId="3DD9F9F7" w14:textId="77777777" w:rsidTr="009416B3">
        <w:tc>
          <w:tcPr>
            <w:tcW w:w="1289" w:type="pct"/>
          </w:tcPr>
          <w:p w14:paraId="6697ABCF" w14:textId="77777777" w:rsidR="00602DDA" w:rsidRDefault="00602DDA" w:rsidP="00602DDA">
            <w:pPr>
              <w:spacing w:before="120" w:after="120"/>
              <w:rPr>
                <w:b/>
                <w:bCs/>
              </w:rPr>
            </w:pPr>
            <w:r w:rsidRPr="00B04103">
              <w:rPr>
                <w:b/>
                <w:bCs/>
              </w:rPr>
              <w:t>Compass - Viewing Accumulations</w:t>
            </w:r>
            <w:r w:rsidRPr="00990410">
              <w:rPr>
                <w:b/>
                <w:bCs/>
              </w:rPr>
              <w:t xml:space="preserve">   </w:t>
            </w:r>
          </w:p>
          <w:p w14:paraId="268AF202" w14:textId="5BA80015" w:rsidR="00602DDA" w:rsidRPr="00DC3359" w:rsidRDefault="00602DDA" w:rsidP="00602DDA">
            <w:pPr>
              <w:spacing w:before="120" w:after="120"/>
            </w:pPr>
            <w:hyperlink r:id="rId29" w:anchor="!/view?docid=c4fb8a09-f22f-49cd-a22d-71930039f08c" w:history="1">
              <w:r w:rsidRPr="00DC3359">
                <w:rPr>
                  <w:rStyle w:val="Hyperlink"/>
                </w:rPr>
                <w:t>TSRC-PROD-050010</w:t>
              </w:r>
            </w:hyperlink>
          </w:p>
        </w:tc>
        <w:tc>
          <w:tcPr>
            <w:tcW w:w="3711" w:type="pct"/>
          </w:tcPr>
          <w:p w14:paraId="3B730999" w14:textId="24594584" w:rsidR="00602DDA" w:rsidRPr="00DC3359" w:rsidRDefault="00791B97" w:rsidP="00282EC4">
            <w:pPr>
              <w:spacing w:before="120" w:after="120"/>
              <w:rPr>
                <w:rFonts w:cs="Helvetica"/>
                <w:color w:val="000000" w:themeColor="text1"/>
                <w:shd w:val="clear" w:color="auto" w:fill="FFFFFF"/>
              </w:rPr>
            </w:pPr>
            <w:bookmarkStart w:id="7" w:name="OLE_LINK9"/>
            <w:r w:rsidRPr="00DC3359">
              <w:rPr>
                <w:color w:val="000000" w:themeColor="text1"/>
              </w:rPr>
              <w:t>Steps to view Accumulations in Compass.</w:t>
            </w:r>
            <w:bookmarkEnd w:id="7"/>
          </w:p>
        </w:tc>
      </w:tr>
    </w:tbl>
    <w:p w14:paraId="2145D0D3" w14:textId="77777777" w:rsidR="00973852" w:rsidRDefault="00973852" w:rsidP="002E66B3"/>
    <w:bookmarkStart w:id="8" w:name="_Log_Activity"/>
    <w:bookmarkStart w:id="9" w:name="OLE_LINK3"/>
    <w:bookmarkEnd w:id="8"/>
    <w:p w14:paraId="091ADE87" w14:textId="7F0DBEB8" w:rsidR="00103E2B" w:rsidRDefault="00756A57" w:rsidP="00E54F32">
      <w:pPr>
        <w:jc w:val="right"/>
      </w:pPr>
      <w:r>
        <w:fldChar w:fldCharType="begin"/>
      </w:r>
      <w:r>
        <w:instrText xml:space="preserve"> HYPERLINK \l "_top" </w:instrText>
      </w:r>
      <w:r>
        <w:fldChar w:fldCharType="end"/>
      </w:r>
      <w:r>
        <w:rPr>
          <w:rStyle w:val="Hyperlink"/>
        </w:rPr>
        <w:t xml:space="preserve"> </w:t>
      </w:r>
      <w:hyperlink w:anchor="_top" w:history="1">
        <w:r w:rsidR="00DC3359" w:rsidRPr="00DC3359">
          <w:rPr>
            <w:rStyle w:val="Hyperlink"/>
          </w:rPr>
          <w:t>Top of the Document</w:t>
        </w:r>
      </w:hyperlink>
      <w:bookmarkStart w:id="10" w:name="_Parent_SOP"/>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E3DEF" w14:paraId="469E9235" w14:textId="77777777" w:rsidTr="007D7BE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9A76A1D" w14:textId="43FDB505" w:rsidR="00BE3DEF" w:rsidRPr="00BE3DEF" w:rsidRDefault="00F426BF">
            <w:pPr>
              <w:pStyle w:val="Heading2"/>
              <w:spacing w:before="120" w:after="120"/>
            </w:pPr>
            <w:bookmarkStart w:id="11" w:name="_Billing/Payment_–_2"/>
            <w:bookmarkStart w:id="12" w:name="_Billing/Payment_-_2"/>
            <w:bookmarkStart w:id="13" w:name="_Rationale"/>
            <w:bookmarkStart w:id="14" w:name="_Maintenance_–_1"/>
            <w:bookmarkStart w:id="15" w:name="_Maintenance_-_1"/>
            <w:bookmarkStart w:id="16" w:name="_Toc155883918"/>
            <w:bookmarkStart w:id="17" w:name="bill2"/>
            <w:bookmarkEnd w:id="11"/>
            <w:bookmarkEnd w:id="12"/>
            <w:bookmarkEnd w:id="13"/>
            <w:bookmarkEnd w:id="14"/>
            <w:bookmarkEnd w:id="15"/>
            <w:r>
              <w:t xml:space="preserve">Other </w:t>
            </w:r>
            <w:r w:rsidR="00251FC0">
              <w:t>Documents</w:t>
            </w:r>
            <w:r w:rsidR="00FD4B1C">
              <w:t xml:space="preserve"> </w:t>
            </w:r>
            <w:r w:rsidR="00161399">
              <w:t>with the Greatest Number of Views</w:t>
            </w:r>
            <w:bookmarkEnd w:id="16"/>
            <w:r w:rsidR="00BE3DEF" w:rsidRPr="00BE3DEF">
              <w:t xml:space="preserve"> </w:t>
            </w:r>
            <w:bookmarkEnd w:id="17"/>
            <w:r w:rsidR="00BE3DEF" w:rsidRPr="00BE3DEF">
              <w:t xml:space="preserve"> </w:t>
            </w:r>
          </w:p>
        </w:tc>
      </w:tr>
      <w:bookmarkEnd w:id="9"/>
    </w:tbl>
    <w:p w14:paraId="72E5166A" w14:textId="5999DC37" w:rsidR="00174364" w:rsidRDefault="00174364" w:rsidP="00C772DF"/>
    <w:p w14:paraId="21AD1D7C" w14:textId="5018AC1A" w:rsidR="00C772DF" w:rsidRDefault="00103E2B" w:rsidP="00C772DF">
      <w:r w:rsidRPr="007D58D3">
        <w:rPr>
          <w:b/>
          <w:bCs/>
        </w:rPr>
        <w:t>Note:</w:t>
      </w:r>
      <w:r>
        <w:t xml:space="preserve">  This list was identified by reviewing reports that indicate the total number of times that a document was viewed</w:t>
      </w:r>
      <w:r w:rsidR="009A685D">
        <w:t xml:space="preserve">. </w:t>
      </w:r>
      <w:r w:rsidR="008A42C3">
        <w:t>The highest reviewed documents are listed below</w:t>
      </w:r>
      <w:r w:rsidR="009A685D">
        <w:t xml:space="preserve">. </w:t>
      </w:r>
    </w:p>
    <w:p w14:paraId="78858B8D" w14:textId="4347977E" w:rsidR="007D36D8" w:rsidRDefault="007D36D8" w:rsidP="00C772DF"/>
    <w:tbl>
      <w:tblPr>
        <w:tblStyle w:val="TableGrid"/>
        <w:tblW w:w="5000" w:type="pct"/>
        <w:tblLook w:val="04A0" w:firstRow="1" w:lastRow="0" w:firstColumn="1" w:lastColumn="0" w:noHBand="0" w:noVBand="1"/>
      </w:tblPr>
      <w:tblGrid>
        <w:gridCol w:w="3339"/>
        <w:gridCol w:w="9611"/>
      </w:tblGrid>
      <w:tr w:rsidR="0011719E" w14:paraId="1A24921C" w14:textId="77777777" w:rsidTr="0011719E">
        <w:tc>
          <w:tcPr>
            <w:tcW w:w="1289" w:type="pct"/>
            <w:tcBorders>
              <w:top w:val="single" w:sz="4" w:space="0" w:color="auto"/>
              <w:left w:val="single" w:sz="4" w:space="0" w:color="auto"/>
              <w:bottom w:val="single" w:sz="4" w:space="0" w:color="auto"/>
              <w:right w:val="single" w:sz="4" w:space="0" w:color="auto"/>
            </w:tcBorders>
            <w:shd w:val="clear" w:color="auto" w:fill="E6E6E6"/>
            <w:hideMark/>
          </w:tcPr>
          <w:p w14:paraId="21DB584C" w14:textId="77777777" w:rsidR="007D36D8" w:rsidRPr="00AE0B45" w:rsidRDefault="007D36D8">
            <w:pPr>
              <w:spacing w:before="120" w:after="120"/>
              <w:jc w:val="center"/>
              <w:rPr>
                <w:b/>
              </w:rPr>
            </w:pPr>
            <w:r w:rsidRPr="00AE0B45">
              <w:rPr>
                <w:b/>
              </w:rPr>
              <w:t>Document Title with Hyperlink</w:t>
            </w:r>
          </w:p>
        </w:tc>
        <w:tc>
          <w:tcPr>
            <w:tcW w:w="3711" w:type="pct"/>
            <w:tcBorders>
              <w:top w:val="single" w:sz="4" w:space="0" w:color="auto"/>
              <w:left w:val="single" w:sz="4" w:space="0" w:color="auto"/>
              <w:bottom w:val="single" w:sz="4" w:space="0" w:color="auto"/>
              <w:right w:val="single" w:sz="4" w:space="0" w:color="auto"/>
            </w:tcBorders>
            <w:shd w:val="clear" w:color="auto" w:fill="E6E6E6"/>
            <w:hideMark/>
          </w:tcPr>
          <w:p w14:paraId="76D719DF" w14:textId="77777777" w:rsidR="007D36D8" w:rsidRPr="00AE0B45" w:rsidRDefault="007D36D8">
            <w:pPr>
              <w:spacing w:before="120" w:after="120"/>
              <w:jc w:val="center"/>
              <w:rPr>
                <w:b/>
              </w:rPr>
            </w:pPr>
            <w:r w:rsidRPr="00AE0B45">
              <w:rPr>
                <w:b/>
              </w:rPr>
              <w:t>Provides…</w:t>
            </w:r>
          </w:p>
        </w:tc>
      </w:tr>
      <w:tr w:rsidR="00AC7BB8" w14:paraId="3E2F21A4"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318883A4" w14:textId="5DC86751" w:rsidR="00AC7BB8" w:rsidRDefault="00AC7BB8" w:rsidP="00637C30">
            <w:pPr>
              <w:spacing w:before="120" w:after="120"/>
              <w:rPr>
                <w:rFonts w:cs="Helvetica"/>
                <w:b/>
                <w:bCs/>
                <w:color w:val="000000"/>
                <w:shd w:val="clear" w:color="auto" w:fill="FFFFFF"/>
              </w:rPr>
            </w:pPr>
            <w:r>
              <w:rPr>
                <w:rFonts w:cs="Helvetica"/>
                <w:b/>
                <w:bCs/>
                <w:color w:val="000000"/>
                <w:shd w:val="clear" w:color="auto" w:fill="FFFFFF"/>
              </w:rPr>
              <w:t>Caremark.com – Work Instruction/Job Aid Index</w:t>
            </w:r>
          </w:p>
          <w:p w14:paraId="1B40806B" w14:textId="36E602C3" w:rsidR="00AC7BB8" w:rsidRPr="00AC7BB8" w:rsidRDefault="00AC7BB8" w:rsidP="00637C30">
            <w:pPr>
              <w:spacing w:before="120" w:after="120"/>
              <w:rPr>
                <w:rFonts w:cs="Helvetica"/>
                <w:color w:val="000000"/>
                <w:shd w:val="clear" w:color="auto" w:fill="FFFFFF"/>
              </w:rPr>
            </w:pPr>
            <w:hyperlink r:id="rId30" w:anchor="!/view?docid=8a2da44a-6336-454d-8deb-fca4a71ad69b" w:history="1">
              <w:r w:rsidRPr="00AC7BB8">
                <w:rPr>
                  <w:rStyle w:val="Hyperlink"/>
                  <w:rFonts w:cs="Helvetica"/>
                  <w:shd w:val="clear" w:color="auto" w:fill="FFFFFF"/>
                </w:rPr>
                <w:t>CMS-PRD1-105672</w:t>
              </w:r>
            </w:hyperlink>
          </w:p>
        </w:tc>
        <w:tc>
          <w:tcPr>
            <w:tcW w:w="3711" w:type="pct"/>
            <w:tcBorders>
              <w:top w:val="single" w:sz="4" w:space="0" w:color="auto"/>
              <w:left w:val="single" w:sz="4" w:space="0" w:color="auto"/>
              <w:bottom w:val="single" w:sz="4" w:space="0" w:color="auto"/>
              <w:right w:val="single" w:sz="4" w:space="0" w:color="auto"/>
            </w:tcBorders>
          </w:tcPr>
          <w:p w14:paraId="148B46FD" w14:textId="15B600F5" w:rsidR="00AC7BB8" w:rsidRPr="00DC3359" w:rsidRDefault="0011719E" w:rsidP="001F110F">
            <w:pPr>
              <w:spacing w:before="120" w:after="120"/>
              <w:rPr>
                <w:rFonts w:cs="Helvetica"/>
                <w:color w:val="000000" w:themeColor="text1"/>
                <w:shd w:val="clear" w:color="auto" w:fill="FFFFFF"/>
              </w:rPr>
            </w:pPr>
            <w:r>
              <w:rPr>
                <w:rFonts w:ascii="Helvetica" w:hAnsi="Helvetica" w:cs="Helvetica"/>
                <w:color w:val="333333"/>
                <w:shd w:val="clear" w:color="auto" w:fill="FFFFFF"/>
              </w:rPr>
              <w:t>This document contains commonly used instructions to assist a representative with Caremark.com inquiries</w:t>
            </w:r>
          </w:p>
        </w:tc>
      </w:tr>
      <w:tr w:rsidR="00AC7BB8" w14:paraId="281FD8C2"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6B78D307" w14:textId="5F1D11D3" w:rsidR="00AC7BB8" w:rsidRPr="00AC7BB8" w:rsidRDefault="00AC7BB8" w:rsidP="00637C30">
            <w:pPr>
              <w:spacing w:before="120" w:after="120"/>
              <w:rPr>
                <w:b/>
                <w:bCs/>
              </w:rPr>
            </w:pPr>
            <w:r>
              <w:rPr>
                <w:rFonts w:cs="Helvetica"/>
                <w:b/>
                <w:bCs/>
                <w:noProof/>
                <w:color w:val="1A042E"/>
                <w:spacing w:val="2"/>
                <w:shd w:val="clear" w:color="auto" w:fill="EBF2FF"/>
              </w:rPr>
              <w:drawing>
                <wp:inline distT="0" distB="0" distL="0" distR="0" wp14:anchorId="7941AC9B" wp14:editId="6787B828">
                  <wp:extent cx="304762" cy="304762"/>
                  <wp:effectExtent l="0" t="0" r="635" b="635"/>
                  <wp:docPr id="190083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3122" name="Picture 1942933122"/>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AC7BB8">
              <w:rPr>
                <w:b/>
                <w:bCs/>
              </w:rPr>
              <w:t>CVS Weight Management Program (At Scale)</w:t>
            </w:r>
          </w:p>
          <w:p w14:paraId="312A603A" w14:textId="6BA9C85F" w:rsidR="00AC7BB8" w:rsidRPr="00562C23" w:rsidRDefault="00AC7BB8" w:rsidP="00637C30">
            <w:pPr>
              <w:spacing w:before="120" w:after="120"/>
              <w:rPr>
                <w:rFonts w:cs="Helvetica"/>
                <w:b/>
                <w:bCs/>
                <w:color w:val="000000"/>
                <w:shd w:val="clear" w:color="auto" w:fill="FFFFFF"/>
              </w:rPr>
            </w:pPr>
            <w:hyperlink r:id="rId31" w:anchor="!/view?docid=2be10319-19b6-41cc-b113-989e1cd49a5e" w:history="1">
              <w:r w:rsidRPr="00E53E3A">
                <w:rPr>
                  <w:rStyle w:val="Hyperlink"/>
                </w:rPr>
                <w:t>TSRC-PROD-064264</w:t>
              </w:r>
            </w:hyperlink>
          </w:p>
        </w:tc>
        <w:tc>
          <w:tcPr>
            <w:tcW w:w="3711" w:type="pct"/>
            <w:tcBorders>
              <w:top w:val="single" w:sz="4" w:space="0" w:color="auto"/>
              <w:left w:val="single" w:sz="4" w:space="0" w:color="auto"/>
              <w:bottom w:val="single" w:sz="4" w:space="0" w:color="auto"/>
              <w:right w:val="single" w:sz="4" w:space="0" w:color="auto"/>
            </w:tcBorders>
          </w:tcPr>
          <w:p w14:paraId="2E383200" w14:textId="77777777" w:rsidR="00AC7BB8" w:rsidRPr="00AA3F90" w:rsidRDefault="00AC7BB8" w:rsidP="00AC7BB8">
            <w:pPr>
              <w:spacing w:before="120" w:after="120"/>
              <w:outlineLvl w:val="0"/>
              <w:rPr>
                <w:rFonts w:ascii="Times New Roman" w:hAnsi="Times New Roman"/>
                <w:b/>
                <w:bCs/>
                <w:color w:val="000000"/>
                <w:kern w:val="36"/>
                <w:sz w:val="48"/>
                <w:szCs w:val="48"/>
              </w:rPr>
            </w:pPr>
            <w:r w:rsidRPr="00AA3F90">
              <w:rPr>
                <w:color w:val="000000"/>
                <w:kern w:val="36"/>
              </w:rPr>
              <w:t>Provides information and procedures as it relates to the CVS Weight Management program (At Scale), how it is defined, including the benefits to the members and frequently asked questions and answers.</w:t>
            </w:r>
          </w:p>
          <w:p w14:paraId="41BA6E22" w14:textId="77777777" w:rsidR="00AC7BB8" w:rsidRPr="00DC3359" w:rsidRDefault="00AC7BB8" w:rsidP="001F110F">
            <w:pPr>
              <w:spacing w:before="120" w:after="120"/>
              <w:rPr>
                <w:rFonts w:cs="Helvetica"/>
                <w:color w:val="000000" w:themeColor="text1"/>
                <w:shd w:val="clear" w:color="auto" w:fill="FFFFFF"/>
              </w:rPr>
            </w:pPr>
          </w:p>
        </w:tc>
      </w:tr>
      <w:tr w:rsidR="00F307FD" w14:paraId="4003984C"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3AEE381C" w14:textId="77777777" w:rsidR="00637C30" w:rsidRPr="00562C23" w:rsidRDefault="00637C30" w:rsidP="00637C30">
            <w:pPr>
              <w:spacing w:before="120" w:after="120"/>
              <w:rPr>
                <w:rFonts w:cs="Helvetica"/>
                <w:b/>
                <w:bCs/>
                <w:color w:val="000000"/>
                <w:shd w:val="clear" w:color="auto" w:fill="FFFFFF"/>
              </w:rPr>
            </w:pPr>
            <w:r w:rsidRPr="00562C23">
              <w:rPr>
                <w:rFonts w:cs="Helvetica"/>
                <w:b/>
                <w:bCs/>
                <w:color w:val="000000"/>
                <w:shd w:val="clear" w:color="auto" w:fill="FFFFFF"/>
              </w:rPr>
              <w:t xml:space="preserve">Disconnected, Dropped, No Caller (Ghost Calls), Spam, Automated, and Looping Calls   </w:t>
            </w:r>
          </w:p>
          <w:p w14:paraId="17148652" w14:textId="20ACD2E8" w:rsidR="00637C30" w:rsidRPr="00562C23" w:rsidRDefault="00637C30" w:rsidP="00637C30">
            <w:pPr>
              <w:spacing w:before="120" w:after="120"/>
              <w:rPr>
                <w:rFonts w:cs="Helvetica"/>
                <w:color w:val="000000"/>
                <w:shd w:val="clear" w:color="auto" w:fill="FFFFFF"/>
              </w:rPr>
            </w:pPr>
            <w:hyperlink r:id="rId32" w:anchor="!/view?docid=480af287-dcb8-4305-84c5-dfe8e0c39312" w:history="1">
              <w:r w:rsidRPr="00562C23">
                <w:rPr>
                  <w:rStyle w:val="Hyperlink"/>
                  <w:rFonts w:cs="Helvetica"/>
                  <w:shd w:val="clear" w:color="auto" w:fill="FFFFFF"/>
                </w:rPr>
                <w:t>CMS-PCP1-021760</w:t>
              </w:r>
            </w:hyperlink>
          </w:p>
        </w:tc>
        <w:tc>
          <w:tcPr>
            <w:tcW w:w="3711" w:type="pct"/>
            <w:tcBorders>
              <w:top w:val="single" w:sz="4" w:space="0" w:color="auto"/>
              <w:left w:val="single" w:sz="4" w:space="0" w:color="auto"/>
              <w:bottom w:val="single" w:sz="4" w:space="0" w:color="auto"/>
              <w:right w:val="single" w:sz="4" w:space="0" w:color="auto"/>
            </w:tcBorders>
          </w:tcPr>
          <w:p w14:paraId="0971C771" w14:textId="47DBF00C" w:rsidR="00637C30" w:rsidRPr="00DC3359" w:rsidRDefault="00F307FD" w:rsidP="001F110F">
            <w:pPr>
              <w:spacing w:before="120" w:after="120"/>
              <w:rPr>
                <w:b/>
                <w:color w:val="000000" w:themeColor="text1"/>
              </w:rPr>
            </w:pPr>
            <w:r w:rsidRPr="00DC3359">
              <w:rPr>
                <w:rFonts w:cs="Helvetica"/>
                <w:color w:val="000000" w:themeColor="text1"/>
                <w:shd w:val="clear" w:color="auto" w:fill="FFFFFF"/>
              </w:rPr>
              <w:t>Procedures for when a caller has been disconnected or the line has been dropped. Includes instructions for when no caller is on the line (ghost calls), spam/fake calls, when the caller walks away from the phone, and when the caller has not disconnected at the end of the call and procedures for Vendors on how to report phone problems.</w:t>
            </w:r>
          </w:p>
        </w:tc>
      </w:tr>
      <w:tr w:rsidR="001F110F" w14:paraId="08F46DBE" w14:textId="77777777" w:rsidTr="0011719E">
        <w:tc>
          <w:tcPr>
            <w:tcW w:w="1289" w:type="pct"/>
            <w:hideMark/>
          </w:tcPr>
          <w:p w14:paraId="722D6C65" w14:textId="2F3FD161" w:rsidR="001F110F" w:rsidRPr="00562C23" w:rsidRDefault="00F307FD">
            <w:pPr>
              <w:spacing w:before="120" w:after="120"/>
              <w:rPr>
                <w:rStyle w:val="Hyperlink"/>
              </w:rPr>
            </w:pPr>
            <w:r w:rsidRPr="00562C23">
              <w:rPr>
                <w:rFonts w:cs="Helvetica"/>
                <w:b/>
                <w:bCs/>
                <w:color w:val="000000"/>
                <w:shd w:val="clear" w:color="auto" w:fill="FFFFFF"/>
              </w:rPr>
              <w:t xml:space="preserve">HIPAA (Health </w:t>
            </w:r>
            <w:r w:rsidR="00C514DB" w:rsidRPr="00562C23">
              <w:rPr>
                <w:rFonts w:cs="Helvetica"/>
                <w:b/>
                <w:bCs/>
                <w:color w:val="000000"/>
                <w:shd w:val="clear" w:color="auto" w:fill="FFFFFF"/>
              </w:rPr>
              <w:t xml:space="preserve">Insurance </w:t>
            </w:r>
            <w:r w:rsidRPr="00562C23">
              <w:rPr>
                <w:rFonts w:cs="Helvetica"/>
                <w:b/>
                <w:bCs/>
                <w:color w:val="000000"/>
                <w:shd w:val="clear" w:color="auto" w:fill="FFFFFF"/>
              </w:rPr>
              <w:t>Portability and Accountability Act) Grid - CVS</w:t>
            </w:r>
          </w:p>
          <w:p w14:paraId="53A440B2" w14:textId="77777777" w:rsidR="001F110F" w:rsidRPr="00562C23" w:rsidRDefault="001F110F">
            <w:pPr>
              <w:spacing w:before="120" w:after="120"/>
              <w:rPr>
                <w:b/>
              </w:rPr>
            </w:pPr>
            <w:hyperlink r:id="rId33" w:anchor="!/view?docid=5b354e50-0d15-42d0-b9c2-0711ea02d9ce" w:history="1">
              <w:r w:rsidRPr="00562C23">
                <w:rPr>
                  <w:rStyle w:val="Hyperlink"/>
                </w:rPr>
                <w:t>CMS-2-028920</w:t>
              </w:r>
            </w:hyperlink>
          </w:p>
        </w:tc>
        <w:tc>
          <w:tcPr>
            <w:tcW w:w="3711" w:type="pct"/>
          </w:tcPr>
          <w:p w14:paraId="5F52DCFB" w14:textId="03CD8BC5" w:rsidR="001F110F" w:rsidRPr="00DC3359" w:rsidRDefault="00F307FD" w:rsidP="00F307FD">
            <w:pPr>
              <w:spacing w:before="120" w:after="120"/>
              <w:rPr>
                <w:bCs/>
                <w:color w:val="000000" w:themeColor="text1"/>
              </w:rPr>
            </w:pPr>
            <w:bookmarkStart w:id="18" w:name="OLE_LINK74"/>
            <w:r w:rsidRPr="00DC3359">
              <w:rPr>
                <w:bCs/>
                <w:color w:val="000000" w:themeColor="text1"/>
              </w:rPr>
              <w:t>Personal and System information that you may or may not perform or provide information depending on your caller type. </w:t>
            </w:r>
            <w:bookmarkEnd w:id="18"/>
          </w:p>
        </w:tc>
      </w:tr>
      <w:tr w:rsidR="00E55803" w14:paraId="33A6B934"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5E105B98" w14:textId="6C9983BF" w:rsidR="00E55803" w:rsidRDefault="00E55803" w:rsidP="00637C30">
            <w:pPr>
              <w:spacing w:before="120" w:after="120"/>
              <w:rPr>
                <w:rFonts w:cs="Helvetica"/>
                <w:b/>
                <w:bCs/>
                <w:color w:val="000000"/>
                <w:shd w:val="clear" w:color="auto" w:fill="FFFFFF"/>
              </w:rPr>
            </w:pPr>
            <w:r>
              <w:rPr>
                <w:rFonts w:cs="Helvetica"/>
                <w:b/>
                <w:bCs/>
                <w:noProof/>
                <w:color w:val="1A042E"/>
                <w:spacing w:val="2"/>
                <w:shd w:val="clear" w:color="auto" w:fill="EBF2FF"/>
              </w:rPr>
              <w:drawing>
                <wp:inline distT="0" distB="0" distL="0" distR="0" wp14:anchorId="586023EE" wp14:editId="7B4F50E0">
                  <wp:extent cx="304762" cy="304762"/>
                  <wp:effectExtent l="0" t="0" r="635" b="635"/>
                  <wp:docPr id="194293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3122" name="Picture 1942933122"/>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Helvetica"/>
                <w:b/>
                <w:bCs/>
                <w:color w:val="000000"/>
                <w:shd w:val="clear" w:color="auto" w:fill="FFFFFF"/>
              </w:rPr>
              <w:t>Member Cannot Afford Medication (Alternatives and Financial Assistance)</w:t>
            </w:r>
          </w:p>
          <w:p w14:paraId="28D8CF66" w14:textId="03146F4C" w:rsidR="00E55803" w:rsidRPr="00E41886" w:rsidRDefault="00E55803" w:rsidP="00637C30">
            <w:pPr>
              <w:spacing w:before="120" w:after="120"/>
              <w:rPr>
                <w:rFonts w:cs="Helvetica"/>
                <w:b/>
                <w:bCs/>
                <w:color w:val="000000"/>
                <w:shd w:val="clear" w:color="auto" w:fill="FFFFFF"/>
              </w:rPr>
            </w:pPr>
            <w:hyperlink r:id="rId34" w:anchor="!/view?docid=62aa67ac-8298-4fa1-b1ba-fda383d15b4c" w:history="1">
              <w:r w:rsidRPr="00D96902">
                <w:rPr>
                  <w:rStyle w:val="Hyperlink"/>
                  <w:rFonts w:cs="Helvetica"/>
                  <w:shd w:val="clear" w:color="auto" w:fill="FFFFFF"/>
                </w:rPr>
                <w:t>CMS-PCP1-026963</w:t>
              </w:r>
            </w:hyperlink>
          </w:p>
        </w:tc>
        <w:tc>
          <w:tcPr>
            <w:tcW w:w="3711" w:type="pct"/>
            <w:tcBorders>
              <w:top w:val="single" w:sz="4" w:space="0" w:color="auto"/>
              <w:left w:val="single" w:sz="4" w:space="0" w:color="auto"/>
              <w:bottom w:val="single" w:sz="4" w:space="0" w:color="auto"/>
              <w:right w:val="single" w:sz="4" w:space="0" w:color="auto"/>
            </w:tcBorders>
          </w:tcPr>
          <w:p w14:paraId="20994988" w14:textId="35D51DDE" w:rsidR="00E55803" w:rsidRPr="00DC3359" w:rsidRDefault="00E55803" w:rsidP="001F110F">
            <w:pPr>
              <w:spacing w:before="120" w:after="120"/>
              <w:rPr>
                <w:rFonts w:cs="Helvetica"/>
                <w:color w:val="000000" w:themeColor="text1"/>
                <w:shd w:val="clear" w:color="auto" w:fill="FFFFFF"/>
              </w:rPr>
            </w:pPr>
            <w:r>
              <w:rPr>
                <w:color w:val="000000"/>
              </w:rPr>
              <w:t>Use when a member states that they are not able to afford the cost of a prescription.</w:t>
            </w:r>
            <w:r>
              <w:rPr>
                <w:color w:val="000000"/>
                <w:sz w:val="28"/>
                <w:szCs w:val="28"/>
              </w:rPr>
              <w:t> </w:t>
            </w:r>
            <w:r>
              <w:rPr>
                <w:color w:val="000000"/>
              </w:rPr>
              <w:t>This includes the sources that members can follow to determine if they are able to receive financial assistance.</w:t>
            </w:r>
          </w:p>
        </w:tc>
      </w:tr>
      <w:tr w:rsidR="00F307FD" w14:paraId="383A0B28"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329F9476" w14:textId="77777777" w:rsidR="00637C30" w:rsidRPr="00E41886" w:rsidRDefault="00637C30" w:rsidP="00637C30">
            <w:pPr>
              <w:spacing w:before="120" w:after="120"/>
              <w:rPr>
                <w:rFonts w:cs="Helvetica"/>
                <w:b/>
                <w:bCs/>
                <w:color w:val="000000"/>
                <w:shd w:val="clear" w:color="auto" w:fill="FFFFFF"/>
              </w:rPr>
            </w:pPr>
            <w:r w:rsidRPr="00E41886">
              <w:rPr>
                <w:rFonts w:cs="Helvetica"/>
                <w:b/>
                <w:bCs/>
                <w:color w:val="000000"/>
                <w:shd w:val="clear" w:color="auto" w:fill="FFFFFF"/>
              </w:rPr>
              <w:t>Phone Numbers (Contacts, Departments, Directory, Addresses, Hours and Programs)</w:t>
            </w:r>
          </w:p>
          <w:p w14:paraId="28DCF8CE" w14:textId="43D87A71" w:rsidR="00637C30" w:rsidRPr="00E41886" w:rsidRDefault="00637C30" w:rsidP="00637C30">
            <w:pPr>
              <w:spacing w:before="120" w:after="120"/>
              <w:rPr>
                <w:rFonts w:cs="Helvetica"/>
                <w:color w:val="000000"/>
                <w:shd w:val="clear" w:color="auto" w:fill="FFFFFF"/>
              </w:rPr>
            </w:pPr>
            <w:hyperlink r:id="rId35" w:anchor="!/view?docid=f22eb77e-4033-4ad9-9afb-fc262f29faad" w:history="1">
              <w:r w:rsidRPr="00E41886">
                <w:rPr>
                  <w:rStyle w:val="Hyperlink"/>
                  <w:rFonts w:cs="Helvetica"/>
                  <w:shd w:val="clear" w:color="auto" w:fill="FFFFFF"/>
                </w:rPr>
                <w:t>CMS-2-004378</w:t>
              </w:r>
            </w:hyperlink>
          </w:p>
        </w:tc>
        <w:tc>
          <w:tcPr>
            <w:tcW w:w="3711" w:type="pct"/>
            <w:tcBorders>
              <w:top w:val="single" w:sz="4" w:space="0" w:color="auto"/>
              <w:left w:val="single" w:sz="4" w:space="0" w:color="auto"/>
              <w:bottom w:val="single" w:sz="4" w:space="0" w:color="auto"/>
              <w:right w:val="single" w:sz="4" w:space="0" w:color="auto"/>
            </w:tcBorders>
          </w:tcPr>
          <w:p w14:paraId="4041D2A0" w14:textId="32BEE655" w:rsidR="00637C30" w:rsidRPr="00DC3359" w:rsidRDefault="00F307FD" w:rsidP="001F110F">
            <w:pPr>
              <w:spacing w:before="120" w:after="120"/>
              <w:rPr>
                <w:b/>
                <w:color w:val="000000" w:themeColor="text1"/>
              </w:rPr>
            </w:pPr>
            <w:r w:rsidRPr="00DC3359">
              <w:rPr>
                <w:rFonts w:cs="Helvetica"/>
                <w:color w:val="000000" w:themeColor="text1"/>
                <w:shd w:val="clear" w:color="auto" w:fill="FFFFFF"/>
              </w:rPr>
              <w:t>Contact list.</w:t>
            </w:r>
          </w:p>
        </w:tc>
      </w:tr>
      <w:tr w:rsidR="00275225" w14:paraId="7905BE0F"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0B12AC06" w14:textId="77777777" w:rsidR="00275225" w:rsidRDefault="000D2995" w:rsidP="00637C30">
            <w:pPr>
              <w:spacing w:before="120" w:after="120"/>
              <w:rPr>
                <w:rFonts w:cs="Helvetica"/>
                <w:b/>
                <w:bCs/>
                <w:color w:val="000000"/>
                <w:shd w:val="clear" w:color="auto" w:fill="FFFFFF"/>
              </w:rPr>
            </w:pPr>
            <w:r>
              <w:rPr>
                <w:rFonts w:cs="Helvetica"/>
                <w:b/>
                <w:bCs/>
                <w:color w:val="000000"/>
                <w:shd w:val="clear" w:color="auto" w:fill="FFFFFF"/>
              </w:rPr>
              <w:t>Using Verint</w:t>
            </w:r>
          </w:p>
          <w:p w14:paraId="1A866A43" w14:textId="665E24A4" w:rsidR="000D2995" w:rsidRPr="00E41886" w:rsidRDefault="000D2995" w:rsidP="00637C30">
            <w:pPr>
              <w:spacing w:before="120" w:after="120"/>
              <w:rPr>
                <w:rFonts w:cs="Helvetica"/>
                <w:b/>
                <w:bCs/>
                <w:color w:val="000000"/>
                <w:shd w:val="clear" w:color="auto" w:fill="FFFFFF"/>
              </w:rPr>
            </w:pPr>
            <w:hyperlink r:id="rId36" w:anchor="!/view?docid=d9eec58d-f754-497f-b253-ced75bac8770" w:history="1">
              <w:r w:rsidRPr="00E41886">
                <w:rPr>
                  <w:rStyle w:val="Hyperlink"/>
                  <w:rFonts w:cs="Helvetica"/>
                  <w:shd w:val="clear" w:color="auto" w:fill="FFFFFF"/>
                </w:rPr>
                <w:t>TSRC-PROD-056210</w:t>
              </w:r>
            </w:hyperlink>
          </w:p>
        </w:tc>
        <w:tc>
          <w:tcPr>
            <w:tcW w:w="3711" w:type="pct"/>
            <w:tcBorders>
              <w:top w:val="single" w:sz="4" w:space="0" w:color="auto"/>
              <w:left w:val="single" w:sz="4" w:space="0" w:color="auto"/>
              <w:bottom w:val="single" w:sz="4" w:space="0" w:color="auto"/>
              <w:right w:val="single" w:sz="4" w:space="0" w:color="auto"/>
            </w:tcBorders>
          </w:tcPr>
          <w:p w14:paraId="31A744C3" w14:textId="52D6935D" w:rsidR="00275225" w:rsidRPr="00DC3359" w:rsidRDefault="000D2995" w:rsidP="001F110F">
            <w:pPr>
              <w:spacing w:before="120" w:after="120"/>
              <w:rPr>
                <w:rFonts w:cs="Helvetica"/>
                <w:color w:val="000000" w:themeColor="text1"/>
                <w:shd w:val="clear" w:color="auto" w:fill="FFFFFF"/>
              </w:rPr>
            </w:pPr>
            <w:r w:rsidRPr="00DC3359">
              <w:rPr>
                <w:rFonts w:cs="Helvetica"/>
                <w:color w:val="000000" w:themeColor="text1"/>
                <w:shd w:val="clear" w:color="auto" w:fill="FFFFFF"/>
              </w:rPr>
              <w:t>Instructions for using Verint. </w:t>
            </w:r>
          </w:p>
        </w:tc>
      </w:tr>
      <w:tr w:rsidR="00275225" w14:paraId="24A6E5A1"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76A81FCA" w14:textId="572977E1" w:rsidR="00275225" w:rsidRDefault="000D2995" w:rsidP="00637C30">
            <w:pPr>
              <w:spacing w:before="120" w:after="120"/>
              <w:rPr>
                <w:rFonts w:cs="Helvetica"/>
                <w:b/>
                <w:bCs/>
                <w:color w:val="000000"/>
                <w:shd w:val="clear" w:color="auto" w:fill="FFFFFF"/>
              </w:rPr>
            </w:pPr>
            <w:r w:rsidRPr="009557FE">
              <w:rPr>
                <w:rFonts w:cs="Helvetica"/>
                <w:noProof/>
                <w:color w:val="1A042E"/>
                <w:spacing w:val="2"/>
                <w:shd w:val="clear" w:color="auto" w:fill="EBF2FF"/>
              </w:rPr>
              <w:drawing>
                <wp:inline distT="0" distB="0" distL="0" distR="0" wp14:anchorId="6CE8E886" wp14:editId="3E2D4B33">
                  <wp:extent cx="304762" cy="304762"/>
                  <wp:effectExtent l="0" t="0" r="635" b="635"/>
                  <wp:docPr id="604206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8267" name="Picture 28993826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Helvetica"/>
                <w:b/>
                <w:bCs/>
                <w:color w:val="000000"/>
                <w:shd w:val="clear" w:color="auto" w:fill="FFFFFF"/>
              </w:rPr>
              <w:t>2025 Customer Care Agent Goals</w:t>
            </w:r>
          </w:p>
          <w:p w14:paraId="6C5941C1" w14:textId="7C31004D" w:rsidR="000D2995" w:rsidRPr="00E41886" w:rsidRDefault="00AD7F1B" w:rsidP="00E55803">
            <w:pPr>
              <w:spacing w:before="120" w:after="120"/>
              <w:rPr>
                <w:rFonts w:cs="Helvetica"/>
                <w:b/>
                <w:bCs/>
                <w:color w:val="000000"/>
                <w:shd w:val="clear" w:color="auto" w:fill="FFFFFF"/>
              </w:rPr>
            </w:pPr>
            <w:hyperlink r:id="rId37" w:anchor="!/view?docid=9391163d-805a-4b1c-b7e3-532bd914aab3" w:history="1">
              <w:r w:rsidRPr="00AD7F1B">
                <w:rPr>
                  <w:rStyle w:val="Hyperlink"/>
                  <w:rFonts w:cs="Helvetica"/>
                  <w:shd w:val="clear" w:color="auto" w:fill="FFFFFF"/>
                </w:rPr>
                <w:t>CMS-PRD1-115916</w:t>
              </w:r>
            </w:hyperlink>
            <w:hyperlink r:id="rId38" w:anchor="!/view?docid=9391163d-805a-4b1c-b7e3-532bd914aab3" w:history="1"/>
            <w:r>
              <w:t xml:space="preserve"> </w:t>
            </w:r>
          </w:p>
        </w:tc>
        <w:tc>
          <w:tcPr>
            <w:tcW w:w="3711" w:type="pct"/>
            <w:tcBorders>
              <w:top w:val="single" w:sz="4" w:space="0" w:color="auto"/>
              <w:left w:val="single" w:sz="4" w:space="0" w:color="auto"/>
              <w:bottom w:val="single" w:sz="4" w:space="0" w:color="auto"/>
              <w:right w:val="single" w:sz="4" w:space="0" w:color="auto"/>
            </w:tcBorders>
          </w:tcPr>
          <w:p w14:paraId="373C7024" w14:textId="7DB81218" w:rsidR="00275225" w:rsidRPr="00DC3359" w:rsidRDefault="000D2995" w:rsidP="001F110F">
            <w:pPr>
              <w:spacing w:before="120" w:after="120"/>
              <w:rPr>
                <w:rFonts w:cs="Helvetica"/>
                <w:color w:val="000000" w:themeColor="text1"/>
                <w:shd w:val="clear" w:color="auto" w:fill="FFFFFF"/>
              </w:rPr>
            </w:pPr>
            <w:r>
              <w:rPr>
                <w:rFonts w:cs="Helvetica"/>
                <w:color w:val="000000" w:themeColor="text1"/>
                <w:shd w:val="clear" w:color="auto" w:fill="FFFFFF"/>
              </w:rPr>
              <w:t>Customer Care Agent Goals</w:t>
            </w:r>
          </w:p>
        </w:tc>
      </w:tr>
      <w:tr w:rsidR="00275225" w14:paraId="4ED1A50C" w14:textId="77777777" w:rsidTr="0011719E">
        <w:trPr>
          <w:trHeight w:val="530"/>
        </w:trPr>
        <w:tc>
          <w:tcPr>
            <w:tcW w:w="1289" w:type="pct"/>
            <w:tcBorders>
              <w:top w:val="single" w:sz="4" w:space="0" w:color="auto"/>
              <w:left w:val="single" w:sz="4" w:space="0" w:color="auto"/>
              <w:bottom w:val="single" w:sz="4" w:space="0" w:color="auto"/>
              <w:right w:val="single" w:sz="4" w:space="0" w:color="auto"/>
            </w:tcBorders>
          </w:tcPr>
          <w:p w14:paraId="5427D879" w14:textId="77777777" w:rsidR="00275225" w:rsidRDefault="000D2995" w:rsidP="00637C30">
            <w:pPr>
              <w:spacing w:before="120" w:after="120"/>
              <w:rPr>
                <w:rFonts w:cs="Helvetica"/>
                <w:b/>
                <w:bCs/>
                <w:color w:val="000000"/>
                <w:shd w:val="clear" w:color="auto" w:fill="FFFFFF"/>
              </w:rPr>
            </w:pPr>
            <w:r w:rsidRPr="009557FE">
              <w:rPr>
                <w:rFonts w:cs="Helvetica"/>
                <w:noProof/>
                <w:color w:val="1A042E"/>
                <w:spacing w:val="2"/>
                <w:shd w:val="clear" w:color="auto" w:fill="EBF2FF"/>
              </w:rPr>
              <w:drawing>
                <wp:inline distT="0" distB="0" distL="0" distR="0" wp14:anchorId="5CC051DC" wp14:editId="59115A1C">
                  <wp:extent cx="304762" cy="304762"/>
                  <wp:effectExtent l="0" t="0" r="635" b="635"/>
                  <wp:docPr id="190062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38267" name="Picture 28993826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cs="Helvetica"/>
                <w:b/>
                <w:bCs/>
                <w:color w:val="000000"/>
                <w:shd w:val="clear" w:color="auto" w:fill="FFFFFF"/>
              </w:rPr>
              <w:t xml:space="preserve">2025 </w:t>
            </w:r>
            <w:proofErr w:type="spellStart"/>
            <w:r>
              <w:rPr>
                <w:rFonts w:cs="Helvetica"/>
                <w:b/>
                <w:bCs/>
                <w:color w:val="000000"/>
                <w:shd w:val="clear" w:color="auto" w:fill="FFFFFF"/>
              </w:rPr>
              <w:t>WECare</w:t>
            </w:r>
            <w:proofErr w:type="spellEnd"/>
            <w:r>
              <w:rPr>
                <w:rFonts w:cs="Helvetica"/>
                <w:b/>
                <w:bCs/>
                <w:color w:val="000000"/>
                <w:shd w:val="clear" w:color="auto" w:fill="FFFFFF"/>
              </w:rPr>
              <w:t xml:space="preserve"> Companion Guide – </w:t>
            </w:r>
            <w:proofErr w:type="spellStart"/>
            <w:r>
              <w:rPr>
                <w:rFonts w:cs="Helvetica"/>
                <w:b/>
                <w:bCs/>
                <w:color w:val="000000"/>
                <w:shd w:val="clear" w:color="auto" w:fill="FFFFFF"/>
              </w:rPr>
              <w:t>WECare</w:t>
            </w:r>
            <w:proofErr w:type="spellEnd"/>
            <w:r>
              <w:rPr>
                <w:rFonts w:cs="Helvetica"/>
                <w:b/>
                <w:bCs/>
                <w:color w:val="000000"/>
                <w:shd w:val="clear" w:color="auto" w:fill="FFFFFF"/>
              </w:rPr>
              <w:t xml:space="preserve"> Quality Call Evaluation Overview for Care Representatives</w:t>
            </w:r>
          </w:p>
          <w:p w14:paraId="31C40F15" w14:textId="442DADB8" w:rsidR="000D2995" w:rsidRPr="00E41886" w:rsidRDefault="000D2995" w:rsidP="00637C30">
            <w:pPr>
              <w:spacing w:before="120" w:after="120"/>
              <w:rPr>
                <w:rFonts w:cs="Helvetica"/>
                <w:b/>
                <w:bCs/>
                <w:color w:val="000000"/>
                <w:shd w:val="clear" w:color="auto" w:fill="FFFFFF"/>
              </w:rPr>
            </w:pPr>
            <w:hyperlink r:id="rId39" w:anchor="!/view?docid=384f024c-c33b-426c-8a40-258ba6023d9d" w:history="1">
              <w:r w:rsidRPr="00D96902">
                <w:rPr>
                  <w:rStyle w:val="Hyperlink"/>
                  <w:rFonts w:cs="Helvetica"/>
                  <w:shd w:val="clear" w:color="auto" w:fill="FFFFFF"/>
                </w:rPr>
                <w:t>TSRC-PROD-062683</w:t>
              </w:r>
            </w:hyperlink>
          </w:p>
        </w:tc>
        <w:tc>
          <w:tcPr>
            <w:tcW w:w="3711" w:type="pct"/>
            <w:tcBorders>
              <w:top w:val="single" w:sz="4" w:space="0" w:color="auto"/>
              <w:left w:val="single" w:sz="4" w:space="0" w:color="auto"/>
              <w:bottom w:val="single" w:sz="4" w:space="0" w:color="auto"/>
              <w:right w:val="single" w:sz="4" w:space="0" w:color="auto"/>
            </w:tcBorders>
          </w:tcPr>
          <w:p w14:paraId="498357F1" w14:textId="40ECAE28" w:rsidR="00275225" w:rsidRPr="00DC3359" w:rsidRDefault="000D2995" w:rsidP="001F110F">
            <w:pPr>
              <w:spacing w:before="120" w:after="120"/>
              <w:rPr>
                <w:rFonts w:cs="Helvetica"/>
                <w:color w:val="000000" w:themeColor="text1"/>
                <w:shd w:val="clear" w:color="auto" w:fill="FFFFFF"/>
              </w:rPr>
            </w:pPr>
            <w:r>
              <w:rPr>
                <w:color w:val="000000"/>
              </w:rPr>
              <w:t xml:space="preserve">Outlines the </w:t>
            </w:r>
            <w:proofErr w:type="spellStart"/>
            <w:r>
              <w:rPr>
                <w:color w:val="000000"/>
              </w:rPr>
              <w:t>WECare</w:t>
            </w:r>
            <w:proofErr w:type="spellEnd"/>
            <w:r>
              <w:rPr>
                <w:color w:val="000000"/>
              </w:rPr>
              <w:t xml:space="preserve"> process, providing insight into the various categories and criteria used to evaluate calls. Additionally, included in each category are tips for how to be successful. Every time we speak with someone, it’s an opportunity to be HUMAN, and demonstrate our Helping With Heart (HWH) Behaviors and show How We Care.</w:t>
            </w:r>
          </w:p>
        </w:tc>
      </w:tr>
      <w:tr w:rsidR="000D2995" w14:paraId="77A4583B" w14:textId="77777777" w:rsidTr="0011719E">
        <w:tc>
          <w:tcPr>
            <w:tcW w:w="1289" w:type="pct"/>
          </w:tcPr>
          <w:p w14:paraId="05C9514F" w14:textId="77777777" w:rsidR="00275225" w:rsidRPr="00562C23" w:rsidRDefault="00275225" w:rsidP="00DD4586">
            <w:pPr>
              <w:spacing w:before="120" w:after="120"/>
            </w:pPr>
            <w:r w:rsidRPr="00562C23">
              <w:rPr>
                <w:b/>
                <w:bCs/>
              </w:rPr>
              <w:t>Universal Care - Caller Authentication</w:t>
            </w:r>
          </w:p>
          <w:p w14:paraId="1740EEF0" w14:textId="77777777" w:rsidR="00275225" w:rsidRPr="00562C23" w:rsidRDefault="00275225" w:rsidP="00DD4586">
            <w:pPr>
              <w:spacing w:before="120" w:after="120"/>
              <w:rPr>
                <w:rFonts w:cs="Helvetica"/>
                <w:color w:val="000000"/>
                <w:shd w:val="clear" w:color="auto" w:fill="FFFFFF"/>
              </w:rPr>
            </w:pPr>
            <w:hyperlink r:id="rId40" w:anchor="!/view?docid=bcb8da72-5501-4631-b9fd-fe675bc4a1fd" w:history="1">
              <w:r w:rsidRPr="00562C23">
                <w:rPr>
                  <w:rStyle w:val="Hyperlink"/>
                </w:rPr>
                <w:t>CMS-2-004568</w:t>
              </w:r>
            </w:hyperlink>
            <w:r w:rsidRPr="00562C23">
              <w:rPr>
                <w:b/>
                <w:bCs/>
                <w:color w:val="000000"/>
              </w:rPr>
              <w:t xml:space="preserve"> </w:t>
            </w:r>
            <w:r w:rsidRPr="00562C23">
              <w:rPr>
                <w:rFonts w:cs="Helvetica"/>
                <w:color w:val="000000"/>
                <w:shd w:val="clear" w:color="auto" w:fill="FFFFFF"/>
              </w:rPr>
              <w:t xml:space="preserve"> </w:t>
            </w:r>
          </w:p>
        </w:tc>
        <w:tc>
          <w:tcPr>
            <w:tcW w:w="3711" w:type="pct"/>
          </w:tcPr>
          <w:p w14:paraId="311B193F" w14:textId="77777777" w:rsidR="00275225" w:rsidRPr="00DC3359" w:rsidRDefault="00275225" w:rsidP="00DD4586">
            <w:pPr>
              <w:spacing w:before="120" w:after="120"/>
              <w:rPr>
                <w:b/>
                <w:color w:val="000000" w:themeColor="text1"/>
              </w:rPr>
            </w:pPr>
            <w:r>
              <w:rPr>
                <w:color w:val="000000" w:themeColor="text1"/>
              </w:rPr>
              <w:t>H</w:t>
            </w:r>
            <w:r w:rsidRPr="00FC6C7F">
              <w:rPr>
                <w:color w:val="000000" w:themeColor="text1"/>
              </w:rPr>
              <w:t>ow to take reasonable steps to verify a person’s identity before disclosing PHI. It outlines guidance from the Privacy Office and provides the talk tracks and procedures when making outbound calls from Customer Care.</w:t>
            </w:r>
          </w:p>
        </w:tc>
      </w:tr>
      <w:tr w:rsidR="000D2995" w14:paraId="7A05DE4C" w14:textId="77777777" w:rsidTr="0011719E">
        <w:trPr>
          <w:trHeight w:val="530"/>
        </w:trPr>
        <w:tc>
          <w:tcPr>
            <w:tcW w:w="1289" w:type="pct"/>
          </w:tcPr>
          <w:p w14:paraId="76D9C12C" w14:textId="77777777" w:rsidR="00275225" w:rsidRPr="00562C23" w:rsidRDefault="00275225" w:rsidP="00DD4586">
            <w:pPr>
              <w:spacing w:before="120" w:after="120"/>
              <w:rPr>
                <w:rFonts w:cs="Helvetica"/>
                <w:b/>
                <w:bCs/>
                <w:color w:val="000000"/>
                <w:shd w:val="clear" w:color="auto" w:fill="FFFFFF"/>
              </w:rPr>
            </w:pPr>
            <w:r w:rsidRPr="00562C23">
              <w:rPr>
                <w:rFonts w:cs="Helvetica"/>
                <w:b/>
                <w:bCs/>
                <w:color w:val="000000"/>
                <w:shd w:val="clear" w:color="auto" w:fill="FFFFFF"/>
              </w:rPr>
              <w:t>Universal Care - Consultative Call Flow (CCF) Process</w:t>
            </w:r>
          </w:p>
          <w:p w14:paraId="1AD4AB00" w14:textId="77777777" w:rsidR="00275225" w:rsidRPr="00562C23" w:rsidRDefault="00275225" w:rsidP="00DD4586">
            <w:pPr>
              <w:spacing w:before="120" w:after="120"/>
              <w:rPr>
                <w:rFonts w:cs="Helvetica"/>
                <w:color w:val="000000"/>
                <w:shd w:val="clear" w:color="auto" w:fill="FFFFFF"/>
              </w:rPr>
            </w:pPr>
            <w:hyperlink r:id="rId41" w:anchor="!/view?docid=c954b131-7884-494c-b4bb-dfc12fdc846f" w:history="1">
              <w:r w:rsidRPr="00562C23">
                <w:rPr>
                  <w:rStyle w:val="Hyperlink"/>
                </w:rPr>
                <w:t>CMS-PRD1-095822</w:t>
              </w:r>
            </w:hyperlink>
          </w:p>
        </w:tc>
        <w:tc>
          <w:tcPr>
            <w:tcW w:w="3711" w:type="pct"/>
          </w:tcPr>
          <w:p w14:paraId="6BB0D5C5" w14:textId="77777777" w:rsidR="00275225" w:rsidRPr="00DC3359" w:rsidRDefault="00275225" w:rsidP="00DD4586">
            <w:pPr>
              <w:spacing w:before="120" w:after="120"/>
              <w:rPr>
                <w:rFonts w:cs="Helvetica"/>
                <w:color w:val="000000" w:themeColor="text1"/>
                <w:shd w:val="clear" w:color="auto" w:fill="FFFFFF"/>
              </w:rPr>
            </w:pPr>
            <w:r>
              <w:rPr>
                <w:rFonts w:cs="Helvetica"/>
                <w:color w:val="000000" w:themeColor="text1"/>
                <w:shd w:val="clear" w:color="auto" w:fill="FFFFFF"/>
              </w:rPr>
              <w:t>F</w:t>
            </w:r>
            <w:r w:rsidRPr="00FC6C7F">
              <w:rPr>
                <w:rFonts w:cs="Helvetica"/>
                <w:color w:val="000000" w:themeColor="text1"/>
                <w:shd w:val="clear" w:color="auto" w:fill="FFFFFF"/>
              </w:rPr>
              <w:t>oundation that gives representatives control of their call and helps them to create a positive caller experience.</w:t>
            </w:r>
          </w:p>
        </w:tc>
      </w:tr>
    </w:tbl>
    <w:p w14:paraId="2C8B8B4D" w14:textId="77777777" w:rsidR="007D36D8" w:rsidRDefault="007D36D8" w:rsidP="00C772DF"/>
    <w:p w14:paraId="631CC0F0" w14:textId="77777777" w:rsidR="001557F5" w:rsidRDefault="001557F5" w:rsidP="001557F5">
      <w:pPr>
        <w:jc w:val="right"/>
      </w:pPr>
    </w:p>
    <w:p w14:paraId="6122AE2C" w14:textId="68AB880F" w:rsidR="001557F5" w:rsidRDefault="00A5398C" w:rsidP="00A5398C">
      <w:pPr>
        <w:jc w:val="right"/>
      </w:pPr>
      <w:hyperlink w:anchor="_top" w:history="1">
        <w:r w:rsidRPr="00A5398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557F5" w14:paraId="07427DD7" w14:textId="77777777" w:rsidTr="00946DB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A80B8E9" w14:textId="2EE2A2C8" w:rsidR="001557F5" w:rsidRDefault="001557F5">
            <w:pPr>
              <w:pStyle w:val="Heading2"/>
              <w:spacing w:before="120" w:after="120"/>
            </w:pPr>
            <w:bookmarkStart w:id="19" w:name="_Toc155883919"/>
            <w:r>
              <w:t>Related Documents</w:t>
            </w:r>
            <w:bookmarkEnd w:id="19"/>
            <w:r>
              <w:t xml:space="preserve">  </w:t>
            </w:r>
          </w:p>
        </w:tc>
      </w:tr>
    </w:tbl>
    <w:p w14:paraId="1C835B78" w14:textId="5ECF0824" w:rsidR="004D6CD0" w:rsidRDefault="00946DB2" w:rsidP="00E54F32">
      <w:pPr>
        <w:spacing w:before="120" w:after="120"/>
        <w:rPr>
          <w:rFonts w:cs="Helvetica"/>
          <w:color w:val="000000"/>
          <w:shd w:val="clear" w:color="auto" w:fill="FFFFFF"/>
        </w:rPr>
      </w:pPr>
      <w:hyperlink r:id="rId42" w:anchor="!/view?docid=3eb68d2a-1f2b-4bef-8ef1-fbba50790e85" w:history="1">
        <w:r w:rsidRPr="00AF4A04">
          <w:rPr>
            <w:rStyle w:val="Hyperlink"/>
          </w:rPr>
          <w:t>theSource Bookmarks in Google Chrome (</w:t>
        </w:r>
        <w:r w:rsidR="00FB151B">
          <w:rPr>
            <w:rStyle w:val="Hyperlink"/>
          </w:rPr>
          <w:t>0</w:t>
        </w:r>
        <w:r w:rsidRPr="00AF4A04">
          <w:rPr>
            <w:rStyle w:val="Hyperlink"/>
          </w:rPr>
          <w:t>15435)</w:t>
        </w:r>
      </w:hyperlink>
    </w:p>
    <w:p w14:paraId="481FBB18" w14:textId="6149B482" w:rsidR="005D5E36" w:rsidRPr="00CE4BCA" w:rsidRDefault="00CE4BCA" w:rsidP="00E54F32">
      <w:pPr>
        <w:spacing w:before="120" w:after="120"/>
        <w:rPr>
          <w:rStyle w:val="Hyperlink"/>
        </w:rPr>
      </w:pPr>
      <w:r>
        <w:rPr>
          <w:rFonts w:cs="Helvetica"/>
          <w:color w:val="000000"/>
          <w:shd w:val="clear" w:color="auto" w:fill="FFFFFF"/>
        </w:rPr>
        <w:fldChar w:fldCharType="begin"/>
      </w:r>
      <w:r>
        <w:rPr>
          <w:rFonts w:cs="Helvetica"/>
          <w:color w:val="000000"/>
          <w:shd w:val="clear" w:color="auto" w:fill="FFFFFF"/>
        </w:rPr>
        <w:instrText xml:space="preserve"> HYPERLINK "https://thesource.cvshealth.com/nuxeo/thesource/" \l "!/view?docid=5df6ae0e-19e8-42f5-b096-426aa4e5bab8" </w:instrText>
      </w:r>
      <w:r>
        <w:rPr>
          <w:rFonts w:cs="Helvetica"/>
          <w:color w:val="000000"/>
          <w:shd w:val="clear" w:color="auto" w:fill="FFFFFF"/>
        </w:rPr>
      </w:r>
      <w:r>
        <w:rPr>
          <w:rFonts w:cs="Helvetica"/>
          <w:color w:val="000000"/>
          <w:shd w:val="clear" w:color="auto" w:fill="FFFFFF"/>
        </w:rPr>
        <w:fldChar w:fldCharType="separate"/>
      </w:r>
      <w:r w:rsidR="005D5E36" w:rsidRPr="00AF4A04">
        <w:rPr>
          <w:rStyle w:val="Hyperlink"/>
        </w:rPr>
        <w:t>theSource Resources (006162)</w:t>
      </w:r>
    </w:p>
    <w:p w14:paraId="6F200F01" w14:textId="63B577AF" w:rsidR="00116724" w:rsidRPr="00CE4BCA" w:rsidRDefault="00CE4BCA" w:rsidP="00E54F32">
      <w:pPr>
        <w:spacing w:before="120" w:after="120"/>
      </w:pPr>
      <w:r>
        <w:rPr>
          <w:rFonts w:cs="Helvetica"/>
          <w:color w:val="000000"/>
          <w:shd w:val="clear" w:color="auto" w:fill="FFFFFF"/>
        </w:rPr>
        <w:fldChar w:fldCharType="end"/>
      </w:r>
    </w:p>
    <w:p w14:paraId="0D28635E" w14:textId="77777777" w:rsidR="00324E53" w:rsidRDefault="00324E53" w:rsidP="00E32E9B">
      <w:pPr>
        <w:jc w:val="right"/>
      </w:pPr>
    </w:p>
    <w:p w14:paraId="6E54E4E2" w14:textId="77777777" w:rsidR="00324E53" w:rsidRDefault="00324E53" w:rsidP="00E32E9B">
      <w:pPr>
        <w:jc w:val="right"/>
      </w:pPr>
    </w:p>
    <w:p w14:paraId="4745EA71" w14:textId="6178B216" w:rsidR="00B13B31" w:rsidRPr="0014193C" w:rsidRDefault="004D6CD0" w:rsidP="00E32E9B">
      <w:pPr>
        <w:jc w:val="right"/>
        <w:rPr>
          <w:sz w:val="16"/>
          <w:szCs w:val="16"/>
        </w:rPr>
      </w:pPr>
      <w:hyperlink w:anchor="_top" w:history="1">
        <w:r w:rsidRPr="0014193C">
          <w:rPr>
            <w:rStyle w:val="Hyperlink"/>
          </w:rPr>
          <w:t>Top of the Document</w:t>
        </w:r>
      </w:hyperlink>
    </w:p>
    <w:p w14:paraId="603FD381" w14:textId="77777777" w:rsidR="00B13B31" w:rsidRPr="0014193C" w:rsidRDefault="00B13B31" w:rsidP="00C247CB">
      <w:pPr>
        <w:jc w:val="center"/>
        <w:rPr>
          <w:sz w:val="16"/>
          <w:szCs w:val="16"/>
        </w:rPr>
      </w:pPr>
    </w:p>
    <w:p w14:paraId="0BA1EFA2" w14:textId="77777777" w:rsidR="00710E68" w:rsidRPr="0014193C" w:rsidRDefault="00710E68" w:rsidP="00C247CB">
      <w:pPr>
        <w:jc w:val="center"/>
        <w:rPr>
          <w:sz w:val="16"/>
          <w:szCs w:val="16"/>
        </w:rPr>
      </w:pPr>
      <w:r w:rsidRPr="0014193C">
        <w:rPr>
          <w:sz w:val="16"/>
          <w:szCs w:val="16"/>
        </w:rPr>
        <w:t xml:space="preserve">Not </w:t>
      </w:r>
      <w:r w:rsidR="00A03BB7" w:rsidRPr="0014193C">
        <w:rPr>
          <w:sz w:val="16"/>
          <w:szCs w:val="16"/>
        </w:rPr>
        <w:t>to Be Reproduced o</w:t>
      </w:r>
      <w:r w:rsidRPr="0014193C">
        <w:rPr>
          <w:sz w:val="16"/>
          <w:szCs w:val="16"/>
        </w:rPr>
        <w:t xml:space="preserve">r Disclosed to Others </w:t>
      </w:r>
      <w:r w:rsidR="00A613B8" w:rsidRPr="0014193C">
        <w:rPr>
          <w:sz w:val="16"/>
          <w:szCs w:val="16"/>
        </w:rPr>
        <w:t>without</w:t>
      </w:r>
      <w:r w:rsidRPr="0014193C">
        <w:rPr>
          <w:sz w:val="16"/>
          <w:szCs w:val="16"/>
        </w:rPr>
        <w:t xml:space="preserve"> Prior Written Approval</w:t>
      </w:r>
    </w:p>
    <w:p w14:paraId="5E72BF50" w14:textId="77777777" w:rsidR="00710E68" w:rsidRPr="0014193C" w:rsidRDefault="00710E68" w:rsidP="00C247CB">
      <w:pPr>
        <w:jc w:val="center"/>
        <w:rPr>
          <w:b/>
          <w:color w:val="000000"/>
          <w:sz w:val="16"/>
          <w:szCs w:val="16"/>
        </w:rPr>
      </w:pPr>
      <w:r w:rsidRPr="0014193C">
        <w:rPr>
          <w:b/>
          <w:color w:val="000000"/>
          <w:sz w:val="16"/>
          <w:szCs w:val="16"/>
        </w:rPr>
        <w:t xml:space="preserve">ELECTRONIC DATA = OFFICIAL VERSION </w:t>
      </w:r>
      <w:r w:rsidR="00B13B31" w:rsidRPr="0014193C">
        <w:rPr>
          <w:b/>
          <w:color w:val="000000"/>
          <w:sz w:val="16"/>
          <w:szCs w:val="16"/>
        </w:rPr>
        <w:t>/</w:t>
      </w:r>
      <w:r w:rsidRPr="0014193C">
        <w:rPr>
          <w:b/>
          <w:color w:val="000000"/>
          <w:sz w:val="16"/>
          <w:szCs w:val="16"/>
        </w:rPr>
        <w:t xml:space="preserve"> PAPER COPY </w:t>
      </w:r>
      <w:r w:rsidR="00B13B31" w:rsidRPr="0014193C">
        <w:rPr>
          <w:b/>
          <w:color w:val="000000"/>
          <w:sz w:val="16"/>
          <w:szCs w:val="16"/>
        </w:rPr>
        <w:t>=</w:t>
      </w:r>
      <w:r w:rsidRPr="0014193C">
        <w:rPr>
          <w:b/>
          <w:color w:val="000000"/>
          <w:sz w:val="16"/>
          <w:szCs w:val="16"/>
        </w:rPr>
        <w:t xml:space="preserve"> INFORMATIONAL ONLY</w:t>
      </w:r>
    </w:p>
    <w:p w14:paraId="7322595E" w14:textId="77777777" w:rsidR="005A64DA" w:rsidRPr="0014193C" w:rsidRDefault="005A64DA" w:rsidP="00C247CB">
      <w:pPr>
        <w:jc w:val="center"/>
        <w:rPr>
          <w:sz w:val="16"/>
          <w:szCs w:val="16"/>
        </w:rPr>
      </w:pPr>
    </w:p>
    <w:sectPr w:rsidR="005A64DA" w:rsidRPr="0014193C" w:rsidSect="00F1152F">
      <w:footerReference w:type="even" r:id="rId43"/>
      <w:footerReference w:type="default" r:id="rId44"/>
      <w:headerReference w:type="first" r:id="rId45"/>
      <w:footerReference w:type="first" r:id="rId4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45943" w14:textId="77777777" w:rsidR="00F801C4" w:rsidRDefault="00F801C4">
      <w:r>
        <w:separator/>
      </w:r>
    </w:p>
  </w:endnote>
  <w:endnote w:type="continuationSeparator" w:id="0">
    <w:p w14:paraId="1C0BBC41" w14:textId="77777777" w:rsidR="00F801C4" w:rsidRDefault="00F801C4">
      <w:r>
        <w:continuationSeparator/>
      </w:r>
    </w:p>
  </w:endnote>
  <w:endnote w:type="continuationNotice" w:id="1">
    <w:p w14:paraId="3C69F139" w14:textId="77777777" w:rsidR="00F801C4" w:rsidRDefault="00F80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E6584" w14:textId="77777777" w:rsidR="00AC757C" w:rsidRDefault="00AC757C"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95B8E" w14:textId="77777777" w:rsidR="00AC757C" w:rsidRDefault="00AC757C"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9D28B" w14:textId="77777777" w:rsidR="00AC757C" w:rsidRDefault="00AC757C"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7220">
      <w:rPr>
        <w:rStyle w:val="PageNumber"/>
        <w:noProof/>
      </w:rPr>
      <w:t>3</w:t>
    </w:r>
    <w:r>
      <w:rPr>
        <w:rStyle w:val="PageNumber"/>
      </w:rPr>
      <w:fldChar w:fldCharType="end"/>
    </w:r>
  </w:p>
  <w:p w14:paraId="506EF929" w14:textId="77777777" w:rsidR="00AC757C" w:rsidRPr="00245D49" w:rsidRDefault="00AC757C"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0E7F7" w14:textId="77777777" w:rsidR="00AC757C" w:rsidRPr="00CD2229" w:rsidRDefault="00AC757C">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0EA9A" w14:textId="77777777" w:rsidR="00F801C4" w:rsidRDefault="00F801C4">
      <w:r>
        <w:separator/>
      </w:r>
    </w:p>
  </w:footnote>
  <w:footnote w:type="continuationSeparator" w:id="0">
    <w:p w14:paraId="36C46992" w14:textId="77777777" w:rsidR="00F801C4" w:rsidRDefault="00F801C4">
      <w:r>
        <w:continuationSeparator/>
      </w:r>
    </w:p>
  </w:footnote>
  <w:footnote w:type="continuationNotice" w:id="1">
    <w:p w14:paraId="730D3B7B" w14:textId="77777777" w:rsidR="00F801C4" w:rsidRDefault="00F80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9332" w14:textId="77777777" w:rsidR="00AC757C" w:rsidRDefault="00AC757C">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95B"/>
    <w:multiLevelType w:val="hybridMultilevel"/>
    <w:tmpl w:val="516C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85570"/>
    <w:multiLevelType w:val="hybridMultilevel"/>
    <w:tmpl w:val="2BDA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1D3F64"/>
    <w:multiLevelType w:val="hybridMultilevel"/>
    <w:tmpl w:val="43F6B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9032878">
    <w:abstractNumId w:val="2"/>
  </w:num>
  <w:num w:numId="2" w16cid:durableId="1292252449">
    <w:abstractNumId w:val="3"/>
  </w:num>
  <w:num w:numId="3" w16cid:durableId="1311638100">
    <w:abstractNumId w:val="5"/>
  </w:num>
  <w:num w:numId="4" w16cid:durableId="1756634787">
    <w:abstractNumId w:val="0"/>
  </w:num>
  <w:num w:numId="5" w16cid:durableId="1567835963">
    <w:abstractNumId w:val="1"/>
  </w:num>
  <w:num w:numId="6" w16cid:durableId="1623074877">
    <w:abstractNumId w:val="4"/>
  </w:num>
  <w:num w:numId="7" w16cid:durableId="1279410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CD0"/>
    <w:rsid w:val="0000297C"/>
    <w:rsid w:val="00004197"/>
    <w:rsid w:val="000079DE"/>
    <w:rsid w:val="00015A2E"/>
    <w:rsid w:val="00021933"/>
    <w:rsid w:val="00027090"/>
    <w:rsid w:val="00030E32"/>
    <w:rsid w:val="00032E69"/>
    <w:rsid w:val="000346AA"/>
    <w:rsid w:val="00035464"/>
    <w:rsid w:val="00035BED"/>
    <w:rsid w:val="00040725"/>
    <w:rsid w:val="00040858"/>
    <w:rsid w:val="00050984"/>
    <w:rsid w:val="00051446"/>
    <w:rsid w:val="000556FC"/>
    <w:rsid w:val="000563D3"/>
    <w:rsid w:val="000577F9"/>
    <w:rsid w:val="00061AD2"/>
    <w:rsid w:val="000808D7"/>
    <w:rsid w:val="000809DF"/>
    <w:rsid w:val="0008665F"/>
    <w:rsid w:val="00095AB5"/>
    <w:rsid w:val="000A087D"/>
    <w:rsid w:val="000A1F70"/>
    <w:rsid w:val="000A6B88"/>
    <w:rsid w:val="000B3C4C"/>
    <w:rsid w:val="000B656F"/>
    <w:rsid w:val="000B72DF"/>
    <w:rsid w:val="000C72A7"/>
    <w:rsid w:val="000D1870"/>
    <w:rsid w:val="000D2995"/>
    <w:rsid w:val="000D6714"/>
    <w:rsid w:val="000E08BE"/>
    <w:rsid w:val="000E1CB4"/>
    <w:rsid w:val="000E2206"/>
    <w:rsid w:val="000F0D1B"/>
    <w:rsid w:val="000F10B3"/>
    <w:rsid w:val="000F4459"/>
    <w:rsid w:val="00101A9D"/>
    <w:rsid w:val="00103E2B"/>
    <w:rsid w:val="001120CD"/>
    <w:rsid w:val="00115944"/>
    <w:rsid w:val="00116724"/>
    <w:rsid w:val="0011719E"/>
    <w:rsid w:val="001230A8"/>
    <w:rsid w:val="0012373E"/>
    <w:rsid w:val="00123BF5"/>
    <w:rsid w:val="00131AEA"/>
    <w:rsid w:val="001360A5"/>
    <w:rsid w:val="0014193C"/>
    <w:rsid w:val="00141B0C"/>
    <w:rsid w:val="001449C6"/>
    <w:rsid w:val="00155719"/>
    <w:rsid w:val="001557F5"/>
    <w:rsid w:val="001560C4"/>
    <w:rsid w:val="00161399"/>
    <w:rsid w:val="0016273A"/>
    <w:rsid w:val="00162AEF"/>
    <w:rsid w:val="00166170"/>
    <w:rsid w:val="001679AC"/>
    <w:rsid w:val="00171D7B"/>
    <w:rsid w:val="001740F3"/>
    <w:rsid w:val="00174364"/>
    <w:rsid w:val="001746EB"/>
    <w:rsid w:val="00174A9E"/>
    <w:rsid w:val="00174FE7"/>
    <w:rsid w:val="00176400"/>
    <w:rsid w:val="001815D3"/>
    <w:rsid w:val="001A3BCC"/>
    <w:rsid w:val="001B3879"/>
    <w:rsid w:val="001B436E"/>
    <w:rsid w:val="001B4F3A"/>
    <w:rsid w:val="001B6A61"/>
    <w:rsid w:val="001C50C3"/>
    <w:rsid w:val="001F110F"/>
    <w:rsid w:val="001F1218"/>
    <w:rsid w:val="001F195E"/>
    <w:rsid w:val="001F5EA3"/>
    <w:rsid w:val="0020047A"/>
    <w:rsid w:val="002016B4"/>
    <w:rsid w:val="00202FFB"/>
    <w:rsid w:val="00204F4B"/>
    <w:rsid w:val="002055CF"/>
    <w:rsid w:val="0021716C"/>
    <w:rsid w:val="00225D09"/>
    <w:rsid w:val="00243EBB"/>
    <w:rsid w:val="002455DE"/>
    <w:rsid w:val="00245D49"/>
    <w:rsid w:val="0025145A"/>
    <w:rsid w:val="00251FC0"/>
    <w:rsid w:val="00255C6B"/>
    <w:rsid w:val="00256B8D"/>
    <w:rsid w:val="00257481"/>
    <w:rsid w:val="00264BB8"/>
    <w:rsid w:val="00265D86"/>
    <w:rsid w:val="00275225"/>
    <w:rsid w:val="00275320"/>
    <w:rsid w:val="0028215B"/>
    <w:rsid w:val="00284976"/>
    <w:rsid w:val="00291CE8"/>
    <w:rsid w:val="00294680"/>
    <w:rsid w:val="00296127"/>
    <w:rsid w:val="00296765"/>
    <w:rsid w:val="002A697C"/>
    <w:rsid w:val="002A7298"/>
    <w:rsid w:val="002B27FD"/>
    <w:rsid w:val="002B593E"/>
    <w:rsid w:val="002C0290"/>
    <w:rsid w:val="002C0BC0"/>
    <w:rsid w:val="002C5CE2"/>
    <w:rsid w:val="002D558E"/>
    <w:rsid w:val="002E425F"/>
    <w:rsid w:val="002E58AD"/>
    <w:rsid w:val="002E66B3"/>
    <w:rsid w:val="002F1F92"/>
    <w:rsid w:val="002F60E5"/>
    <w:rsid w:val="003001FF"/>
    <w:rsid w:val="0030272C"/>
    <w:rsid w:val="003031C3"/>
    <w:rsid w:val="0031161F"/>
    <w:rsid w:val="00312690"/>
    <w:rsid w:val="0031296B"/>
    <w:rsid w:val="00313B30"/>
    <w:rsid w:val="003235FC"/>
    <w:rsid w:val="00324E53"/>
    <w:rsid w:val="00330F73"/>
    <w:rsid w:val="0033143E"/>
    <w:rsid w:val="00346851"/>
    <w:rsid w:val="00350F29"/>
    <w:rsid w:val="00353120"/>
    <w:rsid w:val="00360AA6"/>
    <w:rsid w:val="00365C03"/>
    <w:rsid w:val="003725A1"/>
    <w:rsid w:val="00380034"/>
    <w:rsid w:val="00386667"/>
    <w:rsid w:val="003868A2"/>
    <w:rsid w:val="00392A5B"/>
    <w:rsid w:val="00394B63"/>
    <w:rsid w:val="003A2A55"/>
    <w:rsid w:val="003A48F3"/>
    <w:rsid w:val="003A6D70"/>
    <w:rsid w:val="003A772F"/>
    <w:rsid w:val="003B0BE1"/>
    <w:rsid w:val="003B1F86"/>
    <w:rsid w:val="003B4713"/>
    <w:rsid w:val="003B5E0E"/>
    <w:rsid w:val="003B7220"/>
    <w:rsid w:val="003C4627"/>
    <w:rsid w:val="003D05C4"/>
    <w:rsid w:val="003D49EF"/>
    <w:rsid w:val="003D7BC0"/>
    <w:rsid w:val="003E50F5"/>
    <w:rsid w:val="003E6C1A"/>
    <w:rsid w:val="003F6914"/>
    <w:rsid w:val="0040057A"/>
    <w:rsid w:val="004017A6"/>
    <w:rsid w:val="0040640A"/>
    <w:rsid w:val="00406DB5"/>
    <w:rsid w:val="00407425"/>
    <w:rsid w:val="00415F45"/>
    <w:rsid w:val="00416604"/>
    <w:rsid w:val="00416949"/>
    <w:rsid w:val="00417BBF"/>
    <w:rsid w:val="0042336D"/>
    <w:rsid w:val="004253FA"/>
    <w:rsid w:val="00425660"/>
    <w:rsid w:val="00430E7B"/>
    <w:rsid w:val="00433957"/>
    <w:rsid w:val="00433D8A"/>
    <w:rsid w:val="00442439"/>
    <w:rsid w:val="00443F8C"/>
    <w:rsid w:val="004472E1"/>
    <w:rsid w:val="00447CC6"/>
    <w:rsid w:val="00454434"/>
    <w:rsid w:val="00454C5B"/>
    <w:rsid w:val="004576F3"/>
    <w:rsid w:val="00457EAE"/>
    <w:rsid w:val="0047099D"/>
    <w:rsid w:val="00473C7F"/>
    <w:rsid w:val="0047529F"/>
    <w:rsid w:val="004768BE"/>
    <w:rsid w:val="00477F73"/>
    <w:rsid w:val="0048355A"/>
    <w:rsid w:val="004939DA"/>
    <w:rsid w:val="0049509D"/>
    <w:rsid w:val="004A3368"/>
    <w:rsid w:val="004A61BA"/>
    <w:rsid w:val="004A7490"/>
    <w:rsid w:val="004B4C5D"/>
    <w:rsid w:val="004B71C3"/>
    <w:rsid w:val="004C29C4"/>
    <w:rsid w:val="004D16A6"/>
    <w:rsid w:val="004D3C53"/>
    <w:rsid w:val="004D6CD0"/>
    <w:rsid w:val="004D7C34"/>
    <w:rsid w:val="004F0458"/>
    <w:rsid w:val="004F285F"/>
    <w:rsid w:val="004F2C90"/>
    <w:rsid w:val="004F2DB6"/>
    <w:rsid w:val="004F3D7E"/>
    <w:rsid w:val="00500FD9"/>
    <w:rsid w:val="00512486"/>
    <w:rsid w:val="00512F13"/>
    <w:rsid w:val="005231DC"/>
    <w:rsid w:val="0052465B"/>
    <w:rsid w:val="005248A5"/>
    <w:rsid w:val="00524CDD"/>
    <w:rsid w:val="00533F4E"/>
    <w:rsid w:val="00536540"/>
    <w:rsid w:val="00537D3E"/>
    <w:rsid w:val="00551A3E"/>
    <w:rsid w:val="005547B9"/>
    <w:rsid w:val="00554A0B"/>
    <w:rsid w:val="0055524F"/>
    <w:rsid w:val="00556721"/>
    <w:rsid w:val="00562C23"/>
    <w:rsid w:val="0056304C"/>
    <w:rsid w:val="00564C52"/>
    <w:rsid w:val="00573431"/>
    <w:rsid w:val="00574C5F"/>
    <w:rsid w:val="00582E85"/>
    <w:rsid w:val="005910B5"/>
    <w:rsid w:val="00596DC5"/>
    <w:rsid w:val="005A4FAE"/>
    <w:rsid w:val="005A6118"/>
    <w:rsid w:val="005A64DA"/>
    <w:rsid w:val="005B294B"/>
    <w:rsid w:val="005B3E0C"/>
    <w:rsid w:val="005C1D83"/>
    <w:rsid w:val="005D49DA"/>
    <w:rsid w:val="005D5BB6"/>
    <w:rsid w:val="005D5E36"/>
    <w:rsid w:val="005E197D"/>
    <w:rsid w:val="005E4D20"/>
    <w:rsid w:val="005E650E"/>
    <w:rsid w:val="005F163F"/>
    <w:rsid w:val="00600102"/>
    <w:rsid w:val="00602DDA"/>
    <w:rsid w:val="00613252"/>
    <w:rsid w:val="00614914"/>
    <w:rsid w:val="006168DE"/>
    <w:rsid w:val="00616CE7"/>
    <w:rsid w:val="00622474"/>
    <w:rsid w:val="00622D77"/>
    <w:rsid w:val="00627185"/>
    <w:rsid w:val="00627752"/>
    <w:rsid w:val="00627F34"/>
    <w:rsid w:val="006301A6"/>
    <w:rsid w:val="00630420"/>
    <w:rsid w:val="00633332"/>
    <w:rsid w:val="00636B18"/>
    <w:rsid w:val="0063783C"/>
    <w:rsid w:val="00637C30"/>
    <w:rsid w:val="00637CA1"/>
    <w:rsid w:val="0064267B"/>
    <w:rsid w:val="00642AE6"/>
    <w:rsid w:val="006455F6"/>
    <w:rsid w:val="006556FD"/>
    <w:rsid w:val="0066279C"/>
    <w:rsid w:val="00663AC8"/>
    <w:rsid w:val="006657A5"/>
    <w:rsid w:val="00670056"/>
    <w:rsid w:val="00672265"/>
    <w:rsid w:val="00674A16"/>
    <w:rsid w:val="006764B6"/>
    <w:rsid w:val="00677720"/>
    <w:rsid w:val="0068044B"/>
    <w:rsid w:val="006869B9"/>
    <w:rsid w:val="006919B7"/>
    <w:rsid w:val="00691E10"/>
    <w:rsid w:val="006972D2"/>
    <w:rsid w:val="006A0481"/>
    <w:rsid w:val="006A6E1D"/>
    <w:rsid w:val="006B6920"/>
    <w:rsid w:val="006C1658"/>
    <w:rsid w:val="006C4BCD"/>
    <w:rsid w:val="006C653F"/>
    <w:rsid w:val="006D0A7B"/>
    <w:rsid w:val="006E3612"/>
    <w:rsid w:val="006E3F9C"/>
    <w:rsid w:val="006F192F"/>
    <w:rsid w:val="006F4E00"/>
    <w:rsid w:val="006F565C"/>
    <w:rsid w:val="006F7DFC"/>
    <w:rsid w:val="00700B0C"/>
    <w:rsid w:val="00704AF2"/>
    <w:rsid w:val="0070530B"/>
    <w:rsid w:val="007106CB"/>
    <w:rsid w:val="00710E68"/>
    <w:rsid w:val="007136E2"/>
    <w:rsid w:val="00714BA0"/>
    <w:rsid w:val="00720CC2"/>
    <w:rsid w:val="007269B6"/>
    <w:rsid w:val="00726E7A"/>
    <w:rsid w:val="0073294A"/>
    <w:rsid w:val="00732E52"/>
    <w:rsid w:val="00752801"/>
    <w:rsid w:val="00756A57"/>
    <w:rsid w:val="007632E9"/>
    <w:rsid w:val="00766E99"/>
    <w:rsid w:val="00772625"/>
    <w:rsid w:val="007776D7"/>
    <w:rsid w:val="00782768"/>
    <w:rsid w:val="0078343C"/>
    <w:rsid w:val="00785118"/>
    <w:rsid w:val="00786BEB"/>
    <w:rsid w:val="0079099E"/>
    <w:rsid w:val="00791B97"/>
    <w:rsid w:val="0079660F"/>
    <w:rsid w:val="00797D7A"/>
    <w:rsid w:val="007A747D"/>
    <w:rsid w:val="007B32A6"/>
    <w:rsid w:val="007B6BB4"/>
    <w:rsid w:val="007C0A38"/>
    <w:rsid w:val="007C0D89"/>
    <w:rsid w:val="007C77DD"/>
    <w:rsid w:val="007D14AC"/>
    <w:rsid w:val="007D252D"/>
    <w:rsid w:val="007D36D8"/>
    <w:rsid w:val="007D58D3"/>
    <w:rsid w:val="007D7BED"/>
    <w:rsid w:val="007E3683"/>
    <w:rsid w:val="007E3EA6"/>
    <w:rsid w:val="007E6135"/>
    <w:rsid w:val="008042E1"/>
    <w:rsid w:val="00804D63"/>
    <w:rsid w:val="00806B9D"/>
    <w:rsid w:val="00807367"/>
    <w:rsid w:val="00807D07"/>
    <w:rsid w:val="00812777"/>
    <w:rsid w:val="008158EC"/>
    <w:rsid w:val="0081628C"/>
    <w:rsid w:val="00820805"/>
    <w:rsid w:val="008233F4"/>
    <w:rsid w:val="00825F40"/>
    <w:rsid w:val="00831CC7"/>
    <w:rsid w:val="0084129E"/>
    <w:rsid w:val="00843390"/>
    <w:rsid w:val="00844968"/>
    <w:rsid w:val="00846373"/>
    <w:rsid w:val="008568AE"/>
    <w:rsid w:val="00860590"/>
    <w:rsid w:val="00860A6F"/>
    <w:rsid w:val="008614E8"/>
    <w:rsid w:val="00862115"/>
    <w:rsid w:val="0086295C"/>
    <w:rsid w:val="008658FA"/>
    <w:rsid w:val="00867EDF"/>
    <w:rsid w:val="00875F0D"/>
    <w:rsid w:val="00877414"/>
    <w:rsid w:val="00887227"/>
    <w:rsid w:val="0089062A"/>
    <w:rsid w:val="00891F18"/>
    <w:rsid w:val="00895C7C"/>
    <w:rsid w:val="008A03B7"/>
    <w:rsid w:val="008A2305"/>
    <w:rsid w:val="008A3B29"/>
    <w:rsid w:val="008A42C3"/>
    <w:rsid w:val="008B1812"/>
    <w:rsid w:val="008B223D"/>
    <w:rsid w:val="008B4B22"/>
    <w:rsid w:val="008C17B6"/>
    <w:rsid w:val="008C2197"/>
    <w:rsid w:val="008C3467"/>
    <w:rsid w:val="008C3493"/>
    <w:rsid w:val="008D055F"/>
    <w:rsid w:val="008D11A6"/>
    <w:rsid w:val="008D1F7B"/>
    <w:rsid w:val="008D2D64"/>
    <w:rsid w:val="008E6C4A"/>
    <w:rsid w:val="008F084B"/>
    <w:rsid w:val="00902E07"/>
    <w:rsid w:val="009120E4"/>
    <w:rsid w:val="009137CB"/>
    <w:rsid w:val="00915690"/>
    <w:rsid w:val="00922441"/>
    <w:rsid w:val="00934D9F"/>
    <w:rsid w:val="00937CA2"/>
    <w:rsid w:val="009416B3"/>
    <w:rsid w:val="00946267"/>
    <w:rsid w:val="00946DB2"/>
    <w:rsid w:val="00947783"/>
    <w:rsid w:val="00951109"/>
    <w:rsid w:val="00954FE8"/>
    <w:rsid w:val="009557FE"/>
    <w:rsid w:val="00960311"/>
    <w:rsid w:val="00966431"/>
    <w:rsid w:val="00967032"/>
    <w:rsid w:val="00967744"/>
    <w:rsid w:val="009726E0"/>
    <w:rsid w:val="00973852"/>
    <w:rsid w:val="00975003"/>
    <w:rsid w:val="00977E98"/>
    <w:rsid w:val="00981C4D"/>
    <w:rsid w:val="0098669C"/>
    <w:rsid w:val="00990410"/>
    <w:rsid w:val="00990822"/>
    <w:rsid w:val="00991215"/>
    <w:rsid w:val="0099141A"/>
    <w:rsid w:val="009A28D1"/>
    <w:rsid w:val="009A5180"/>
    <w:rsid w:val="009A685D"/>
    <w:rsid w:val="009A694C"/>
    <w:rsid w:val="009A7178"/>
    <w:rsid w:val="009B45B8"/>
    <w:rsid w:val="009B511E"/>
    <w:rsid w:val="009C4A31"/>
    <w:rsid w:val="009C713A"/>
    <w:rsid w:val="009D0B2E"/>
    <w:rsid w:val="009D3030"/>
    <w:rsid w:val="009E0579"/>
    <w:rsid w:val="009F4AF7"/>
    <w:rsid w:val="009F6FD2"/>
    <w:rsid w:val="009F78D3"/>
    <w:rsid w:val="00A03BB7"/>
    <w:rsid w:val="00A05DBC"/>
    <w:rsid w:val="00A109CE"/>
    <w:rsid w:val="00A10A91"/>
    <w:rsid w:val="00A12045"/>
    <w:rsid w:val="00A2252D"/>
    <w:rsid w:val="00A26DBA"/>
    <w:rsid w:val="00A312B8"/>
    <w:rsid w:val="00A312DE"/>
    <w:rsid w:val="00A3216D"/>
    <w:rsid w:val="00A4211E"/>
    <w:rsid w:val="00A4247A"/>
    <w:rsid w:val="00A43ABF"/>
    <w:rsid w:val="00A467D9"/>
    <w:rsid w:val="00A4732A"/>
    <w:rsid w:val="00A47348"/>
    <w:rsid w:val="00A5398C"/>
    <w:rsid w:val="00A56F5A"/>
    <w:rsid w:val="00A613B8"/>
    <w:rsid w:val="00A63A7C"/>
    <w:rsid w:val="00A67DD5"/>
    <w:rsid w:val="00A7166B"/>
    <w:rsid w:val="00A7381B"/>
    <w:rsid w:val="00A77657"/>
    <w:rsid w:val="00A804CE"/>
    <w:rsid w:val="00A83BA0"/>
    <w:rsid w:val="00A84F18"/>
    <w:rsid w:val="00A85045"/>
    <w:rsid w:val="00A93681"/>
    <w:rsid w:val="00A95738"/>
    <w:rsid w:val="00A979C7"/>
    <w:rsid w:val="00A97B7D"/>
    <w:rsid w:val="00AA0DBB"/>
    <w:rsid w:val="00AA1450"/>
    <w:rsid w:val="00AA3F90"/>
    <w:rsid w:val="00AA4825"/>
    <w:rsid w:val="00AB09C9"/>
    <w:rsid w:val="00AB33E1"/>
    <w:rsid w:val="00AB3E9D"/>
    <w:rsid w:val="00AC3F8A"/>
    <w:rsid w:val="00AC757C"/>
    <w:rsid w:val="00AC7BB8"/>
    <w:rsid w:val="00AD1646"/>
    <w:rsid w:val="00AD2292"/>
    <w:rsid w:val="00AD7F1B"/>
    <w:rsid w:val="00AE0663"/>
    <w:rsid w:val="00AE0B45"/>
    <w:rsid w:val="00AE6FCA"/>
    <w:rsid w:val="00AE7DB0"/>
    <w:rsid w:val="00AF038B"/>
    <w:rsid w:val="00AF4A04"/>
    <w:rsid w:val="00AF5BD6"/>
    <w:rsid w:val="00B02FF9"/>
    <w:rsid w:val="00B0326B"/>
    <w:rsid w:val="00B04103"/>
    <w:rsid w:val="00B13B31"/>
    <w:rsid w:val="00B15715"/>
    <w:rsid w:val="00B25838"/>
    <w:rsid w:val="00B26045"/>
    <w:rsid w:val="00B26390"/>
    <w:rsid w:val="00B30124"/>
    <w:rsid w:val="00B311A1"/>
    <w:rsid w:val="00B42B81"/>
    <w:rsid w:val="00B44C55"/>
    <w:rsid w:val="00B46A95"/>
    <w:rsid w:val="00B544C2"/>
    <w:rsid w:val="00B5566F"/>
    <w:rsid w:val="00B60CB3"/>
    <w:rsid w:val="00B61273"/>
    <w:rsid w:val="00B62AA2"/>
    <w:rsid w:val="00B6382F"/>
    <w:rsid w:val="00B66CBA"/>
    <w:rsid w:val="00B70CC4"/>
    <w:rsid w:val="00B72C25"/>
    <w:rsid w:val="00B75082"/>
    <w:rsid w:val="00B75F15"/>
    <w:rsid w:val="00B76CAE"/>
    <w:rsid w:val="00B92659"/>
    <w:rsid w:val="00B952AA"/>
    <w:rsid w:val="00BA45F4"/>
    <w:rsid w:val="00BB02DE"/>
    <w:rsid w:val="00BB2B68"/>
    <w:rsid w:val="00BB371A"/>
    <w:rsid w:val="00BC410B"/>
    <w:rsid w:val="00BC4236"/>
    <w:rsid w:val="00BC7249"/>
    <w:rsid w:val="00BD4535"/>
    <w:rsid w:val="00BD7B25"/>
    <w:rsid w:val="00BE1AFF"/>
    <w:rsid w:val="00BE21A3"/>
    <w:rsid w:val="00BE3DEF"/>
    <w:rsid w:val="00BE4BC4"/>
    <w:rsid w:val="00BE52A7"/>
    <w:rsid w:val="00BF021C"/>
    <w:rsid w:val="00BF74E9"/>
    <w:rsid w:val="00C05ABE"/>
    <w:rsid w:val="00C22C7D"/>
    <w:rsid w:val="00C247CB"/>
    <w:rsid w:val="00C2487E"/>
    <w:rsid w:val="00C25554"/>
    <w:rsid w:val="00C25830"/>
    <w:rsid w:val="00C360BD"/>
    <w:rsid w:val="00C44A28"/>
    <w:rsid w:val="00C476E1"/>
    <w:rsid w:val="00C514DB"/>
    <w:rsid w:val="00C52E77"/>
    <w:rsid w:val="00C566B3"/>
    <w:rsid w:val="00C65249"/>
    <w:rsid w:val="00C67035"/>
    <w:rsid w:val="00C67B32"/>
    <w:rsid w:val="00C729E0"/>
    <w:rsid w:val="00C744E6"/>
    <w:rsid w:val="00C75C83"/>
    <w:rsid w:val="00C763ED"/>
    <w:rsid w:val="00C772DF"/>
    <w:rsid w:val="00C77E96"/>
    <w:rsid w:val="00C83EAE"/>
    <w:rsid w:val="00C94C49"/>
    <w:rsid w:val="00CA689D"/>
    <w:rsid w:val="00CA7568"/>
    <w:rsid w:val="00CB0C1D"/>
    <w:rsid w:val="00CB6EEE"/>
    <w:rsid w:val="00CC5AA2"/>
    <w:rsid w:val="00CC721A"/>
    <w:rsid w:val="00CD0963"/>
    <w:rsid w:val="00CD3E53"/>
    <w:rsid w:val="00CE098F"/>
    <w:rsid w:val="00CE3D42"/>
    <w:rsid w:val="00CE4BCA"/>
    <w:rsid w:val="00CE53E6"/>
    <w:rsid w:val="00CE722B"/>
    <w:rsid w:val="00CF6131"/>
    <w:rsid w:val="00D06EAA"/>
    <w:rsid w:val="00D22900"/>
    <w:rsid w:val="00D261A7"/>
    <w:rsid w:val="00D3349D"/>
    <w:rsid w:val="00D36733"/>
    <w:rsid w:val="00D4053B"/>
    <w:rsid w:val="00D41C18"/>
    <w:rsid w:val="00D443F2"/>
    <w:rsid w:val="00D44B49"/>
    <w:rsid w:val="00D471B5"/>
    <w:rsid w:val="00D558A2"/>
    <w:rsid w:val="00D55E5F"/>
    <w:rsid w:val="00D571DB"/>
    <w:rsid w:val="00D62721"/>
    <w:rsid w:val="00D650AE"/>
    <w:rsid w:val="00D6774D"/>
    <w:rsid w:val="00D72BF9"/>
    <w:rsid w:val="00D74574"/>
    <w:rsid w:val="00D75191"/>
    <w:rsid w:val="00D764D2"/>
    <w:rsid w:val="00D80929"/>
    <w:rsid w:val="00D85254"/>
    <w:rsid w:val="00D8656D"/>
    <w:rsid w:val="00D96902"/>
    <w:rsid w:val="00DA26A6"/>
    <w:rsid w:val="00DA3A3F"/>
    <w:rsid w:val="00DB1693"/>
    <w:rsid w:val="00DB455B"/>
    <w:rsid w:val="00DB5840"/>
    <w:rsid w:val="00DB6396"/>
    <w:rsid w:val="00DB6D01"/>
    <w:rsid w:val="00DC2B21"/>
    <w:rsid w:val="00DC3359"/>
    <w:rsid w:val="00DC4FFC"/>
    <w:rsid w:val="00DE2161"/>
    <w:rsid w:val="00DE4CE8"/>
    <w:rsid w:val="00DF6BE4"/>
    <w:rsid w:val="00DF6FB5"/>
    <w:rsid w:val="00E157BC"/>
    <w:rsid w:val="00E157CB"/>
    <w:rsid w:val="00E215A4"/>
    <w:rsid w:val="00E2573F"/>
    <w:rsid w:val="00E261FE"/>
    <w:rsid w:val="00E27959"/>
    <w:rsid w:val="00E32E9B"/>
    <w:rsid w:val="00E375A3"/>
    <w:rsid w:val="00E41886"/>
    <w:rsid w:val="00E44F1C"/>
    <w:rsid w:val="00E50E4A"/>
    <w:rsid w:val="00E53E3A"/>
    <w:rsid w:val="00E54F32"/>
    <w:rsid w:val="00E552A1"/>
    <w:rsid w:val="00E55803"/>
    <w:rsid w:val="00E56EBC"/>
    <w:rsid w:val="00E65937"/>
    <w:rsid w:val="00E66ED4"/>
    <w:rsid w:val="00E75BDF"/>
    <w:rsid w:val="00E81AAD"/>
    <w:rsid w:val="00E91F5F"/>
    <w:rsid w:val="00EA59C1"/>
    <w:rsid w:val="00EA665D"/>
    <w:rsid w:val="00EA6982"/>
    <w:rsid w:val="00EA6F59"/>
    <w:rsid w:val="00EB12DD"/>
    <w:rsid w:val="00EB153E"/>
    <w:rsid w:val="00EB57EB"/>
    <w:rsid w:val="00EB64CA"/>
    <w:rsid w:val="00ED2365"/>
    <w:rsid w:val="00ED50CF"/>
    <w:rsid w:val="00EE2839"/>
    <w:rsid w:val="00F06005"/>
    <w:rsid w:val="00F10037"/>
    <w:rsid w:val="00F1152F"/>
    <w:rsid w:val="00F15956"/>
    <w:rsid w:val="00F17FCF"/>
    <w:rsid w:val="00F207B3"/>
    <w:rsid w:val="00F307FD"/>
    <w:rsid w:val="00F31FEA"/>
    <w:rsid w:val="00F331C2"/>
    <w:rsid w:val="00F41668"/>
    <w:rsid w:val="00F41B20"/>
    <w:rsid w:val="00F426BF"/>
    <w:rsid w:val="00F45671"/>
    <w:rsid w:val="00F515BA"/>
    <w:rsid w:val="00F51C02"/>
    <w:rsid w:val="00F5486B"/>
    <w:rsid w:val="00F57AAF"/>
    <w:rsid w:val="00F658E0"/>
    <w:rsid w:val="00F700E0"/>
    <w:rsid w:val="00F754AA"/>
    <w:rsid w:val="00F801C4"/>
    <w:rsid w:val="00F80229"/>
    <w:rsid w:val="00F8474C"/>
    <w:rsid w:val="00F859B7"/>
    <w:rsid w:val="00FA04E9"/>
    <w:rsid w:val="00FA5059"/>
    <w:rsid w:val="00FA6FAB"/>
    <w:rsid w:val="00FB151B"/>
    <w:rsid w:val="00FB15FD"/>
    <w:rsid w:val="00FB2136"/>
    <w:rsid w:val="00FC1C44"/>
    <w:rsid w:val="00FC2809"/>
    <w:rsid w:val="00FC2A62"/>
    <w:rsid w:val="00FC6C7F"/>
    <w:rsid w:val="00FD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06C95"/>
  <w15:chartTrackingRefBased/>
  <w15:docId w15:val="{B39016CE-6C61-43C6-8390-6315B7EB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BB7"/>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link w:val="Heading2Char"/>
    <w:qFormat/>
    <w:rsid w:val="00A03BB7"/>
    <w:pPr>
      <w:keepNext/>
      <w:spacing w:before="240" w:after="6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9A685D"/>
    <w:pPr>
      <w:tabs>
        <w:tab w:val="right" w:leader="dot" w:pos="12950"/>
      </w:tabs>
    </w:pPr>
  </w:style>
  <w:style w:type="paragraph" w:styleId="TOC1">
    <w:name w:val="toc 1"/>
    <w:basedOn w:val="Normal"/>
    <w:next w:val="Normal"/>
    <w:autoRedefine/>
    <w:rsid w:val="00B13B31"/>
  </w:style>
  <w:style w:type="paragraph" w:styleId="BalloonText">
    <w:name w:val="Balloon Text"/>
    <w:basedOn w:val="Normal"/>
    <w:link w:val="BalloonTextChar"/>
    <w:rsid w:val="00BC7249"/>
    <w:rPr>
      <w:rFonts w:ascii="Segoe UI" w:hAnsi="Segoe UI" w:cs="Segoe UI"/>
      <w:sz w:val="18"/>
      <w:szCs w:val="18"/>
    </w:rPr>
  </w:style>
  <w:style w:type="character" w:customStyle="1" w:styleId="BalloonTextChar">
    <w:name w:val="Balloon Text Char"/>
    <w:basedOn w:val="DefaultParagraphFont"/>
    <w:link w:val="BalloonText"/>
    <w:rsid w:val="00BC7249"/>
    <w:rPr>
      <w:rFonts w:ascii="Segoe UI" w:hAnsi="Segoe UI" w:cs="Segoe UI"/>
      <w:sz w:val="18"/>
      <w:szCs w:val="18"/>
    </w:rPr>
  </w:style>
  <w:style w:type="character" w:styleId="UnresolvedMention">
    <w:name w:val="Unresolved Mention"/>
    <w:basedOn w:val="DefaultParagraphFont"/>
    <w:uiPriority w:val="99"/>
    <w:semiHidden/>
    <w:unhideWhenUsed/>
    <w:rsid w:val="005231DC"/>
    <w:rPr>
      <w:color w:val="605E5C"/>
      <w:shd w:val="clear" w:color="auto" w:fill="E1DFDD"/>
    </w:rPr>
  </w:style>
  <w:style w:type="paragraph" w:styleId="Revision">
    <w:name w:val="Revision"/>
    <w:hidden/>
    <w:uiPriority w:val="99"/>
    <w:semiHidden/>
    <w:rsid w:val="007D36D8"/>
    <w:rPr>
      <w:rFonts w:ascii="Verdana" w:hAnsi="Verdana"/>
      <w:sz w:val="24"/>
      <w:szCs w:val="24"/>
    </w:rPr>
  </w:style>
  <w:style w:type="character" w:customStyle="1" w:styleId="Heading2Char">
    <w:name w:val="Heading 2 Char"/>
    <w:basedOn w:val="DefaultParagraphFont"/>
    <w:link w:val="Heading2"/>
    <w:rsid w:val="001557F5"/>
    <w:rPr>
      <w:rFonts w:ascii="Verdana" w:hAnsi="Verdana" w:cs="Arial"/>
      <w:b/>
      <w:bCs/>
      <w:iCs/>
      <w:sz w:val="28"/>
      <w:szCs w:val="28"/>
    </w:rPr>
  </w:style>
  <w:style w:type="paragraph" w:styleId="ListParagraph">
    <w:name w:val="List Paragraph"/>
    <w:basedOn w:val="Normal"/>
    <w:uiPriority w:val="34"/>
    <w:qFormat/>
    <w:rsid w:val="001120CD"/>
    <w:pPr>
      <w:ind w:left="720"/>
    </w:pPr>
    <w:rPr>
      <w:rFonts w:ascii="Aptos" w:eastAsiaTheme="minorHAnsi" w:hAnsi="Aptos" w:cs="Aptos"/>
      <w:sz w:val="22"/>
      <w:szCs w:val="22"/>
      <w14:ligatures w14:val="standardContextual"/>
    </w:rPr>
  </w:style>
  <w:style w:type="character" w:customStyle="1" w:styleId="content-id">
    <w:name w:val="content-id"/>
    <w:basedOn w:val="DefaultParagraphFont"/>
    <w:rsid w:val="0030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1213">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26962558">
      <w:bodyDiv w:val="1"/>
      <w:marLeft w:val="0"/>
      <w:marRight w:val="0"/>
      <w:marTop w:val="0"/>
      <w:marBottom w:val="0"/>
      <w:divBdr>
        <w:top w:val="none" w:sz="0" w:space="0" w:color="auto"/>
        <w:left w:val="none" w:sz="0" w:space="0" w:color="auto"/>
        <w:bottom w:val="none" w:sz="0" w:space="0" w:color="auto"/>
        <w:right w:val="none" w:sz="0" w:space="0" w:color="auto"/>
      </w:divBdr>
    </w:div>
    <w:div w:id="335429186">
      <w:bodyDiv w:val="1"/>
      <w:marLeft w:val="0"/>
      <w:marRight w:val="0"/>
      <w:marTop w:val="0"/>
      <w:marBottom w:val="0"/>
      <w:divBdr>
        <w:top w:val="none" w:sz="0" w:space="0" w:color="auto"/>
        <w:left w:val="none" w:sz="0" w:space="0" w:color="auto"/>
        <w:bottom w:val="none" w:sz="0" w:space="0" w:color="auto"/>
        <w:right w:val="none" w:sz="0" w:space="0" w:color="auto"/>
      </w:divBdr>
    </w:div>
    <w:div w:id="427654690">
      <w:bodyDiv w:val="1"/>
      <w:marLeft w:val="0"/>
      <w:marRight w:val="0"/>
      <w:marTop w:val="0"/>
      <w:marBottom w:val="0"/>
      <w:divBdr>
        <w:top w:val="none" w:sz="0" w:space="0" w:color="auto"/>
        <w:left w:val="none" w:sz="0" w:space="0" w:color="auto"/>
        <w:bottom w:val="none" w:sz="0" w:space="0" w:color="auto"/>
        <w:right w:val="none" w:sz="0" w:space="0" w:color="auto"/>
      </w:divBdr>
    </w:div>
    <w:div w:id="481696247">
      <w:bodyDiv w:val="1"/>
      <w:marLeft w:val="0"/>
      <w:marRight w:val="0"/>
      <w:marTop w:val="0"/>
      <w:marBottom w:val="0"/>
      <w:divBdr>
        <w:top w:val="none" w:sz="0" w:space="0" w:color="auto"/>
        <w:left w:val="none" w:sz="0" w:space="0" w:color="auto"/>
        <w:bottom w:val="none" w:sz="0" w:space="0" w:color="auto"/>
        <w:right w:val="none" w:sz="0" w:space="0" w:color="auto"/>
      </w:divBdr>
    </w:div>
    <w:div w:id="499584303">
      <w:bodyDiv w:val="1"/>
      <w:marLeft w:val="0"/>
      <w:marRight w:val="0"/>
      <w:marTop w:val="0"/>
      <w:marBottom w:val="0"/>
      <w:divBdr>
        <w:top w:val="none" w:sz="0" w:space="0" w:color="auto"/>
        <w:left w:val="none" w:sz="0" w:space="0" w:color="auto"/>
        <w:bottom w:val="none" w:sz="0" w:space="0" w:color="auto"/>
        <w:right w:val="none" w:sz="0" w:space="0" w:color="auto"/>
      </w:divBdr>
      <w:divsChild>
        <w:div w:id="491992228">
          <w:marLeft w:val="0"/>
          <w:marRight w:val="0"/>
          <w:marTop w:val="0"/>
          <w:marBottom w:val="0"/>
          <w:divBdr>
            <w:top w:val="none" w:sz="0" w:space="0" w:color="auto"/>
            <w:left w:val="none" w:sz="0" w:space="0" w:color="auto"/>
            <w:bottom w:val="none" w:sz="0" w:space="0" w:color="auto"/>
            <w:right w:val="none" w:sz="0" w:space="0" w:color="auto"/>
          </w:divBdr>
          <w:divsChild>
            <w:div w:id="698510698">
              <w:marLeft w:val="0"/>
              <w:marRight w:val="0"/>
              <w:marTop w:val="0"/>
              <w:marBottom w:val="0"/>
              <w:divBdr>
                <w:top w:val="none" w:sz="0" w:space="0" w:color="auto"/>
                <w:left w:val="none" w:sz="0" w:space="0" w:color="auto"/>
                <w:bottom w:val="none" w:sz="0" w:space="0" w:color="auto"/>
                <w:right w:val="none" w:sz="0" w:space="0" w:color="auto"/>
              </w:divBdr>
              <w:divsChild>
                <w:div w:id="35219360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79256935">
          <w:marLeft w:val="0"/>
          <w:marRight w:val="0"/>
          <w:marTop w:val="0"/>
          <w:marBottom w:val="0"/>
          <w:divBdr>
            <w:top w:val="none" w:sz="0" w:space="0" w:color="auto"/>
            <w:left w:val="none" w:sz="0" w:space="0" w:color="auto"/>
            <w:bottom w:val="none" w:sz="0" w:space="0" w:color="auto"/>
            <w:right w:val="none" w:sz="0" w:space="0" w:color="auto"/>
          </w:divBdr>
          <w:divsChild>
            <w:div w:id="1787963937">
              <w:marLeft w:val="0"/>
              <w:marRight w:val="0"/>
              <w:marTop w:val="0"/>
              <w:marBottom w:val="0"/>
              <w:divBdr>
                <w:top w:val="none" w:sz="0" w:space="0" w:color="auto"/>
                <w:left w:val="none" w:sz="0" w:space="0" w:color="auto"/>
                <w:bottom w:val="none" w:sz="0" w:space="0" w:color="auto"/>
                <w:right w:val="none" w:sz="0" w:space="0" w:color="auto"/>
              </w:divBdr>
              <w:divsChild>
                <w:div w:id="299578806">
                  <w:marLeft w:val="0"/>
                  <w:marRight w:val="0"/>
                  <w:marTop w:val="0"/>
                  <w:marBottom w:val="0"/>
                  <w:divBdr>
                    <w:top w:val="none" w:sz="0" w:space="0" w:color="auto"/>
                    <w:left w:val="none" w:sz="0" w:space="0" w:color="auto"/>
                    <w:bottom w:val="none" w:sz="0" w:space="0" w:color="auto"/>
                    <w:right w:val="none" w:sz="0" w:space="0" w:color="auto"/>
                  </w:divBdr>
                </w:div>
                <w:div w:id="232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2823">
      <w:bodyDiv w:val="1"/>
      <w:marLeft w:val="0"/>
      <w:marRight w:val="0"/>
      <w:marTop w:val="0"/>
      <w:marBottom w:val="0"/>
      <w:divBdr>
        <w:top w:val="none" w:sz="0" w:space="0" w:color="auto"/>
        <w:left w:val="none" w:sz="0" w:space="0" w:color="auto"/>
        <w:bottom w:val="none" w:sz="0" w:space="0" w:color="auto"/>
        <w:right w:val="none" w:sz="0" w:space="0" w:color="auto"/>
      </w:divBdr>
    </w:div>
    <w:div w:id="610599288">
      <w:bodyDiv w:val="1"/>
      <w:marLeft w:val="0"/>
      <w:marRight w:val="0"/>
      <w:marTop w:val="0"/>
      <w:marBottom w:val="0"/>
      <w:divBdr>
        <w:top w:val="none" w:sz="0" w:space="0" w:color="auto"/>
        <w:left w:val="none" w:sz="0" w:space="0" w:color="auto"/>
        <w:bottom w:val="none" w:sz="0" w:space="0" w:color="auto"/>
        <w:right w:val="none" w:sz="0" w:space="0" w:color="auto"/>
      </w:divBdr>
      <w:divsChild>
        <w:div w:id="582029319">
          <w:marLeft w:val="0"/>
          <w:marRight w:val="0"/>
          <w:marTop w:val="0"/>
          <w:marBottom w:val="0"/>
          <w:divBdr>
            <w:top w:val="none" w:sz="0" w:space="0" w:color="auto"/>
            <w:left w:val="none" w:sz="0" w:space="0" w:color="auto"/>
            <w:bottom w:val="none" w:sz="0" w:space="0" w:color="auto"/>
            <w:right w:val="none" w:sz="0" w:space="0" w:color="auto"/>
          </w:divBdr>
          <w:divsChild>
            <w:div w:id="370692700">
              <w:marLeft w:val="0"/>
              <w:marRight w:val="0"/>
              <w:marTop w:val="0"/>
              <w:marBottom w:val="0"/>
              <w:divBdr>
                <w:top w:val="none" w:sz="0" w:space="0" w:color="auto"/>
                <w:left w:val="none" w:sz="0" w:space="0" w:color="auto"/>
                <w:bottom w:val="none" w:sz="0" w:space="0" w:color="auto"/>
                <w:right w:val="none" w:sz="0" w:space="0" w:color="auto"/>
              </w:divBdr>
              <w:divsChild>
                <w:div w:id="172413664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904949651">
          <w:marLeft w:val="0"/>
          <w:marRight w:val="0"/>
          <w:marTop w:val="0"/>
          <w:marBottom w:val="0"/>
          <w:divBdr>
            <w:top w:val="none" w:sz="0" w:space="0" w:color="auto"/>
            <w:left w:val="none" w:sz="0" w:space="0" w:color="auto"/>
            <w:bottom w:val="none" w:sz="0" w:space="0" w:color="auto"/>
            <w:right w:val="none" w:sz="0" w:space="0" w:color="auto"/>
          </w:divBdr>
          <w:divsChild>
            <w:div w:id="675159253">
              <w:marLeft w:val="0"/>
              <w:marRight w:val="0"/>
              <w:marTop w:val="0"/>
              <w:marBottom w:val="0"/>
              <w:divBdr>
                <w:top w:val="none" w:sz="0" w:space="0" w:color="auto"/>
                <w:left w:val="none" w:sz="0" w:space="0" w:color="auto"/>
                <w:bottom w:val="none" w:sz="0" w:space="0" w:color="auto"/>
                <w:right w:val="none" w:sz="0" w:space="0" w:color="auto"/>
              </w:divBdr>
              <w:divsChild>
                <w:div w:id="1867715724">
                  <w:marLeft w:val="0"/>
                  <w:marRight w:val="0"/>
                  <w:marTop w:val="0"/>
                  <w:marBottom w:val="0"/>
                  <w:divBdr>
                    <w:top w:val="none" w:sz="0" w:space="0" w:color="auto"/>
                    <w:left w:val="none" w:sz="0" w:space="0" w:color="auto"/>
                    <w:bottom w:val="none" w:sz="0" w:space="0" w:color="auto"/>
                    <w:right w:val="none" w:sz="0" w:space="0" w:color="auto"/>
                  </w:divBdr>
                </w:div>
                <w:div w:id="1090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3740">
      <w:bodyDiv w:val="1"/>
      <w:marLeft w:val="0"/>
      <w:marRight w:val="0"/>
      <w:marTop w:val="0"/>
      <w:marBottom w:val="0"/>
      <w:divBdr>
        <w:top w:val="none" w:sz="0" w:space="0" w:color="auto"/>
        <w:left w:val="none" w:sz="0" w:space="0" w:color="auto"/>
        <w:bottom w:val="none" w:sz="0" w:space="0" w:color="auto"/>
        <w:right w:val="none" w:sz="0" w:space="0" w:color="auto"/>
      </w:divBdr>
    </w:div>
    <w:div w:id="643465161">
      <w:bodyDiv w:val="1"/>
      <w:marLeft w:val="0"/>
      <w:marRight w:val="0"/>
      <w:marTop w:val="0"/>
      <w:marBottom w:val="0"/>
      <w:divBdr>
        <w:top w:val="none" w:sz="0" w:space="0" w:color="auto"/>
        <w:left w:val="none" w:sz="0" w:space="0" w:color="auto"/>
        <w:bottom w:val="none" w:sz="0" w:space="0" w:color="auto"/>
        <w:right w:val="none" w:sz="0" w:space="0" w:color="auto"/>
      </w:divBdr>
      <w:divsChild>
        <w:div w:id="1251170">
          <w:marLeft w:val="0"/>
          <w:marRight w:val="0"/>
          <w:marTop w:val="0"/>
          <w:marBottom w:val="0"/>
          <w:divBdr>
            <w:top w:val="none" w:sz="0" w:space="0" w:color="auto"/>
            <w:left w:val="none" w:sz="0" w:space="0" w:color="auto"/>
            <w:bottom w:val="none" w:sz="0" w:space="0" w:color="auto"/>
            <w:right w:val="none" w:sz="0" w:space="0" w:color="auto"/>
          </w:divBdr>
          <w:divsChild>
            <w:div w:id="1870988728">
              <w:marLeft w:val="330"/>
              <w:marRight w:val="0"/>
              <w:marTop w:val="0"/>
              <w:marBottom w:val="0"/>
              <w:divBdr>
                <w:top w:val="none" w:sz="0" w:space="0" w:color="auto"/>
                <w:left w:val="none" w:sz="0" w:space="0" w:color="auto"/>
                <w:bottom w:val="none" w:sz="0" w:space="0" w:color="auto"/>
                <w:right w:val="none" w:sz="0" w:space="0" w:color="auto"/>
              </w:divBdr>
            </w:div>
          </w:divsChild>
        </w:div>
        <w:div w:id="796486780">
          <w:marLeft w:val="0"/>
          <w:marRight w:val="0"/>
          <w:marTop w:val="0"/>
          <w:marBottom w:val="0"/>
          <w:divBdr>
            <w:top w:val="none" w:sz="0" w:space="0" w:color="auto"/>
            <w:left w:val="none" w:sz="0" w:space="0" w:color="auto"/>
            <w:bottom w:val="none" w:sz="0" w:space="0" w:color="auto"/>
            <w:right w:val="none" w:sz="0" w:space="0" w:color="auto"/>
          </w:divBdr>
          <w:divsChild>
            <w:div w:id="1075709476">
              <w:marLeft w:val="0"/>
              <w:marRight w:val="0"/>
              <w:marTop w:val="0"/>
              <w:marBottom w:val="0"/>
              <w:divBdr>
                <w:top w:val="none" w:sz="0" w:space="0" w:color="auto"/>
                <w:left w:val="none" w:sz="0" w:space="0" w:color="auto"/>
                <w:bottom w:val="none" w:sz="0" w:space="0" w:color="auto"/>
                <w:right w:val="none" w:sz="0" w:space="0" w:color="auto"/>
              </w:divBdr>
              <w:divsChild>
                <w:div w:id="199132904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6624">
      <w:bodyDiv w:val="1"/>
      <w:marLeft w:val="0"/>
      <w:marRight w:val="0"/>
      <w:marTop w:val="0"/>
      <w:marBottom w:val="0"/>
      <w:divBdr>
        <w:top w:val="none" w:sz="0" w:space="0" w:color="auto"/>
        <w:left w:val="none" w:sz="0" w:space="0" w:color="auto"/>
        <w:bottom w:val="none" w:sz="0" w:space="0" w:color="auto"/>
        <w:right w:val="none" w:sz="0" w:space="0" w:color="auto"/>
      </w:divBdr>
    </w:div>
    <w:div w:id="658538117">
      <w:bodyDiv w:val="1"/>
      <w:marLeft w:val="0"/>
      <w:marRight w:val="0"/>
      <w:marTop w:val="0"/>
      <w:marBottom w:val="0"/>
      <w:divBdr>
        <w:top w:val="none" w:sz="0" w:space="0" w:color="auto"/>
        <w:left w:val="none" w:sz="0" w:space="0" w:color="auto"/>
        <w:bottom w:val="none" w:sz="0" w:space="0" w:color="auto"/>
        <w:right w:val="none" w:sz="0" w:space="0" w:color="auto"/>
      </w:divBdr>
      <w:divsChild>
        <w:div w:id="1602302767">
          <w:marLeft w:val="0"/>
          <w:marRight w:val="0"/>
          <w:marTop w:val="0"/>
          <w:marBottom w:val="0"/>
          <w:divBdr>
            <w:top w:val="none" w:sz="0" w:space="0" w:color="auto"/>
            <w:left w:val="none" w:sz="0" w:space="0" w:color="auto"/>
            <w:bottom w:val="none" w:sz="0" w:space="0" w:color="auto"/>
            <w:right w:val="none" w:sz="0" w:space="0" w:color="auto"/>
          </w:divBdr>
          <w:divsChild>
            <w:div w:id="2071147129">
              <w:marLeft w:val="0"/>
              <w:marRight w:val="0"/>
              <w:marTop w:val="0"/>
              <w:marBottom w:val="0"/>
              <w:divBdr>
                <w:top w:val="none" w:sz="0" w:space="0" w:color="auto"/>
                <w:left w:val="none" w:sz="0" w:space="0" w:color="auto"/>
                <w:bottom w:val="none" w:sz="0" w:space="0" w:color="auto"/>
                <w:right w:val="none" w:sz="0" w:space="0" w:color="auto"/>
              </w:divBdr>
              <w:divsChild>
                <w:div w:id="14732658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624848647">
          <w:marLeft w:val="0"/>
          <w:marRight w:val="0"/>
          <w:marTop w:val="0"/>
          <w:marBottom w:val="0"/>
          <w:divBdr>
            <w:top w:val="none" w:sz="0" w:space="0" w:color="auto"/>
            <w:left w:val="none" w:sz="0" w:space="0" w:color="auto"/>
            <w:bottom w:val="none" w:sz="0" w:space="0" w:color="auto"/>
            <w:right w:val="none" w:sz="0" w:space="0" w:color="auto"/>
          </w:divBdr>
          <w:divsChild>
            <w:div w:id="354310626">
              <w:marLeft w:val="0"/>
              <w:marRight w:val="0"/>
              <w:marTop w:val="0"/>
              <w:marBottom w:val="0"/>
              <w:divBdr>
                <w:top w:val="none" w:sz="0" w:space="0" w:color="auto"/>
                <w:left w:val="none" w:sz="0" w:space="0" w:color="auto"/>
                <w:bottom w:val="none" w:sz="0" w:space="0" w:color="auto"/>
                <w:right w:val="none" w:sz="0" w:space="0" w:color="auto"/>
              </w:divBdr>
              <w:divsChild>
                <w:div w:id="987631898">
                  <w:marLeft w:val="0"/>
                  <w:marRight w:val="0"/>
                  <w:marTop w:val="0"/>
                  <w:marBottom w:val="0"/>
                  <w:divBdr>
                    <w:top w:val="none" w:sz="0" w:space="0" w:color="auto"/>
                    <w:left w:val="none" w:sz="0" w:space="0" w:color="auto"/>
                    <w:bottom w:val="none" w:sz="0" w:space="0" w:color="auto"/>
                    <w:right w:val="none" w:sz="0" w:space="0" w:color="auto"/>
                  </w:divBdr>
                </w:div>
                <w:div w:id="697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0438290">
      <w:bodyDiv w:val="1"/>
      <w:marLeft w:val="0"/>
      <w:marRight w:val="0"/>
      <w:marTop w:val="0"/>
      <w:marBottom w:val="0"/>
      <w:divBdr>
        <w:top w:val="none" w:sz="0" w:space="0" w:color="auto"/>
        <w:left w:val="none" w:sz="0" w:space="0" w:color="auto"/>
        <w:bottom w:val="none" w:sz="0" w:space="0" w:color="auto"/>
        <w:right w:val="none" w:sz="0" w:space="0" w:color="auto"/>
      </w:divBdr>
    </w:div>
    <w:div w:id="874005740">
      <w:bodyDiv w:val="1"/>
      <w:marLeft w:val="0"/>
      <w:marRight w:val="0"/>
      <w:marTop w:val="0"/>
      <w:marBottom w:val="0"/>
      <w:divBdr>
        <w:top w:val="none" w:sz="0" w:space="0" w:color="auto"/>
        <w:left w:val="none" w:sz="0" w:space="0" w:color="auto"/>
        <w:bottom w:val="none" w:sz="0" w:space="0" w:color="auto"/>
        <w:right w:val="none" w:sz="0" w:space="0" w:color="auto"/>
      </w:divBdr>
    </w:div>
    <w:div w:id="928080251">
      <w:bodyDiv w:val="1"/>
      <w:marLeft w:val="0"/>
      <w:marRight w:val="0"/>
      <w:marTop w:val="0"/>
      <w:marBottom w:val="0"/>
      <w:divBdr>
        <w:top w:val="none" w:sz="0" w:space="0" w:color="auto"/>
        <w:left w:val="none" w:sz="0" w:space="0" w:color="auto"/>
        <w:bottom w:val="none" w:sz="0" w:space="0" w:color="auto"/>
        <w:right w:val="none" w:sz="0" w:space="0" w:color="auto"/>
      </w:divBdr>
    </w:div>
    <w:div w:id="928536578">
      <w:bodyDiv w:val="1"/>
      <w:marLeft w:val="0"/>
      <w:marRight w:val="0"/>
      <w:marTop w:val="0"/>
      <w:marBottom w:val="0"/>
      <w:divBdr>
        <w:top w:val="none" w:sz="0" w:space="0" w:color="auto"/>
        <w:left w:val="none" w:sz="0" w:space="0" w:color="auto"/>
        <w:bottom w:val="none" w:sz="0" w:space="0" w:color="auto"/>
        <w:right w:val="none" w:sz="0" w:space="0" w:color="auto"/>
      </w:divBdr>
    </w:div>
    <w:div w:id="973365331">
      <w:bodyDiv w:val="1"/>
      <w:marLeft w:val="0"/>
      <w:marRight w:val="0"/>
      <w:marTop w:val="0"/>
      <w:marBottom w:val="0"/>
      <w:divBdr>
        <w:top w:val="none" w:sz="0" w:space="0" w:color="auto"/>
        <w:left w:val="none" w:sz="0" w:space="0" w:color="auto"/>
        <w:bottom w:val="none" w:sz="0" w:space="0" w:color="auto"/>
        <w:right w:val="none" w:sz="0" w:space="0" w:color="auto"/>
      </w:divBdr>
    </w:div>
    <w:div w:id="976187203">
      <w:bodyDiv w:val="1"/>
      <w:marLeft w:val="0"/>
      <w:marRight w:val="0"/>
      <w:marTop w:val="0"/>
      <w:marBottom w:val="0"/>
      <w:divBdr>
        <w:top w:val="none" w:sz="0" w:space="0" w:color="auto"/>
        <w:left w:val="none" w:sz="0" w:space="0" w:color="auto"/>
        <w:bottom w:val="none" w:sz="0" w:space="0" w:color="auto"/>
        <w:right w:val="none" w:sz="0" w:space="0" w:color="auto"/>
      </w:divBdr>
    </w:div>
    <w:div w:id="101877110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6772591">
      <w:bodyDiv w:val="1"/>
      <w:marLeft w:val="0"/>
      <w:marRight w:val="0"/>
      <w:marTop w:val="0"/>
      <w:marBottom w:val="0"/>
      <w:divBdr>
        <w:top w:val="none" w:sz="0" w:space="0" w:color="auto"/>
        <w:left w:val="none" w:sz="0" w:space="0" w:color="auto"/>
        <w:bottom w:val="none" w:sz="0" w:space="0" w:color="auto"/>
        <w:right w:val="none" w:sz="0" w:space="0" w:color="auto"/>
      </w:divBdr>
    </w:div>
    <w:div w:id="1471090938">
      <w:bodyDiv w:val="1"/>
      <w:marLeft w:val="0"/>
      <w:marRight w:val="0"/>
      <w:marTop w:val="0"/>
      <w:marBottom w:val="0"/>
      <w:divBdr>
        <w:top w:val="none" w:sz="0" w:space="0" w:color="auto"/>
        <w:left w:val="none" w:sz="0" w:space="0" w:color="auto"/>
        <w:bottom w:val="none" w:sz="0" w:space="0" w:color="auto"/>
        <w:right w:val="none" w:sz="0" w:space="0" w:color="auto"/>
      </w:divBdr>
    </w:div>
    <w:div w:id="147124736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66180569">
      <w:bodyDiv w:val="1"/>
      <w:marLeft w:val="0"/>
      <w:marRight w:val="0"/>
      <w:marTop w:val="0"/>
      <w:marBottom w:val="0"/>
      <w:divBdr>
        <w:top w:val="none" w:sz="0" w:space="0" w:color="auto"/>
        <w:left w:val="none" w:sz="0" w:space="0" w:color="auto"/>
        <w:bottom w:val="none" w:sz="0" w:space="0" w:color="auto"/>
        <w:right w:val="none" w:sz="0" w:space="0" w:color="auto"/>
      </w:divBdr>
    </w:div>
    <w:div w:id="1569684287">
      <w:bodyDiv w:val="1"/>
      <w:marLeft w:val="0"/>
      <w:marRight w:val="0"/>
      <w:marTop w:val="0"/>
      <w:marBottom w:val="0"/>
      <w:divBdr>
        <w:top w:val="none" w:sz="0" w:space="0" w:color="auto"/>
        <w:left w:val="none" w:sz="0" w:space="0" w:color="auto"/>
        <w:bottom w:val="none" w:sz="0" w:space="0" w:color="auto"/>
        <w:right w:val="none" w:sz="0" w:space="0" w:color="auto"/>
      </w:divBdr>
      <w:divsChild>
        <w:div w:id="1381634619">
          <w:marLeft w:val="0"/>
          <w:marRight w:val="0"/>
          <w:marTop w:val="0"/>
          <w:marBottom w:val="0"/>
          <w:divBdr>
            <w:top w:val="none" w:sz="0" w:space="0" w:color="auto"/>
            <w:left w:val="none" w:sz="0" w:space="0" w:color="auto"/>
            <w:bottom w:val="none" w:sz="0" w:space="0" w:color="auto"/>
            <w:right w:val="none" w:sz="0" w:space="0" w:color="auto"/>
          </w:divBdr>
        </w:div>
      </w:divsChild>
    </w:div>
    <w:div w:id="1578317646">
      <w:bodyDiv w:val="1"/>
      <w:marLeft w:val="0"/>
      <w:marRight w:val="0"/>
      <w:marTop w:val="0"/>
      <w:marBottom w:val="0"/>
      <w:divBdr>
        <w:top w:val="none" w:sz="0" w:space="0" w:color="auto"/>
        <w:left w:val="none" w:sz="0" w:space="0" w:color="auto"/>
        <w:bottom w:val="none" w:sz="0" w:space="0" w:color="auto"/>
        <w:right w:val="none" w:sz="0" w:space="0" w:color="auto"/>
      </w:divBdr>
    </w:div>
    <w:div w:id="1581791489">
      <w:bodyDiv w:val="1"/>
      <w:marLeft w:val="0"/>
      <w:marRight w:val="0"/>
      <w:marTop w:val="0"/>
      <w:marBottom w:val="0"/>
      <w:divBdr>
        <w:top w:val="none" w:sz="0" w:space="0" w:color="auto"/>
        <w:left w:val="none" w:sz="0" w:space="0" w:color="auto"/>
        <w:bottom w:val="none" w:sz="0" w:space="0" w:color="auto"/>
        <w:right w:val="none" w:sz="0" w:space="0" w:color="auto"/>
      </w:divBdr>
    </w:div>
    <w:div w:id="1606764788">
      <w:bodyDiv w:val="1"/>
      <w:marLeft w:val="0"/>
      <w:marRight w:val="0"/>
      <w:marTop w:val="0"/>
      <w:marBottom w:val="0"/>
      <w:divBdr>
        <w:top w:val="none" w:sz="0" w:space="0" w:color="auto"/>
        <w:left w:val="none" w:sz="0" w:space="0" w:color="auto"/>
        <w:bottom w:val="none" w:sz="0" w:space="0" w:color="auto"/>
        <w:right w:val="none" w:sz="0" w:space="0" w:color="auto"/>
      </w:divBdr>
    </w:div>
    <w:div w:id="1781606689">
      <w:bodyDiv w:val="1"/>
      <w:marLeft w:val="0"/>
      <w:marRight w:val="0"/>
      <w:marTop w:val="0"/>
      <w:marBottom w:val="0"/>
      <w:divBdr>
        <w:top w:val="none" w:sz="0" w:space="0" w:color="auto"/>
        <w:left w:val="none" w:sz="0" w:space="0" w:color="auto"/>
        <w:bottom w:val="none" w:sz="0" w:space="0" w:color="auto"/>
        <w:right w:val="none" w:sz="0" w:space="0" w:color="auto"/>
      </w:divBdr>
      <w:divsChild>
        <w:div w:id="1179346770">
          <w:marLeft w:val="0"/>
          <w:marRight w:val="0"/>
          <w:marTop w:val="0"/>
          <w:marBottom w:val="0"/>
          <w:divBdr>
            <w:top w:val="none" w:sz="0" w:space="0" w:color="auto"/>
            <w:left w:val="none" w:sz="0" w:space="0" w:color="auto"/>
            <w:bottom w:val="none" w:sz="0" w:space="0" w:color="auto"/>
            <w:right w:val="none" w:sz="0" w:space="0" w:color="auto"/>
          </w:divBdr>
        </w:div>
      </w:divsChild>
    </w:div>
    <w:div w:id="1868250084">
      <w:bodyDiv w:val="1"/>
      <w:marLeft w:val="0"/>
      <w:marRight w:val="0"/>
      <w:marTop w:val="0"/>
      <w:marBottom w:val="0"/>
      <w:divBdr>
        <w:top w:val="none" w:sz="0" w:space="0" w:color="auto"/>
        <w:left w:val="none" w:sz="0" w:space="0" w:color="auto"/>
        <w:bottom w:val="none" w:sz="0" w:space="0" w:color="auto"/>
        <w:right w:val="none" w:sz="0" w:space="0" w:color="auto"/>
      </w:divBdr>
    </w:div>
    <w:div w:id="1889492566">
      <w:bodyDiv w:val="1"/>
      <w:marLeft w:val="0"/>
      <w:marRight w:val="0"/>
      <w:marTop w:val="0"/>
      <w:marBottom w:val="0"/>
      <w:divBdr>
        <w:top w:val="none" w:sz="0" w:space="0" w:color="auto"/>
        <w:left w:val="none" w:sz="0" w:space="0" w:color="auto"/>
        <w:bottom w:val="none" w:sz="0" w:space="0" w:color="auto"/>
        <w:right w:val="none" w:sz="0" w:space="0" w:color="auto"/>
      </w:divBdr>
      <w:divsChild>
        <w:div w:id="2055276368">
          <w:marLeft w:val="0"/>
          <w:marRight w:val="0"/>
          <w:marTop w:val="0"/>
          <w:marBottom w:val="0"/>
          <w:divBdr>
            <w:top w:val="none" w:sz="0" w:space="0" w:color="auto"/>
            <w:left w:val="none" w:sz="0" w:space="0" w:color="auto"/>
            <w:bottom w:val="none" w:sz="0" w:space="0" w:color="auto"/>
            <w:right w:val="none" w:sz="0" w:space="0" w:color="auto"/>
          </w:divBdr>
          <w:divsChild>
            <w:div w:id="451095822">
              <w:marLeft w:val="0"/>
              <w:marRight w:val="0"/>
              <w:marTop w:val="0"/>
              <w:marBottom w:val="0"/>
              <w:divBdr>
                <w:top w:val="none" w:sz="0" w:space="0" w:color="auto"/>
                <w:left w:val="none" w:sz="0" w:space="0" w:color="auto"/>
                <w:bottom w:val="none" w:sz="0" w:space="0" w:color="auto"/>
                <w:right w:val="none" w:sz="0" w:space="0" w:color="auto"/>
              </w:divBdr>
              <w:divsChild>
                <w:div w:id="13946744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2874">
      <w:bodyDiv w:val="1"/>
      <w:marLeft w:val="0"/>
      <w:marRight w:val="0"/>
      <w:marTop w:val="0"/>
      <w:marBottom w:val="0"/>
      <w:divBdr>
        <w:top w:val="none" w:sz="0" w:space="0" w:color="auto"/>
        <w:left w:val="none" w:sz="0" w:space="0" w:color="auto"/>
        <w:bottom w:val="none" w:sz="0" w:space="0" w:color="auto"/>
        <w:right w:val="none" w:sz="0" w:space="0" w:color="auto"/>
      </w:divBdr>
      <w:divsChild>
        <w:div w:id="789973055">
          <w:marLeft w:val="0"/>
          <w:marRight w:val="0"/>
          <w:marTop w:val="0"/>
          <w:marBottom w:val="0"/>
          <w:divBdr>
            <w:top w:val="none" w:sz="0" w:space="0" w:color="auto"/>
            <w:left w:val="none" w:sz="0" w:space="0" w:color="auto"/>
            <w:bottom w:val="none" w:sz="0" w:space="0" w:color="auto"/>
            <w:right w:val="none" w:sz="0" w:space="0" w:color="auto"/>
          </w:divBdr>
          <w:divsChild>
            <w:div w:id="93597203">
              <w:marLeft w:val="0"/>
              <w:marRight w:val="0"/>
              <w:marTop w:val="0"/>
              <w:marBottom w:val="0"/>
              <w:divBdr>
                <w:top w:val="none" w:sz="0" w:space="0" w:color="auto"/>
                <w:left w:val="none" w:sz="0" w:space="0" w:color="auto"/>
                <w:bottom w:val="none" w:sz="0" w:space="0" w:color="auto"/>
                <w:right w:val="none" w:sz="0" w:space="0" w:color="auto"/>
              </w:divBdr>
              <w:divsChild>
                <w:div w:id="72333665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1471">
      <w:bodyDiv w:val="1"/>
      <w:marLeft w:val="0"/>
      <w:marRight w:val="0"/>
      <w:marTop w:val="0"/>
      <w:marBottom w:val="0"/>
      <w:divBdr>
        <w:top w:val="none" w:sz="0" w:space="0" w:color="auto"/>
        <w:left w:val="none" w:sz="0" w:space="0" w:color="auto"/>
        <w:bottom w:val="none" w:sz="0" w:space="0" w:color="auto"/>
        <w:right w:val="none" w:sz="0" w:space="0" w:color="auto"/>
      </w:divBdr>
      <w:divsChild>
        <w:div w:id="1205407945">
          <w:marLeft w:val="0"/>
          <w:marRight w:val="0"/>
          <w:marTop w:val="0"/>
          <w:marBottom w:val="0"/>
          <w:divBdr>
            <w:top w:val="none" w:sz="0" w:space="0" w:color="auto"/>
            <w:left w:val="none" w:sz="0" w:space="0" w:color="auto"/>
            <w:bottom w:val="none" w:sz="0" w:space="0" w:color="auto"/>
            <w:right w:val="none" w:sz="0" w:space="0" w:color="auto"/>
          </w:divBdr>
          <w:divsChild>
            <w:div w:id="1437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79849107-B69C-40F8-9CAF-90F6C794DB1B}">
  <ds:schemaRefs>
    <ds:schemaRef ds:uri="http://schemas.microsoft.com/sharepoint/v3/contenttype/forms"/>
  </ds:schemaRefs>
</ds:datastoreItem>
</file>

<file path=customXml/itemProps2.xml><?xml version="1.0" encoding="utf-8"?>
<ds:datastoreItem xmlns:ds="http://schemas.openxmlformats.org/officeDocument/2006/customXml" ds:itemID="{2E250018-73B4-4015-BCD2-7048C2DCF215}">
  <ds:schemaRefs>
    <ds:schemaRef ds:uri="http://schemas.openxmlformats.org/officeDocument/2006/bibliography"/>
  </ds:schemaRefs>
</ds:datastoreItem>
</file>

<file path=customXml/itemProps3.xml><?xml version="1.0" encoding="utf-8"?>
<ds:datastoreItem xmlns:ds="http://schemas.openxmlformats.org/officeDocument/2006/customXml" ds:itemID="{997DCE34-C039-4887-A986-6678C3F8F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56B3D1-86E5-41DB-9F01-B131DA27987E}">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181</TotalTime>
  <Pages>1</Pages>
  <Words>1147</Words>
  <Characters>10696</Characters>
  <Application>Microsoft Office Word</Application>
  <DocSecurity>0</DocSecurity>
  <Lines>89</Lines>
  <Paragraphs>23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11820</CharactersWithSpaces>
  <SharedDoc>false</SharedDoc>
  <HLinks>
    <vt:vector size="156" baseType="variant">
      <vt:variant>
        <vt:i4>262192</vt:i4>
      </vt:variant>
      <vt:variant>
        <vt:i4>77</vt:i4>
      </vt:variant>
      <vt:variant>
        <vt:i4>0</vt:i4>
      </vt:variant>
      <vt:variant>
        <vt:i4>5</vt:i4>
      </vt:variant>
      <vt:variant>
        <vt:lpwstr/>
      </vt:variant>
      <vt:variant>
        <vt:lpwstr>_top</vt:lpwstr>
      </vt:variant>
      <vt:variant>
        <vt:i4>4784153</vt:i4>
      </vt:variant>
      <vt:variant>
        <vt:i4>74</vt:i4>
      </vt:variant>
      <vt:variant>
        <vt:i4>0</vt:i4>
      </vt:variant>
      <vt:variant>
        <vt:i4>5</vt:i4>
      </vt:variant>
      <vt:variant>
        <vt:lpwstr>https://thesource.cvshealth.com/nuxeo/thesource/</vt:lpwstr>
      </vt:variant>
      <vt:variant>
        <vt:lpwstr>!/view?docid=5df6ae0e-19e8-42f5-b096-426aa4e5bab8</vt:lpwstr>
      </vt:variant>
      <vt:variant>
        <vt:i4>1048651</vt:i4>
      </vt:variant>
      <vt:variant>
        <vt:i4>71</vt:i4>
      </vt:variant>
      <vt:variant>
        <vt:i4>0</vt:i4>
      </vt:variant>
      <vt:variant>
        <vt:i4>5</vt:i4>
      </vt:variant>
      <vt:variant>
        <vt:lpwstr>https://thesource.cvshealth.com/nuxeo/thesource/</vt:lpwstr>
      </vt:variant>
      <vt:variant>
        <vt:lpwstr>!/view?docid=61c91986-6608-4001-9854-3232ade60efe</vt:lpwstr>
      </vt:variant>
      <vt:variant>
        <vt:i4>4980752</vt:i4>
      </vt:variant>
      <vt:variant>
        <vt:i4>68</vt:i4>
      </vt:variant>
      <vt:variant>
        <vt:i4>0</vt:i4>
      </vt:variant>
      <vt:variant>
        <vt:i4>5</vt:i4>
      </vt:variant>
      <vt:variant>
        <vt:lpwstr>https://thesource.cvshealth.com/nuxeo/thesource/</vt:lpwstr>
      </vt:variant>
      <vt:variant>
        <vt:lpwstr>!/view?docid=3eb68d2a-1f2b-4bef-8ef1-fbba50790e85</vt:lpwstr>
      </vt:variant>
      <vt:variant>
        <vt:i4>2031693</vt:i4>
      </vt:variant>
      <vt:variant>
        <vt:i4>65</vt:i4>
      </vt:variant>
      <vt:variant>
        <vt:i4>0</vt:i4>
      </vt:variant>
      <vt:variant>
        <vt:i4>5</vt:i4>
      </vt:variant>
      <vt:variant>
        <vt:lpwstr>https://thesource.cvshealth.com/nuxeo/thesource/</vt:lpwstr>
      </vt:variant>
      <vt:variant>
        <vt:lpwstr>!/view?docid=59c4e7fa-4a87-43c4-89cd-5d4f8c6c3421</vt:lpwstr>
      </vt:variant>
      <vt:variant>
        <vt:i4>1769551</vt:i4>
      </vt:variant>
      <vt:variant>
        <vt:i4>62</vt:i4>
      </vt:variant>
      <vt:variant>
        <vt:i4>0</vt:i4>
      </vt:variant>
      <vt:variant>
        <vt:i4>5</vt:i4>
      </vt:variant>
      <vt:variant>
        <vt:lpwstr>https://thesource.cvshealth.com/nuxeo/thesource/</vt:lpwstr>
      </vt:variant>
      <vt:variant>
        <vt:lpwstr>!/view?docid=db939cc1-1f5e-44de-89df-985827477553</vt:lpwstr>
      </vt:variant>
      <vt:variant>
        <vt:i4>1048594</vt:i4>
      </vt:variant>
      <vt:variant>
        <vt:i4>59</vt:i4>
      </vt:variant>
      <vt:variant>
        <vt:i4>0</vt:i4>
      </vt:variant>
      <vt:variant>
        <vt:i4>5</vt:i4>
      </vt:variant>
      <vt:variant>
        <vt:lpwstr>https://thesource.cvshealth.com/nuxeo/thesource/</vt:lpwstr>
      </vt:variant>
      <vt:variant>
        <vt:lpwstr>!/view?docid=ad278185-117d-433f-bdc2-9327b93c1944</vt:lpwstr>
      </vt:variant>
      <vt:variant>
        <vt:i4>1310796</vt:i4>
      </vt:variant>
      <vt:variant>
        <vt:i4>56</vt:i4>
      </vt:variant>
      <vt:variant>
        <vt:i4>0</vt:i4>
      </vt:variant>
      <vt:variant>
        <vt:i4>5</vt:i4>
      </vt:variant>
      <vt:variant>
        <vt:lpwstr>https://thesource.cvshealth.com/nuxeo/thesource/</vt:lpwstr>
      </vt:variant>
      <vt:variant>
        <vt:lpwstr>!/view?docid=82d46ba5-e3b8-4203-b9ca-8590387f41a5</vt:lpwstr>
      </vt:variant>
      <vt:variant>
        <vt:i4>5046343</vt:i4>
      </vt:variant>
      <vt:variant>
        <vt:i4>53</vt:i4>
      </vt:variant>
      <vt:variant>
        <vt:i4>0</vt:i4>
      </vt:variant>
      <vt:variant>
        <vt:i4>5</vt:i4>
      </vt:variant>
      <vt:variant>
        <vt:lpwstr>https://thesource.cvshealth.com/nuxeo/thesource/</vt:lpwstr>
      </vt:variant>
      <vt:variant>
        <vt:lpwstr>!/view?docid=be4afe4d-8e76-411f-8691-7687ec8811ca</vt:lpwstr>
      </vt:variant>
      <vt:variant>
        <vt:i4>4390983</vt:i4>
      </vt:variant>
      <vt:variant>
        <vt:i4>50</vt:i4>
      </vt:variant>
      <vt:variant>
        <vt:i4>0</vt:i4>
      </vt:variant>
      <vt:variant>
        <vt:i4>5</vt:i4>
      </vt:variant>
      <vt:variant>
        <vt:lpwstr>https://thesource.cvshealth.com/nuxeo/thesource/</vt:lpwstr>
      </vt:variant>
      <vt:variant>
        <vt:lpwstr>!/view?docid=932f2f09-4581-4c2c-861d-5145ad7ab97a</vt:lpwstr>
      </vt:variant>
      <vt:variant>
        <vt:i4>1835037</vt:i4>
      </vt:variant>
      <vt:variant>
        <vt:i4>47</vt:i4>
      </vt:variant>
      <vt:variant>
        <vt:i4>0</vt:i4>
      </vt:variant>
      <vt:variant>
        <vt:i4>5</vt:i4>
      </vt:variant>
      <vt:variant>
        <vt:lpwstr>https://thesource.cvshealth.com/nuxeo/thesource/</vt:lpwstr>
      </vt:variant>
      <vt:variant>
        <vt:lpwstr>!/view?docid=f075340f-87ec-41b3-bdeb-16422d0fed0e</vt:lpwstr>
      </vt:variant>
      <vt:variant>
        <vt:i4>1703966</vt:i4>
      </vt:variant>
      <vt:variant>
        <vt:i4>44</vt:i4>
      </vt:variant>
      <vt:variant>
        <vt:i4>0</vt:i4>
      </vt:variant>
      <vt:variant>
        <vt:i4>5</vt:i4>
      </vt:variant>
      <vt:variant>
        <vt:lpwstr>https://thesource.cvshealth.com/nuxeo/thesource/</vt:lpwstr>
      </vt:variant>
      <vt:variant>
        <vt:lpwstr>!/view?docid=f22eb77e-4033-4ad9-9afb-fc262f29faad</vt:lpwstr>
      </vt:variant>
      <vt:variant>
        <vt:i4>1835030</vt:i4>
      </vt:variant>
      <vt:variant>
        <vt:i4>41</vt:i4>
      </vt:variant>
      <vt:variant>
        <vt:i4>0</vt:i4>
      </vt:variant>
      <vt:variant>
        <vt:i4>5</vt:i4>
      </vt:variant>
      <vt:variant>
        <vt:lpwstr>https://thesource.cvshealth.com/nuxeo/thesource/</vt:lpwstr>
      </vt:variant>
      <vt:variant>
        <vt:lpwstr>!/view?docid=b0d1693e-3ebd-45e7-811a-adbe7e2c9f83</vt:lpwstr>
      </vt:variant>
      <vt:variant>
        <vt:i4>4390928</vt:i4>
      </vt:variant>
      <vt:variant>
        <vt:i4>38</vt:i4>
      </vt:variant>
      <vt:variant>
        <vt:i4>0</vt:i4>
      </vt:variant>
      <vt:variant>
        <vt:i4>5</vt:i4>
      </vt:variant>
      <vt:variant>
        <vt:lpwstr>https://thesource.cvshealth.com/nuxeo/thesource/</vt:lpwstr>
      </vt:variant>
      <vt:variant>
        <vt:lpwstr>!/view?docid=684a02bb-9cb0-473d-9b90-56fc922c1ed6</vt:lpwstr>
      </vt:variant>
      <vt:variant>
        <vt:i4>1114141</vt:i4>
      </vt:variant>
      <vt:variant>
        <vt:i4>35</vt:i4>
      </vt:variant>
      <vt:variant>
        <vt:i4>0</vt:i4>
      </vt:variant>
      <vt:variant>
        <vt:i4>5</vt:i4>
      </vt:variant>
      <vt:variant>
        <vt:lpwstr>https://thesource.cvshealth.com/nuxeo/thesource/</vt:lpwstr>
      </vt:variant>
      <vt:variant>
        <vt:lpwstr>!/view?docid=1d44c6bc-e5ba-4f93-b5ab-0b733ad871d6</vt:lpwstr>
      </vt:variant>
      <vt:variant>
        <vt:i4>4522000</vt:i4>
      </vt:variant>
      <vt:variant>
        <vt:i4>32</vt:i4>
      </vt:variant>
      <vt:variant>
        <vt:i4>0</vt:i4>
      </vt:variant>
      <vt:variant>
        <vt:i4>5</vt:i4>
      </vt:variant>
      <vt:variant>
        <vt:lpwstr>https://thesource.cvshealth.com/nuxeo/thesource/</vt:lpwstr>
      </vt:variant>
      <vt:variant>
        <vt:lpwstr>!/view?docid=a1443f4f-499e-442c-be11-fd2b207bf86c</vt:lpwstr>
      </vt:variant>
      <vt:variant>
        <vt:i4>4587548</vt:i4>
      </vt:variant>
      <vt:variant>
        <vt:i4>29</vt:i4>
      </vt:variant>
      <vt:variant>
        <vt:i4>0</vt:i4>
      </vt:variant>
      <vt:variant>
        <vt:i4>5</vt:i4>
      </vt:variant>
      <vt:variant>
        <vt:lpwstr>https://thesource.cvshealth.com/nuxeo/thesource/</vt:lpwstr>
      </vt:variant>
      <vt:variant>
        <vt:lpwstr>!/view?docid=5b354e50-0d15-42d0-b9c2-0711ea02d9ce</vt:lpwstr>
      </vt:variant>
      <vt:variant>
        <vt:i4>1572889</vt:i4>
      </vt:variant>
      <vt:variant>
        <vt:i4>26</vt:i4>
      </vt:variant>
      <vt:variant>
        <vt:i4>0</vt:i4>
      </vt:variant>
      <vt:variant>
        <vt:i4>5</vt:i4>
      </vt:variant>
      <vt:variant>
        <vt:lpwstr>https://thesource.cvshealth.com/nuxeo/thesource/</vt:lpwstr>
      </vt:variant>
      <vt:variant>
        <vt:lpwstr>!/view?docid=846fc4bb-be62-4f48-aba4-23a47785db6c</vt:lpwstr>
      </vt:variant>
      <vt:variant>
        <vt:i4>1245209</vt:i4>
      </vt:variant>
      <vt:variant>
        <vt:i4>23</vt:i4>
      </vt:variant>
      <vt:variant>
        <vt:i4>0</vt:i4>
      </vt:variant>
      <vt:variant>
        <vt:i4>5</vt:i4>
      </vt:variant>
      <vt:variant>
        <vt:lpwstr>https://thesource.cvshealth.com/nuxeo/thesource/</vt:lpwstr>
      </vt:variant>
      <vt:variant>
        <vt:lpwstr>!/view?docid=480af287-dcb8-4305-84c5-dfe8e0c39312</vt:lpwstr>
      </vt:variant>
      <vt:variant>
        <vt:i4>1376333</vt:i4>
      </vt:variant>
      <vt:variant>
        <vt:i4>20</vt:i4>
      </vt:variant>
      <vt:variant>
        <vt:i4>0</vt:i4>
      </vt:variant>
      <vt:variant>
        <vt:i4>5</vt:i4>
      </vt:variant>
      <vt:variant>
        <vt:lpwstr>https://thesource.cvshealth.com/nuxeo/thesource/</vt:lpwstr>
      </vt:variant>
      <vt:variant>
        <vt:lpwstr>!/view?docid=c1f1028b-e42c-4b4f-a4cf-cc0b42c91606</vt:lpwstr>
      </vt:variant>
      <vt:variant>
        <vt:i4>4587597</vt:i4>
      </vt:variant>
      <vt:variant>
        <vt:i4>17</vt:i4>
      </vt:variant>
      <vt:variant>
        <vt:i4>0</vt:i4>
      </vt:variant>
      <vt:variant>
        <vt:i4>5</vt:i4>
      </vt:variant>
      <vt:variant>
        <vt:lpwstr>https://thesource.cvshealth.com/nuxeo/thesource/</vt:lpwstr>
      </vt:variant>
      <vt:variant>
        <vt:lpwstr>!/view?docid=15c87ef7-855f-4e6a-9404-9035b415ff3c</vt:lpwstr>
      </vt:variant>
      <vt:variant>
        <vt:i4>4587549</vt:i4>
      </vt:variant>
      <vt:variant>
        <vt:i4>14</vt:i4>
      </vt:variant>
      <vt:variant>
        <vt:i4>0</vt:i4>
      </vt:variant>
      <vt:variant>
        <vt:i4>5</vt:i4>
      </vt:variant>
      <vt:variant>
        <vt:lpwstr>https://thesource.cvshealth.com/nuxeo/thesource/</vt:lpwstr>
      </vt:variant>
      <vt:variant>
        <vt:lpwstr>!/view?docid=d398e625-c2e5-4974-ae84-115dd5e53b73</vt:lpwstr>
      </vt:variant>
      <vt:variant>
        <vt:i4>1114136</vt:i4>
      </vt:variant>
      <vt:variant>
        <vt:i4>11</vt:i4>
      </vt:variant>
      <vt:variant>
        <vt:i4>0</vt:i4>
      </vt:variant>
      <vt:variant>
        <vt:i4>5</vt:i4>
      </vt:variant>
      <vt:variant>
        <vt:lpwstr>https://thesource.cvshealth.com/nuxeo/thesource/</vt:lpwstr>
      </vt:variant>
      <vt:variant>
        <vt:lpwstr>!/view?docid=8c31454d-f1e4-41af-b678-7017409e18f4</vt:lpwstr>
      </vt:variant>
      <vt:variant>
        <vt:i4>262192</vt:i4>
      </vt:variant>
      <vt:variant>
        <vt:i4>9</vt:i4>
      </vt:variant>
      <vt:variant>
        <vt:i4>0</vt:i4>
      </vt:variant>
      <vt:variant>
        <vt:i4>5</vt:i4>
      </vt:variant>
      <vt:variant>
        <vt:lpwstr/>
      </vt:variant>
      <vt:variant>
        <vt:lpwstr>_top</vt:lpwstr>
      </vt:variant>
      <vt:variant>
        <vt:i4>1900592</vt:i4>
      </vt:variant>
      <vt:variant>
        <vt:i4>5</vt:i4>
      </vt:variant>
      <vt:variant>
        <vt:i4>0</vt:i4>
      </vt:variant>
      <vt:variant>
        <vt:i4>5</vt:i4>
      </vt:variant>
      <vt:variant>
        <vt:lpwstr/>
      </vt:variant>
      <vt:variant>
        <vt:lpwstr>_Toc137010792</vt:lpwstr>
      </vt:variant>
      <vt:variant>
        <vt:i4>1900592</vt:i4>
      </vt:variant>
      <vt:variant>
        <vt:i4>2</vt:i4>
      </vt:variant>
      <vt:variant>
        <vt:i4>0</vt:i4>
      </vt:variant>
      <vt:variant>
        <vt:i4>5</vt:i4>
      </vt:variant>
      <vt:variant>
        <vt:lpwstr/>
      </vt:variant>
      <vt:variant>
        <vt:lpwstr>_Toc137010791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Davis, David P.</cp:lastModifiedBy>
  <cp:revision>109</cp:revision>
  <cp:lastPrinted>2007-01-03T18:56:00Z</cp:lastPrinted>
  <dcterms:created xsi:type="dcterms:W3CDTF">2024-12-20T15:37:00Z</dcterms:created>
  <dcterms:modified xsi:type="dcterms:W3CDTF">2025-04-24T20:50:00Z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2022-04-27T17:53:05Z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d9537364-48dd-4b19-8117-0f53cd843bcf</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