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206F0" w14:textId="6879C68F" w:rsidR="00AC598B" w:rsidRDefault="004370D6">
      <w:pPr>
        <w:pStyle w:val="Heading1"/>
        <w:rPr>
          <w:rFonts w:ascii="Verdana" w:hAnsi="Verdana"/>
          <w:color w:val="auto"/>
          <w:sz w:val="36"/>
          <w:szCs w:val="36"/>
        </w:rPr>
      </w:pPr>
      <w:bookmarkStart w:id="0" w:name="_top"/>
      <w:bookmarkStart w:id="1" w:name="_Copay_Too_High"/>
      <w:bookmarkEnd w:id="0"/>
      <w:bookmarkEnd w:id="1"/>
      <w:r>
        <w:rPr>
          <w:rFonts w:ascii="Verdana" w:hAnsi="Verdana"/>
          <w:color w:val="auto"/>
          <w:sz w:val="36"/>
          <w:szCs w:val="36"/>
        </w:rPr>
        <w:t xml:space="preserve">PeopleSafe - </w:t>
      </w:r>
      <w:r w:rsidR="00AC598B">
        <w:rPr>
          <w:rFonts w:ascii="Verdana" w:hAnsi="Verdana"/>
          <w:color w:val="auto"/>
          <w:sz w:val="36"/>
          <w:szCs w:val="36"/>
        </w:rPr>
        <w:t>Copay Too High</w:t>
      </w:r>
      <w:r w:rsidR="0032542F">
        <w:rPr>
          <w:rFonts w:ascii="Verdana" w:hAnsi="Verdana"/>
          <w:color w:val="auto"/>
          <w:sz w:val="36"/>
          <w:szCs w:val="36"/>
        </w:rPr>
        <w:t xml:space="preserve"> </w:t>
      </w:r>
      <w:r w:rsidR="00AC598B">
        <w:rPr>
          <w:rFonts w:ascii="Verdana" w:hAnsi="Verdana"/>
          <w:color w:val="auto"/>
          <w:sz w:val="36"/>
          <w:szCs w:val="36"/>
        </w:rPr>
        <w:t>/</w:t>
      </w:r>
      <w:r w:rsidR="0032542F">
        <w:rPr>
          <w:rFonts w:ascii="Verdana" w:hAnsi="Verdana"/>
          <w:color w:val="auto"/>
          <w:sz w:val="36"/>
          <w:szCs w:val="36"/>
        </w:rPr>
        <w:t xml:space="preserve"> </w:t>
      </w:r>
      <w:r w:rsidR="00AC598B">
        <w:rPr>
          <w:rFonts w:ascii="Verdana" w:hAnsi="Verdana"/>
          <w:color w:val="auto"/>
          <w:sz w:val="36"/>
          <w:szCs w:val="36"/>
        </w:rPr>
        <w:t>MAB Exceeded – Caremark Non</w:t>
      </w:r>
      <w:r w:rsidR="000E1D27">
        <w:rPr>
          <w:rFonts w:ascii="Verdana" w:hAnsi="Verdana"/>
          <w:color w:val="auto"/>
          <w:sz w:val="36"/>
          <w:szCs w:val="36"/>
        </w:rPr>
        <w:t xml:space="preserve">-Conformance </w:t>
      </w:r>
      <w:r w:rsidR="00AC598B">
        <w:rPr>
          <w:rFonts w:ascii="Verdana" w:hAnsi="Verdana"/>
          <w:color w:val="auto"/>
          <w:sz w:val="36"/>
          <w:szCs w:val="36"/>
        </w:rPr>
        <w:t xml:space="preserve">CCR </w:t>
      </w:r>
    </w:p>
    <w:p w14:paraId="69626901" w14:textId="25C712A9" w:rsidR="00D776DE" w:rsidRDefault="00681C6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33671">
        <w:rPr>
          <w:rFonts w:ascii="Verdana" w:hAnsi="Verdana"/>
        </w:rPr>
        <w:fldChar w:fldCharType="begin"/>
      </w:r>
      <w:r w:rsidRPr="00E33671">
        <w:rPr>
          <w:rFonts w:ascii="Verdana" w:hAnsi="Verdana"/>
        </w:rPr>
        <w:instrText xml:space="preserve"> TOC \o "2-2" \n \p " " \h \z \u </w:instrText>
      </w:r>
      <w:r w:rsidRPr="00E33671">
        <w:rPr>
          <w:rFonts w:ascii="Verdana" w:hAnsi="Verdana"/>
        </w:rPr>
        <w:fldChar w:fldCharType="separate"/>
      </w:r>
      <w:hyperlink w:anchor="_Toc149054249" w:history="1">
        <w:r w:rsidR="00D776DE" w:rsidRPr="007B7C19">
          <w:rPr>
            <w:rStyle w:val="Hyperlink"/>
            <w:rFonts w:ascii="Verdana" w:hAnsi="Verdana"/>
            <w:noProof/>
          </w:rPr>
          <w:t>Reminders</w:t>
        </w:r>
      </w:hyperlink>
    </w:p>
    <w:p w14:paraId="7F63402C" w14:textId="32252B60" w:rsidR="00D776DE" w:rsidRDefault="00D776D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9054250" w:history="1">
        <w:r w:rsidRPr="007B7C19">
          <w:rPr>
            <w:rStyle w:val="Hyperlink"/>
            <w:rFonts w:ascii="Verdana" w:hAnsi="Verdana"/>
            <w:noProof/>
          </w:rPr>
          <w:t>Process</w:t>
        </w:r>
      </w:hyperlink>
    </w:p>
    <w:p w14:paraId="1DA1DF02" w14:textId="62647E5A" w:rsidR="00D776DE" w:rsidRDefault="00D776D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9054251" w:history="1">
        <w:r w:rsidRPr="007B7C19">
          <w:rPr>
            <w:rStyle w:val="Hyperlink"/>
            <w:rFonts w:ascii="Verdana" w:hAnsi="Verdana"/>
            <w:noProof/>
          </w:rPr>
          <w:t>Resolution Time</w:t>
        </w:r>
      </w:hyperlink>
    </w:p>
    <w:p w14:paraId="65F50F7D" w14:textId="51F8D335" w:rsidR="00D776DE" w:rsidRDefault="00D776D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9054252" w:history="1">
        <w:r w:rsidRPr="007B7C19">
          <w:rPr>
            <w:rStyle w:val="Hyperlink"/>
            <w:rFonts w:ascii="Verdana" w:hAnsi="Verdana"/>
            <w:noProof/>
          </w:rPr>
          <w:t>Exceptions</w:t>
        </w:r>
      </w:hyperlink>
    </w:p>
    <w:p w14:paraId="05601E5B" w14:textId="03FBFEDF" w:rsidR="00D776DE" w:rsidRDefault="00D776D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9054253" w:history="1">
        <w:r w:rsidRPr="007B7C19">
          <w:rPr>
            <w:rStyle w:val="Hyperlink"/>
            <w:rFonts w:ascii="Verdana" w:hAnsi="Verdana"/>
            <w:noProof/>
          </w:rPr>
          <w:t>Related Documents</w:t>
        </w:r>
      </w:hyperlink>
    </w:p>
    <w:p w14:paraId="58E81561" w14:textId="53794AC5" w:rsidR="00681C6B" w:rsidRDefault="00681C6B">
      <w:pPr>
        <w:rPr>
          <w:rFonts w:ascii="Verdana" w:hAnsi="Verdana"/>
        </w:rPr>
      </w:pPr>
      <w:r w:rsidRPr="00E33671">
        <w:rPr>
          <w:rFonts w:ascii="Verdana" w:hAnsi="Verdana"/>
        </w:rPr>
        <w:fldChar w:fldCharType="end"/>
      </w:r>
      <w:r w:rsidRPr="00E33671">
        <w:rPr>
          <w:rFonts w:ascii="Verdana" w:hAnsi="Verdana"/>
        </w:rPr>
        <w:t xml:space="preserve"> </w:t>
      </w:r>
    </w:p>
    <w:p w14:paraId="5A89050D" w14:textId="77777777" w:rsidR="00E8252C" w:rsidRPr="00E33671" w:rsidRDefault="00E8252C">
      <w:pPr>
        <w:rPr>
          <w:rFonts w:ascii="Verdana" w:hAnsi="Verdana"/>
        </w:rPr>
      </w:pPr>
    </w:p>
    <w:p w14:paraId="5593A341" w14:textId="6924DF68" w:rsidR="00656A06" w:rsidRDefault="00656A06" w:rsidP="00E8252C">
      <w:pPr>
        <w:spacing w:before="120" w:after="120"/>
        <w:rPr>
          <w:rFonts w:ascii="Verdana" w:hAnsi="Verdana"/>
        </w:rPr>
      </w:pPr>
      <w:r w:rsidRPr="00E8252C">
        <w:rPr>
          <w:rFonts w:ascii="Verdana" w:hAnsi="Verdana"/>
          <w:b/>
          <w:bCs/>
        </w:rPr>
        <w:t>Description</w:t>
      </w:r>
      <w:r w:rsidR="001E66CF">
        <w:rPr>
          <w:rFonts w:ascii="Verdana" w:hAnsi="Verdana"/>
          <w:b/>
          <w:bCs/>
        </w:rPr>
        <w:t xml:space="preserve">: </w:t>
      </w:r>
      <w:r w:rsidR="00D776DE">
        <w:rPr>
          <w:rFonts w:ascii="Verdana" w:hAnsi="Verdana"/>
        </w:rPr>
        <w:t>P</w:t>
      </w:r>
      <w:r>
        <w:rPr>
          <w:rFonts w:ascii="Verdana" w:hAnsi="Verdana"/>
        </w:rPr>
        <w:t xml:space="preserve">rovides instructions for when a plan member requests to return a prescription or order alleging Caremark failed to inform them of </w:t>
      </w:r>
      <w:proofErr w:type="gramStart"/>
      <w:r>
        <w:rPr>
          <w:rFonts w:ascii="Verdana" w:hAnsi="Verdana"/>
        </w:rPr>
        <w:t>high</w:t>
      </w:r>
      <w:proofErr w:type="gramEnd"/>
      <w:r>
        <w:rPr>
          <w:rFonts w:ascii="Verdana" w:hAnsi="Verdana"/>
        </w:rPr>
        <w:t xml:space="preserve"> dollar amount.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AC598B" w14:paraId="1D6602A1" w14:textId="77777777" w:rsidTr="00DD7F91">
        <w:tc>
          <w:tcPr>
            <w:tcW w:w="5000" w:type="pct"/>
            <w:shd w:val="clear" w:color="auto" w:fill="C0C0C0"/>
          </w:tcPr>
          <w:p w14:paraId="1BEAE528" w14:textId="6AB19500" w:rsidR="00AC598B" w:rsidRDefault="00656A06" w:rsidP="00E8252C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" w:name="_Overview"/>
            <w:bookmarkStart w:id="3" w:name="_Toc149054249"/>
            <w:bookmarkEnd w:id="2"/>
            <w:r>
              <w:rPr>
                <w:rFonts w:ascii="Verdana" w:hAnsi="Verdana"/>
                <w:i w:val="0"/>
                <w:iCs w:val="0"/>
              </w:rPr>
              <w:t>Reminders</w:t>
            </w:r>
            <w:bookmarkEnd w:id="3"/>
            <w:r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6D7F9ED2" w14:textId="77777777" w:rsidR="00EB284F" w:rsidRDefault="00EB284F" w:rsidP="00E8252C">
      <w:pPr>
        <w:spacing w:before="120" w:after="120"/>
        <w:rPr>
          <w:rFonts w:ascii="Verdana" w:hAnsi="Verdana"/>
        </w:rPr>
      </w:pPr>
    </w:p>
    <w:p w14:paraId="53FCD14E" w14:textId="77777777" w:rsidR="00656A06" w:rsidRDefault="00AC598B" w:rsidP="00E8252C">
      <w:pPr>
        <w:numPr>
          <w:ilvl w:val="0"/>
          <w:numId w:val="11"/>
        </w:numPr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Notification to Caremark must be </w:t>
      </w:r>
      <w:r>
        <w:rPr>
          <w:rFonts w:ascii="Verdana" w:hAnsi="Verdana"/>
          <w:b/>
        </w:rPr>
        <w:t>within 30 days</w:t>
      </w:r>
      <w:r>
        <w:rPr>
          <w:rFonts w:ascii="Verdana" w:hAnsi="Verdana"/>
        </w:rPr>
        <w:t xml:space="preserve"> from ship date, counting </w:t>
      </w:r>
      <w:r>
        <w:rPr>
          <w:rFonts w:ascii="Verdana" w:hAnsi="Verdana"/>
          <w:b/>
          <w:bCs/>
        </w:rPr>
        <w:t>ship date as Day 1</w:t>
      </w:r>
      <w:r>
        <w:rPr>
          <w:rFonts w:ascii="Verdana" w:hAnsi="Verdana"/>
        </w:rPr>
        <w:t>.</w:t>
      </w:r>
    </w:p>
    <w:p w14:paraId="24F67049" w14:textId="77777777" w:rsidR="00EB284F" w:rsidRPr="00203875" w:rsidRDefault="00AC598B" w:rsidP="00E8252C">
      <w:pPr>
        <w:numPr>
          <w:ilvl w:val="0"/>
          <w:numId w:val="11"/>
        </w:numPr>
        <w:spacing w:before="120" w:after="120"/>
        <w:rPr>
          <w:rFonts w:ascii="Verdana" w:hAnsi="Verdana" w:cs="Courier New"/>
          <w:color w:val="000000"/>
        </w:rPr>
      </w:pPr>
      <w:r w:rsidRPr="00203875">
        <w:rPr>
          <w:rFonts w:ascii="Verdana" w:hAnsi="Verdana" w:cs="Courier New"/>
          <w:color w:val="000000"/>
        </w:rPr>
        <w:t xml:space="preserve">If any portion of the product has been taken, then Caremark cannot issue a refund or credit.  </w:t>
      </w:r>
    </w:p>
    <w:p w14:paraId="1D3E56EC" w14:textId="77777777" w:rsidR="00E8252C" w:rsidRDefault="00AC598B" w:rsidP="00E8252C">
      <w:pPr>
        <w:numPr>
          <w:ilvl w:val="1"/>
          <w:numId w:val="11"/>
        </w:numPr>
        <w:tabs>
          <w:tab w:val="clear" w:pos="1440"/>
        </w:tabs>
        <w:spacing w:before="120" w:after="120"/>
        <w:ind w:left="720"/>
        <w:rPr>
          <w:rFonts w:ascii="Verdana" w:hAnsi="Verdana" w:cs="Courier New"/>
          <w:color w:val="000000"/>
        </w:rPr>
      </w:pPr>
      <w:r>
        <w:rPr>
          <w:rFonts w:ascii="Verdana" w:hAnsi="Verdana" w:cs="Courier New"/>
          <w:color w:val="000000"/>
        </w:rPr>
        <w:t xml:space="preserve">We are not able to issue partial credits.  </w:t>
      </w:r>
    </w:p>
    <w:p w14:paraId="7B994A43" w14:textId="77777777" w:rsidR="00AC598B" w:rsidRPr="00E8252C" w:rsidRDefault="00AC598B" w:rsidP="00E8252C">
      <w:pPr>
        <w:numPr>
          <w:ilvl w:val="1"/>
          <w:numId w:val="11"/>
        </w:numPr>
        <w:tabs>
          <w:tab w:val="clear" w:pos="1440"/>
        </w:tabs>
        <w:spacing w:before="120" w:after="120"/>
        <w:ind w:left="720"/>
        <w:rPr>
          <w:rFonts w:ascii="Verdana" w:hAnsi="Verdana" w:cs="Courier New"/>
          <w:color w:val="000000"/>
        </w:rPr>
      </w:pPr>
      <w:r w:rsidRPr="00E8252C">
        <w:rPr>
          <w:rFonts w:ascii="Verdana" w:hAnsi="Verdana" w:cs="Courier New"/>
          <w:color w:val="000000"/>
        </w:rPr>
        <w:t>The product must be totally unused, or this procedure would not apply.</w:t>
      </w:r>
    </w:p>
    <w:p w14:paraId="42C2E4D3" w14:textId="77777777" w:rsidR="00AC598B" w:rsidRDefault="00AC598B" w:rsidP="00E8252C">
      <w:pPr>
        <w:spacing w:before="120" w:after="120"/>
        <w:rPr>
          <w:rFonts w:ascii="Verdana" w:hAnsi="Verdana" w:cs="Courier New"/>
          <w:color w:val="000000"/>
        </w:rPr>
      </w:pPr>
    </w:p>
    <w:p w14:paraId="49D14F7D" w14:textId="580CC6F4" w:rsidR="00AC598B" w:rsidRDefault="00AC598B" w:rsidP="00E8252C">
      <w:pPr>
        <w:spacing w:before="120" w:after="120"/>
        <w:rPr>
          <w:rFonts w:ascii="Verdana" w:hAnsi="Verdana"/>
        </w:rPr>
      </w:pPr>
      <w:r>
        <w:rPr>
          <w:rFonts w:ascii="Verdana" w:hAnsi="Verdana" w:cs="Courier New"/>
          <w:b/>
          <w:color w:val="000000"/>
        </w:rPr>
        <w:t>E</w:t>
      </w:r>
      <w:r w:rsidR="00464CD9">
        <w:rPr>
          <w:rFonts w:ascii="Verdana" w:hAnsi="Verdana" w:cs="Courier New"/>
          <w:b/>
          <w:color w:val="000000"/>
        </w:rPr>
        <w:t>xception</w:t>
      </w:r>
      <w:r w:rsidR="001E66CF">
        <w:rPr>
          <w:rFonts w:ascii="Verdana" w:hAnsi="Verdana" w:cs="Courier New"/>
          <w:b/>
          <w:color w:val="000000"/>
        </w:rPr>
        <w:t xml:space="preserve">: </w:t>
      </w:r>
      <w:r>
        <w:rPr>
          <w:rFonts w:ascii="Verdana" w:hAnsi="Verdana" w:cs="Courier New"/>
          <w:b/>
          <w:color w:val="000000"/>
        </w:rPr>
        <w:t>AT&amp;T</w:t>
      </w:r>
      <w:r>
        <w:rPr>
          <w:rFonts w:ascii="Verdana" w:hAnsi="Verdana" w:cs="Courier New"/>
          <w:color w:val="000000"/>
        </w:rPr>
        <w:t xml:space="preserve"> is excluded from this practice.</w:t>
      </w:r>
    </w:p>
    <w:p w14:paraId="7DE34A45" w14:textId="77777777" w:rsidR="00AC598B" w:rsidRDefault="00AC598B">
      <w:pPr>
        <w:jc w:val="right"/>
        <w:rPr>
          <w:rFonts w:ascii="Verdana" w:hAnsi="Verdana"/>
          <w:color w:val="0000FF"/>
        </w:rPr>
      </w:pPr>
    </w:p>
    <w:p w14:paraId="13A52D6F" w14:textId="28ED5B09" w:rsidR="00AC598B" w:rsidRDefault="00AC598B">
      <w:pPr>
        <w:jc w:val="right"/>
        <w:rPr>
          <w:rFonts w:ascii="Verdana" w:hAnsi="Verdana"/>
          <w:color w:val="0000FF"/>
        </w:rPr>
      </w:pPr>
      <w:hyperlink w:anchor="_top" w:history="1">
        <w:r w:rsidRPr="00CC0F5F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AC598B" w14:paraId="41DEFA32" w14:textId="77777777" w:rsidTr="0016504C">
        <w:tc>
          <w:tcPr>
            <w:tcW w:w="5000" w:type="pct"/>
            <w:shd w:val="clear" w:color="auto" w:fill="C0C0C0"/>
          </w:tcPr>
          <w:p w14:paraId="42CCB23F" w14:textId="765FA3AB" w:rsidR="00AC598B" w:rsidRPr="004E71BF" w:rsidRDefault="006D20B1" w:rsidP="00E8252C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4" w:name="_Various_Work_Instructions"/>
            <w:bookmarkStart w:id="5" w:name="_Process"/>
            <w:bookmarkStart w:id="6" w:name="_Various_Work_Instructions1"/>
            <w:bookmarkStart w:id="7" w:name="_Various_Work_Instructions_1"/>
            <w:bookmarkStart w:id="8" w:name="_Toc149054250"/>
            <w:bookmarkEnd w:id="4"/>
            <w:bookmarkEnd w:id="5"/>
            <w:bookmarkEnd w:id="6"/>
            <w:bookmarkEnd w:id="7"/>
            <w:r>
              <w:rPr>
                <w:rFonts w:ascii="Verdana" w:hAnsi="Verdana"/>
                <w:i w:val="0"/>
              </w:rPr>
              <w:t>Process</w:t>
            </w:r>
            <w:bookmarkEnd w:id="8"/>
          </w:p>
        </w:tc>
      </w:tr>
    </w:tbl>
    <w:p w14:paraId="22312BCE" w14:textId="2F8E83CB" w:rsidR="00AC598B" w:rsidRDefault="00464CD9" w:rsidP="00E8252C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Perform the steps below</w:t>
      </w:r>
      <w:r w:rsidR="001E66CF">
        <w:rPr>
          <w:rFonts w:ascii="Verdana" w:hAnsi="Verdana"/>
        </w:rPr>
        <w:t xml:space="preserve">: </w:t>
      </w:r>
      <w:r>
        <w:rPr>
          <w:rFonts w:ascii="Verdana" w:hAnsi="Verdana"/>
        </w:rPr>
        <w:t>(</w:t>
      </w:r>
      <w:r>
        <w:rPr>
          <w:rFonts w:ascii="Verdana" w:hAnsi="Verdana" w:cs="Courier New"/>
          <w:b/>
          <w:color w:val="000000"/>
        </w:rPr>
        <w:t>Exception</w:t>
      </w:r>
      <w:r w:rsidR="001E66CF">
        <w:rPr>
          <w:rFonts w:ascii="Verdana" w:hAnsi="Verdana" w:cs="Courier New"/>
          <w:b/>
          <w:color w:val="000000"/>
        </w:rPr>
        <w:t xml:space="preserve">: </w:t>
      </w:r>
      <w:r>
        <w:rPr>
          <w:rFonts w:ascii="Verdana" w:hAnsi="Verdana" w:cs="Courier New"/>
          <w:b/>
          <w:color w:val="000000"/>
        </w:rPr>
        <w:t>AT&amp;T</w:t>
      </w:r>
      <w:r>
        <w:rPr>
          <w:rFonts w:ascii="Verdana" w:hAnsi="Verdana" w:cs="Courier New"/>
          <w:color w:val="000000"/>
        </w:rPr>
        <w:t xml:space="preserve"> is excluded from this practice).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9"/>
        <w:gridCol w:w="5499"/>
        <w:gridCol w:w="6042"/>
      </w:tblGrid>
      <w:tr w:rsidR="00AC598B" w14:paraId="63EE5A7C" w14:textId="77777777" w:rsidTr="00DD7F91">
        <w:tc>
          <w:tcPr>
            <w:tcW w:w="544" w:type="pct"/>
            <w:shd w:val="clear" w:color="auto" w:fill="E6E6E6"/>
          </w:tcPr>
          <w:p w14:paraId="536A36EE" w14:textId="77777777" w:rsidR="00AC598B" w:rsidRDefault="00AC598B" w:rsidP="00E8252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Step</w:t>
            </w:r>
          </w:p>
        </w:tc>
        <w:tc>
          <w:tcPr>
            <w:tcW w:w="4456" w:type="pct"/>
            <w:gridSpan w:val="2"/>
            <w:shd w:val="clear" w:color="auto" w:fill="E6E6E6"/>
          </w:tcPr>
          <w:p w14:paraId="2CCA3209" w14:textId="77777777" w:rsidR="00AC598B" w:rsidRDefault="00AC598B" w:rsidP="00E8252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Action</w:t>
            </w:r>
          </w:p>
        </w:tc>
      </w:tr>
      <w:tr w:rsidR="0032542F" w14:paraId="6C759233" w14:textId="77777777" w:rsidTr="00DD7F91">
        <w:trPr>
          <w:trHeight w:val="330"/>
        </w:trPr>
        <w:tc>
          <w:tcPr>
            <w:tcW w:w="544" w:type="pct"/>
            <w:vMerge w:val="restart"/>
          </w:tcPr>
          <w:p w14:paraId="4A12315F" w14:textId="77777777" w:rsidR="0032542F" w:rsidRDefault="00DD7F91" w:rsidP="00E8252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456" w:type="pct"/>
            <w:gridSpan w:val="2"/>
            <w:tcBorders>
              <w:bottom w:val="single" w:sz="4" w:space="0" w:color="auto"/>
            </w:tcBorders>
          </w:tcPr>
          <w:p w14:paraId="06E724A5" w14:textId="3EDCBBCE" w:rsidR="0032542F" w:rsidRDefault="0032542F" w:rsidP="00E8252C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From the </w:t>
            </w:r>
            <w:r w:rsidR="00B4086E">
              <w:rPr>
                <w:rFonts w:ascii="Verdana" w:hAnsi="Verdana"/>
                <w:noProof/>
                <w:color w:val="0000FF"/>
                <w:position w:val="-24"/>
              </w:rPr>
              <w:drawing>
                <wp:inline distT="0" distB="0" distL="0" distR="0" wp14:anchorId="2D03EC08" wp14:editId="37F3D7F1">
                  <wp:extent cx="1076325" cy="3619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</w:rPr>
              <w:t xml:space="preserve">, click on the </w:t>
            </w:r>
            <w:r w:rsidRPr="00E84806">
              <w:rPr>
                <w:rFonts w:ascii="Verdana" w:hAnsi="Verdana"/>
                <w:b/>
              </w:rPr>
              <w:t>Plan Summary</w:t>
            </w:r>
            <w:r>
              <w:rPr>
                <w:rFonts w:ascii="Verdana" w:hAnsi="Verdana"/>
              </w:rPr>
              <w:t xml:space="preserve"> Tab along with reviewing the Plan Design/Client Information Form (CIF) in </w:t>
            </w:r>
            <w:r w:rsidR="0079218A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>Source for copays, deductibles, MABs and ancillary fees, if any.</w:t>
            </w:r>
          </w:p>
        </w:tc>
      </w:tr>
      <w:tr w:rsidR="0032542F" w14:paraId="07812A5D" w14:textId="77777777" w:rsidTr="00DD7F91">
        <w:tc>
          <w:tcPr>
            <w:tcW w:w="544" w:type="pct"/>
            <w:vMerge/>
          </w:tcPr>
          <w:p w14:paraId="75769A92" w14:textId="77777777" w:rsidR="0032542F" w:rsidRDefault="0032542F" w:rsidP="00E8252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123" w:type="pct"/>
            <w:shd w:val="clear" w:color="auto" w:fill="E6E6E6"/>
          </w:tcPr>
          <w:p w14:paraId="6214D08B" w14:textId="77777777" w:rsidR="0032542F" w:rsidRPr="00464CD9" w:rsidRDefault="0032542F" w:rsidP="00E8252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If the…</w:t>
            </w:r>
          </w:p>
        </w:tc>
        <w:tc>
          <w:tcPr>
            <w:tcW w:w="2333" w:type="pct"/>
            <w:shd w:val="clear" w:color="auto" w:fill="E6E6E6"/>
          </w:tcPr>
          <w:p w14:paraId="539147ED" w14:textId="77777777" w:rsidR="0032542F" w:rsidRPr="00464CD9" w:rsidRDefault="0032542F" w:rsidP="00E8252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Then…</w:t>
            </w:r>
          </w:p>
        </w:tc>
      </w:tr>
      <w:tr w:rsidR="0032542F" w14:paraId="4C2F5242" w14:textId="77777777" w:rsidTr="00DD7F91">
        <w:trPr>
          <w:trHeight w:val="330"/>
        </w:trPr>
        <w:tc>
          <w:tcPr>
            <w:tcW w:w="544" w:type="pct"/>
            <w:vMerge/>
          </w:tcPr>
          <w:p w14:paraId="0142EE68" w14:textId="77777777" w:rsidR="0032542F" w:rsidRDefault="0032542F" w:rsidP="00E8252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123" w:type="pct"/>
          </w:tcPr>
          <w:p w14:paraId="7FC0BD3B" w14:textId="77777777" w:rsidR="0032542F" w:rsidRDefault="0032542F" w:rsidP="00E8252C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CCR is still unclear about why the charge was incurred</w:t>
            </w:r>
          </w:p>
        </w:tc>
        <w:tc>
          <w:tcPr>
            <w:tcW w:w="2333" w:type="pct"/>
          </w:tcPr>
          <w:p w14:paraId="20287C25" w14:textId="77777777" w:rsidR="0032542F" w:rsidRDefault="0032542F" w:rsidP="00E8252C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Perform a Test Claim and back date the claim to query the drug in question for copay information.</w:t>
            </w:r>
          </w:p>
        </w:tc>
      </w:tr>
      <w:tr w:rsidR="0032542F" w14:paraId="3E8777B7" w14:textId="77777777" w:rsidTr="00DD7F91">
        <w:trPr>
          <w:trHeight w:val="330"/>
        </w:trPr>
        <w:tc>
          <w:tcPr>
            <w:tcW w:w="544" w:type="pct"/>
            <w:vMerge/>
          </w:tcPr>
          <w:p w14:paraId="4E739E5E" w14:textId="77777777" w:rsidR="0032542F" w:rsidRDefault="0032542F" w:rsidP="00E8252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123" w:type="pct"/>
          </w:tcPr>
          <w:p w14:paraId="448F67AC" w14:textId="77777777" w:rsidR="0032542F" w:rsidRPr="00464CD9" w:rsidRDefault="0032542F" w:rsidP="00E8252C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</w:t>
            </w:r>
            <w:r w:rsidRPr="00464CD9">
              <w:rPr>
                <w:rFonts w:ascii="Verdana" w:hAnsi="Verdana"/>
              </w:rPr>
              <w:t>opay was correct</w:t>
            </w:r>
          </w:p>
        </w:tc>
        <w:tc>
          <w:tcPr>
            <w:tcW w:w="2333" w:type="pct"/>
          </w:tcPr>
          <w:p w14:paraId="4C88FE10" w14:textId="77777777" w:rsidR="0032542F" w:rsidRPr="00464CD9" w:rsidRDefault="0032542F" w:rsidP="00E8252C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</w:t>
            </w:r>
            <w:r w:rsidRPr="00464CD9">
              <w:rPr>
                <w:rFonts w:ascii="Verdana" w:hAnsi="Verdana"/>
              </w:rPr>
              <w:t xml:space="preserve">xplain the plan design, offering explanation for brand v. generic, DAW </w:t>
            </w:r>
            <w:r w:rsidR="005771AC" w:rsidRPr="00464CD9">
              <w:rPr>
                <w:rFonts w:ascii="Verdana" w:hAnsi="Verdana"/>
              </w:rPr>
              <w:t>indicators,</w:t>
            </w:r>
            <w:r w:rsidRPr="00464CD9">
              <w:rPr>
                <w:rFonts w:ascii="Verdana" w:hAnsi="Verdana"/>
              </w:rPr>
              <w:t xml:space="preserve"> and other pertinent information, such as the MAB.</w:t>
            </w:r>
          </w:p>
        </w:tc>
      </w:tr>
      <w:tr w:rsidR="0032542F" w14:paraId="4577CED1" w14:textId="77777777" w:rsidTr="00DD7F91">
        <w:trPr>
          <w:trHeight w:val="1020"/>
        </w:trPr>
        <w:tc>
          <w:tcPr>
            <w:tcW w:w="544" w:type="pct"/>
            <w:vMerge/>
          </w:tcPr>
          <w:p w14:paraId="6E088164" w14:textId="77777777" w:rsidR="0032542F" w:rsidRDefault="0032542F" w:rsidP="00E8252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123" w:type="pct"/>
          </w:tcPr>
          <w:p w14:paraId="5758D855" w14:textId="77777777" w:rsidR="0032542F" w:rsidRPr="00464CD9" w:rsidRDefault="0032542F" w:rsidP="00E8252C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</w:t>
            </w:r>
            <w:r w:rsidRPr="00464CD9">
              <w:rPr>
                <w:rFonts w:ascii="Verdana" w:hAnsi="Verdana"/>
              </w:rPr>
              <w:t>opay was incorrect</w:t>
            </w:r>
          </w:p>
        </w:tc>
        <w:tc>
          <w:tcPr>
            <w:tcW w:w="2333" w:type="pct"/>
          </w:tcPr>
          <w:p w14:paraId="06700A3A" w14:textId="77777777" w:rsidR="0032542F" w:rsidRDefault="0032542F" w:rsidP="00E8252C">
            <w:pPr>
              <w:pStyle w:val="Dotbullet"/>
              <w:numPr>
                <w:ilvl w:val="0"/>
                <w:numId w:val="0"/>
              </w:numPr>
              <w:spacing w:before="120" w:after="120"/>
            </w:pPr>
            <w:r>
              <w:t>Create the following RM Task:</w:t>
            </w:r>
          </w:p>
          <w:p w14:paraId="13450247" w14:textId="2D066296" w:rsidR="0032542F" w:rsidRDefault="0032542F" w:rsidP="00E8252C">
            <w:pPr>
              <w:pStyle w:val="Dotbullet"/>
              <w:numPr>
                <w:ilvl w:val="0"/>
                <w:numId w:val="14"/>
              </w:numPr>
              <w:spacing w:before="120" w:after="120"/>
            </w:pPr>
            <w:r>
              <w:rPr>
                <w:b/>
              </w:rPr>
              <w:t>Task Category</w:t>
            </w:r>
            <w:r w:rsidR="001E66CF">
              <w:rPr>
                <w:b/>
              </w:rPr>
              <w:t xml:space="preserve">: </w:t>
            </w:r>
            <w:r>
              <w:t>Billing and Payment</w:t>
            </w:r>
          </w:p>
          <w:p w14:paraId="597521E7" w14:textId="5F4BF805" w:rsidR="0032542F" w:rsidRDefault="0032542F" w:rsidP="00E8252C">
            <w:pPr>
              <w:pStyle w:val="Dotbullet"/>
              <w:numPr>
                <w:ilvl w:val="0"/>
                <w:numId w:val="14"/>
              </w:numPr>
              <w:spacing w:before="120" w:after="120"/>
            </w:pPr>
            <w:r>
              <w:rPr>
                <w:b/>
              </w:rPr>
              <w:t>Task Type</w:t>
            </w:r>
            <w:r w:rsidR="001E66CF">
              <w:rPr>
                <w:b/>
              </w:rPr>
              <w:t xml:space="preserve">: </w:t>
            </w:r>
            <w:r>
              <w:t>Payment Dispute</w:t>
            </w:r>
          </w:p>
          <w:p w14:paraId="7DA27906" w14:textId="68CE9A8F" w:rsidR="0032542F" w:rsidRDefault="0032542F" w:rsidP="00E8252C">
            <w:pPr>
              <w:pStyle w:val="Dotbullet"/>
              <w:numPr>
                <w:ilvl w:val="0"/>
                <w:numId w:val="14"/>
              </w:numPr>
              <w:spacing w:before="120" w:after="120"/>
            </w:pPr>
            <w:r>
              <w:rPr>
                <w:b/>
              </w:rPr>
              <w:t>Queue</w:t>
            </w:r>
            <w:r w:rsidR="001E66CF">
              <w:rPr>
                <w:b/>
              </w:rPr>
              <w:t xml:space="preserve">: </w:t>
            </w:r>
            <w:r>
              <w:t>Finance Northbrook</w:t>
            </w:r>
          </w:p>
          <w:p w14:paraId="5F010709" w14:textId="3DC66741" w:rsidR="0032542F" w:rsidRPr="00AA47EE" w:rsidRDefault="0032542F" w:rsidP="00AA47EE">
            <w:pPr>
              <w:numPr>
                <w:ilvl w:val="0"/>
                <w:numId w:val="14"/>
              </w:numPr>
              <w:spacing w:before="120" w:after="120"/>
              <w:rPr>
                <w:rFonts w:ascii="Verdana" w:hAnsi="Verdana"/>
              </w:rPr>
            </w:pPr>
            <w:r w:rsidRPr="00464CD9">
              <w:rPr>
                <w:rFonts w:ascii="Verdana" w:hAnsi="Verdana"/>
                <w:b/>
              </w:rPr>
              <w:t>Notes</w:t>
            </w:r>
            <w:r w:rsidR="001E66CF">
              <w:rPr>
                <w:rFonts w:ascii="Verdana" w:hAnsi="Verdana"/>
                <w:b/>
              </w:rPr>
              <w:t xml:space="preserve">: </w:t>
            </w:r>
            <w:r w:rsidRPr="00464CD9">
              <w:rPr>
                <w:rFonts w:ascii="Verdana" w:hAnsi="Verdana"/>
              </w:rPr>
              <w:t>Include correct copay amount, and source of information (</w:t>
            </w:r>
            <w:r w:rsidR="005771AC">
              <w:rPr>
                <w:rFonts w:ascii="Verdana" w:hAnsi="Verdana"/>
                <w:b/>
                <w:bCs/>
              </w:rPr>
              <w:t>Example</w:t>
            </w:r>
            <w:r w:rsidR="001E66CF">
              <w:rPr>
                <w:rFonts w:ascii="Verdana" w:hAnsi="Verdana"/>
                <w:b/>
                <w:bCs/>
              </w:rPr>
              <w:t xml:space="preserve">: </w:t>
            </w:r>
            <w:r w:rsidRPr="00464CD9">
              <w:rPr>
                <w:rFonts w:ascii="Verdana" w:hAnsi="Verdana"/>
              </w:rPr>
              <w:t>CIF).</w:t>
            </w:r>
          </w:p>
        </w:tc>
      </w:tr>
      <w:tr w:rsidR="0032542F" w14:paraId="3C2F62D8" w14:textId="77777777" w:rsidTr="00A37C9F">
        <w:trPr>
          <w:trHeight w:val="215"/>
        </w:trPr>
        <w:tc>
          <w:tcPr>
            <w:tcW w:w="544" w:type="pct"/>
            <w:vMerge/>
          </w:tcPr>
          <w:p w14:paraId="20460D02" w14:textId="77777777" w:rsidR="0032542F" w:rsidRDefault="0032542F" w:rsidP="00E8252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123" w:type="pct"/>
          </w:tcPr>
          <w:p w14:paraId="3A6DBA7A" w14:textId="77777777" w:rsidR="0032542F" w:rsidRPr="00681C6B" w:rsidRDefault="0032542F" w:rsidP="00E8252C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681C6B">
              <w:rPr>
                <w:rFonts w:ascii="Verdana" w:hAnsi="Verdana"/>
                <w:color w:val="000000"/>
              </w:rPr>
              <w:t xml:space="preserve">Member used part of the prescription </w:t>
            </w:r>
            <w:r w:rsidR="00272DFA">
              <w:rPr>
                <w:noProof/>
                <w:color w:val="000000"/>
              </w:rPr>
              <w:t xml:space="preserve"> </w:t>
            </w:r>
          </w:p>
        </w:tc>
        <w:tc>
          <w:tcPr>
            <w:tcW w:w="2333" w:type="pct"/>
          </w:tcPr>
          <w:p w14:paraId="1E97AF5E" w14:textId="77777777" w:rsidR="0032542F" w:rsidRPr="00681C6B" w:rsidRDefault="0032542F" w:rsidP="00E8252C">
            <w:pPr>
              <w:pStyle w:val="Dotbullet"/>
              <w:numPr>
                <w:ilvl w:val="0"/>
                <w:numId w:val="0"/>
              </w:numPr>
              <w:spacing w:before="120" w:after="120"/>
              <w:rPr>
                <w:color w:val="000000"/>
              </w:rPr>
            </w:pPr>
            <w:r w:rsidRPr="00681C6B">
              <w:rPr>
                <w:rFonts w:cs="Courier New"/>
                <w:color w:val="000000"/>
              </w:rPr>
              <w:t>This procedure would not apply</w:t>
            </w:r>
            <w:r w:rsidR="00272DFA">
              <w:rPr>
                <w:noProof/>
                <w:color w:val="000000"/>
              </w:rPr>
              <w:t xml:space="preserve"> </w:t>
            </w:r>
          </w:p>
        </w:tc>
      </w:tr>
      <w:tr w:rsidR="00AF3662" w14:paraId="6CDB228C" w14:textId="77777777" w:rsidTr="00DD7F91">
        <w:trPr>
          <w:trHeight w:val="330"/>
        </w:trPr>
        <w:tc>
          <w:tcPr>
            <w:tcW w:w="544" w:type="pct"/>
          </w:tcPr>
          <w:p w14:paraId="00EFCD11" w14:textId="77777777" w:rsidR="00AF3662" w:rsidRDefault="00DD7F91" w:rsidP="00E8252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456" w:type="pct"/>
            <w:gridSpan w:val="2"/>
          </w:tcPr>
          <w:p w14:paraId="6D150B8E" w14:textId="640028E2" w:rsidR="00AF3662" w:rsidRPr="002909DA" w:rsidRDefault="00AF3662" w:rsidP="00E8252C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2909DA">
              <w:rPr>
                <w:rFonts w:ascii="Verdana" w:hAnsi="Verdana"/>
                <w:color w:val="000000"/>
              </w:rPr>
              <w:t xml:space="preserve">From the </w:t>
            </w:r>
            <w:r w:rsidR="00B4086E" w:rsidRPr="002909DA">
              <w:rPr>
                <w:rFonts w:ascii="Verdana" w:hAnsi="Verdana"/>
                <w:noProof/>
                <w:color w:val="000000"/>
                <w:position w:val="-24"/>
              </w:rPr>
              <w:drawing>
                <wp:inline distT="0" distB="0" distL="0" distR="0" wp14:anchorId="0A82BBDC" wp14:editId="10EAE30D">
                  <wp:extent cx="1076325" cy="3619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909DA">
              <w:rPr>
                <w:rFonts w:ascii="Verdana" w:hAnsi="Verdana"/>
                <w:color w:val="000000"/>
              </w:rPr>
              <w:t xml:space="preserve">screen, click on the order number containing the prescription number in question.  </w:t>
            </w:r>
          </w:p>
          <w:p w14:paraId="5B692C73" w14:textId="21E4FE6D" w:rsidR="00AF3662" w:rsidRPr="002909DA" w:rsidRDefault="00AF3662" w:rsidP="00E8252C">
            <w:pPr>
              <w:spacing w:before="120" w:after="120"/>
              <w:rPr>
                <w:color w:val="000000"/>
              </w:rPr>
            </w:pPr>
            <w:r w:rsidRPr="002909DA">
              <w:rPr>
                <w:rFonts w:ascii="Verdana" w:hAnsi="Verdana"/>
                <w:b/>
                <w:color w:val="000000"/>
              </w:rPr>
              <w:t>Result</w:t>
            </w:r>
            <w:r w:rsidR="001E66CF">
              <w:rPr>
                <w:rFonts w:ascii="Verdana" w:hAnsi="Verdana"/>
                <w:b/>
                <w:color w:val="000000"/>
              </w:rPr>
              <w:t xml:space="preserve">: </w:t>
            </w:r>
            <w:r w:rsidRPr="00A37C9F">
              <w:rPr>
                <w:rFonts w:ascii="Verdana" w:hAnsi="Verdana"/>
                <w:bCs/>
                <w:color w:val="000000"/>
              </w:rPr>
              <w:t>Order Status</w:t>
            </w:r>
            <w:r w:rsidRPr="002909DA">
              <w:rPr>
                <w:rFonts w:ascii="Verdana" w:hAnsi="Verdana"/>
                <w:color w:val="000000"/>
              </w:rPr>
              <w:t xml:space="preserve"> screen display</w:t>
            </w:r>
            <w:r w:rsidR="00681C6B">
              <w:rPr>
                <w:rFonts w:ascii="Verdana" w:hAnsi="Verdana"/>
                <w:color w:val="000000"/>
              </w:rPr>
              <w:t>s</w:t>
            </w:r>
            <w:r w:rsidRPr="002909DA">
              <w:rPr>
                <w:rFonts w:ascii="Verdana" w:hAnsi="Verdana"/>
                <w:color w:val="000000"/>
              </w:rPr>
              <w:t xml:space="preserve">.  </w:t>
            </w:r>
          </w:p>
        </w:tc>
      </w:tr>
      <w:tr w:rsidR="000A446F" w14:paraId="01EB574F" w14:textId="77777777" w:rsidTr="00DD7F91">
        <w:tc>
          <w:tcPr>
            <w:tcW w:w="544" w:type="pct"/>
            <w:vMerge w:val="restart"/>
          </w:tcPr>
          <w:p w14:paraId="2DC94ED8" w14:textId="77777777" w:rsidR="000A446F" w:rsidRDefault="00DD7F91" w:rsidP="00E8252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4456" w:type="pct"/>
            <w:gridSpan w:val="2"/>
            <w:tcBorders>
              <w:bottom w:val="single" w:sz="4" w:space="0" w:color="auto"/>
            </w:tcBorders>
          </w:tcPr>
          <w:p w14:paraId="1EE28339" w14:textId="77777777" w:rsidR="00AF3662" w:rsidRPr="002909DA" w:rsidRDefault="00AF3662" w:rsidP="00E8252C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2909DA">
              <w:rPr>
                <w:rFonts w:ascii="Verdana" w:hAnsi="Verdana"/>
                <w:color w:val="000000"/>
              </w:rPr>
              <w:t xml:space="preserve">Click on the (+) button for the Rx number to </w:t>
            </w:r>
            <w:r w:rsidR="007F5172" w:rsidRPr="002909DA">
              <w:rPr>
                <w:rFonts w:ascii="Verdana" w:hAnsi="Verdana"/>
                <w:color w:val="000000"/>
              </w:rPr>
              <w:t xml:space="preserve">expand or </w:t>
            </w:r>
            <w:r w:rsidRPr="002909DA">
              <w:rPr>
                <w:rFonts w:ascii="Verdana" w:hAnsi="Verdana"/>
                <w:color w:val="000000"/>
              </w:rPr>
              <w:t>display its Prescription Details.</w:t>
            </w:r>
          </w:p>
          <w:p w14:paraId="72D0D182" w14:textId="77777777" w:rsidR="00AF3662" w:rsidRPr="002909DA" w:rsidRDefault="00AF3662" w:rsidP="00E8252C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50026415" w14:textId="77777777" w:rsidR="00464CD9" w:rsidRPr="002909DA" w:rsidRDefault="000A446F" w:rsidP="00E8252C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2909DA">
              <w:rPr>
                <w:rFonts w:ascii="Verdana" w:hAnsi="Verdana"/>
                <w:color w:val="000000"/>
              </w:rPr>
              <w:t xml:space="preserve">Review the </w:t>
            </w:r>
            <w:r w:rsidR="00464CD9" w:rsidRPr="002909DA">
              <w:rPr>
                <w:rFonts w:ascii="Verdana" w:hAnsi="Verdana"/>
                <w:color w:val="000000"/>
              </w:rPr>
              <w:t>following:</w:t>
            </w:r>
          </w:p>
          <w:p w14:paraId="06C65D36" w14:textId="77777777" w:rsidR="00464CD9" w:rsidRPr="002909DA" w:rsidRDefault="000A446F" w:rsidP="00E8252C">
            <w:pPr>
              <w:numPr>
                <w:ilvl w:val="0"/>
                <w:numId w:val="13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2909DA">
              <w:rPr>
                <w:rFonts w:ascii="Verdana" w:hAnsi="Verdana"/>
                <w:color w:val="000000"/>
              </w:rPr>
              <w:t xml:space="preserve">Problems </w:t>
            </w:r>
            <w:r w:rsidR="00AF3662" w:rsidRPr="002909DA">
              <w:rPr>
                <w:rFonts w:ascii="Verdana" w:hAnsi="Verdana"/>
                <w:color w:val="000000"/>
              </w:rPr>
              <w:t>or Conflicts for the prescription</w:t>
            </w:r>
            <w:r w:rsidRPr="002909DA">
              <w:rPr>
                <w:rFonts w:ascii="Verdana" w:hAnsi="Verdana"/>
                <w:color w:val="000000"/>
              </w:rPr>
              <w:t xml:space="preserve"> </w:t>
            </w:r>
          </w:p>
          <w:p w14:paraId="317573E1" w14:textId="3BA5E882" w:rsidR="00464CD9" w:rsidRPr="009D15ED" w:rsidRDefault="000A446F" w:rsidP="00E8252C">
            <w:pPr>
              <w:numPr>
                <w:ilvl w:val="0"/>
                <w:numId w:val="13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2909DA">
              <w:rPr>
                <w:rFonts w:ascii="Verdana" w:hAnsi="Verdana"/>
                <w:color w:val="000000"/>
              </w:rPr>
              <w:t xml:space="preserve">Comments Screen under Claim/Order </w:t>
            </w:r>
            <w:proofErr w:type="gramStart"/>
            <w:r w:rsidRPr="002909DA">
              <w:rPr>
                <w:rFonts w:ascii="Verdana" w:hAnsi="Verdana"/>
                <w:color w:val="000000"/>
              </w:rPr>
              <w:t>in order to</w:t>
            </w:r>
            <w:proofErr w:type="gramEnd"/>
            <w:r w:rsidRPr="002909DA">
              <w:rPr>
                <w:rFonts w:ascii="Verdana" w:hAnsi="Verdana"/>
                <w:color w:val="000000"/>
              </w:rPr>
              <w:t xml:space="preserve"> determine if there were notes placed by Customer Care or </w:t>
            </w:r>
            <w:proofErr w:type="gramStart"/>
            <w:r w:rsidRPr="002909DA">
              <w:rPr>
                <w:rFonts w:ascii="Verdana" w:hAnsi="Verdana"/>
                <w:color w:val="000000"/>
              </w:rPr>
              <w:t>the Pharmacy</w:t>
            </w:r>
            <w:proofErr w:type="gramEnd"/>
            <w:r w:rsidRPr="002909DA">
              <w:rPr>
                <w:rFonts w:ascii="Verdana" w:hAnsi="Verdana"/>
                <w:color w:val="000000"/>
              </w:rPr>
              <w:t xml:space="preserve"> advising the caller of the prescription or order charges.</w:t>
            </w:r>
          </w:p>
        </w:tc>
      </w:tr>
      <w:tr w:rsidR="009548A6" w14:paraId="25E384CD" w14:textId="77777777" w:rsidTr="00DD7F91">
        <w:tc>
          <w:tcPr>
            <w:tcW w:w="544" w:type="pct"/>
            <w:vMerge/>
          </w:tcPr>
          <w:p w14:paraId="3C8130A4" w14:textId="77777777" w:rsidR="009548A6" w:rsidRDefault="009548A6" w:rsidP="00E8252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123" w:type="pct"/>
            <w:shd w:val="clear" w:color="auto" w:fill="E6E6E6"/>
          </w:tcPr>
          <w:p w14:paraId="4333CD3C" w14:textId="77777777" w:rsidR="009548A6" w:rsidRPr="00C54619" w:rsidRDefault="009548A6" w:rsidP="00E8252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If there are…</w:t>
            </w:r>
          </w:p>
        </w:tc>
        <w:tc>
          <w:tcPr>
            <w:tcW w:w="2333" w:type="pct"/>
            <w:shd w:val="clear" w:color="auto" w:fill="E6E6E6"/>
          </w:tcPr>
          <w:p w14:paraId="3555567B" w14:textId="77777777" w:rsidR="009548A6" w:rsidRPr="00C54619" w:rsidRDefault="009548A6" w:rsidP="00E8252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Then…</w:t>
            </w:r>
          </w:p>
        </w:tc>
      </w:tr>
      <w:tr w:rsidR="009548A6" w14:paraId="7BADE435" w14:textId="77777777" w:rsidTr="00DD7F91">
        <w:tc>
          <w:tcPr>
            <w:tcW w:w="544" w:type="pct"/>
            <w:vMerge/>
          </w:tcPr>
          <w:p w14:paraId="246A7754" w14:textId="77777777" w:rsidR="009548A6" w:rsidRDefault="009548A6" w:rsidP="00E8252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123" w:type="pct"/>
            <w:shd w:val="clear" w:color="auto" w:fill="auto"/>
          </w:tcPr>
          <w:p w14:paraId="2370969A" w14:textId="77777777" w:rsidR="009548A6" w:rsidRPr="00C54619" w:rsidRDefault="009548A6" w:rsidP="00E8252C">
            <w:pPr>
              <w:spacing w:before="120" w:after="120"/>
              <w:rPr>
                <w:rFonts w:ascii="Verdana" w:hAnsi="Verdana"/>
              </w:rPr>
            </w:pPr>
            <w:r w:rsidRPr="00C54619">
              <w:rPr>
                <w:rFonts w:ascii="Verdana" w:hAnsi="Verdana"/>
              </w:rPr>
              <w:t xml:space="preserve">Notes indicating the </w:t>
            </w:r>
            <w:r w:rsidR="0095211D">
              <w:rPr>
                <w:rFonts w:ascii="Verdana" w:hAnsi="Verdana"/>
              </w:rPr>
              <w:t>member</w:t>
            </w:r>
            <w:r w:rsidRPr="00C54619">
              <w:rPr>
                <w:rFonts w:ascii="Verdana" w:hAnsi="Verdana"/>
              </w:rPr>
              <w:t xml:space="preserve"> or someone representing them was informed</w:t>
            </w:r>
          </w:p>
        </w:tc>
        <w:tc>
          <w:tcPr>
            <w:tcW w:w="2333" w:type="pct"/>
            <w:shd w:val="clear" w:color="auto" w:fill="auto"/>
          </w:tcPr>
          <w:p w14:paraId="2581B29C" w14:textId="32147EE7" w:rsidR="009548A6" w:rsidRDefault="009548A6" w:rsidP="009D15ED">
            <w:pPr>
              <w:pStyle w:val="Dotbullet"/>
              <w:numPr>
                <w:ilvl w:val="0"/>
                <w:numId w:val="0"/>
              </w:numPr>
              <w:spacing w:before="120" w:after="120"/>
            </w:pPr>
            <w:r>
              <w:t xml:space="preserve">Apologize and advise </w:t>
            </w:r>
            <w:r>
              <w:rPr>
                <w:b/>
              </w:rPr>
              <w:t>NO</w:t>
            </w:r>
            <w:r>
              <w:t xml:space="preserve"> credit or return is available.</w:t>
            </w:r>
          </w:p>
        </w:tc>
      </w:tr>
      <w:tr w:rsidR="009548A6" w14:paraId="46767729" w14:textId="77777777" w:rsidTr="00DD7F91">
        <w:tc>
          <w:tcPr>
            <w:tcW w:w="544" w:type="pct"/>
            <w:vMerge/>
          </w:tcPr>
          <w:p w14:paraId="5918C7C7" w14:textId="77777777" w:rsidR="009548A6" w:rsidRDefault="009548A6" w:rsidP="00E8252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123" w:type="pct"/>
            <w:shd w:val="clear" w:color="auto" w:fill="auto"/>
          </w:tcPr>
          <w:p w14:paraId="26B50752" w14:textId="77777777" w:rsidR="009548A6" w:rsidRPr="00C54619" w:rsidRDefault="009548A6" w:rsidP="00E8252C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NO </w:t>
            </w:r>
            <w:r>
              <w:rPr>
                <w:rFonts w:ascii="Verdana" w:hAnsi="Verdana"/>
              </w:rPr>
              <w:t xml:space="preserve">Notes indicating the </w:t>
            </w:r>
            <w:r w:rsidR="0095211D">
              <w:rPr>
                <w:rFonts w:ascii="Verdana" w:hAnsi="Verdana"/>
              </w:rPr>
              <w:t>member</w:t>
            </w:r>
            <w:r>
              <w:rPr>
                <w:rFonts w:ascii="Verdana" w:hAnsi="Verdana"/>
              </w:rPr>
              <w:t xml:space="preserve"> was informed, there is no history of the caller paying the charges previously and the caller is insistent he/she wishes to return the medication</w:t>
            </w:r>
          </w:p>
        </w:tc>
        <w:tc>
          <w:tcPr>
            <w:tcW w:w="2333" w:type="pct"/>
            <w:shd w:val="clear" w:color="auto" w:fill="auto"/>
          </w:tcPr>
          <w:p w14:paraId="09E68918" w14:textId="77777777" w:rsidR="009548A6" w:rsidRPr="0095211D" w:rsidRDefault="00ED1B7F" w:rsidP="00E8252C">
            <w:pPr>
              <w:numPr>
                <w:ilvl w:val="0"/>
                <w:numId w:val="12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95211D">
              <w:rPr>
                <w:rFonts w:ascii="Verdana" w:hAnsi="Verdana"/>
                <w:color w:val="000000"/>
              </w:rPr>
              <w:t>Contact the Senior T</w:t>
            </w:r>
            <w:r w:rsidR="009548A6" w:rsidRPr="0095211D">
              <w:rPr>
                <w:rFonts w:ascii="Verdana" w:hAnsi="Verdana"/>
                <w:color w:val="000000"/>
              </w:rPr>
              <w:t>eam to process Mail Tag request.</w:t>
            </w:r>
            <w:r w:rsidRPr="0095211D">
              <w:rPr>
                <w:rFonts w:ascii="Verdana" w:hAnsi="Verdana"/>
                <w:color w:val="000000"/>
              </w:rPr>
              <w:t xml:space="preserve">  </w:t>
            </w:r>
          </w:p>
          <w:p w14:paraId="6C2608F3" w14:textId="77777777" w:rsidR="009548A6" w:rsidRDefault="009548A6" w:rsidP="00E8252C">
            <w:pPr>
              <w:numPr>
                <w:ilvl w:val="0"/>
                <w:numId w:val="12"/>
              </w:num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Document the reason for request.</w:t>
            </w:r>
          </w:p>
          <w:p w14:paraId="0A324B11" w14:textId="77777777" w:rsidR="009548A6" w:rsidRDefault="009548A6" w:rsidP="00E8252C">
            <w:pPr>
              <w:numPr>
                <w:ilvl w:val="0"/>
                <w:numId w:val="12"/>
              </w:num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Advise that the credit </w:t>
            </w:r>
            <w:r w:rsidRPr="00C54619">
              <w:rPr>
                <w:rFonts w:ascii="Verdana" w:hAnsi="Verdana"/>
                <w:b/>
              </w:rPr>
              <w:t>cannot</w:t>
            </w:r>
            <w:r>
              <w:rPr>
                <w:rFonts w:ascii="Verdana" w:hAnsi="Verdana"/>
              </w:rPr>
              <w:t xml:space="preserve"> be completed until the pharmacy is in receipt of the </w:t>
            </w:r>
            <w:r>
              <w:rPr>
                <w:rFonts w:ascii="Verdana" w:hAnsi="Verdana"/>
                <w:color w:val="000000"/>
              </w:rPr>
              <w:t xml:space="preserve">wholly unused prescription in question and that </w:t>
            </w:r>
            <w:r>
              <w:rPr>
                <w:rFonts w:ascii="Verdana" w:hAnsi="Verdana" w:cs="Courier New"/>
                <w:color w:val="000000"/>
              </w:rPr>
              <w:t xml:space="preserve">this </w:t>
            </w:r>
            <w:proofErr w:type="gramStart"/>
            <w:r>
              <w:rPr>
                <w:rFonts w:ascii="Verdana" w:hAnsi="Verdana" w:cs="Courier New"/>
                <w:color w:val="000000"/>
              </w:rPr>
              <w:t>type</w:t>
            </w:r>
            <w:proofErr w:type="gramEnd"/>
            <w:r>
              <w:rPr>
                <w:rFonts w:ascii="Verdana" w:hAnsi="Verdana" w:cs="Courier New"/>
                <w:color w:val="000000"/>
              </w:rPr>
              <w:t xml:space="preserve"> credit is </w:t>
            </w:r>
            <w:r w:rsidRPr="00C54619">
              <w:rPr>
                <w:rFonts w:ascii="Verdana" w:hAnsi="Verdana" w:cs="Courier New"/>
                <w:b/>
                <w:color w:val="000000"/>
              </w:rPr>
              <w:t>“one-time”</w:t>
            </w:r>
            <w:r>
              <w:rPr>
                <w:rFonts w:ascii="Verdana" w:hAnsi="Verdana" w:cs="Courier New"/>
                <w:color w:val="000000"/>
              </w:rPr>
              <w:t xml:space="preserve"> only, per household/mail account.</w:t>
            </w:r>
          </w:p>
        </w:tc>
      </w:tr>
    </w:tbl>
    <w:p w14:paraId="49C62B46" w14:textId="77777777" w:rsidR="00AC598B" w:rsidRDefault="00AC598B">
      <w:pPr>
        <w:rPr>
          <w:rFonts w:ascii="Verdana" w:hAnsi="Verdana"/>
        </w:rPr>
      </w:pPr>
    </w:p>
    <w:bookmarkStart w:id="9" w:name="_Available_Task_Types"/>
    <w:bookmarkStart w:id="10" w:name="_Various_Work_Instructions_2"/>
    <w:bookmarkStart w:id="11" w:name="_Log_Activity:"/>
    <w:bookmarkEnd w:id="9"/>
    <w:bookmarkEnd w:id="10"/>
    <w:bookmarkEnd w:id="11"/>
    <w:p w14:paraId="5276EBEE" w14:textId="5D745DBA" w:rsidR="00AC598B" w:rsidRDefault="00CC0F5F">
      <w:pPr>
        <w:jc w:val="right"/>
        <w:rPr>
          <w:rFonts w:ascii="Verdana" w:hAnsi="Verdana"/>
          <w:color w:val="0000FF"/>
        </w:rPr>
      </w:pPr>
      <w:r>
        <w:rPr>
          <w:rFonts w:ascii="Verdana" w:hAnsi="Verdana"/>
          <w:color w:val="0000FF"/>
        </w:rPr>
        <w:fldChar w:fldCharType="begin"/>
      </w:r>
      <w:r>
        <w:rPr>
          <w:rFonts w:ascii="Verdana" w:hAnsi="Verdana"/>
          <w:color w:val="0000FF"/>
        </w:rPr>
        <w:instrText xml:space="preserve"> HYPERLINK  \l "_top" </w:instrText>
      </w:r>
      <w:r>
        <w:rPr>
          <w:rFonts w:ascii="Verdana" w:hAnsi="Verdana"/>
          <w:color w:val="0000FF"/>
        </w:rPr>
      </w:r>
      <w:r>
        <w:rPr>
          <w:rFonts w:ascii="Verdana" w:hAnsi="Verdana"/>
          <w:color w:val="0000FF"/>
        </w:rPr>
        <w:fldChar w:fldCharType="separate"/>
      </w:r>
      <w:r w:rsidR="00AC598B" w:rsidRPr="00CC0F5F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  <w:color w:val="0000FF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AC598B" w14:paraId="0D92C524" w14:textId="77777777">
        <w:tc>
          <w:tcPr>
            <w:tcW w:w="5000" w:type="pct"/>
            <w:shd w:val="clear" w:color="auto" w:fill="C0C0C0"/>
          </w:tcPr>
          <w:p w14:paraId="3745D896" w14:textId="77777777" w:rsidR="00AC598B" w:rsidRDefault="00AC598B" w:rsidP="00E8252C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2" w:name="_Resolution_Time:"/>
            <w:bookmarkStart w:id="13" w:name="_Toc149054251"/>
            <w:bookmarkEnd w:id="12"/>
            <w:r>
              <w:rPr>
                <w:rFonts w:ascii="Verdana" w:hAnsi="Verdana"/>
                <w:i w:val="0"/>
                <w:iCs w:val="0"/>
              </w:rPr>
              <w:t>Resolution Time</w:t>
            </w:r>
            <w:bookmarkEnd w:id="13"/>
          </w:p>
        </w:tc>
      </w:tr>
    </w:tbl>
    <w:p w14:paraId="52A1B6F7" w14:textId="77777777" w:rsidR="00AC598B" w:rsidRDefault="00AC598B" w:rsidP="00E8252C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Mail Tag 7 business days</w:t>
      </w:r>
    </w:p>
    <w:p w14:paraId="20F5071C" w14:textId="43DF51D2" w:rsidR="00AC598B" w:rsidRDefault="00AC598B">
      <w:pPr>
        <w:jc w:val="right"/>
        <w:rPr>
          <w:rFonts w:ascii="Verdana" w:hAnsi="Verdana"/>
          <w:color w:val="0000FF"/>
        </w:rPr>
      </w:pPr>
      <w:hyperlink w:anchor="_top" w:history="1">
        <w:r w:rsidRPr="00CC0F5F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AC598B" w14:paraId="76328FAA" w14:textId="77777777">
        <w:tc>
          <w:tcPr>
            <w:tcW w:w="5000" w:type="pct"/>
            <w:shd w:val="clear" w:color="auto" w:fill="C0C0C0"/>
          </w:tcPr>
          <w:p w14:paraId="731E8DCB" w14:textId="77777777" w:rsidR="00AC598B" w:rsidRDefault="00AC598B" w:rsidP="00E8252C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4" w:name="_Exceptions_"/>
            <w:bookmarkStart w:id="15" w:name="_Toc149054252"/>
            <w:bookmarkEnd w:id="14"/>
            <w:r>
              <w:rPr>
                <w:rFonts w:ascii="Verdana" w:hAnsi="Verdana"/>
                <w:i w:val="0"/>
                <w:iCs w:val="0"/>
              </w:rPr>
              <w:t>Exceptions</w:t>
            </w:r>
            <w:bookmarkEnd w:id="15"/>
          </w:p>
        </w:tc>
      </w:tr>
    </w:tbl>
    <w:p w14:paraId="0CBE74C2" w14:textId="77777777" w:rsidR="00AC598B" w:rsidRDefault="00AC598B" w:rsidP="00E8252C">
      <w:p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AT&amp;T</w:t>
      </w:r>
    </w:p>
    <w:p w14:paraId="0191DDAB" w14:textId="77777777" w:rsidR="002909DA" w:rsidRDefault="002909DA" w:rsidP="00464CD9">
      <w:pPr>
        <w:rPr>
          <w:rFonts w:ascii="Verdana" w:hAnsi="Verdana"/>
        </w:rPr>
      </w:pPr>
    </w:p>
    <w:p w14:paraId="53F19C85" w14:textId="50A5442F" w:rsidR="00DD7F91" w:rsidRDefault="00464CD9" w:rsidP="00216997">
      <w:pPr>
        <w:jc w:val="right"/>
        <w:rPr>
          <w:rFonts w:ascii="Verdana" w:hAnsi="Verdana"/>
        </w:rPr>
      </w:pPr>
      <w:hyperlink w:anchor="_top" w:history="1">
        <w:r w:rsidRPr="00CC0F5F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DD7F91" w14:paraId="04061795" w14:textId="77777777" w:rsidTr="00E8252C">
        <w:tc>
          <w:tcPr>
            <w:tcW w:w="5000" w:type="pct"/>
            <w:shd w:val="clear" w:color="auto" w:fill="C0C0C0"/>
          </w:tcPr>
          <w:p w14:paraId="770E8B62" w14:textId="6E976D84" w:rsidR="00DD7F91" w:rsidRDefault="00DD7F91" w:rsidP="00E8252C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6" w:name="_Toc149054253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16"/>
          </w:p>
        </w:tc>
      </w:tr>
    </w:tbl>
    <w:p w14:paraId="78C34EAC" w14:textId="250A6BD5" w:rsidR="00656A06" w:rsidRDefault="00656A06" w:rsidP="00E8252C">
      <w:pPr>
        <w:spacing w:before="120" w:after="120"/>
        <w:rPr>
          <w:rFonts w:ascii="Verdana" w:hAnsi="Verdana"/>
          <w:bCs/>
        </w:rPr>
      </w:pPr>
      <w:hyperlink r:id="rId9" w:anchor="!/view?docid=bdac0c67-5fee-47ba-a3aa-aab84900cf78" w:history="1">
        <w:r w:rsidR="002A63CE">
          <w:rPr>
            <w:rStyle w:val="Hyperlink"/>
            <w:rFonts w:ascii="Verdana" w:hAnsi="Verdana"/>
            <w:bCs/>
          </w:rPr>
          <w:t>Log Activity and Capture Activity Codes (005164)</w:t>
        </w:r>
      </w:hyperlink>
    </w:p>
    <w:p w14:paraId="77AE0861" w14:textId="2F9BBCCA" w:rsidR="00E8252C" w:rsidRPr="00E8252C" w:rsidRDefault="00E8252C" w:rsidP="00E8252C">
      <w:pPr>
        <w:spacing w:before="120" w:after="120"/>
        <w:rPr>
          <w:rFonts w:ascii="Verdana" w:hAnsi="Verdana"/>
          <w:bCs/>
        </w:rPr>
      </w:pPr>
      <w:hyperlink r:id="rId10" w:anchor="!/view?docid=c1f1028b-e42c-4b4f-a4cf-cc0b42c91606" w:history="1">
        <w:r w:rsidR="002A63CE">
          <w:rPr>
            <w:rStyle w:val="Hyperlink"/>
            <w:rFonts w:ascii="Verdana" w:hAnsi="Verdana"/>
            <w:bCs/>
          </w:rPr>
          <w:t>Customer Care Abbreviations, Definitions, and Terms (017428)</w:t>
        </w:r>
      </w:hyperlink>
    </w:p>
    <w:p w14:paraId="6A8460A8" w14:textId="5CDAFE6E" w:rsidR="00DD7F91" w:rsidRPr="00E8252C" w:rsidRDefault="00DD7F91" w:rsidP="00E8252C">
      <w:pPr>
        <w:spacing w:before="120" w:after="120"/>
        <w:rPr>
          <w:rFonts w:ascii="Verdana" w:hAnsi="Verdana"/>
          <w:bCs/>
        </w:rPr>
      </w:pPr>
      <w:r w:rsidRPr="00E8252C">
        <w:rPr>
          <w:rFonts w:ascii="Verdana" w:hAnsi="Verdana"/>
          <w:b/>
        </w:rPr>
        <w:t xml:space="preserve">Parent </w:t>
      </w:r>
      <w:r w:rsidR="00656A06" w:rsidRPr="00E8252C">
        <w:rPr>
          <w:rFonts w:ascii="Verdana" w:hAnsi="Verdana"/>
          <w:b/>
        </w:rPr>
        <w:t>Document</w:t>
      </w:r>
      <w:r w:rsidR="001E66CF">
        <w:rPr>
          <w:rFonts w:ascii="Verdana" w:hAnsi="Verdana"/>
          <w:b/>
        </w:rPr>
        <w:t xml:space="preserve">: </w:t>
      </w:r>
      <w:hyperlink r:id="rId11" w:tgtFrame="_blank" w:history="1">
        <w:r w:rsidRPr="00E8252C">
          <w:rPr>
            <w:rFonts w:ascii="Verdana" w:hAnsi="Verdana"/>
            <w:bCs/>
            <w:color w:val="0000FF"/>
            <w:u w:val="single"/>
          </w:rPr>
          <w:t>CALL 0049 Customer Care Internal and External Call Handling</w:t>
        </w:r>
      </w:hyperlink>
    </w:p>
    <w:p w14:paraId="737CEAC4" w14:textId="77777777" w:rsidR="00DD7F91" w:rsidRDefault="00DD7F91" w:rsidP="00DD7F91">
      <w:pPr>
        <w:rPr>
          <w:rFonts w:ascii="Verdana" w:hAnsi="Verdana"/>
        </w:rPr>
      </w:pPr>
    </w:p>
    <w:p w14:paraId="1A4743F6" w14:textId="2F1C6C31" w:rsidR="00DD7F91" w:rsidRDefault="00DD7F91" w:rsidP="00DD7F91">
      <w:pPr>
        <w:jc w:val="right"/>
        <w:rPr>
          <w:rFonts w:ascii="Verdana" w:hAnsi="Verdana"/>
        </w:rPr>
      </w:pPr>
      <w:hyperlink w:anchor="_top" w:history="1">
        <w:r w:rsidRPr="00CC0F5F">
          <w:rPr>
            <w:rStyle w:val="Hyperlink"/>
            <w:rFonts w:ascii="Verdana" w:hAnsi="Verdana"/>
          </w:rPr>
          <w:t>Top of the Document</w:t>
        </w:r>
      </w:hyperlink>
    </w:p>
    <w:p w14:paraId="3B06F76E" w14:textId="77777777" w:rsidR="00DD7F91" w:rsidRDefault="00DD7F91" w:rsidP="00DD7F91">
      <w:pPr>
        <w:jc w:val="right"/>
        <w:rPr>
          <w:rFonts w:ascii="Verdana" w:hAnsi="Verdana"/>
        </w:rPr>
      </w:pPr>
    </w:p>
    <w:p w14:paraId="154F003E" w14:textId="77777777" w:rsidR="00DD7F91" w:rsidRPr="00DD7F91" w:rsidRDefault="00DD7F91" w:rsidP="00DD7F91">
      <w:pPr>
        <w:rPr>
          <w:rFonts w:ascii="Verdana" w:hAnsi="Verdana"/>
          <w:b/>
        </w:rPr>
      </w:pPr>
    </w:p>
    <w:p w14:paraId="12C916BB" w14:textId="77777777" w:rsidR="00170A67" w:rsidRPr="00C247CB" w:rsidRDefault="00170A67" w:rsidP="00170A67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F60191" w:rsidRPr="00C247CB">
        <w:rPr>
          <w:rFonts w:ascii="Verdana" w:hAnsi="Verdana"/>
          <w:sz w:val="16"/>
          <w:szCs w:val="16"/>
        </w:rPr>
        <w:t>to</w:t>
      </w:r>
      <w:r w:rsidRPr="00C247CB">
        <w:rPr>
          <w:rFonts w:ascii="Verdana" w:hAnsi="Verdana"/>
          <w:sz w:val="16"/>
          <w:szCs w:val="16"/>
        </w:rPr>
        <w:t xml:space="preserve"> Be Reproduced </w:t>
      </w:r>
      <w:r w:rsidR="00F60191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</w:t>
      </w:r>
      <w:r w:rsidR="00F60191" w:rsidRPr="00C247CB">
        <w:rPr>
          <w:rFonts w:ascii="Verdana" w:hAnsi="Verdana"/>
          <w:sz w:val="16"/>
          <w:szCs w:val="16"/>
        </w:rPr>
        <w:t>without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4779ACFF" w14:textId="77777777" w:rsidR="00170A67" w:rsidRPr="00C247CB" w:rsidRDefault="00170A67" w:rsidP="00170A67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</w:t>
      </w:r>
      <w:r w:rsidR="002909DA">
        <w:rPr>
          <w:rFonts w:ascii="Verdana" w:hAnsi="Verdana"/>
          <w:b/>
          <w:color w:val="000000"/>
          <w:sz w:val="16"/>
          <w:szCs w:val="16"/>
        </w:rPr>
        <w:t>TRONIC DATA = OFFICIAL VERSION / PAPER COPY 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21EE7ACB" w14:textId="77777777" w:rsidR="00170A67" w:rsidRDefault="00170A67" w:rsidP="00464CD9">
      <w:pPr>
        <w:jc w:val="right"/>
        <w:rPr>
          <w:rFonts w:ascii="Verdana" w:hAnsi="Verdana"/>
        </w:rPr>
      </w:pPr>
    </w:p>
    <w:sectPr w:rsidR="00170A67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13753E" w14:textId="77777777" w:rsidR="007D3649" w:rsidRDefault="007D3649">
      <w:r>
        <w:separator/>
      </w:r>
    </w:p>
  </w:endnote>
  <w:endnote w:type="continuationSeparator" w:id="0">
    <w:p w14:paraId="302E5212" w14:textId="77777777" w:rsidR="007D3649" w:rsidRDefault="007D3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C8936B" w14:textId="77777777" w:rsidR="007D3649" w:rsidRDefault="007D3649">
      <w:r>
        <w:separator/>
      </w:r>
    </w:p>
  </w:footnote>
  <w:footnote w:type="continuationSeparator" w:id="0">
    <w:p w14:paraId="5BEFCB67" w14:textId="77777777" w:rsidR="007D3649" w:rsidRDefault="007D3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54B5C"/>
    <w:multiLevelType w:val="hybridMultilevel"/>
    <w:tmpl w:val="96CEEA1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8A57786"/>
    <w:multiLevelType w:val="hybridMultilevel"/>
    <w:tmpl w:val="20C0CAFE"/>
    <w:lvl w:ilvl="0" w:tplc="FCB8A1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000000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C3590"/>
    <w:multiLevelType w:val="hybridMultilevel"/>
    <w:tmpl w:val="3650F9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CA4DF4"/>
    <w:multiLevelType w:val="hybridMultilevel"/>
    <w:tmpl w:val="84DEA8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CC0574"/>
    <w:multiLevelType w:val="hybridMultilevel"/>
    <w:tmpl w:val="D16C91F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1BD352A"/>
    <w:multiLevelType w:val="multilevel"/>
    <w:tmpl w:val="D16C91F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424612A"/>
    <w:multiLevelType w:val="hybridMultilevel"/>
    <w:tmpl w:val="B622DDE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DB676F"/>
    <w:multiLevelType w:val="hybridMultilevel"/>
    <w:tmpl w:val="C83AEB62"/>
    <w:lvl w:ilvl="0" w:tplc="0E9A95B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D4917"/>
    <w:multiLevelType w:val="hybridMultilevel"/>
    <w:tmpl w:val="59244B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B1A3FBE"/>
    <w:multiLevelType w:val="hybridMultilevel"/>
    <w:tmpl w:val="935C9CC8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4B56AE"/>
    <w:multiLevelType w:val="hybridMultilevel"/>
    <w:tmpl w:val="20F472B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69680EE4"/>
    <w:multiLevelType w:val="hybridMultilevel"/>
    <w:tmpl w:val="0B1A3744"/>
    <w:lvl w:ilvl="0" w:tplc="C58619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9A46AD8"/>
    <w:multiLevelType w:val="hybridMultilevel"/>
    <w:tmpl w:val="6DD889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998538759">
    <w:abstractNumId w:val="7"/>
  </w:num>
  <w:num w:numId="2" w16cid:durableId="329721785">
    <w:abstractNumId w:val="1"/>
  </w:num>
  <w:num w:numId="3" w16cid:durableId="531916766">
    <w:abstractNumId w:val="12"/>
  </w:num>
  <w:num w:numId="4" w16cid:durableId="1820613051">
    <w:abstractNumId w:val="5"/>
  </w:num>
  <w:num w:numId="5" w16cid:durableId="413860868">
    <w:abstractNumId w:val="6"/>
  </w:num>
  <w:num w:numId="6" w16cid:durableId="835652861">
    <w:abstractNumId w:val="9"/>
  </w:num>
  <w:num w:numId="7" w16cid:durableId="1700087168">
    <w:abstractNumId w:val="13"/>
  </w:num>
  <w:num w:numId="8" w16cid:durableId="336345475">
    <w:abstractNumId w:val="4"/>
  </w:num>
  <w:num w:numId="9" w16cid:durableId="276064840">
    <w:abstractNumId w:val="0"/>
  </w:num>
  <w:num w:numId="10" w16cid:durableId="326053474">
    <w:abstractNumId w:val="10"/>
  </w:num>
  <w:num w:numId="11" w16cid:durableId="457333038">
    <w:abstractNumId w:val="2"/>
  </w:num>
  <w:num w:numId="12" w16cid:durableId="147862910">
    <w:abstractNumId w:val="11"/>
  </w:num>
  <w:num w:numId="13" w16cid:durableId="1787387468">
    <w:abstractNumId w:val="8"/>
  </w:num>
  <w:num w:numId="14" w16cid:durableId="11198803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4F"/>
    <w:rsid w:val="00002F50"/>
    <w:rsid w:val="00022711"/>
    <w:rsid w:val="000A446F"/>
    <w:rsid w:val="000C03B0"/>
    <w:rsid w:val="000E1D27"/>
    <w:rsid w:val="00130062"/>
    <w:rsid w:val="001572B4"/>
    <w:rsid w:val="0016504C"/>
    <w:rsid w:val="00170A67"/>
    <w:rsid w:val="00195686"/>
    <w:rsid w:val="001C6F05"/>
    <w:rsid w:val="001E66CF"/>
    <w:rsid w:val="00203875"/>
    <w:rsid w:val="00216997"/>
    <w:rsid w:val="00254A90"/>
    <w:rsid w:val="00257E33"/>
    <w:rsid w:val="00272DFA"/>
    <w:rsid w:val="002909DA"/>
    <w:rsid w:val="002A60E2"/>
    <w:rsid w:val="002A63CE"/>
    <w:rsid w:val="00323FAC"/>
    <w:rsid w:val="0032542F"/>
    <w:rsid w:val="00400B81"/>
    <w:rsid w:val="004370D6"/>
    <w:rsid w:val="00464CD9"/>
    <w:rsid w:val="00483F62"/>
    <w:rsid w:val="004E5A10"/>
    <w:rsid w:val="004E71BF"/>
    <w:rsid w:val="005000D7"/>
    <w:rsid w:val="00512092"/>
    <w:rsid w:val="00526DE9"/>
    <w:rsid w:val="00530A92"/>
    <w:rsid w:val="0054130D"/>
    <w:rsid w:val="00553CCC"/>
    <w:rsid w:val="005771AC"/>
    <w:rsid w:val="00644675"/>
    <w:rsid w:val="00656A06"/>
    <w:rsid w:val="00681C6B"/>
    <w:rsid w:val="006D20B1"/>
    <w:rsid w:val="00732639"/>
    <w:rsid w:val="007361D2"/>
    <w:rsid w:val="00754BF9"/>
    <w:rsid w:val="00784FA6"/>
    <w:rsid w:val="0079218A"/>
    <w:rsid w:val="007D3649"/>
    <w:rsid w:val="007F5172"/>
    <w:rsid w:val="007F5B9E"/>
    <w:rsid w:val="008B3968"/>
    <w:rsid w:val="008D2AA6"/>
    <w:rsid w:val="00923610"/>
    <w:rsid w:val="009366FC"/>
    <w:rsid w:val="0095211D"/>
    <w:rsid w:val="009548A6"/>
    <w:rsid w:val="009923D6"/>
    <w:rsid w:val="009D15ED"/>
    <w:rsid w:val="00A13491"/>
    <w:rsid w:val="00A26DF9"/>
    <w:rsid w:val="00A37C9F"/>
    <w:rsid w:val="00A54136"/>
    <w:rsid w:val="00AA47EE"/>
    <w:rsid w:val="00AB3A5D"/>
    <w:rsid w:val="00AC598B"/>
    <w:rsid w:val="00AF3662"/>
    <w:rsid w:val="00B06B62"/>
    <w:rsid w:val="00B4086E"/>
    <w:rsid w:val="00B409C7"/>
    <w:rsid w:val="00BC4575"/>
    <w:rsid w:val="00BD5C93"/>
    <w:rsid w:val="00C13334"/>
    <w:rsid w:val="00C54619"/>
    <w:rsid w:val="00CC0F5F"/>
    <w:rsid w:val="00CE07CE"/>
    <w:rsid w:val="00CE431D"/>
    <w:rsid w:val="00D235A9"/>
    <w:rsid w:val="00D776DE"/>
    <w:rsid w:val="00DD7F91"/>
    <w:rsid w:val="00E02461"/>
    <w:rsid w:val="00E26DFD"/>
    <w:rsid w:val="00E33671"/>
    <w:rsid w:val="00E8252C"/>
    <w:rsid w:val="00E84806"/>
    <w:rsid w:val="00EB284F"/>
    <w:rsid w:val="00ED1B7F"/>
    <w:rsid w:val="00F06019"/>
    <w:rsid w:val="00F60191"/>
    <w:rsid w:val="00F61BA8"/>
    <w:rsid w:val="00F6341D"/>
    <w:rsid w:val="00F8308F"/>
    <w:rsid w:val="00FA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3EF0DC"/>
  <w15:chartTrackingRefBased/>
  <w15:docId w15:val="{63A7DA23-55E7-4F22-9D13-E7162DE30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Heading4"/>
    <w:qFormat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table" w:styleId="TableGrid">
    <w:name w:val="Table Grid"/>
    <w:basedOn w:val="TableNormal"/>
    <w:rsid w:val="00464C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F3662"/>
    <w:rPr>
      <w:rFonts w:ascii="Tahoma" w:hAnsi="Tahoma" w:cs="Tahoma"/>
      <w:sz w:val="16"/>
      <w:szCs w:val="16"/>
    </w:rPr>
  </w:style>
  <w:style w:type="character" w:customStyle="1" w:styleId="Heading3Char">
    <w:name w:val="Heading 3 Char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BalloonTextChar">
    <w:name w:val="Balloon Text Char"/>
    <w:link w:val="BalloonText"/>
    <w:rsid w:val="00AF3662"/>
    <w:rPr>
      <w:rFonts w:ascii="Tahoma" w:hAnsi="Tahoma" w:cs="Tahoma"/>
      <w:sz w:val="16"/>
      <w:szCs w:val="16"/>
    </w:rPr>
  </w:style>
  <w:style w:type="character" w:styleId="Strong">
    <w:name w:val="Strong"/>
    <w:qFormat/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InsideAddressName">
    <w:name w:val="Inside Address Name"/>
    <w:basedOn w:val="Normal"/>
    <w:next w:val="Normal"/>
    <w:pPr>
      <w:spacing w:before="22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customStyle="1" w:styleId="Dotbullet">
    <w:name w:val="Dot bullet"/>
    <w:basedOn w:val="Normal"/>
    <w:pPr>
      <w:widowControl w:val="0"/>
      <w:numPr>
        <w:numId w:val="2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paragraph" w:customStyle="1" w:styleId="Numbered">
    <w:name w:val="Numbered"/>
    <w:aliases w:val="Left:  0.25&quot;,Hanging:  0.25&quot;"/>
    <w:basedOn w:val="Normal"/>
    <w:rPr>
      <w:b/>
      <w:bCs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TOC2">
    <w:name w:val="toc 2"/>
    <w:basedOn w:val="Normal"/>
    <w:next w:val="Normal"/>
    <w:autoRedefine/>
    <w:uiPriority w:val="39"/>
    <w:rsid w:val="00681C6B"/>
    <w:pPr>
      <w:tabs>
        <w:tab w:val="right" w:leader="dot" w:pos="12950"/>
      </w:tabs>
    </w:pPr>
  </w:style>
  <w:style w:type="character" w:styleId="UnresolvedMention">
    <w:name w:val="Unresolved Mention"/>
    <w:uiPriority w:val="99"/>
    <w:semiHidden/>
    <w:unhideWhenUsed/>
    <w:rsid w:val="00656A0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4086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0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olicy.corp.cvscaremark.com/pnp/faces/DocRenderer?documentId=CALL-004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hesource.cvshealth.com/nuxeo/thesourc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hesource.cvshealth.com/nuxeo/thesource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7E9203-6F31-4068-8B09-AE4C344C3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10</TotalTime>
  <Pages>1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3817</CharactersWithSpaces>
  <SharedDoc>false</SharedDoc>
  <HLinks>
    <vt:vector size="78" baseType="variant">
      <vt:variant>
        <vt:i4>262192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2424887</vt:i4>
      </vt:variant>
      <vt:variant>
        <vt:i4>42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589902</vt:i4>
      </vt:variant>
      <vt:variant>
        <vt:i4>39</vt:i4>
      </vt:variant>
      <vt:variant>
        <vt:i4>0</vt:i4>
      </vt:variant>
      <vt:variant>
        <vt:i4>5</vt:i4>
      </vt:variant>
      <vt:variant>
        <vt:lpwstr>C:\Users\c326293\Desktop\AppData\Local\Microsoft\Windows\INetCache\AppData\Local\Microsoft\Windows\Downloads\CMS-2-017428</vt:lpwstr>
      </vt:variant>
      <vt:variant>
        <vt:lpwstr/>
      </vt:variant>
      <vt:variant>
        <vt:i4>5767185</vt:i4>
      </vt:variant>
      <vt:variant>
        <vt:i4>36</vt:i4>
      </vt:variant>
      <vt:variant>
        <vt:i4>0</vt:i4>
      </vt:variant>
      <vt:variant>
        <vt:i4>5</vt:i4>
      </vt:variant>
      <vt:variant>
        <vt:lpwstr>CMS-2-005164</vt:lpwstr>
      </vt:variant>
      <vt:variant>
        <vt:lpwstr/>
      </vt:variant>
      <vt:variant>
        <vt:i4>262192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8257623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_Copay_Too_High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_Toc91771053</vt:lpwstr>
      </vt:variant>
      <vt:variant>
        <vt:i4>1245242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_Toc91771052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_Toc91771051</vt:lpwstr>
      </vt:variant>
      <vt:variant>
        <vt:i4>1114170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_Toc91771050</vt:lpwstr>
      </vt:variant>
      <vt:variant>
        <vt:i4>1572923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_Toc91771049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dc:description/>
  <cp:lastModifiedBy>Dugdale, Brienna</cp:lastModifiedBy>
  <cp:revision>14</cp:revision>
  <dcterms:created xsi:type="dcterms:W3CDTF">2023-09-27T19:14:00Z</dcterms:created>
  <dcterms:modified xsi:type="dcterms:W3CDTF">2025-07-21T22:15:00Z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2021-11-26T15:07:38Z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2c2821d6-8e14-4254-bf53-ce7cc7fbbabe</vt:lpwstr>
  </property>
  <property fmtid="{D5CDD505-2E9C-101B-9397-08002B2CF9AE}" pid="8" name="MSIP_Label_67599526-06ca-49cc-9fa9-5307800a949a_ContentBits">
    <vt:lpwstr>0</vt:lpwstr>
  </property>
</Properties>
</file>