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7D0F" w14:textId="0877D23E" w:rsidR="00C623F4" w:rsidRDefault="00EF7349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C623F4">
        <w:rPr>
          <w:rFonts w:ascii="Verdana" w:hAnsi="Verdana"/>
          <w:color w:val="auto"/>
          <w:sz w:val="36"/>
          <w:szCs w:val="36"/>
        </w:rPr>
        <w:t xml:space="preserve">Unapplied Payments </w:t>
      </w:r>
      <w:r w:rsidR="00E17E4E">
        <w:rPr>
          <w:rFonts w:ascii="Verdana" w:hAnsi="Verdana"/>
          <w:color w:val="auto"/>
          <w:sz w:val="36"/>
          <w:szCs w:val="36"/>
        </w:rPr>
        <w:t xml:space="preserve"> </w:t>
      </w:r>
    </w:p>
    <w:p w14:paraId="39647FBB" w14:textId="518A1A69" w:rsidR="001F5F53" w:rsidRDefault="00E3121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7342977" w:history="1">
        <w:r w:rsidR="001F5F53" w:rsidRPr="00DA1671">
          <w:rPr>
            <w:rStyle w:val="Hyperlink"/>
            <w:rFonts w:ascii="Verdana" w:hAnsi="Verdana"/>
            <w:noProof/>
          </w:rPr>
          <w:t>Handling Payment Inquiry Calls</w:t>
        </w:r>
      </w:hyperlink>
    </w:p>
    <w:p w14:paraId="5F850AF0" w14:textId="14FC8D15" w:rsidR="001F5F53" w:rsidRDefault="001F5F5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342978" w:history="1">
        <w:r w:rsidRPr="00DA1671">
          <w:rPr>
            <w:rStyle w:val="Hyperlink"/>
            <w:rFonts w:ascii="Verdana" w:hAnsi="Verdana"/>
            <w:noProof/>
          </w:rPr>
          <w:t>Related Documents</w:t>
        </w:r>
      </w:hyperlink>
    </w:p>
    <w:p w14:paraId="3CBD6B49" w14:textId="0E018982" w:rsidR="00E31217" w:rsidRDefault="00E31217">
      <w:r>
        <w:fldChar w:fldCharType="end"/>
      </w:r>
      <w:r w:rsidR="00EE3A3D" w:rsidDel="00EE3A3D">
        <w:t xml:space="preserve"> </w:t>
      </w:r>
    </w:p>
    <w:p w14:paraId="1A5A2ED2" w14:textId="77777777" w:rsidR="00477702" w:rsidRDefault="00477702">
      <w:pPr>
        <w:rPr>
          <w:rFonts w:ascii="Verdana" w:hAnsi="Verdana"/>
        </w:rPr>
      </w:pPr>
    </w:p>
    <w:p w14:paraId="07AC038A" w14:textId="48F15333" w:rsidR="00C623F4" w:rsidRDefault="00DB6F80" w:rsidP="00A54D7A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A54D7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3147E6">
        <w:rPr>
          <w:rFonts w:ascii="Verdana" w:hAnsi="Verdana"/>
        </w:rPr>
        <w:t>P</w:t>
      </w:r>
      <w:r>
        <w:rPr>
          <w:rFonts w:ascii="Verdana" w:hAnsi="Verdana"/>
        </w:rPr>
        <w:t xml:space="preserve">rovides </w:t>
      </w:r>
      <w:r w:rsidR="00C623F4">
        <w:rPr>
          <w:rFonts w:ascii="Verdana" w:hAnsi="Verdana"/>
        </w:rPr>
        <w:t xml:space="preserve">the process for identifying and correctly applying previously unidentified </w:t>
      </w:r>
      <w:r w:rsidR="00BA717E">
        <w:rPr>
          <w:rFonts w:ascii="Verdana" w:hAnsi="Verdana"/>
        </w:rPr>
        <w:t>member</w:t>
      </w:r>
      <w:r w:rsidR="00C623F4">
        <w:rPr>
          <w:rFonts w:ascii="Verdana" w:hAnsi="Verdana"/>
        </w:rPr>
        <w:t xml:space="preserve"> payments.</w:t>
      </w:r>
      <w:bookmarkStart w:id="2" w:name="_Definitions"/>
      <w:bookmarkStart w:id="3" w:name="_Abbreviations/Definitions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23F4" w14:paraId="2BD8CB61" w14:textId="77777777">
        <w:tc>
          <w:tcPr>
            <w:tcW w:w="5000" w:type="pct"/>
            <w:shd w:val="clear" w:color="auto" w:fill="C0C0C0"/>
          </w:tcPr>
          <w:p w14:paraId="6D107802" w14:textId="77777777" w:rsidR="00C623F4" w:rsidRDefault="00C623F4" w:rsidP="00A54D7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Handling_Payment_Inquiry_Calls_-_CC"/>
            <w:bookmarkStart w:id="6" w:name="_Toc167342977"/>
            <w:bookmarkStart w:id="7" w:name="OLE_LINK1"/>
            <w:bookmarkStart w:id="8" w:name="OLE_LINK2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Handling Payment Inquiry Calls</w:t>
            </w:r>
            <w:bookmarkEnd w:id="6"/>
            <w:r w:rsidR="00E17E4E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7"/>
            <w:bookmarkEnd w:id="8"/>
          </w:p>
        </w:tc>
      </w:tr>
    </w:tbl>
    <w:p w14:paraId="240318D3" w14:textId="77777777" w:rsidR="00B94286" w:rsidRDefault="00DB6F80" w:rsidP="00A54D7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This includes</w:t>
      </w:r>
      <w:r w:rsidR="00C623F4">
        <w:rPr>
          <w:rFonts w:ascii="Verdana" w:hAnsi="Verdana"/>
        </w:rPr>
        <w:t xml:space="preserve"> </w:t>
      </w:r>
      <w:r>
        <w:rPr>
          <w:rFonts w:ascii="Verdana" w:hAnsi="Verdana"/>
        </w:rPr>
        <w:t>the steps</w:t>
      </w:r>
      <w:r w:rsidR="00C623F4">
        <w:rPr>
          <w:rFonts w:ascii="Verdana" w:hAnsi="Verdana"/>
        </w:rPr>
        <w:t xml:space="preserve"> for addressing </w:t>
      </w:r>
      <w:r w:rsidR="00BA717E">
        <w:rPr>
          <w:rFonts w:ascii="Verdana" w:hAnsi="Verdana"/>
        </w:rPr>
        <w:t>member</w:t>
      </w:r>
      <w:r w:rsidR="00C623F4">
        <w:rPr>
          <w:rFonts w:ascii="Verdana" w:hAnsi="Verdana"/>
        </w:rPr>
        <w:t xml:space="preserve"> requests regarding having mailed in a check</w:t>
      </w:r>
      <w:r>
        <w:rPr>
          <w:rFonts w:ascii="Verdana" w:hAnsi="Verdana"/>
        </w:rPr>
        <w:t xml:space="preserve"> or </w:t>
      </w:r>
      <w:r w:rsidR="00AD3BDB" w:rsidRPr="00864F8B">
        <w:rPr>
          <w:rFonts w:ascii="Verdana" w:hAnsi="Verdana"/>
          <w:color w:val="000000"/>
        </w:rPr>
        <w:t>money order</w:t>
      </w:r>
      <w:r w:rsidR="00C623F4" w:rsidRPr="00864F8B">
        <w:rPr>
          <w:rFonts w:ascii="Verdana" w:hAnsi="Verdana"/>
          <w:color w:val="000000"/>
        </w:rPr>
        <w:t xml:space="preserve"> </w:t>
      </w:r>
      <w:r w:rsidR="00C623F4">
        <w:rPr>
          <w:rFonts w:ascii="Verdana" w:hAnsi="Verdana"/>
        </w:rPr>
        <w:t>that was not applied to their account</w:t>
      </w:r>
      <w:r w:rsidR="00AD1B2A">
        <w:rPr>
          <w:rFonts w:ascii="Verdana" w:hAnsi="Verdana"/>
        </w:rPr>
        <w:t xml:space="preserve"> or</w:t>
      </w:r>
      <w:r w:rsidR="00AD1B2A" w:rsidRPr="000923B5">
        <w:rPr>
          <w:rFonts w:ascii="Verdana" w:hAnsi="Verdana"/>
          <w:color w:val="FF0000"/>
        </w:rPr>
        <w:t xml:space="preserve"> </w:t>
      </w:r>
      <w:r w:rsidR="00AD1B2A" w:rsidRPr="0049166C">
        <w:rPr>
          <w:rFonts w:ascii="Verdana" w:hAnsi="Verdana"/>
          <w:color w:val="000000"/>
        </w:rPr>
        <w:t xml:space="preserve">if the </w:t>
      </w:r>
      <w:r w:rsidR="00BA717E">
        <w:rPr>
          <w:rFonts w:ascii="Verdana" w:hAnsi="Verdana"/>
          <w:color w:val="000000"/>
        </w:rPr>
        <w:t>member</w:t>
      </w:r>
      <w:r w:rsidR="00AD1B2A" w:rsidRPr="0049166C">
        <w:rPr>
          <w:rFonts w:ascii="Verdana" w:hAnsi="Verdana"/>
          <w:color w:val="000000"/>
        </w:rPr>
        <w:t>’s bank has sent an electronic payment for them through online bill</w:t>
      </w:r>
      <w:r>
        <w:rPr>
          <w:rFonts w:ascii="Verdana" w:hAnsi="Verdana"/>
          <w:color w:val="000000"/>
        </w:rPr>
        <w:t xml:space="preserve"> </w:t>
      </w:r>
      <w:r w:rsidR="00AD1B2A" w:rsidRPr="0049166C">
        <w:rPr>
          <w:rFonts w:ascii="Verdana" w:hAnsi="Verdana"/>
          <w:color w:val="000000"/>
        </w:rPr>
        <w:t xml:space="preserve">pay. </w:t>
      </w:r>
    </w:p>
    <w:p w14:paraId="0A79AC3E" w14:textId="78D1853C" w:rsidR="00B94286" w:rsidRDefault="00B94286" w:rsidP="00A54D7A">
      <w:pPr>
        <w:spacing w:before="120" w:after="120"/>
        <w:rPr>
          <w:rFonts w:ascii="Verdana" w:hAnsi="Verdana"/>
          <w:color w:val="000000"/>
        </w:rPr>
      </w:pPr>
    </w:p>
    <w:p w14:paraId="39F5812F" w14:textId="5849EB46" w:rsidR="00BF183D" w:rsidRDefault="00B94286" w:rsidP="00A54D7A">
      <w:pPr>
        <w:spacing w:before="120" w:after="120"/>
        <w:rPr>
          <w:rFonts w:ascii="Verdana" w:hAnsi="Verdana"/>
          <w:color w:val="000000"/>
        </w:rPr>
      </w:pPr>
      <w:r w:rsidRPr="001E1B5E">
        <w:rPr>
          <w:rFonts w:ascii="Verdana" w:hAnsi="Verdana"/>
          <w:b/>
          <w:bCs/>
          <w:color w:val="000000"/>
        </w:rPr>
        <w:t>Reminder:</w:t>
      </w:r>
      <w:r w:rsidR="001E1B5E">
        <w:rPr>
          <w:rFonts w:ascii="Verdana" w:hAnsi="Verdana"/>
          <w:color w:val="000000"/>
        </w:rPr>
        <w:t xml:space="preserve">  </w:t>
      </w:r>
      <w:r w:rsidR="001253F0">
        <w:rPr>
          <w:noProof/>
        </w:rPr>
        <w:drawing>
          <wp:inline distT="0" distB="0" distL="0" distR="0" wp14:anchorId="11354F6F" wp14:editId="4535201B">
            <wp:extent cx="238125" cy="20955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02">
        <w:rPr>
          <w:rFonts w:ascii="Verdana" w:hAnsi="Verdana"/>
          <w:color w:val="000000"/>
        </w:rPr>
        <w:t xml:space="preserve"> </w:t>
      </w:r>
      <w:r w:rsidR="001253F0" w:rsidRPr="001E1B5E">
        <w:rPr>
          <w:rFonts w:ascii="Verdana" w:hAnsi="Verdana"/>
          <w:color w:val="000000"/>
        </w:rPr>
        <w:t>FSA/HSA/HRA Credit Cards Can Now Be Used to Pay an Outstanding Balance</w:t>
      </w:r>
      <w:r w:rsidR="001253F0">
        <w:rPr>
          <w:rFonts w:ascii="Verdana" w:hAnsi="Verdana"/>
          <w:color w:val="000000"/>
        </w:rPr>
        <w:t xml:space="preserve">. </w:t>
      </w:r>
    </w:p>
    <w:p w14:paraId="45653060" w14:textId="77777777" w:rsidR="001E1B5E" w:rsidRDefault="001E1B5E" w:rsidP="00A54D7A">
      <w:pPr>
        <w:spacing w:before="120" w:after="120"/>
        <w:rPr>
          <w:rFonts w:ascii="Verdana" w:hAnsi="Verdana"/>
        </w:rPr>
      </w:pPr>
    </w:p>
    <w:p w14:paraId="36FF1C62" w14:textId="22342466" w:rsidR="00C623F4" w:rsidRDefault="0049166C" w:rsidP="00A54D7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26691C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7"/>
        <w:gridCol w:w="2282"/>
        <w:gridCol w:w="1222"/>
        <w:gridCol w:w="1645"/>
        <w:gridCol w:w="381"/>
        <w:gridCol w:w="5993"/>
      </w:tblGrid>
      <w:tr w:rsidR="00C623F4" w14:paraId="479CB6A8" w14:textId="77777777" w:rsidTr="001F5F53">
        <w:tc>
          <w:tcPr>
            <w:tcW w:w="551" w:type="pct"/>
            <w:shd w:val="clear" w:color="auto" w:fill="E6E6E6"/>
          </w:tcPr>
          <w:p w14:paraId="73F0B4C3" w14:textId="77777777" w:rsidR="00C623F4" w:rsidRDefault="00C623F4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449" w:type="pct"/>
            <w:gridSpan w:val="5"/>
            <w:shd w:val="clear" w:color="auto" w:fill="E6E6E6"/>
          </w:tcPr>
          <w:p w14:paraId="7453A2E2" w14:textId="77777777" w:rsidR="00C623F4" w:rsidRDefault="00C623F4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C623F4" w14:paraId="21A6F4A5" w14:textId="77777777" w:rsidTr="001F5F53">
        <w:tc>
          <w:tcPr>
            <w:tcW w:w="551" w:type="pct"/>
          </w:tcPr>
          <w:p w14:paraId="521A9E64" w14:textId="54955BB1" w:rsidR="00F65B4B" w:rsidRDefault="00C623F4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49" w:type="pct"/>
            <w:gridSpan w:val="5"/>
          </w:tcPr>
          <w:p w14:paraId="17A7F677" w14:textId="00EB85D9" w:rsidR="00C623F4" w:rsidRDefault="00C623F4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Obtain the plan </w:t>
            </w:r>
            <w:r w:rsidR="00BA717E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’s ID number and locate </w:t>
            </w:r>
            <w:r w:rsidR="00BA717E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records.</w:t>
            </w:r>
          </w:p>
        </w:tc>
      </w:tr>
      <w:tr w:rsidR="00172129" w14:paraId="6B4E6AD9" w14:textId="77777777" w:rsidTr="001F5F53">
        <w:trPr>
          <w:trHeight w:val="135"/>
        </w:trPr>
        <w:tc>
          <w:tcPr>
            <w:tcW w:w="551" w:type="pct"/>
            <w:vMerge w:val="restart"/>
          </w:tcPr>
          <w:p w14:paraId="1D042760" w14:textId="77777777" w:rsidR="00172129" w:rsidRDefault="00EE3A3D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49" w:type="pct"/>
            <w:gridSpan w:val="5"/>
            <w:tcBorders>
              <w:bottom w:val="single" w:sz="4" w:space="0" w:color="auto"/>
            </w:tcBorders>
          </w:tcPr>
          <w:p w14:paraId="436741A7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payment type:</w:t>
            </w:r>
          </w:p>
        </w:tc>
      </w:tr>
      <w:tr w:rsidR="00172129" w14:paraId="6CFD02D7" w14:textId="77777777" w:rsidTr="001F5F53">
        <w:trPr>
          <w:trHeight w:val="135"/>
        </w:trPr>
        <w:tc>
          <w:tcPr>
            <w:tcW w:w="551" w:type="pct"/>
            <w:vMerge/>
          </w:tcPr>
          <w:p w14:paraId="3A65F61A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shd w:val="clear" w:color="auto" w:fill="E6E6E6"/>
          </w:tcPr>
          <w:p w14:paraId="749F133E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568" w:type="pct"/>
            <w:gridSpan w:val="4"/>
            <w:shd w:val="clear" w:color="auto" w:fill="E6E6E6"/>
          </w:tcPr>
          <w:p w14:paraId="15B21C86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72129" w14:paraId="24B9333C" w14:textId="77777777" w:rsidTr="001F5F53">
        <w:trPr>
          <w:trHeight w:val="294"/>
        </w:trPr>
        <w:tc>
          <w:tcPr>
            <w:tcW w:w="551" w:type="pct"/>
            <w:vMerge/>
          </w:tcPr>
          <w:p w14:paraId="4162DADB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 w:val="restart"/>
          </w:tcPr>
          <w:p w14:paraId="0872DB01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  <w:r w:rsidRPr="00BF71CF">
              <w:rPr>
                <w:rFonts w:ascii="Verdana" w:hAnsi="Verdana"/>
                <w:b/>
              </w:rPr>
              <w:t>Paper Item</w:t>
            </w:r>
          </w:p>
          <w:p w14:paraId="394867DE" w14:textId="667A8290" w:rsidR="00E31217" w:rsidRPr="00E31217" w:rsidRDefault="00E31217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E31217">
              <w:rPr>
                <w:rFonts w:ascii="Verdana" w:hAnsi="Verdana"/>
              </w:rPr>
              <w:t>(Form of payment that may include items such as check, online bill</w:t>
            </w:r>
            <w:r w:rsidR="00DB6F80">
              <w:rPr>
                <w:rFonts w:ascii="Verdana" w:hAnsi="Verdana"/>
              </w:rPr>
              <w:t xml:space="preserve"> </w:t>
            </w:r>
            <w:r w:rsidRPr="00E31217">
              <w:rPr>
                <w:rFonts w:ascii="Verdana" w:hAnsi="Verdana"/>
              </w:rPr>
              <w:t>pay</w:t>
            </w:r>
            <w:r w:rsidR="00DB6F80">
              <w:rPr>
                <w:rFonts w:ascii="Verdana" w:hAnsi="Verdana"/>
              </w:rPr>
              <w:t>,</w:t>
            </w:r>
            <w:r w:rsidRPr="00E31217">
              <w:rPr>
                <w:rFonts w:ascii="Verdana" w:hAnsi="Verdana"/>
              </w:rPr>
              <w:t xml:space="preserve"> check, money order, official check, cashier’s check etc</w:t>
            </w:r>
            <w:r w:rsidR="00DB6F80">
              <w:rPr>
                <w:rFonts w:ascii="Verdana" w:hAnsi="Verdana"/>
              </w:rPr>
              <w:t>.</w:t>
            </w:r>
            <w:r w:rsidRPr="00E31217">
              <w:rPr>
                <w:rFonts w:ascii="Verdana" w:hAnsi="Verdana"/>
              </w:rPr>
              <w:t>)</w:t>
            </w:r>
          </w:p>
        </w:tc>
        <w:tc>
          <w:tcPr>
            <w:tcW w:w="3568" w:type="pct"/>
            <w:gridSpan w:val="4"/>
            <w:tcBorders>
              <w:bottom w:val="single" w:sz="4" w:space="0" w:color="auto"/>
            </w:tcBorders>
          </w:tcPr>
          <w:p w14:paraId="29C57376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 the member if </w:t>
            </w:r>
            <w:r w:rsidRPr="00BF71CF">
              <w:rPr>
                <w:rFonts w:ascii="Verdana" w:hAnsi="Verdana"/>
              </w:rPr>
              <w:t>the item</w:t>
            </w:r>
            <w:r w:rsidRPr="00B80C79">
              <w:rPr>
                <w:rFonts w:ascii="Verdana" w:hAnsi="Verdana"/>
                <w:color w:val="FF0000"/>
              </w:rPr>
              <w:t xml:space="preserve"> </w:t>
            </w:r>
            <w:r>
              <w:rPr>
                <w:rFonts w:ascii="Verdana" w:hAnsi="Verdana"/>
              </w:rPr>
              <w:t>used to pay for the purchase has cleared their financial institution.</w:t>
            </w:r>
          </w:p>
          <w:p w14:paraId="3E538244" w14:textId="7B998034" w:rsidR="00625A63" w:rsidRPr="00986BC6" w:rsidRDefault="00BF71CF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  <w:b/>
              </w:rPr>
              <w:t>Note:</w:t>
            </w:r>
            <w:r w:rsidRPr="00986BC6">
              <w:rPr>
                <w:rFonts w:ascii="Verdana" w:hAnsi="Verdana"/>
              </w:rPr>
              <w:t xml:space="preserve">  For money orders, the member can call the number on the back of their receipt to verify that the check has cleared.</w:t>
            </w:r>
          </w:p>
        </w:tc>
      </w:tr>
      <w:tr w:rsidR="00172129" w14:paraId="54F6F215" w14:textId="77777777" w:rsidTr="001F5F53">
        <w:trPr>
          <w:trHeight w:val="292"/>
        </w:trPr>
        <w:tc>
          <w:tcPr>
            <w:tcW w:w="551" w:type="pct"/>
            <w:vMerge/>
          </w:tcPr>
          <w:p w14:paraId="6FEF580A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4C117044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shd w:val="clear" w:color="auto" w:fill="E6E6E6"/>
          </w:tcPr>
          <w:p w14:paraId="540CCBA0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096" w:type="pct"/>
            <w:gridSpan w:val="3"/>
            <w:shd w:val="clear" w:color="auto" w:fill="E6E6E6"/>
          </w:tcPr>
          <w:p w14:paraId="09EC9AAF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72129" w14:paraId="0F026247" w14:textId="77777777" w:rsidTr="001F5F53">
        <w:trPr>
          <w:trHeight w:val="147"/>
        </w:trPr>
        <w:tc>
          <w:tcPr>
            <w:tcW w:w="551" w:type="pct"/>
            <w:vMerge/>
          </w:tcPr>
          <w:p w14:paraId="20B1E68C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63E6574F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 w:val="restart"/>
          </w:tcPr>
          <w:p w14:paraId="16B0525C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096" w:type="pct"/>
            <w:gridSpan w:val="3"/>
            <w:tcBorders>
              <w:bottom w:val="single" w:sz="4" w:space="0" w:color="auto"/>
            </w:tcBorders>
          </w:tcPr>
          <w:p w14:paraId="0554530A" w14:textId="77777777" w:rsidR="00172129" w:rsidRPr="0004019D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04019D">
              <w:rPr>
                <w:rFonts w:ascii="Verdana" w:hAnsi="Verdana"/>
              </w:rPr>
              <w:t xml:space="preserve">Determine if a payment has been applied to their account by accessing the </w:t>
            </w:r>
            <w:r w:rsidRPr="0004019D">
              <w:rPr>
                <w:rFonts w:ascii="Verdana" w:hAnsi="Verdana"/>
                <w:b/>
              </w:rPr>
              <w:t>Transaction History</w:t>
            </w:r>
            <w:r w:rsidRPr="0004019D">
              <w:rPr>
                <w:rFonts w:ascii="Verdana" w:hAnsi="Verdana"/>
              </w:rPr>
              <w:t xml:space="preserve"> screen.</w:t>
            </w:r>
          </w:p>
        </w:tc>
      </w:tr>
      <w:tr w:rsidR="00172129" w14:paraId="14A665D2" w14:textId="77777777" w:rsidTr="001F5F53">
        <w:trPr>
          <w:trHeight w:val="146"/>
        </w:trPr>
        <w:tc>
          <w:tcPr>
            <w:tcW w:w="551" w:type="pct"/>
            <w:vMerge/>
          </w:tcPr>
          <w:p w14:paraId="698107BF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16130EF2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7431043F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  <w:shd w:val="clear" w:color="auto" w:fill="E6E6E6"/>
          </w:tcPr>
          <w:p w14:paraId="177CD6C8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461" w:type="pct"/>
            <w:gridSpan w:val="2"/>
            <w:shd w:val="clear" w:color="auto" w:fill="E6E6E6"/>
          </w:tcPr>
          <w:p w14:paraId="2B486DBB" w14:textId="77777777" w:rsidR="00172129" w:rsidRPr="00864F8B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72129" w14:paraId="43D8368B" w14:textId="77777777" w:rsidTr="001F5F53">
        <w:trPr>
          <w:trHeight w:val="146"/>
        </w:trPr>
        <w:tc>
          <w:tcPr>
            <w:tcW w:w="551" w:type="pct"/>
            <w:vMerge/>
          </w:tcPr>
          <w:p w14:paraId="4E9CD652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71D6E7FF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5C8F042A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759FBA10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2461" w:type="pct"/>
            <w:gridSpan w:val="2"/>
          </w:tcPr>
          <w:p w14:paraId="0BB1ECDB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Notify the member that their account has been credited.</w:t>
            </w:r>
          </w:p>
        </w:tc>
      </w:tr>
      <w:tr w:rsidR="00172129" w14:paraId="271C9C81" w14:textId="77777777" w:rsidTr="001F5F53">
        <w:trPr>
          <w:trHeight w:val="146"/>
        </w:trPr>
        <w:tc>
          <w:tcPr>
            <w:tcW w:w="551" w:type="pct"/>
            <w:vMerge/>
          </w:tcPr>
          <w:p w14:paraId="58B15A0C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26D85940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54E4AC63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63B63E62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2461" w:type="pct"/>
            <w:gridSpan w:val="2"/>
          </w:tcPr>
          <w:p w14:paraId="61842F6F" w14:textId="599FF1B5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89444C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</w:rPr>
              <w:t xml:space="preserve"> </w:t>
            </w:r>
            <w:hyperlink r:id="rId9" w:anchor="!/view?docid=f68cdde2-ea7f-4f11-bb7d-a1f80f29dc4c" w:history="1">
              <w:r w:rsidR="00B1354E">
                <w:rPr>
                  <w:rStyle w:val="Hyperlink"/>
                  <w:rFonts w:ascii="Verdana" w:hAnsi="Verdana"/>
                </w:rPr>
                <w:t>Payment - Finding (Locate) a Payment (024758)</w:t>
              </w:r>
            </w:hyperlink>
            <w:r>
              <w:rPr>
                <w:rFonts w:ascii="Verdana" w:hAnsi="Verdana"/>
              </w:rPr>
              <w:t>.</w:t>
            </w:r>
            <w:r w:rsidR="00720B1D">
              <w:rPr>
                <w:rFonts w:ascii="Verdana" w:hAnsi="Verdana"/>
              </w:rPr>
              <w:t xml:space="preserve"> Probe and ask customer questions inclu</w:t>
            </w:r>
            <w:r w:rsidR="00F91555">
              <w:rPr>
                <w:rFonts w:ascii="Verdana" w:hAnsi="Verdana"/>
              </w:rPr>
              <w:t xml:space="preserve">ding the check number, </w:t>
            </w:r>
            <w:r w:rsidR="00720B1D">
              <w:rPr>
                <w:rFonts w:ascii="Verdana" w:hAnsi="Verdana"/>
              </w:rPr>
              <w:t>amount of money on check, and date check was mailed. If you are still unable to find payment, have them confirm with their bank</w:t>
            </w:r>
            <w:r w:rsidR="00783E80">
              <w:rPr>
                <w:rFonts w:ascii="Verdana" w:hAnsi="Verdana"/>
              </w:rPr>
              <w:t xml:space="preserve"> </w:t>
            </w:r>
            <w:r w:rsidR="00DB6F80">
              <w:rPr>
                <w:rFonts w:ascii="Verdana" w:hAnsi="Verdana"/>
              </w:rPr>
              <w:t>to determine if</w:t>
            </w:r>
            <w:r w:rsidR="00783E80">
              <w:rPr>
                <w:rFonts w:ascii="Verdana" w:hAnsi="Verdana"/>
              </w:rPr>
              <w:t xml:space="preserve"> check cleared</w:t>
            </w:r>
            <w:r w:rsidR="00DB6F80">
              <w:rPr>
                <w:rFonts w:ascii="Verdana" w:hAnsi="Verdana"/>
              </w:rPr>
              <w:t>.</w:t>
            </w:r>
            <w:r w:rsidR="00783E80">
              <w:rPr>
                <w:rFonts w:ascii="Verdana" w:hAnsi="Verdana"/>
              </w:rPr>
              <w:t xml:space="preserve"> </w:t>
            </w:r>
            <w:r w:rsidR="00DB6F80">
              <w:rPr>
                <w:rFonts w:ascii="Verdana" w:hAnsi="Verdana"/>
              </w:rPr>
              <w:t xml:space="preserve"> </w:t>
            </w:r>
            <w:r w:rsidR="00E31217">
              <w:rPr>
                <w:rFonts w:ascii="Verdana" w:hAnsi="Verdana"/>
              </w:rPr>
              <w:t xml:space="preserve"> </w:t>
            </w:r>
            <w:r w:rsidR="00265328">
              <w:rPr>
                <w:noProof/>
              </w:rPr>
              <w:t xml:space="preserve"> </w:t>
            </w:r>
          </w:p>
        </w:tc>
      </w:tr>
      <w:tr w:rsidR="00172129" w14:paraId="7BBB929E" w14:textId="77777777" w:rsidTr="001F5F53">
        <w:trPr>
          <w:trHeight w:val="458"/>
        </w:trPr>
        <w:tc>
          <w:tcPr>
            <w:tcW w:w="551" w:type="pct"/>
            <w:vMerge/>
          </w:tcPr>
          <w:p w14:paraId="0FACB8EA" w14:textId="77777777" w:rsidR="00172129" w:rsidRDefault="00172129" w:rsidP="00A54D7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703E9763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 w:val="restart"/>
          </w:tcPr>
          <w:p w14:paraId="2C429B84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096" w:type="pct"/>
            <w:gridSpan w:val="3"/>
            <w:tcBorders>
              <w:bottom w:val="single" w:sz="4" w:space="0" w:color="auto"/>
            </w:tcBorders>
          </w:tcPr>
          <w:p w14:paraId="1254D5D2" w14:textId="77B065E8" w:rsidR="00172129" w:rsidRPr="00986BC6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</w:rPr>
              <w:t xml:space="preserve">Determine if </w:t>
            </w:r>
            <w:r w:rsidR="00F91555">
              <w:rPr>
                <w:rFonts w:ascii="Verdana" w:hAnsi="Verdana"/>
              </w:rPr>
              <w:t xml:space="preserve">the </w:t>
            </w:r>
            <w:r w:rsidR="00DB6F80">
              <w:rPr>
                <w:rFonts w:ascii="Verdana" w:hAnsi="Verdana"/>
              </w:rPr>
              <w:t xml:space="preserve">mail order pharmacy has </w:t>
            </w:r>
            <w:r w:rsidR="00BF71CF" w:rsidRPr="00986BC6">
              <w:rPr>
                <w:rFonts w:ascii="Verdana" w:hAnsi="Verdana"/>
              </w:rPr>
              <w:t xml:space="preserve">the </w:t>
            </w:r>
            <w:r w:rsidRPr="00986BC6">
              <w:rPr>
                <w:rFonts w:ascii="Verdana" w:hAnsi="Verdana"/>
              </w:rPr>
              <w:t xml:space="preserve">check in </w:t>
            </w:r>
            <w:r w:rsidR="00DB6F80" w:rsidRPr="00986BC6">
              <w:rPr>
                <w:rFonts w:ascii="Verdana" w:hAnsi="Verdana"/>
              </w:rPr>
              <w:t>possession but</w:t>
            </w:r>
            <w:r w:rsidRPr="00986BC6">
              <w:rPr>
                <w:rFonts w:ascii="Verdana" w:hAnsi="Verdana"/>
              </w:rPr>
              <w:t xml:space="preserve"> has not yet applied it.  </w:t>
            </w:r>
          </w:p>
          <w:p w14:paraId="5B9B9BF9" w14:textId="1F01460F" w:rsidR="00172129" w:rsidRPr="00986BC6" w:rsidRDefault="00DB6F80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A54D7A">
              <w:rPr>
                <w:rFonts w:ascii="Verdana" w:hAnsi="Verdana"/>
                <w:b/>
                <w:bCs/>
              </w:rPr>
              <w:t>E</w:t>
            </w:r>
            <w:r w:rsidR="00172129" w:rsidRPr="00A54D7A">
              <w:rPr>
                <w:rFonts w:ascii="Verdana" w:hAnsi="Verdana"/>
                <w:b/>
                <w:bCs/>
              </w:rPr>
              <w:t>xample</w:t>
            </w:r>
            <w:r w:rsidRPr="00A54D7A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T</w:t>
            </w:r>
            <w:r w:rsidR="00172129" w:rsidRPr="00986BC6">
              <w:rPr>
                <w:rFonts w:ascii="Verdana" w:hAnsi="Verdana"/>
              </w:rPr>
              <w:t>he check is attached to a voided order and needs to be rescanned in order to be posted.</w:t>
            </w:r>
            <w:r w:rsidR="00B77194" w:rsidRPr="00986BC6">
              <w:rPr>
                <w:rFonts w:ascii="Verdana" w:hAnsi="Verdana"/>
              </w:rPr>
              <w:t xml:space="preserve"> </w:t>
            </w:r>
            <w:r w:rsidR="003A0371" w:rsidRPr="00986BC6">
              <w:rPr>
                <w:rFonts w:ascii="Verdana" w:hAnsi="Verdana"/>
              </w:rPr>
              <w:t xml:space="preserve"> </w:t>
            </w:r>
            <w:r w:rsidR="00B77194" w:rsidRPr="00986BC6">
              <w:rPr>
                <w:rFonts w:ascii="Verdana" w:hAnsi="Verdana"/>
              </w:rPr>
              <w:t xml:space="preserve">View in “Payments” tab from the Order Number. </w:t>
            </w:r>
          </w:p>
        </w:tc>
      </w:tr>
      <w:tr w:rsidR="00172129" w14:paraId="061E28A9" w14:textId="77777777" w:rsidTr="001F5F53">
        <w:trPr>
          <w:trHeight w:val="155"/>
        </w:trPr>
        <w:tc>
          <w:tcPr>
            <w:tcW w:w="551" w:type="pct"/>
            <w:vMerge/>
          </w:tcPr>
          <w:p w14:paraId="65F4BE91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793FB496" w14:textId="77777777" w:rsidR="00172129" w:rsidRPr="00864F8B" w:rsidRDefault="00172129" w:rsidP="003A467E">
            <w:pPr>
              <w:pStyle w:val="TableText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1BFFDE9F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  <w:shd w:val="clear" w:color="auto" w:fill="E6E6E6"/>
          </w:tcPr>
          <w:p w14:paraId="420C449E" w14:textId="77777777" w:rsidR="00172129" w:rsidRPr="00986BC6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6BC6">
              <w:rPr>
                <w:rFonts w:ascii="Verdana" w:hAnsi="Verdana"/>
                <w:b/>
              </w:rPr>
              <w:t>If…</w:t>
            </w:r>
          </w:p>
        </w:tc>
        <w:tc>
          <w:tcPr>
            <w:tcW w:w="2461" w:type="pct"/>
            <w:gridSpan w:val="2"/>
            <w:shd w:val="clear" w:color="auto" w:fill="E6E6E6"/>
          </w:tcPr>
          <w:p w14:paraId="6BB1267B" w14:textId="77777777" w:rsidR="00172129" w:rsidRPr="00986BC6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6BC6">
              <w:rPr>
                <w:rFonts w:ascii="Verdana" w:hAnsi="Verdana"/>
                <w:b/>
              </w:rPr>
              <w:t>Then…</w:t>
            </w:r>
          </w:p>
        </w:tc>
      </w:tr>
      <w:tr w:rsidR="00172129" w14:paraId="39EA5E81" w14:textId="77777777" w:rsidTr="001F5F53">
        <w:trPr>
          <w:trHeight w:val="155"/>
        </w:trPr>
        <w:tc>
          <w:tcPr>
            <w:tcW w:w="551" w:type="pct"/>
            <w:vMerge/>
          </w:tcPr>
          <w:p w14:paraId="4E0A8521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04A22380" w14:textId="77777777" w:rsidR="00172129" w:rsidRPr="00864F8B" w:rsidRDefault="00172129" w:rsidP="003A467E">
            <w:pPr>
              <w:pStyle w:val="TableText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5B38972D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250C8399" w14:textId="77777777" w:rsidR="00172129" w:rsidRPr="00A54D7A" w:rsidRDefault="00172129" w:rsidP="00A54D7A">
            <w:pPr>
              <w:pStyle w:val="TableText"/>
              <w:spacing w:before="120" w:after="120"/>
              <w:rPr>
                <w:rFonts w:ascii="Verdana" w:hAnsi="Verdana"/>
                <w:bCs/>
              </w:rPr>
            </w:pPr>
            <w:r w:rsidRPr="00A54D7A">
              <w:rPr>
                <w:rFonts w:ascii="Verdana" w:hAnsi="Verdana"/>
                <w:bCs/>
              </w:rPr>
              <w:t>Yes</w:t>
            </w:r>
          </w:p>
        </w:tc>
        <w:tc>
          <w:tcPr>
            <w:tcW w:w="2461" w:type="pct"/>
            <w:gridSpan w:val="2"/>
          </w:tcPr>
          <w:p w14:paraId="6C214DC9" w14:textId="5858EC59" w:rsidR="00172129" w:rsidRPr="00986BC6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</w:rPr>
              <w:t xml:space="preserve">Submit a </w:t>
            </w:r>
            <w:r w:rsidR="00DB6F80">
              <w:rPr>
                <w:rFonts w:ascii="Verdana" w:hAnsi="Verdana"/>
              </w:rPr>
              <w:t xml:space="preserve">RM </w:t>
            </w:r>
            <w:r w:rsidRPr="00986BC6">
              <w:rPr>
                <w:rFonts w:ascii="Verdana" w:hAnsi="Verdana"/>
              </w:rPr>
              <w:t>payment dispute task for research</w:t>
            </w:r>
            <w:r w:rsidR="00DB6F80">
              <w:rPr>
                <w:rFonts w:ascii="Verdana" w:hAnsi="Verdana"/>
              </w:rPr>
              <w:t xml:space="preserve"> as follows</w:t>
            </w:r>
            <w:r w:rsidRPr="00986BC6">
              <w:rPr>
                <w:rFonts w:ascii="Verdana" w:hAnsi="Verdana"/>
              </w:rPr>
              <w:t>:</w:t>
            </w:r>
          </w:p>
          <w:p w14:paraId="54B2039E" w14:textId="037302BA" w:rsidR="00172129" w:rsidRPr="00986BC6" w:rsidRDefault="00172129" w:rsidP="00A54D7A">
            <w:pPr>
              <w:pStyle w:val="TableText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</w:rPr>
              <w:t>Task Category:</w:t>
            </w:r>
            <w:r w:rsidR="00847436">
              <w:rPr>
                <w:rFonts w:ascii="Verdana" w:hAnsi="Verdana"/>
              </w:rPr>
              <w:t xml:space="preserve"> </w:t>
            </w:r>
            <w:r w:rsidRPr="00986BC6">
              <w:rPr>
                <w:rFonts w:ascii="Verdana" w:hAnsi="Verdana"/>
              </w:rPr>
              <w:t xml:space="preserve"> Billing/Payment</w:t>
            </w:r>
          </w:p>
          <w:p w14:paraId="4C4197F1" w14:textId="5CAA0290" w:rsidR="00172129" w:rsidRPr="00986BC6" w:rsidRDefault="00172129" w:rsidP="00A54D7A">
            <w:pPr>
              <w:pStyle w:val="TableText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</w:rPr>
              <w:t>Task Type:</w:t>
            </w:r>
            <w:r w:rsidR="00847436">
              <w:rPr>
                <w:rFonts w:ascii="Verdana" w:hAnsi="Verdana"/>
              </w:rPr>
              <w:t xml:space="preserve"> </w:t>
            </w:r>
            <w:r w:rsidRPr="00986BC6">
              <w:rPr>
                <w:rFonts w:ascii="Verdana" w:hAnsi="Verdana"/>
              </w:rPr>
              <w:t xml:space="preserve"> Payment Dispute</w:t>
            </w:r>
          </w:p>
          <w:p w14:paraId="4A51A9C2" w14:textId="0EE96CB1" w:rsidR="005D46CB" w:rsidRPr="00986BC6" w:rsidRDefault="00BF71CF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86BC6">
              <w:rPr>
                <w:rFonts w:ascii="Verdana" w:hAnsi="Verdana"/>
                <w:b/>
              </w:rPr>
              <w:t>Note:</w:t>
            </w:r>
            <w:r w:rsidRPr="00986BC6">
              <w:rPr>
                <w:rFonts w:ascii="Verdana" w:hAnsi="Verdana"/>
              </w:rPr>
              <w:t xml:space="preserve">  For money orders, include the money order check number in the Check Number field of the task.  This number will be located on the money order receipt.</w:t>
            </w:r>
            <w:r w:rsidR="00DB6F80">
              <w:rPr>
                <w:rFonts w:ascii="Verdana" w:hAnsi="Verdana"/>
              </w:rPr>
              <w:t xml:space="preserve"> </w:t>
            </w:r>
          </w:p>
        </w:tc>
      </w:tr>
      <w:tr w:rsidR="00172129" w14:paraId="2B717FB1" w14:textId="77777777" w:rsidTr="001F5F53">
        <w:trPr>
          <w:trHeight w:val="155"/>
        </w:trPr>
        <w:tc>
          <w:tcPr>
            <w:tcW w:w="551" w:type="pct"/>
            <w:vMerge/>
          </w:tcPr>
          <w:p w14:paraId="6F384B55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5DAEFF3A" w14:textId="77777777" w:rsidR="00172129" w:rsidRPr="00864F8B" w:rsidRDefault="00172129" w:rsidP="003A467E">
            <w:pPr>
              <w:pStyle w:val="TableText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1D823DF2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288F39A4" w14:textId="77777777" w:rsidR="00172129" w:rsidRPr="00A54D7A" w:rsidRDefault="00172129" w:rsidP="00A54D7A">
            <w:pPr>
              <w:pStyle w:val="TableText"/>
              <w:spacing w:before="120" w:after="120"/>
              <w:rPr>
                <w:rFonts w:ascii="Verdana" w:hAnsi="Verdana"/>
                <w:bCs/>
              </w:rPr>
            </w:pPr>
            <w:r w:rsidRPr="00A54D7A">
              <w:rPr>
                <w:rFonts w:ascii="Verdana" w:hAnsi="Verdana"/>
                <w:bCs/>
              </w:rPr>
              <w:t>No</w:t>
            </w:r>
          </w:p>
        </w:tc>
        <w:tc>
          <w:tcPr>
            <w:tcW w:w="2461" w:type="pct"/>
            <w:gridSpan w:val="2"/>
          </w:tcPr>
          <w:p w14:paraId="19A3226B" w14:textId="41A2F002" w:rsidR="00172129" w:rsidRPr="00986BC6" w:rsidRDefault="006B083B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1AF1BEE" wp14:editId="6A07A071">
                  <wp:extent cx="236855" cy="211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F80">
              <w:rPr>
                <w:rFonts w:ascii="Verdana" w:hAnsi="Verdana"/>
              </w:rPr>
              <w:t xml:space="preserve"> </w:t>
            </w:r>
            <w:r w:rsidR="00172129" w:rsidRPr="00986BC6">
              <w:rPr>
                <w:rFonts w:ascii="Verdana" w:hAnsi="Verdana"/>
              </w:rPr>
              <w:t xml:space="preserve">Your check will need to have cleared your bank before we are able to credit your account here at </w:t>
            </w:r>
            <w:r w:rsidR="00DB6F80">
              <w:rPr>
                <w:rFonts w:ascii="Verdana" w:hAnsi="Verdana"/>
              </w:rPr>
              <w:t>the Mail Order pharmacy</w:t>
            </w:r>
            <w:r w:rsidR="00172129" w:rsidRPr="00986BC6">
              <w:rPr>
                <w:rFonts w:ascii="Verdana" w:hAnsi="Verdana"/>
              </w:rPr>
              <w:t xml:space="preserve">. </w:t>
            </w:r>
          </w:p>
          <w:p w14:paraId="2C2891E3" w14:textId="0365C4BB" w:rsidR="005D46CB" w:rsidRPr="00986BC6" w:rsidRDefault="00172129" w:rsidP="00A54D7A">
            <w:pPr>
              <w:pStyle w:val="TableText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b/>
              </w:rPr>
            </w:pPr>
            <w:r w:rsidRPr="00986BC6">
              <w:rPr>
                <w:rFonts w:ascii="Verdana" w:hAnsi="Verdana"/>
              </w:rPr>
              <w:t>Complete call as normal.</w:t>
            </w:r>
            <w:r w:rsidR="00DB6F80">
              <w:rPr>
                <w:rFonts w:ascii="Verdana" w:hAnsi="Verdana"/>
              </w:rPr>
              <w:t xml:space="preserve"> </w:t>
            </w:r>
          </w:p>
        </w:tc>
      </w:tr>
      <w:tr w:rsidR="00172129" w14:paraId="24710543" w14:textId="77777777" w:rsidTr="001F5F53">
        <w:trPr>
          <w:trHeight w:val="72"/>
        </w:trPr>
        <w:tc>
          <w:tcPr>
            <w:tcW w:w="551" w:type="pct"/>
            <w:vMerge/>
          </w:tcPr>
          <w:p w14:paraId="3C3C750E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 w:val="restart"/>
          </w:tcPr>
          <w:p w14:paraId="7663660F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  <w:r w:rsidRPr="00864F8B">
              <w:rPr>
                <w:rFonts w:ascii="Verdana" w:hAnsi="Verdana"/>
                <w:b/>
              </w:rPr>
              <w:t>Electronic Payment</w:t>
            </w: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3568" w:type="pct"/>
            <w:gridSpan w:val="4"/>
            <w:tcBorders>
              <w:bottom w:val="single" w:sz="4" w:space="0" w:color="auto"/>
            </w:tcBorders>
          </w:tcPr>
          <w:p w14:paraId="5E4F54B1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Ask the member if the electronic debit is showing at their financial institution.</w:t>
            </w:r>
          </w:p>
        </w:tc>
      </w:tr>
      <w:tr w:rsidR="00172129" w14:paraId="36711EFB" w14:textId="77777777" w:rsidTr="001F5F53">
        <w:trPr>
          <w:trHeight w:val="71"/>
        </w:trPr>
        <w:tc>
          <w:tcPr>
            <w:tcW w:w="551" w:type="pct"/>
            <w:vMerge/>
          </w:tcPr>
          <w:p w14:paraId="1EE39197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1B5514D1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shd w:val="clear" w:color="auto" w:fill="E6E6E6"/>
          </w:tcPr>
          <w:p w14:paraId="2A0C49ED" w14:textId="77777777" w:rsidR="00172129" w:rsidRPr="00E17E4E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096" w:type="pct"/>
            <w:gridSpan w:val="3"/>
            <w:shd w:val="clear" w:color="auto" w:fill="E6E6E6"/>
          </w:tcPr>
          <w:p w14:paraId="347CE530" w14:textId="77777777" w:rsidR="00172129" w:rsidRPr="00E17E4E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72129" w14:paraId="5786B651" w14:textId="77777777" w:rsidTr="001F5F53">
        <w:trPr>
          <w:trHeight w:val="147"/>
        </w:trPr>
        <w:tc>
          <w:tcPr>
            <w:tcW w:w="551" w:type="pct"/>
            <w:vMerge/>
          </w:tcPr>
          <w:p w14:paraId="2CBE5408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1CAA9060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 w:val="restart"/>
          </w:tcPr>
          <w:p w14:paraId="567161B4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096" w:type="pct"/>
            <w:gridSpan w:val="3"/>
            <w:tcBorders>
              <w:bottom w:val="single" w:sz="4" w:space="0" w:color="auto"/>
            </w:tcBorders>
          </w:tcPr>
          <w:p w14:paraId="56BE2462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if the electronic payment has been applied to their account.</w:t>
            </w:r>
          </w:p>
        </w:tc>
      </w:tr>
      <w:tr w:rsidR="00172129" w14:paraId="0E826B90" w14:textId="77777777" w:rsidTr="001F5F53">
        <w:trPr>
          <w:trHeight w:val="146"/>
        </w:trPr>
        <w:tc>
          <w:tcPr>
            <w:tcW w:w="551" w:type="pct"/>
            <w:vMerge/>
          </w:tcPr>
          <w:p w14:paraId="660D1EC9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2062EB4D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0DE99A21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  <w:shd w:val="clear" w:color="auto" w:fill="E6E6E6"/>
          </w:tcPr>
          <w:p w14:paraId="55CA9D75" w14:textId="77777777" w:rsidR="00172129" w:rsidRPr="00E17E4E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461" w:type="pct"/>
            <w:gridSpan w:val="2"/>
            <w:shd w:val="clear" w:color="auto" w:fill="E6E6E6"/>
          </w:tcPr>
          <w:p w14:paraId="5907778E" w14:textId="77777777" w:rsidR="00172129" w:rsidRPr="00E17E4E" w:rsidRDefault="00172129" w:rsidP="00A54D7A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72129" w14:paraId="2B05D7D1" w14:textId="77777777" w:rsidTr="001F5F53">
        <w:trPr>
          <w:trHeight w:val="146"/>
        </w:trPr>
        <w:tc>
          <w:tcPr>
            <w:tcW w:w="551" w:type="pct"/>
            <w:vMerge/>
          </w:tcPr>
          <w:p w14:paraId="3C653925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124E255F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5AFC7AB0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22FB8F3A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2461" w:type="pct"/>
            <w:gridSpan w:val="2"/>
          </w:tcPr>
          <w:p w14:paraId="00A73E18" w14:textId="7238E7A3" w:rsidR="005D46CB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Notify the member that their </w:t>
            </w:r>
            <w:r w:rsidR="00F91555">
              <w:rPr>
                <w:rFonts w:ascii="Verdana" w:hAnsi="Verdana"/>
              </w:rPr>
              <w:t>PBM</w:t>
            </w:r>
            <w:r>
              <w:rPr>
                <w:rFonts w:ascii="Verdana" w:hAnsi="Verdana"/>
              </w:rPr>
              <w:t xml:space="preserve"> account has been credited.</w:t>
            </w:r>
          </w:p>
        </w:tc>
      </w:tr>
      <w:tr w:rsidR="00172129" w14:paraId="780D6C01" w14:textId="77777777" w:rsidTr="001F5F53">
        <w:trPr>
          <w:trHeight w:val="146"/>
        </w:trPr>
        <w:tc>
          <w:tcPr>
            <w:tcW w:w="551" w:type="pct"/>
            <w:vMerge/>
          </w:tcPr>
          <w:p w14:paraId="1A353024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05849170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  <w:vMerge/>
          </w:tcPr>
          <w:p w14:paraId="49CC21EF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35" w:type="pct"/>
          </w:tcPr>
          <w:p w14:paraId="373E9E69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2461" w:type="pct"/>
            <w:gridSpan w:val="2"/>
          </w:tcPr>
          <w:p w14:paraId="2EAB2DEB" w14:textId="4AD9D1A0" w:rsidR="005D46CB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1" w:anchor="!/view?docid=ba2c70ed-7f0c-4779-98b6-9bc1eb9bbb1f" w:history="1">
              <w:r w:rsidR="00847436">
                <w:rPr>
                  <w:rStyle w:val="Hyperlink"/>
                  <w:rFonts w:ascii="Verdana" w:hAnsi="Verdana"/>
                </w:rPr>
                <w:t>Balance Transaction History/Payment Dispute (Mail Order Claims Only) (004578)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172129" w14:paraId="321549CE" w14:textId="77777777" w:rsidTr="001F5F53">
        <w:trPr>
          <w:trHeight w:val="71"/>
        </w:trPr>
        <w:tc>
          <w:tcPr>
            <w:tcW w:w="551" w:type="pct"/>
            <w:vMerge/>
          </w:tcPr>
          <w:p w14:paraId="35F56830" w14:textId="77777777" w:rsidR="00172129" w:rsidRDefault="00172129" w:rsidP="003A46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1" w:type="pct"/>
            <w:vMerge/>
          </w:tcPr>
          <w:p w14:paraId="22AABCCD" w14:textId="77777777" w:rsidR="00172129" w:rsidRPr="00864F8B" w:rsidRDefault="00172129" w:rsidP="00A54D7A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472" w:type="pct"/>
          </w:tcPr>
          <w:p w14:paraId="0B19C344" w14:textId="77777777" w:rsidR="00172129" w:rsidRDefault="00172129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096" w:type="pct"/>
            <w:gridSpan w:val="3"/>
          </w:tcPr>
          <w:p w14:paraId="7664C36B" w14:textId="37F793C5" w:rsidR="00172129" w:rsidRPr="00AF161F" w:rsidRDefault="006B083B" w:rsidP="00A54D7A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5CF47FC" wp14:editId="1A4A85B1">
                  <wp:extent cx="236855" cy="2114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FE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noProof/>
              </w:rPr>
              <w:drawing>
                <wp:inline distT="0" distB="0" distL="0" distR="0" wp14:anchorId="441C2BB3" wp14:editId="6F36DBB8">
                  <wp:extent cx="236855" cy="211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F80">
              <w:rPr>
                <w:rFonts w:ascii="Verdana" w:hAnsi="Verdana"/>
              </w:rPr>
              <w:t xml:space="preserve"> </w:t>
            </w:r>
            <w:r w:rsidR="00172129" w:rsidRPr="00AF161F">
              <w:rPr>
                <w:rFonts w:ascii="Verdana" w:hAnsi="Verdana"/>
              </w:rPr>
              <w:t xml:space="preserve">Your </w:t>
            </w:r>
            <w:r w:rsidR="00172129" w:rsidRPr="00986BC6">
              <w:rPr>
                <w:rFonts w:ascii="Verdana" w:hAnsi="Verdana"/>
              </w:rPr>
              <w:t>electronic payment will</w:t>
            </w:r>
            <w:r w:rsidR="00172129" w:rsidRPr="00AF161F">
              <w:rPr>
                <w:rFonts w:ascii="Verdana" w:hAnsi="Verdana"/>
              </w:rPr>
              <w:t xml:space="preserve"> need to have cleared your bank before we are able to credit your account here at </w:t>
            </w:r>
            <w:r w:rsidR="00DB6F80">
              <w:rPr>
                <w:rFonts w:ascii="Verdana" w:hAnsi="Verdana"/>
              </w:rPr>
              <w:t>our Mail Order pharmacy</w:t>
            </w:r>
            <w:r w:rsidR="00172129" w:rsidRPr="00AF161F">
              <w:rPr>
                <w:rFonts w:ascii="Verdana" w:hAnsi="Verdana"/>
              </w:rPr>
              <w:t xml:space="preserve">. </w:t>
            </w:r>
          </w:p>
          <w:p w14:paraId="18AFF9F7" w14:textId="2D510B9F" w:rsidR="00172129" w:rsidRPr="00E17E4E" w:rsidRDefault="00172129" w:rsidP="00A54D7A">
            <w:pPr>
              <w:pStyle w:val="TableText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b/>
                <w:color w:val="FF00FF"/>
              </w:rPr>
            </w:pPr>
            <w:r w:rsidRPr="00AF161F">
              <w:rPr>
                <w:rFonts w:ascii="Verdana" w:hAnsi="Verdana"/>
              </w:rPr>
              <w:t>Complete call as normal.</w:t>
            </w:r>
          </w:p>
        </w:tc>
      </w:tr>
      <w:tr w:rsidR="0049166C" w14:paraId="5D8F40BA" w14:textId="77777777" w:rsidTr="001F5F53">
        <w:trPr>
          <w:trHeight w:val="471"/>
        </w:trPr>
        <w:tc>
          <w:tcPr>
            <w:tcW w:w="551" w:type="pct"/>
            <w:vMerge w:val="restart"/>
          </w:tcPr>
          <w:p w14:paraId="75BD2BD7" w14:textId="77777777" w:rsidR="0049166C" w:rsidRDefault="00EE3A3D" w:rsidP="00A54D7A">
            <w:pPr>
              <w:spacing w:before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449" w:type="pct"/>
            <w:gridSpan w:val="5"/>
          </w:tcPr>
          <w:p w14:paraId="7547C64C" w14:textId="77777777" w:rsidR="0049166C" w:rsidRDefault="0049166C" w:rsidP="00A54D7A">
            <w:pPr>
              <w:pStyle w:val="TableText"/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payment processing time has expired.  Ask </w:t>
            </w:r>
            <w:r w:rsidR="00BA717E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when the payment was sent to </w:t>
            </w:r>
            <w:r w:rsidR="00F91555">
              <w:rPr>
                <w:rFonts w:ascii="Verdana" w:hAnsi="Verdana"/>
              </w:rPr>
              <w:t>PBM</w:t>
            </w:r>
            <w:r>
              <w:rPr>
                <w:rFonts w:ascii="Verdana" w:hAnsi="Verdana"/>
              </w:rPr>
              <w:t>:</w:t>
            </w:r>
            <w:r w:rsidR="00F91555">
              <w:rPr>
                <w:rFonts w:ascii="Verdana" w:hAnsi="Verdana"/>
              </w:rPr>
              <w:t xml:space="preserve">  </w:t>
            </w:r>
          </w:p>
        </w:tc>
      </w:tr>
      <w:tr w:rsidR="0004019D" w14:paraId="6A4D49A8" w14:textId="77777777" w:rsidTr="001F5F53">
        <w:trPr>
          <w:trHeight w:val="468"/>
        </w:trPr>
        <w:tc>
          <w:tcPr>
            <w:tcW w:w="551" w:type="pct"/>
            <w:vMerge/>
          </w:tcPr>
          <w:p w14:paraId="5BB307CB" w14:textId="77777777" w:rsidR="0004019D" w:rsidRDefault="0004019D" w:rsidP="00A54D7A">
            <w:pPr>
              <w:spacing w:before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  <w:gridSpan w:val="4"/>
            <w:shd w:val="clear" w:color="auto" w:fill="E6E6E6"/>
          </w:tcPr>
          <w:p w14:paraId="7E3EE9FB" w14:textId="77777777" w:rsidR="0004019D" w:rsidRPr="0049166C" w:rsidRDefault="0004019D" w:rsidP="00A54D7A">
            <w:pPr>
              <w:pStyle w:val="TableText"/>
              <w:spacing w:before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314" w:type="pct"/>
            <w:shd w:val="clear" w:color="auto" w:fill="E6E6E6"/>
          </w:tcPr>
          <w:p w14:paraId="4EA35052" w14:textId="77777777" w:rsidR="0004019D" w:rsidRPr="0049166C" w:rsidRDefault="0004019D" w:rsidP="00A54D7A">
            <w:pPr>
              <w:pStyle w:val="TableText"/>
              <w:spacing w:before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04019D" w14:paraId="7278929F" w14:textId="77777777" w:rsidTr="001F5F53">
        <w:trPr>
          <w:trHeight w:val="468"/>
        </w:trPr>
        <w:tc>
          <w:tcPr>
            <w:tcW w:w="551" w:type="pct"/>
            <w:vMerge/>
          </w:tcPr>
          <w:p w14:paraId="320F9324" w14:textId="77777777" w:rsidR="0004019D" w:rsidRDefault="0004019D" w:rsidP="00A54D7A">
            <w:pPr>
              <w:spacing w:before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  <w:gridSpan w:val="4"/>
          </w:tcPr>
          <w:p w14:paraId="1A8C8F24" w14:textId="77777777" w:rsidR="0004019D" w:rsidRDefault="0004019D" w:rsidP="00A54D7A">
            <w:pPr>
              <w:pStyle w:val="TableText"/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Less than 7 calendar days ago</w:t>
            </w:r>
          </w:p>
        </w:tc>
        <w:tc>
          <w:tcPr>
            <w:tcW w:w="2314" w:type="pct"/>
          </w:tcPr>
          <w:p w14:paraId="1D5C215C" w14:textId="77777777" w:rsidR="0004019D" w:rsidRDefault="0004019D" w:rsidP="00A54D7A">
            <w:pPr>
              <w:pStyle w:val="TableText"/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  <w:color w:val="auto"/>
              </w:rPr>
              <w:t xml:space="preserve">Advise </w:t>
            </w:r>
            <w:r w:rsidR="00BA717E">
              <w:rPr>
                <w:rFonts w:ascii="Verdana" w:hAnsi="Verdana"/>
                <w:color w:val="auto"/>
              </w:rPr>
              <w:t>member</w:t>
            </w:r>
            <w:r>
              <w:rPr>
                <w:rFonts w:ascii="Verdana" w:hAnsi="Verdana"/>
                <w:color w:val="auto"/>
              </w:rPr>
              <w:t xml:space="preserve"> to allow more time for processing and end call.</w:t>
            </w:r>
          </w:p>
        </w:tc>
      </w:tr>
      <w:tr w:rsidR="0004019D" w14:paraId="58D0FD3D" w14:textId="77777777" w:rsidTr="001F5F53">
        <w:trPr>
          <w:trHeight w:val="468"/>
        </w:trPr>
        <w:tc>
          <w:tcPr>
            <w:tcW w:w="551" w:type="pct"/>
            <w:vMerge/>
          </w:tcPr>
          <w:p w14:paraId="169DD38D" w14:textId="77777777" w:rsidR="0004019D" w:rsidRDefault="0004019D" w:rsidP="00A54D7A">
            <w:pPr>
              <w:spacing w:before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  <w:gridSpan w:val="4"/>
          </w:tcPr>
          <w:p w14:paraId="3FC99061" w14:textId="77777777" w:rsidR="0004019D" w:rsidRDefault="0004019D" w:rsidP="00A54D7A">
            <w:pPr>
              <w:pStyle w:val="TableText"/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7 calendar days ago</w:t>
            </w:r>
          </w:p>
        </w:tc>
        <w:tc>
          <w:tcPr>
            <w:tcW w:w="2314" w:type="pct"/>
          </w:tcPr>
          <w:p w14:paraId="32B4B002" w14:textId="77777777" w:rsidR="0004019D" w:rsidRDefault="0004019D" w:rsidP="00A54D7A">
            <w:pPr>
              <w:pStyle w:val="TableText"/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  <w:color w:val="auto"/>
              </w:rPr>
              <w:t>Proceed to the next step.</w:t>
            </w:r>
          </w:p>
        </w:tc>
      </w:tr>
      <w:tr w:rsidR="00C623F4" w14:paraId="355FB75C" w14:textId="77777777" w:rsidTr="001F5F53">
        <w:tc>
          <w:tcPr>
            <w:tcW w:w="551" w:type="pct"/>
          </w:tcPr>
          <w:p w14:paraId="648FF60F" w14:textId="77777777" w:rsidR="00C623F4" w:rsidRDefault="00EE3A3D" w:rsidP="00A54D7A">
            <w:pPr>
              <w:spacing w:before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449" w:type="pct"/>
            <w:gridSpan w:val="5"/>
          </w:tcPr>
          <w:p w14:paraId="76A50FE5" w14:textId="214BC516" w:rsidR="00C623F4" w:rsidRPr="009B04FB" w:rsidRDefault="00E8647F" w:rsidP="001F5F53">
            <w:pPr>
              <w:pStyle w:val="TableText"/>
              <w:spacing w:before="120" w:after="120"/>
              <w:rPr>
                <w:rFonts w:ascii="Verdana" w:hAnsi="Verdana"/>
                <w:color w:val="FF0000"/>
              </w:rPr>
            </w:pPr>
            <w:r w:rsidRPr="0004019D">
              <w:rPr>
                <w:rFonts w:ascii="Verdana" w:hAnsi="Verdana"/>
              </w:rPr>
              <w:t>Refer to</w:t>
            </w:r>
            <w:r w:rsidR="00341986" w:rsidRPr="0004019D">
              <w:rPr>
                <w:rFonts w:ascii="Verdana" w:hAnsi="Verdana"/>
              </w:rPr>
              <w:t xml:space="preserve"> </w:t>
            </w:r>
            <w:hyperlink r:id="rId12" w:anchor="!/view?docid=f68cdde2-ea7f-4f11-bb7d-a1f80f29dc4c" w:history="1">
              <w:r w:rsidR="00847436">
                <w:rPr>
                  <w:rStyle w:val="Hyperlink"/>
                  <w:rFonts w:ascii="Verdana" w:hAnsi="Verdana"/>
                </w:rPr>
                <w:t>Payment - Finding (Locate) a Payment (024758)</w:t>
              </w:r>
            </w:hyperlink>
            <w:r w:rsidR="00DB6F80">
              <w:rPr>
                <w:rFonts w:ascii="Verdana" w:hAnsi="Verdana"/>
              </w:rPr>
              <w:t xml:space="preserve"> </w:t>
            </w:r>
            <w:r w:rsidR="00341986" w:rsidRPr="0004019D">
              <w:rPr>
                <w:rFonts w:ascii="Verdana" w:hAnsi="Verdana"/>
              </w:rPr>
              <w:t xml:space="preserve">on </w:t>
            </w:r>
            <w:r w:rsidR="00DB6F80">
              <w:rPr>
                <w:rFonts w:ascii="Verdana" w:hAnsi="Verdana"/>
              </w:rPr>
              <w:t xml:space="preserve">the </w:t>
            </w:r>
            <w:r w:rsidR="00341986" w:rsidRPr="0004019D">
              <w:rPr>
                <w:rFonts w:ascii="Verdana" w:hAnsi="Verdana"/>
              </w:rPr>
              <w:t xml:space="preserve">Transaction screen.  </w:t>
            </w:r>
          </w:p>
        </w:tc>
      </w:tr>
    </w:tbl>
    <w:p w14:paraId="340A15DF" w14:textId="77777777" w:rsidR="006766E8" w:rsidRDefault="006766E8" w:rsidP="006766E8">
      <w:pPr>
        <w:jc w:val="right"/>
        <w:rPr>
          <w:rFonts w:ascii="Verdana" w:hAnsi="Verdana"/>
        </w:rPr>
      </w:pPr>
      <w:bookmarkStart w:id="9" w:name="_Parent_SOP"/>
      <w:bookmarkEnd w:id="9"/>
    </w:p>
    <w:p w14:paraId="65DA1433" w14:textId="659ED73D" w:rsidR="00E23346" w:rsidRDefault="006D65A8" w:rsidP="00A54D7A">
      <w:pPr>
        <w:jc w:val="right"/>
        <w:rPr>
          <w:rFonts w:ascii="Verdana" w:hAnsi="Verdana"/>
        </w:rPr>
      </w:pPr>
      <w:hyperlink w:anchor="_top" w:history="1">
        <w:r w:rsidRPr="001F5F5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23346" w14:paraId="64325FCE" w14:textId="77777777" w:rsidTr="00E23346">
        <w:tc>
          <w:tcPr>
            <w:tcW w:w="5000" w:type="pct"/>
            <w:shd w:val="clear" w:color="auto" w:fill="C0C0C0"/>
          </w:tcPr>
          <w:p w14:paraId="7A45D612" w14:textId="77777777" w:rsidR="00E23346" w:rsidRDefault="00EE3A3D" w:rsidP="001F5F5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6734297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0"/>
          </w:p>
        </w:tc>
      </w:tr>
    </w:tbl>
    <w:p w14:paraId="7CF78F1F" w14:textId="00633395" w:rsidR="00DB6F80" w:rsidRDefault="001F5F53" w:rsidP="001F5F53">
      <w:pPr>
        <w:spacing w:before="120" w:after="120"/>
      </w:pPr>
      <w:hyperlink r:id="rId13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0CBF7B61" w14:textId="35B56BF4" w:rsidR="00E23346" w:rsidRDefault="00EE3A3D" w:rsidP="001F5F53">
      <w:pPr>
        <w:spacing w:before="120" w:after="120"/>
      </w:pPr>
      <w:r w:rsidRPr="00EE3A3D">
        <w:rPr>
          <w:rFonts w:ascii="Verdana" w:hAnsi="Verdana"/>
          <w:b/>
        </w:rPr>
        <w:t xml:space="preserve">Parent </w:t>
      </w:r>
      <w:r w:rsidR="00DB6F80">
        <w:rPr>
          <w:rFonts w:ascii="Verdana" w:hAnsi="Verdana"/>
          <w:b/>
        </w:rPr>
        <w:t>Document</w:t>
      </w:r>
      <w:r w:rsidRPr="00EE3A3D">
        <w:rPr>
          <w:rFonts w:ascii="Verdana" w:hAnsi="Verdana"/>
          <w:b/>
        </w:rPr>
        <w:t>:</w:t>
      </w:r>
      <w:r w:rsidR="00847436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14" w:tgtFrame="_blank" w:history="1">
        <w:r w:rsidR="00E23346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657A36B" w14:textId="7D811A15" w:rsidR="00E23346" w:rsidRPr="006D65A8" w:rsidRDefault="00E23346" w:rsidP="00E23346">
      <w:pPr>
        <w:jc w:val="right"/>
        <w:rPr>
          <w:rFonts w:ascii="Verdana" w:hAnsi="Verdana"/>
        </w:rPr>
      </w:pPr>
      <w:hyperlink w:anchor="_top" w:history="1">
        <w:r w:rsidRPr="001F5F53">
          <w:rPr>
            <w:rStyle w:val="Hyperlink"/>
            <w:rFonts w:ascii="Verdana" w:hAnsi="Verdana"/>
          </w:rPr>
          <w:t>Top of the Document</w:t>
        </w:r>
      </w:hyperlink>
    </w:p>
    <w:p w14:paraId="0B250ACE" w14:textId="77777777" w:rsidR="00875DEF" w:rsidRPr="00C247CB" w:rsidRDefault="00875DEF" w:rsidP="00875DE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71C2687" w14:textId="77777777" w:rsidR="00875DEF" w:rsidRPr="00C247CB" w:rsidRDefault="00875DEF" w:rsidP="00875DE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CD07C1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875DEF" w:rsidRPr="00C247CB">
      <w:footerReference w:type="even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5BB78" w14:textId="77777777" w:rsidR="005479AA" w:rsidRDefault="005479AA">
      <w:r>
        <w:separator/>
      </w:r>
    </w:p>
  </w:endnote>
  <w:endnote w:type="continuationSeparator" w:id="0">
    <w:p w14:paraId="4AEFB65F" w14:textId="77777777" w:rsidR="005479AA" w:rsidRDefault="0054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56DB1" w14:textId="77777777" w:rsidR="00172129" w:rsidRDefault="00172129" w:rsidP="00CC2B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DE3DC" w14:textId="77777777" w:rsidR="00172129" w:rsidRDefault="00172129" w:rsidP="006412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4532" w14:textId="77777777" w:rsidR="00172129" w:rsidRDefault="00172129" w:rsidP="00CC2B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D5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DA3FCA" w14:textId="77777777" w:rsidR="00172129" w:rsidRDefault="00172129" w:rsidP="006412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9EC72" w14:textId="77777777" w:rsidR="005479AA" w:rsidRDefault="005479AA">
      <w:r>
        <w:separator/>
      </w:r>
    </w:p>
  </w:footnote>
  <w:footnote w:type="continuationSeparator" w:id="0">
    <w:p w14:paraId="4480EE8B" w14:textId="77777777" w:rsidR="005479AA" w:rsidRDefault="00547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5095"/>
    <w:multiLevelType w:val="hybridMultilevel"/>
    <w:tmpl w:val="4F8C0B46"/>
    <w:lvl w:ilvl="0" w:tplc="74EAA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0842515"/>
    <w:multiLevelType w:val="hybridMultilevel"/>
    <w:tmpl w:val="BF9A0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A5494"/>
    <w:multiLevelType w:val="hybridMultilevel"/>
    <w:tmpl w:val="DFFA1476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47B"/>
    <w:multiLevelType w:val="multilevel"/>
    <w:tmpl w:val="4ABA29E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9AF2760"/>
    <w:multiLevelType w:val="hybridMultilevel"/>
    <w:tmpl w:val="9B103A5C"/>
    <w:lvl w:ilvl="0" w:tplc="29CA9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99E"/>
    <w:multiLevelType w:val="hybridMultilevel"/>
    <w:tmpl w:val="103C2C98"/>
    <w:lvl w:ilvl="0" w:tplc="29CA9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CA9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132B91"/>
    <w:multiLevelType w:val="hybridMultilevel"/>
    <w:tmpl w:val="13DAFDA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5842"/>
    <w:multiLevelType w:val="hybridMultilevel"/>
    <w:tmpl w:val="260E6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6D0DD6"/>
    <w:multiLevelType w:val="hybridMultilevel"/>
    <w:tmpl w:val="1CC63EFA"/>
    <w:lvl w:ilvl="0" w:tplc="29CA9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731B7"/>
    <w:multiLevelType w:val="hybridMultilevel"/>
    <w:tmpl w:val="CA28E25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354E"/>
    <w:multiLevelType w:val="hybridMultilevel"/>
    <w:tmpl w:val="624C5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A9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8828DE"/>
    <w:multiLevelType w:val="hybridMultilevel"/>
    <w:tmpl w:val="27CC1E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D5F66"/>
    <w:multiLevelType w:val="hybridMultilevel"/>
    <w:tmpl w:val="4ABA29EA"/>
    <w:lvl w:ilvl="0" w:tplc="CDF6F9A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3E2638B"/>
    <w:multiLevelType w:val="hybridMultilevel"/>
    <w:tmpl w:val="282A33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86DB3"/>
    <w:multiLevelType w:val="hybridMultilevel"/>
    <w:tmpl w:val="6108C82E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A207D4"/>
    <w:multiLevelType w:val="multilevel"/>
    <w:tmpl w:val="282A3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13245"/>
    <w:multiLevelType w:val="hybridMultilevel"/>
    <w:tmpl w:val="E9F022C2"/>
    <w:lvl w:ilvl="0" w:tplc="CED660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062882">
    <w:abstractNumId w:val="4"/>
  </w:num>
  <w:num w:numId="2" w16cid:durableId="1447458872">
    <w:abstractNumId w:val="13"/>
  </w:num>
  <w:num w:numId="3" w16cid:durableId="1251963074">
    <w:abstractNumId w:val="15"/>
  </w:num>
  <w:num w:numId="4" w16cid:durableId="798379236">
    <w:abstractNumId w:val="14"/>
  </w:num>
  <w:num w:numId="5" w16cid:durableId="2104379493">
    <w:abstractNumId w:val="10"/>
  </w:num>
  <w:num w:numId="6" w16cid:durableId="1818106557">
    <w:abstractNumId w:val="8"/>
  </w:num>
  <w:num w:numId="7" w16cid:durableId="824125655">
    <w:abstractNumId w:val="5"/>
  </w:num>
  <w:num w:numId="8" w16cid:durableId="628051918">
    <w:abstractNumId w:val="9"/>
  </w:num>
  <w:num w:numId="9" w16cid:durableId="2028750583">
    <w:abstractNumId w:val="6"/>
  </w:num>
  <w:num w:numId="10" w16cid:durableId="283583444">
    <w:abstractNumId w:val="2"/>
  </w:num>
  <w:num w:numId="11" w16cid:durableId="2048098118">
    <w:abstractNumId w:val="12"/>
  </w:num>
  <w:num w:numId="12" w16cid:durableId="425001116">
    <w:abstractNumId w:val="3"/>
  </w:num>
  <w:num w:numId="13" w16cid:durableId="1449088313">
    <w:abstractNumId w:val="0"/>
  </w:num>
  <w:num w:numId="14" w16cid:durableId="1824737200">
    <w:abstractNumId w:val="16"/>
  </w:num>
  <w:num w:numId="15" w16cid:durableId="1392074269">
    <w:abstractNumId w:val="11"/>
  </w:num>
  <w:num w:numId="16" w16cid:durableId="1479373816">
    <w:abstractNumId w:val="1"/>
  </w:num>
  <w:num w:numId="17" w16cid:durableId="831139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3"/>
    <w:rsid w:val="000065B3"/>
    <w:rsid w:val="0004019D"/>
    <w:rsid w:val="00043960"/>
    <w:rsid w:val="00047B33"/>
    <w:rsid w:val="000844E3"/>
    <w:rsid w:val="000923B5"/>
    <w:rsid w:val="000B5F76"/>
    <w:rsid w:val="000D11CD"/>
    <w:rsid w:val="000D2969"/>
    <w:rsid w:val="000E5B0B"/>
    <w:rsid w:val="000F2FD7"/>
    <w:rsid w:val="001253F0"/>
    <w:rsid w:val="0013474C"/>
    <w:rsid w:val="0014071F"/>
    <w:rsid w:val="00161221"/>
    <w:rsid w:val="00172129"/>
    <w:rsid w:val="00194039"/>
    <w:rsid w:val="00196D93"/>
    <w:rsid w:val="001A7A0A"/>
    <w:rsid w:val="001E1B5E"/>
    <w:rsid w:val="001E6F65"/>
    <w:rsid w:val="001F47C1"/>
    <w:rsid w:val="001F49FF"/>
    <w:rsid w:val="001F5F53"/>
    <w:rsid w:val="0021155B"/>
    <w:rsid w:val="00220468"/>
    <w:rsid w:val="00232521"/>
    <w:rsid w:val="00265328"/>
    <w:rsid w:val="0026691C"/>
    <w:rsid w:val="00277423"/>
    <w:rsid w:val="002D0C55"/>
    <w:rsid w:val="003147E6"/>
    <w:rsid w:val="00317ED3"/>
    <w:rsid w:val="00323B5C"/>
    <w:rsid w:val="00341986"/>
    <w:rsid w:val="00347C86"/>
    <w:rsid w:val="00355272"/>
    <w:rsid w:val="00381872"/>
    <w:rsid w:val="003A0371"/>
    <w:rsid w:val="003A1F2B"/>
    <w:rsid w:val="003A467E"/>
    <w:rsid w:val="003F7D53"/>
    <w:rsid w:val="00401298"/>
    <w:rsid w:val="00417E7E"/>
    <w:rsid w:val="004253C3"/>
    <w:rsid w:val="004577F7"/>
    <w:rsid w:val="00477702"/>
    <w:rsid w:val="00483C76"/>
    <w:rsid w:val="0049166C"/>
    <w:rsid w:val="004B030F"/>
    <w:rsid w:val="004B6857"/>
    <w:rsid w:val="00501188"/>
    <w:rsid w:val="00533CAD"/>
    <w:rsid w:val="00542243"/>
    <w:rsid w:val="005479AA"/>
    <w:rsid w:val="005926E0"/>
    <w:rsid w:val="005941D5"/>
    <w:rsid w:val="00594C8E"/>
    <w:rsid w:val="005B1D78"/>
    <w:rsid w:val="005B51CE"/>
    <w:rsid w:val="005D46CB"/>
    <w:rsid w:val="00606CBA"/>
    <w:rsid w:val="006107EC"/>
    <w:rsid w:val="006252D6"/>
    <w:rsid w:val="00625A63"/>
    <w:rsid w:val="006412AF"/>
    <w:rsid w:val="006558B2"/>
    <w:rsid w:val="006766E8"/>
    <w:rsid w:val="006B083B"/>
    <w:rsid w:val="006C7049"/>
    <w:rsid w:val="006D2169"/>
    <w:rsid w:val="006D65A8"/>
    <w:rsid w:val="006E5E3D"/>
    <w:rsid w:val="006F3B9F"/>
    <w:rsid w:val="00720B1D"/>
    <w:rsid w:val="0074537C"/>
    <w:rsid w:val="00751B6E"/>
    <w:rsid w:val="007553D3"/>
    <w:rsid w:val="00783E80"/>
    <w:rsid w:val="007901A5"/>
    <w:rsid w:val="00795092"/>
    <w:rsid w:val="007D3CBF"/>
    <w:rsid w:val="007E3B26"/>
    <w:rsid w:val="00847436"/>
    <w:rsid w:val="00864F8B"/>
    <w:rsid w:val="00875DEF"/>
    <w:rsid w:val="0089444C"/>
    <w:rsid w:val="008B34E2"/>
    <w:rsid w:val="008F40CC"/>
    <w:rsid w:val="00910C8B"/>
    <w:rsid w:val="009475B2"/>
    <w:rsid w:val="00970E31"/>
    <w:rsid w:val="0097294E"/>
    <w:rsid w:val="009803C6"/>
    <w:rsid w:val="00985AD3"/>
    <w:rsid w:val="00986BC6"/>
    <w:rsid w:val="0099388E"/>
    <w:rsid w:val="009B04FB"/>
    <w:rsid w:val="009C69A9"/>
    <w:rsid w:val="009D62EC"/>
    <w:rsid w:val="009E1678"/>
    <w:rsid w:val="009F06B3"/>
    <w:rsid w:val="00A249B0"/>
    <w:rsid w:val="00A41EE0"/>
    <w:rsid w:val="00A54D7A"/>
    <w:rsid w:val="00A62428"/>
    <w:rsid w:val="00A94877"/>
    <w:rsid w:val="00AB789B"/>
    <w:rsid w:val="00AD1B2A"/>
    <w:rsid w:val="00AD22C7"/>
    <w:rsid w:val="00AD3BDB"/>
    <w:rsid w:val="00AF161F"/>
    <w:rsid w:val="00AF1E54"/>
    <w:rsid w:val="00AF6939"/>
    <w:rsid w:val="00B1354E"/>
    <w:rsid w:val="00B1500B"/>
    <w:rsid w:val="00B45BAC"/>
    <w:rsid w:val="00B77194"/>
    <w:rsid w:val="00B80C79"/>
    <w:rsid w:val="00B82742"/>
    <w:rsid w:val="00B94286"/>
    <w:rsid w:val="00BA3BDE"/>
    <w:rsid w:val="00BA717E"/>
    <w:rsid w:val="00BA7B9E"/>
    <w:rsid w:val="00BE4DFE"/>
    <w:rsid w:val="00BF183D"/>
    <w:rsid w:val="00BF71CF"/>
    <w:rsid w:val="00C112A7"/>
    <w:rsid w:val="00C309F9"/>
    <w:rsid w:val="00C428E4"/>
    <w:rsid w:val="00C623F4"/>
    <w:rsid w:val="00C7570B"/>
    <w:rsid w:val="00C76E24"/>
    <w:rsid w:val="00CC2B08"/>
    <w:rsid w:val="00CD07C1"/>
    <w:rsid w:val="00CE66AC"/>
    <w:rsid w:val="00CF19A2"/>
    <w:rsid w:val="00D42D2A"/>
    <w:rsid w:val="00D93EF5"/>
    <w:rsid w:val="00D96146"/>
    <w:rsid w:val="00DA2C86"/>
    <w:rsid w:val="00DB6F80"/>
    <w:rsid w:val="00DC403A"/>
    <w:rsid w:val="00E17E4E"/>
    <w:rsid w:val="00E23346"/>
    <w:rsid w:val="00E31217"/>
    <w:rsid w:val="00E35F75"/>
    <w:rsid w:val="00E57F79"/>
    <w:rsid w:val="00E62A59"/>
    <w:rsid w:val="00E80011"/>
    <w:rsid w:val="00E8647F"/>
    <w:rsid w:val="00EB40AB"/>
    <w:rsid w:val="00EC5716"/>
    <w:rsid w:val="00ED3B63"/>
    <w:rsid w:val="00ED5562"/>
    <w:rsid w:val="00EE3A3D"/>
    <w:rsid w:val="00EF7349"/>
    <w:rsid w:val="00F304F3"/>
    <w:rsid w:val="00F3477B"/>
    <w:rsid w:val="00F65B4B"/>
    <w:rsid w:val="00F80B72"/>
    <w:rsid w:val="00F91555"/>
    <w:rsid w:val="00F9581A"/>
    <w:rsid w:val="00FA18FF"/>
    <w:rsid w:val="00FA2A31"/>
    <w:rsid w:val="00FB0705"/>
    <w:rsid w:val="00FB3B86"/>
    <w:rsid w:val="00F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4BA90"/>
  <w15:chartTrackingRefBased/>
  <w15:docId w15:val="{44638DE9-75E5-4C48-B690-510FC49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AD1B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sid w:val="0026691C"/>
    <w:rPr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Pr>
      <w:color w:val="000000"/>
    </w:rPr>
  </w:style>
  <w:style w:type="paragraph" w:customStyle="1" w:styleId="ContinuedOnNextPa">
    <w:name w:val="Continued On Next Pa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color w:val="000000"/>
      <w:sz w:val="2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semiHidden/>
    <w:rsid w:val="002669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691C"/>
    <w:rPr>
      <w:b/>
      <w:bCs/>
    </w:rPr>
  </w:style>
  <w:style w:type="character" w:styleId="PageNumber">
    <w:name w:val="page number"/>
    <w:basedOn w:val="DefaultParagraphFont"/>
    <w:rsid w:val="006412A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217"/>
    <w:pPr>
      <w:keepNext/>
      <w:keepLines/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31217"/>
  </w:style>
  <w:style w:type="paragraph" w:styleId="TOC2">
    <w:name w:val="toc 2"/>
    <w:basedOn w:val="Normal"/>
    <w:next w:val="Normal"/>
    <w:autoRedefine/>
    <w:uiPriority w:val="39"/>
    <w:rsid w:val="00E31217"/>
    <w:pPr>
      <w:tabs>
        <w:tab w:val="right" w:leader="dot" w:pos="12950"/>
      </w:tabs>
    </w:pPr>
  </w:style>
  <w:style w:type="character" w:customStyle="1" w:styleId="content-id">
    <w:name w:val="content-id"/>
    <w:rsid w:val="001F49FF"/>
  </w:style>
  <w:style w:type="character" w:styleId="UnresolvedMention">
    <w:name w:val="Unresolved Mention"/>
    <w:uiPriority w:val="99"/>
    <w:semiHidden/>
    <w:unhideWhenUsed/>
    <w:rsid w:val="009938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1B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80F9F-6FA5-4CA5-8B7F-1928C456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4208</CharactersWithSpaces>
  <SharedDoc>false</SharedDoc>
  <HLinks>
    <vt:vector size="72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1245265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../../AppData/Local/Microsoft/Windows/Temporary Internet Files/Content.Outlook/KO24OB18/CMS-2-017428</vt:lpwstr>
      </vt:variant>
      <vt:variant>
        <vt:lpwstr/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65605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../../AppData/Local/Microsoft/Windows/Downloads/TSRC-PROD-016311</vt:lpwstr>
      </vt:variant>
      <vt:variant>
        <vt:lpwstr/>
      </vt:variant>
      <vt:variant>
        <vt:i4>4259842</vt:i4>
      </vt:variant>
      <vt:variant>
        <vt:i4>24</vt:i4>
      </vt:variant>
      <vt:variant>
        <vt:i4>0</vt:i4>
      </vt:variant>
      <vt:variant>
        <vt:i4>5</vt:i4>
      </vt:variant>
      <vt:variant>
        <vt:lpwstr>../../AppData/Local/Microsoft/Windows/AppData/Local/Microsoft/Windows/Temporary Internet Files/Content.Outlook/2JV1STXV/CMS-2-004578</vt:lpwstr>
      </vt:variant>
      <vt:variant>
        <vt:lpwstr/>
      </vt:variant>
      <vt:variant>
        <vt:i4>3276843</vt:i4>
      </vt:variant>
      <vt:variant>
        <vt:i4>18</vt:i4>
      </vt:variant>
      <vt:variant>
        <vt:i4>0</vt:i4>
      </vt:variant>
      <vt:variant>
        <vt:i4>5</vt:i4>
      </vt:variant>
      <vt:variant>
        <vt:lpwstr>../../AppData/Local/Microsoft/Windows/AppData/Local/Microsoft/Windows/Temporary Internet Files/Content.Outlook/2JV1STXV/CMS-PCP1-024758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7274609</vt:i4>
      </vt:variant>
      <vt:variant>
        <vt:i4>12</vt:i4>
      </vt:variant>
      <vt:variant>
        <vt:i4>0</vt:i4>
      </vt:variant>
      <vt:variant>
        <vt:i4>5</vt:i4>
      </vt:variant>
      <vt:variant>
        <vt:lpwstr>../../AppData/Local/Microsoft/Windows/Temporary Internet Files/Content.Outlook/KO24OB18/CMS-PCP1-028861</vt:lpwstr>
      </vt:variant>
      <vt:variant>
        <vt:lpwstr/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_Toc12359520</vt:lpwstr>
      </vt:variant>
      <vt:variant>
        <vt:i4>1835066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_Toc12359519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_Toc12359518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2025-09-02T18:36:00Z</dcterms:created>
  <dcterms:modified xsi:type="dcterms:W3CDTF">2025-09-02T18:36:00Z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2021-10-25T12:32:41Z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81308f81-fb02-4e8a-a385-574d049a2290</vt:lpwstr>
  </property>
  <property fmtid="{D5CDD505-2E9C-101B-9397-08002B2CF9AE}" pid="8" name="MSIP_Label_67599526-06ca-49cc-9fa9-5307800a949a_ContentBits">
    <vt:lpwstr>0</vt:lpwstr>
  </property>
</Properties>
</file>