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B4CA" w14:textId="77777777" w:rsidR="006C0D50" w:rsidRDefault="005A30C1" w:rsidP="009B5D25">
      <w:pPr>
        <w:pStyle w:val="Heading1"/>
        <w:rPr>
          <w:noProof/>
        </w:rPr>
      </w:pPr>
      <w:bookmarkStart w:id="0" w:name="_top"/>
      <w:bookmarkEnd w:id="0"/>
      <w:r w:rsidRPr="0012593B">
        <w:rPr>
          <w:rFonts w:ascii="Verdana" w:hAnsi="Verdana"/>
          <w:color w:val="000000"/>
          <w:sz w:val="36"/>
          <w:szCs w:val="36"/>
        </w:rPr>
        <w:t>Hazardous</w:t>
      </w:r>
      <w:r w:rsidR="0012593B" w:rsidRPr="0012593B">
        <w:rPr>
          <w:rFonts w:ascii="Verdana" w:hAnsi="Verdana"/>
          <w:color w:val="000000"/>
          <w:sz w:val="36"/>
          <w:szCs w:val="36"/>
        </w:rPr>
        <w:t xml:space="preserve"> </w:t>
      </w:r>
      <w:r w:rsidR="00330A8D">
        <w:rPr>
          <w:rFonts w:ascii="Verdana" w:hAnsi="Verdana"/>
          <w:color w:val="000000"/>
          <w:sz w:val="36"/>
          <w:szCs w:val="36"/>
        </w:rPr>
        <w:t xml:space="preserve">Goods </w:t>
      </w:r>
      <w:r w:rsidR="0012593B">
        <w:rPr>
          <w:rFonts w:ascii="Verdana" w:hAnsi="Verdana"/>
          <w:color w:val="000000"/>
          <w:sz w:val="36"/>
          <w:szCs w:val="36"/>
        </w:rPr>
        <w:t xml:space="preserve">Shipping </w:t>
      </w:r>
      <w:r w:rsidR="00856D8A">
        <w:rPr>
          <w:rFonts w:ascii="Verdana" w:hAnsi="Verdana"/>
          <w:color w:val="000000"/>
          <w:sz w:val="36"/>
          <w:szCs w:val="36"/>
        </w:rPr>
        <w:t>Baggies/</w:t>
      </w:r>
      <w:r w:rsidR="0012593B">
        <w:rPr>
          <w:rFonts w:ascii="Verdana" w:hAnsi="Verdana"/>
          <w:color w:val="000000"/>
          <w:sz w:val="36"/>
          <w:szCs w:val="36"/>
        </w:rPr>
        <w:t>Stickers</w:t>
      </w:r>
      <w:r w:rsidR="009B5D25">
        <w:fldChar w:fldCharType="begin"/>
      </w:r>
      <w:r w:rsidR="009B5D25">
        <w:instrText xml:space="preserve"> TOC \n \p " " \h \z \u \t "Heading 2,1" </w:instrText>
      </w:r>
      <w:r w:rsidR="009B5D25">
        <w:fldChar w:fldCharType="separate"/>
      </w:r>
    </w:p>
    <w:p w14:paraId="26047376" w14:textId="77777777" w:rsidR="002B127E" w:rsidRDefault="009B5D25" w:rsidP="00F459BA">
      <w:pPr>
        <w:pStyle w:val="TOC2"/>
        <w:rPr>
          <w:noProof/>
        </w:rPr>
      </w:pPr>
      <w:r>
        <w:fldChar w:fldCharType="end"/>
      </w:r>
      <w:r w:rsidR="002B127E" w:rsidRPr="00DE7A25">
        <w:fldChar w:fldCharType="begin"/>
      </w:r>
      <w:r w:rsidR="002B127E" w:rsidRPr="00DE7A25">
        <w:instrText xml:space="preserve"> TOC \o "2-2" \n \p " " \h \z \u </w:instrText>
      </w:r>
      <w:r w:rsidR="002B127E" w:rsidRPr="00DE7A25">
        <w:fldChar w:fldCharType="separate"/>
      </w:r>
    </w:p>
    <w:p w14:paraId="13CE3D94" w14:textId="3437C89C" w:rsidR="002B127E" w:rsidRDefault="0006500C" w:rsidP="0006500C">
      <w:pPr>
        <w:pStyle w:val="TOC2"/>
        <w:jc w:val="left"/>
        <w:rPr>
          <w:rFonts w:asciiTheme="minorHAnsi" w:eastAsiaTheme="minorEastAsia" w:hAnsiTheme="minorHAnsi" w:cstheme="minorBidi"/>
          <w:noProof/>
          <w:kern w:val="2"/>
          <w:sz w:val="22"/>
          <w:szCs w:val="22"/>
          <w14:ligatures w14:val="standardContextual"/>
        </w:rPr>
      </w:pPr>
      <w:hyperlink w:anchor="_Toc163476142" w:history="1">
        <w:r w:rsidR="002B127E" w:rsidRPr="001A1074">
          <w:rPr>
            <w:rStyle w:val="Hyperlink"/>
            <w:rFonts w:ascii="Verdana" w:hAnsi="Verdana"/>
            <w:noProof/>
          </w:rPr>
          <w:t>Stickers</w:t>
        </w:r>
      </w:hyperlink>
    </w:p>
    <w:p w14:paraId="6A1D03B8" w14:textId="3BE9C953" w:rsidR="002B127E" w:rsidRDefault="0006500C" w:rsidP="0006500C">
      <w:pPr>
        <w:pStyle w:val="TOC2"/>
        <w:jc w:val="left"/>
        <w:rPr>
          <w:rFonts w:asciiTheme="minorHAnsi" w:eastAsiaTheme="minorEastAsia" w:hAnsiTheme="minorHAnsi" w:cstheme="minorBidi"/>
          <w:noProof/>
          <w:kern w:val="2"/>
          <w:sz w:val="22"/>
          <w:szCs w:val="22"/>
          <w14:ligatures w14:val="standardContextual"/>
        </w:rPr>
      </w:pPr>
      <w:hyperlink w:anchor="_Toc163476143" w:history="1">
        <w:r w:rsidR="002B127E" w:rsidRPr="001A1074">
          <w:rPr>
            <w:rStyle w:val="Hyperlink"/>
            <w:rFonts w:ascii="Verdana" w:hAnsi="Verdana"/>
            <w:noProof/>
          </w:rPr>
          <w:t>Baggies</w:t>
        </w:r>
      </w:hyperlink>
    </w:p>
    <w:p w14:paraId="7624A972" w14:textId="50E40428" w:rsidR="002B127E" w:rsidRDefault="0006500C" w:rsidP="0006500C">
      <w:pPr>
        <w:pStyle w:val="TOC2"/>
        <w:jc w:val="left"/>
        <w:rPr>
          <w:rFonts w:asciiTheme="minorHAnsi" w:eastAsiaTheme="minorEastAsia" w:hAnsiTheme="minorHAnsi" w:cstheme="minorBidi"/>
          <w:noProof/>
          <w:kern w:val="2"/>
          <w:sz w:val="22"/>
          <w:szCs w:val="22"/>
          <w14:ligatures w14:val="standardContextual"/>
        </w:rPr>
      </w:pPr>
      <w:hyperlink w:anchor="_Toc163476144" w:history="1">
        <w:r w:rsidR="002B127E" w:rsidRPr="001A1074">
          <w:rPr>
            <w:rStyle w:val="Hyperlink"/>
            <w:rFonts w:ascii="Verdana" w:hAnsi="Verdana"/>
            <w:noProof/>
          </w:rPr>
          <w:t>Shipper’s Declaration for Dangerous Goods</w:t>
        </w:r>
      </w:hyperlink>
    </w:p>
    <w:p w14:paraId="77856110" w14:textId="162C2596" w:rsidR="002B127E" w:rsidRDefault="0006500C" w:rsidP="0006500C">
      <w:pPr>
        <w:pStyle w:val="TOC2"/>
        <w:jc w:val="left"/>
        <w:rPr>
          <w:rFonts w:asciiTheme="minorHAnsi" w:eastAsiaTheme="minorEastAsia" w:hAnsiTheme="minorHAnsi" w:cstheme="minorBidi"/>
          <w:noProof/>
          <w:kern w:val="2"/>
          <w:sz w:val="22"/>
          <w:szCs w:val="22"/>
          <w14:ligatures w14:val="standardContextual"/>
        </w:rPr>
      </w:pPr>
      <w:hyperlink w:anchor="_Toc163476145" w:history="1">
        <w:r w:rsidR="002B127E" w:rsidRPr="001A1074">
          <w:rPr>
            <w:rStyle w:val="Hyperlink"/>
            <w:rFonts w:ascii="Verdana" w:hAnsi="Verdana"/>
            <w:noProof/>
          </w:rPr>
          <w:t>FAQs</w:t>
        </w:r>
      </w:hyperlink>
    </w:p>
    <w:p w14:paraId="52E99D52" w14:textId="4E029AD7" w:rsidR="002B127E" w:rsidRDefault="0006500C" w:rsidP="0006500C">
      <w:pPr>
        <w:pStyle w:val="TOC2"/>
        <w:jc w:val="left"/>
        <w:rPr>
          <w:rFonts w:asciiTheme="minorHAnsi" w:eastAsiaTheme="minorEastAsia" w:hAnsiTheme="minorHAnsi" w:cstheme="minorBidi"/>
          <w:noProof/>
          <w:kern w:val="2"/>
          <w:sz w:val="22"/>
          <w:szCs w:val="22"/>
          <w14:ligatures w14:val="standardContextual"/>
        </w:rPr>
      </w:pPr>
      <w:hyperlink w:anchor="_Toc163476146" w:history="1">
        <w:r w:rsidR="002B127E" w:rsidRPr="001A1074">
          <w:rPr>
            <w:rStyle w:val="Hyperlink"/>
            <w:rFonts w:ascii="Verdana" w:hAnsi="Verdana"/>
            <w:noProof/>
          </w:rPr>
          <w:t>Safety Data Sheets (SDS)</w:t>
        </w:r>
      </w:hyperlink>
    </w:p>
    <w:p w14:paraId="67452C07" w14:textId="3AD6637A" w:rsidR="002B127E" w:rsidRDefault="0006500C" w:rsidP="0006500C">
      <w:pPr>
        <w:pStyle w:val="TOC2"/>
        <w:jc w:val="left"/>
        <w:rPr>
          <w:rFonts w:asciiTheme="minorHAnsi" w:eastAsiaTheme="minorEastAsia" w:hAnsiTheme="minorHAnsi" w:cstheme="minorBidi"/>
          <w:noProof/>
          <w:kern w:val="2"/>
          <w:sz w:val="22"/>
          <w:szCs w:val="22"/>
          <w14:ligatures w14:val="standardContextual"/>
        </w:rPr>
      </w:pPr>
      <w:hyperlink w:anchor="_Toc163476147" w:history="1">
        <w:r w:rsidR="002B127E" w:rsidRPr="001A1074">
          <w:rPr>
            <w:rStyle w:val="Hyperlink"/>
            <w:rFonts w:ascii="Verdana" w:hAnsi="Verdana"/>
            <w:noProof/>
          </w:rPr>
          <w:t>Related Documents</w:t>
        </w:r>
      </w:hyperlink>
    </w:p>
    <w:p w14:paraId="3FE248B9" w14:textId="6CE3FC54" w:rsidR="0012593B" w:rsidRDefault="002B127E" w:rsidP="00F459BA">
      <w:pPr>
        <w:pStyle w:val="TOC2"/>
      </w:pPr>
      <w:r w:rsidRPr="00DE7A25">
        <w:rPr>
          <w:noProof/>
        </w:rPr>
        <w:fldChar w:fldCharType="end"/>
      </w:r>
    </w:p>
    <w:p w14:paraId="670CBFB1" w14:textId="77777777" w:rsidR="005A30C1" w:rsidRPr="00F96E6C" w:rsidRDefault="005A30C1" w:rsidP="005A30C1">
      <w:pPr>
        <w:rPr>
          <w:rFonts w:ascii="Verdana" w:hAnsi="Verdana"/>
        </w:rPr>
      </w:pPr>
      <w:r w:rsidRPr="00F96E6C">
        <w:rPr>
          <w:rFonts w:ascii="Verdana" w:hAnsi="Verdana"/>
          <w:b/>
        </w:rPr>
        <w:t>Description:</w:t>
      </w:r>
      <w:r w:rsidRPr="00F96E6C">
        <w:rPr>
          <w:rFonts w:ascii="Verdana" w:hAnsi="Verdana"/>
        </w:rPr>
        <w:t xml:space="preserve">  This job aid covers the shipping stickers used for hazardous goods.</w:t>
      </w:r>
    </w:p>
    <w:p w14:paraId="6F22C503" w14:textId="77777777" w:rsidR="005A30C1" w:rsidRPr="005A30C1" w:rsidRDefault="005A30C1" w:rsidP="005A30C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2593B" w:rsidRPr="005D7976" w14:paraId="52EDAF7B" w14:textId="77777777" w:rsidTr="00EE7792">
        <w:tc>
          <w:tcPr>
            <w:tcW w:w="5000" w:type="pct"/>
            <w:shd w:val="clear" w:color="auto" w:fill="BFBFBF" w:themeFill="background1" w:themeFillShade="BF"/>
          </w:tcPr>
          <w:p w14:paraId="23ECEA85" w14:textId="77777777" w:rsidR="0012593B" w:rsidRPr="005D7976" w:rsidRDefault="0012593B" w:rsidP="00A15340">
            <w:pPr>
              <w:pStyle w:val="Heading2"/>
              <w:spacing w:before="120" w:after="120"/>
              <w:rPr>
                <w:rFonts w:ascii="Verdana" w:hAnsi="Verdana"/>
                <w:i w:val="0"/>
                <w:iCs w:val="0"/>
              </w:rPr>
            </w:pPr>
            <w:bookmarkStart w:id="1" w:name="_Overview"/>
            <w:bookmarkStart w:id="2" w:name="_Toc48725770"/>
            <w:bookmarkStart w:id="3" w:name="_Toc163473001"/>
            <w:bookmarkStart w:id="4" w:name="_Toc163476142"/>
            <w:bookmarkEnd w:id="1"/>
            <w:r>
              <w:rPr>
                <w:rFonts w:ascii="Verdana" w:hAnsi="Verdana"/>
                <w:i w:val="0"/>
                <w:iCs w:val="0"/>
              </w:rPr>
              <w:t>Stickers</w:t>
            </w:r>
            <w:bookmarkEnd w:id="2"/>
            <w:bookmarkEnd w:id="3"/>
            <w:bookmarkEnd w:id="4"/>
          </w:p>
        </w:tc>
      </w:tr>
    </w:tbl>
    <w:p w14:paraId="42B48D34" w14:textId="77777777" w:rsidR="0012593B" w:rsidRDefault="0012593B" w:rsidP="00A15340">
      <w:pPr>
        <w:pStyle w:val="BodyTextIndent2"/>
        <w:spacing w:before="120" w:line="240" w:lineRule="auto"/>
        <w:ind w:left="0"/>
        <w:rPr>
          <w:rFonts w:ascii="Verdana" w:hAnsi="Verdana"/>
        </w:rPr>
      </w:pPr>
      <w:r>
        <w:rPr>
          <w:rFonts w:ascii="Verdana" w:hAnsi="Verdana"/>
        </w:rPr>
        <w:t xml:space="preserve">Hazardous </w:t>
      </w:r>
      <w:r w:rsidR="00330A8D">
        <w:rPr>
          <w:rFonts w:ascii="Verdana" w:hAnsi="Verdana"/>
        </w:rPr>
        <w:t xml:space="preserve">goods </w:t>
      </w:r>
      <w:r>
        <w:rPr>
          <w:rFonts w:ascii="Verdana" w:hAnsi="Verdana"/>
        </w:rPr>
        <w:t xml:space="preserve">will </w:t>
      </w:r>
      <w:r w:rsidR="005A30C1">
        <w:rPr>
          <w:rFonts w:ascii="Verdana" w:hAnsi="Verdana"/>
        </w:rPr>
        <w:t xml:space="preserve">ship with </w:t>
      </w:r>
      <w:r w:rsidRPr="0012593B">
        <w:rPr>
          <w:rFonts w:ascii="Verdana" w:hAnsi="Verdana"/>
        </w:rPr>
        <w:t>stickers affixed to the s</w:t>
      </w:r>
      <w:r>
        <w:rPr>
          <w:rFonts w:ascii="Verdana" w:hAnsi="Verdana"/>
        </w:rPr>
        <w:t>hipping package.</w:t>
      </w:r>
    </w:p>
    <w:p w14:paraId="2399E633" w14:textId="77777777" w:rsidR="0012593B" w:rsidRDefault="0012593B" w:rsidP="00A15340">
      <w:pPr>
        <w:pStyle w:val="BodyTextIndent2"/>
        <w:spacing w:before="120" w:line="240" w:lineRule="auto"/>
        <w:ind w:left="0"/>
        <w:rPr>
          <w:rFonts w:ascii="Verdana" w:hAnsi="Verdana"/>
        </w:rPr>
      </w:pPr>
    </w:p>
    <w:p w14:paraId="6220F1FD" w14:textId="77777777" w:rsidR="0012593B" w:rsidRDefault="0012593B" w:rsidP="00A15340">
      <w:pPr>
        <w:pStyle w:val="BodyTextIndent2"/>
        <w:spacing w:before="120" w:line="240" w:lineRule="auto"/>
        <w:ind w:left="0"/>
        <w:rPr>
          <w:noProof/>
        </w:rPr>
      </w:pPr>
    </w:p>
    <w:p w14:paraId="24F07158" w14:textId="630FBF99" w:rsidR="0012593B" w:rsidRDefault="00E4374B" w:rsidP="00A15340">
      <w:pPr>
        <w:pStyle w:val="BodyTextIndent2"/>
        <w:spacing w:before="120" w:line="240" w:lineRule="auto"/>
        <w:ind w:left="0"/>
        <w:jc w:val="center"/>
        <w:rPr>
          <w:rFonts w:ascii="Verdana" w:hAnsi="Verdana"/>
        </w:rPr>
      </w:pPr>
      <w:r w:rsidRPr="00F96E6C">
        <w:rPr>
          <w:noProof/>
          <w:bdr w:val="single" w:sz="4" w:space="0" w:color="auto"/>
        </w:rPr>
        <w:drawing>
          <wp:inline distT="0" distB="0" distL="0" distR="0" wp14:anchorId="1A1BC389" wp14:editId="2B0467D2">
            <wp:extent cx="5486400" cy="1600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t="3391" r="26527"/>
                    <a:stretch>
                      <a:fillRect/>
                    </a:stretch>
                  </pic:blipFill>
                  <pic:spPr bwMode="auto">
                    <a:xfrm>
                      <a:off x="0" y="0"/>
                      <a:ext cx="5486400" cy="1600200"/>
                    </a:xfrm>
                    <a:prstGeom prst="rect">
                      <a:avLst/>
                    </a:prstGeom>
                    <a:noFill/>
                    <a:ln>
                      <a:noFill/>
                    </a:ln>
                  </pic:spPr>
                </pic:pic>
              </a:graphicData>
            </a:graphic>
          </wp:inline>
        </w:drawing>
      </w:r>
    </w:p>
    <w:p w14:paraId="37390F2A" w14:textId="77777777" w:rsidR="0012593B" w:rsidRDefault="0012593B" w:rsidP="00A15340">
      <w:pPr>
        <w:pStyle w:val="BodyTextIndent2"/>
        <w:spacing w:before="120" w:line="240" w:lineRule="auto"/>
        <w:ind w:left="0"/>
        <w:jc w:val="center"/>
        <w:rPr>
          <w:rFonts w:ascii="Verdana" w:hAnsi="Verdana"/>
        </w:rPr>
      </w:pPr>
    </w:p>
    <w:p w14:paraId="2307A210" w14:textId="77777777" w:rsidR="0012593B" w:rsidRDefault="0012593B" w:rsidP="00A15340">
      <w:pPr>
        <w:pStyle w:val="BodyTextIndent2"/>
        <w:spacing w:before="120" w:line="240" w:lineRule="auto"/>
        <w:ind w:left="0"/>
        <w:jc w:val="center"/>
        <w:rPr>
          <w:rFonts w:ascii="Verdana" w:hAnsi="Verdana"/>
        </w:rPr>
      </w:pPr>
    </w:p>
    <w:p w14:paraId="76E1178D" w14:textId="70491691" w:rsidR="0012593B" w:rsidRDefault="00E4374B" w:rsidP="00A15340">
      <w:pPr>
        <w:pStyle w:val="BodyTextIndent2"/>
        <w:spacing w:before="120" w:line="240" w:lineRule="auto"/>
        <w:ind w:left="0"/>
        <w:jc w:val="center"/>
        <w:rPr>
          <w:rFonts w:ascii="Verdana" w:hAnsi="Verdana"/>
        </w:rPr>
      </w:pPr>
      <w:r w:rsidRPr="00F96E6C">
        <w:rPr>
          <w:noProof/>
          <w:bdr w:val="single" w:sz="4" w:space="0" w:color="auto"/>
        </w:rPr>
        <w:drawing>
          <wp:inline distT="0" distB="0" distL="0" distR="0" wp14:anchorId="36291C49" wp14:editId="79C406E2">
            <wp:extent cx="3514725" cy="160020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9">
                      <a:extLst>
                        <a:ext uri="{28A0092B-C50C-407E-A947-70E740481C1C}">
                          <a14:useLocalDpi xmlns:a14="http://schemas.microsoft.com/office/drawing/2010/main" val="0"/>
                        </a:ext>
                      </a:extLst>
                    </a:blip>
                    <a:srcRect l="-342" r="36922"/>
                    <a:stretch>
                      <a:fillRect/>
                    </a:stretch>
                  </pic:blipFill>
                  <pic:spPr bwMode="auto">
                    <a:xfrm>
                      <a:off x="0" y="0"/>
                      <a:ext cx="3514725" cy="1600200"/>
                    </a:xfrm>
                    <a:prstGeom prst="rect">
                      <a:avLst/>
                    </a:prstGeom>
                    <a:noFill/>
                    <a:ln>
                      <a:noFill/>
                    </a:ln>
                  </pic:spPr>
                </pic:pic>
              </a:graphicData>
            </a:graphic>
          </wp:inline>
        </w:drawing>
      </w:r>
    </w:p>
    <w:p w14:paraId="345170F6" w14:textId="77777777" w:rsidR="00C53660" w:rsidRDefault="00C53660" w:rsidP="00A15340">
      <w:pPr>
        <w:pStyle w:val="BodyTextIndent2"/>
        <w:spacing w:before="120" w:line="240" w:lineRule="auto"/>
        <w:ind w:left="0"/>
        <w:jc w:val="center"/>
        <w:rPr>
          <w:rFonts w:ascii="Verdana" w:hAnsi="Verdana"/>
        </w:rPr>
      </w:pPr>
    </w:p>
    <w:p w14:paraId="33676735" w14:textId="77777777" w:rsidR="00856D8A" w:rsidRDefault="00856D8A" w:rsidP="00A15340">
      <w:pPr>
        <w:pStyle w:val="BodyTextIndent2"/>
        <w:spacing w:before="120" w:line="240" w:lineRule="auto"/>
        <w:ind w:left="0"/>
        <w:jc w:val="center"/>
        <w:rPr>
          <w:rFonts w:ascii="Verdana" w:hAnsi="Verdana"/>
          <w:sz w:val="16"/>
          <w:szCs w:val="16"/>
        </w:rPr>
      </w:pPr>
    </w:p>
    <w:p w14:paraId="20EF2DEE" w14:textId="49DC8740" w:rsidR="00856D8A" w:rsidRPr="00856D8A" w:rsidRDefault="00E4374B" w:rsidP="00A15340">
      <w:pPr>
        <w:pStyle w:val="BodyTextIndent2"/>
        <w:spacing w:before="120" w:line="240" w:lineRule="auto"/>
        <w:ind w:left="0"/>
        <w:jc w:val="center"/>
        <w:rPr>
          <w:rFonts w:ascii="Verdana" w:hAnsi="Verdana"/>
          <w:sz w:val="16"/>
          <w:szCs w:val="16"/>
        </w:rPr>
      </w:pPr>
      <w:r w:rsidRPr="00F96E6C">
        <w:rPr>
          <w:noProof/>
          <w:bdr w:val="single" w:sz="4" w:space="0" w:color="auto"/>
        </w:rPr>
        <w:drawing>
          <wp:inline distT="0" distB="0" distL="0" distR="0" wp14:anchorId="622EFB3A" wp14:editId="205722BE">
            <wp:extent cx="2209800" cy="191452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914525"/>
                    </a:xfrm>
                    <a:prstGeom prst="rect">
                      <a:avLst/>
                    </a:prstGeom>
                    <a:noFill/>
                    <a:ln>
                      <a:noFill/>
                    </a:ln>
                  </pic:spPr>
                </pic:pic>
              </a:graphicData>
            </a:graphic>
          </wp:inline>
        </w:drawing>
      </w:r>
    </w:p>
    <w:p w14:paraId="12C1B67D" w14:textId="77777777" w:rsidR="00E16B1A" w:rsidRDefault="00E16B1A" w:rsidP="00A15340">
      <w:pPr>
        <w:pStyle w:val="BodyTextIndent2"/>
        <w:spacing w:before="120" w:line="240" w:lineRule="auto"/>
        <w:ind w:left="0"/>
        <w:jc w:val="center"/>
        <w:rPr>
          <w:rFonts w:ascii="Verdana" w:hAnsi="Verdana"/>
        </w:rPr>
      </w:pPr>
    </w:p>
    <w:p w14:paraId="2C82A7A3" w14:textId="77777777" w:rsidR="0012593B" w:rsidRDefault="009A72A0" w:rsidP="00A15340">
      <w:pPr>
        <w:pStyle w:val="BodyTextIndent2"/>
        <w:spacing w:before="120" w:line="240" w:lineRule="auto"/>
        <w:ind w:left="0"/>
        <w:jc w:val="center"/>
        <w:rPr>
          <w:rFonts w:ascii="Verdana" w:hAnsi="Verdana"/>
        </w:rPr>
      </w:pPr>
      <w:r>
        <w:rPr>
          <w:rFonts w:ascii="Verdana" w:hAnsi="Verdana"/>
          <w:b/>
        </w:rPr>
        <w:t>Figure A:</w:t>
      </w:r>
      <w:r w:rsidR="0012593B">
        <w:rPr>
          <w:rFonts w:ascii="Verdana" w:hAnsi="Verdana"/>
        </w:rPr>
        <w:t xml:space="preserve"> </w:t>
      </w:r>
      <w:proofErr w:type="spellStart"/>
      <w:r w:rsidR="0012593B">
        <w:rPr>
          <w:rFonts w:ascii="Verdana" w:hAnsi="Verdana"/>
        </w:rPr>
        <w:t>4X5</w:t>
      </w:r>
      <w:proofErr w:type="spellEnd"/>
      <w:r w:rsidR="0012593B">
        <w:rPr>
          <w:rFonts w:ascii="Verdana" w:hAnsi="Verdana"/>
        </w:rPr>
        <w:t xml:space="preserve"> Custom Roll Stickers</w:t>
      </w:r>
    </w:p>
    <w:p w14:paraId="2B65E3F8" w14:textId="77777777" w:rsidR="0012593B" w:rsidRPr="009B5D25" w:rsidRDefault="0012593B" w:rsidP="00A15340">
      <w:pPr>
        <w:pStyle w:val="BodyTextIndent2"/>
        <w:spacing w:before="120" w:line="240" w:lineRule="auto"/>
        <w:ind w:left="0"/>
        <w:jc w:val="center"/>
        <w:rPr>
          <w:rFonts w:ascii="Verdana" w:hAnsi="Verdana"/>
        </w:rPr>
      </w:pPr>
    </w:p>
    <w:p w14:paraId="3AB4A7F3" w14:textId="77777777" w:rsidR="00EB34D5" w:rsidRPr="00DE7A25" w:rsidRDefault="00EB34D5" w:rsidP="00CF787D">
      <w:pPr>
        <w:jc w:val="right"/>
        <w:rPr>
          <w:rFonts w:ascii="Verdana" w:hAnsi="Verdana"/>
        </w:rPr>
      </w:pPr>
      <w:bookmarkStart w:id="5" w:name="_Adding_a_PBO_1"/>
      <w:bookmarkEnd w:id="5"/>
    </w:p>
    <w:p w14:paraId="3F9BE693" w14:textId="4F1FF8C5" w:rsidR="00EB34D5" w:rsidRDefault="0006500C" w:rsidP="00CF787D">
      <w:pPr>
        <w:jc w:val="right"/>
        <w:rPr>
          <w:rStyle w:val="Hyperlink"/>
          <w:rFonts w:ascii="Verdana" w:hAnsi="Verdana"/>
        </w:rPr>
      </w:pPr>
      <w:hyperlink w:anchor="_top" w:history="1">
        <w:r w:rsidR="00EB34D5" w:rsidRPr="00671C3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30C1" w:rsidRPr="005D7976" w14:paraId="11C4FFD5" w14:textId="77777777" w:rsidTr="00BE4CAC">
        <w:tc>
          <w:tcPr>
            <w:tcW w:w="5000" w:type="pct"/>
            <w:shd w:val="clear" w:color="auto" w:fill="BFBFBF" w:themeFill="background1" w:themeFillShade="BF"/>
          </w:tcPr>
          <w:p w14:paraId="0F502C6D" w14:textId="77777777" w:rsidR="005A30C1" w:rsidRPr="005D7976" w:rsidRDefault="005A30C1" w:rsidP="00A15340">
            <w:pPr>
              <w:pStyle w:val="Heading2"/>
              <w:spacing w:before="120" w:after="120"/>
              <w:rPr>
                <w:rFonts w:ascii="Verdana" w:hAnsi="Verdana"/>
                <w:i w:val="0"/>
                <w:iCs w:val="0"/>
              </w:rPr>
            </w:pPr>
            <w:bookmarkStart w:id="6" w:name="_Toc48725771"/>
            <w:bookmarkStart w:id="7" w:name="_Toc163473002"/>
            <w:bookmarkStart w:id="8" w:name="_Toc163476143"/>
            <w:r>
              <w:rPr>
                <w:rFonts w:ascii="Verdana" w:hAnsi="Verdana"/>
                <w:i w:val="0"/>
                <w:iCs w:val="0"/>
              </w:rPr>
              <w:t>Baggies</w:t>
            </w:r>
            <w:bookmarkEnd w:id="6"/>
            <w:bookmarkEnd w:id="7"/>
            <w:bookmarkEnd w:id="8"/>
          </w:p>
        </w:tc>
      </w:tr>
    </w:tbl>
    <w:p w14:paraId="3F309B72" w14:textId="77777777" w:rsidR="005A30C1" w:rsidRDefault="005A30C1" w:rsidP="00A15340">
      <w:pPr>
        <w:pStyle w:val="BodyTextIndent2"/>
        <w:spacing w:before="120" w:line="240" w:lineRule="auto"/>
        <w:ind w:left="0"/>
        <w:rPr>
          <w:rFonts w:ascii="Verdana" w:hAnsi="Verdana"/>
        </w:rPr>
      </w:pPr>
      <w:r>
        <w:rPr>
          <w:rFonts w:ascii="Verdana" w:hAnsi="Verdana"/>
        </w:rPr>
        <w:t xml:space="preserve">Hazardous goods will ship in a </w:t>
      </w:r>
      <w:r w:rsidRPr="005A30C1">
        <w:rPr>
          <w:rFonts w:ascii="Verdana" w:hAnsi="Verdana"/>
        </w:rPr>
        <w:t>Hazardous Drug bag</w:t>
      </w:r>
      <w:r>
        <w:rPr>
          <w:rFonts w:ascii="Verdana" w:hAnsi="Verdana"/>
        </w:rPr>
        <w:t>gie.</w:t>
      </w:r>
    </w:p>
    <w:p w14:paraId="46C83EC7" w14:textId="77777777" w:rsidR="005A30C1" w:rsidRDefault="005A30C1" w:rsidP="00A15340">
      <w:pPr>
        <w:pStyle w:val="BodyTextIndent2"/>
        <w:spacing w:before="120" w:line="240" w:lineRule="auto"/>
        <w:ind w:left="0"/>
        <w:rPr>
          <w:rFonts w:ascii="Verdana" w:hAnsi="Verdana"/>
        </w:rPr>
      </w:pPr>
    </w:p>
    <w:p w14:paraId="0B1D3462" w14:textId="11A28357" w:rsidR="005A30C1" w:rsidRDefault="00E4374B" w:rsidP="00A15340">
      <w:pPr>
        <w:pStyle w:val="BodyTextIndent2"/>
        <w:spacing w:before="120" w:line="240" w:lineRule="auto"/>
        <w:ind w:left="0"/>
        <w:jc w:val="center"/>
        <w:rPr>
          <w:rFonts w:ascii="Verdana" w:hAnsi="Verdana"/>
        </w:rPr>
      </w:pPr>
      <w:r w:rsidRPr="00F96E6C">
        <w:rPr>
          <w:rFonts w:ascii="Verdana" w:hAnsi="Verdana"/>
          <w:noProof/>
        </w:rPr>
        <w:drawing>
          <wp:inline distT="0" distB="0" distL="0" distR="0" wp14:anchorId="3F68D0B0" wp14:editId="3CC5F706">
            <wp:extent cx="2743200" cy="466725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667250"/>
                    </a:xfrm>
                    <a:prstGeom prst="rect">
                      <a:avLst/>
                    </a:prstGeom>
                    <a:noFill/>
                    <a:ln>
                      <a:noFill/>
                    </a:ln>
                  </pic:spPr>
                </pic:pic>
              </a:graphicData>
            </a:graphic>
          </wp:inline>
        </w:drawing>
      </w:r>
    </w:p>
    <w:p w14:paraId="7A6F5024" w14:textId="77777777" w:rsidR="009B5D25" w:rsidRDefault="009B5D25" w:rsidP="00A15340">
      <w:pPr>
        <w:pStyle w:val="BodyTextIndent2"/>
        <w:spacing w:before="120" w:line="240" w:lineRule="auto"/>
        <w:ind w:left="0"/>
        <w:jc w:val="center"/>
        <w:rPr>
          <w:rFonts w:ascii="Verdana" w:hAnsi="Verdana"/>
          <w:b/>
        </w:rPr>
      </w:pPr>
    </w:p>
    <w:p w14:paraId="1B626C4B" w14:textId="1397A48D" w:rsidR="005A30C1" w:rsidRPr="005A30C1" w:rsidRDefault="009A72A0" w:rsidP="00A15340">
      <w:pPr>
        <w:pStyle w:val="BodyTextIndent2"/>
        <w:spacing w:before="120" w:line="240" w:lineRule="auto"/>
        <w:ind w:left="0"/>
        <w:jc w:val="center"/>
        <w:rPr>
          <w:rFonts w:ascii="Verdana" w:hAnsi="Verdana"/>
        </w:rPr>
      </w:pPr>
      <w:r>
        <w:rPr>
          <w:rFonts w:ascii="Verdana" w:hAnsi="Verdana"/>
          <w:b/>
        </w:rPr>
        <w:t>Figure B:</w:t>
      </w:r>
      <w:r>
        <w:rPr>
          <w:rFonts w:ascii="Verdana" w:hAnsi="Verdana"/>
        </w:rPr>
        <w:t xml:space="preserve"> </w:t>
      </w:r>
      <w:r w:rsidR="00EE7792">
        <w:rPr>
          <w:rFonts w:ascii="Verdana" w:hAnsi="Verdana"/>
        </w:rPr>
        <w:t xml:space="preserve"> </w:t>
      </w:r>
      <w:r w:rsidR="005A30C1">
        <w:rPr>
          <w:rFonts w:ascii="Verdana" w:hAnsi="Verdana"/>
        </w:rPr>
        <w:t>Hazardous Drug Baggie</w:t>
      </w:r>
    </w:p>
    <w:p w14:paraId="29E12C6C" w14:textId="77777777" w:rsidR="009B5D25" w:rsidRPr="009B5D25" w:rsidRDefault="009B5D25" w:rsidP="00A15340">
      <w:pPr>
        <w:pStyle w:val="BodyTextIndent2"/>
        <w:spacing w:before="120" w:line="240" w:lineRule="auto"/>
        <w:ind w:left="0"/>
        <w:jc w:val="center"/>
        <w:rPr>
          <w:rFonts w:ascii="Verdana" w:hAnsi="Verdana"/>
        </w:rPr>
      </w:pPr>
    </w:p>
    <w:p w14:paraId="3E720766" w14:textId="2FF225C5" w:rsidR="0012593B" w:rsidRPr="005D7976" w:rsidRDefault="0006500C" w:rsidP="00F459BA">
      <w:pPr>
        <w:pStyle w:val="TOC2"/>
      </w:pPr>
      <w:hyperlink w:anchor="_top" w:history="1">
        <w:r w:rsidR="009B5D25" w:rsidRPr="00943537">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2593B" w:rsidRPr="005D7976" w14:paraId="0DCD6268" w14:textId="77777777" w:rsidTr="00EE7792">
        <w:tc>
          <w:tcPr>
            <w:tcW w:w="5000" w:type="pct"/>
            <w:shd w:val="clear" w:color="auto" w:fill="BFBFBF" w:themeFill="background1" w:themeFillShade="BF"/>
          </w:tcPr>
          <w:p w14:paraId="37929791" w14:textId="77777777" w:rsidR="0012593B" w:rsidRPr="005D7976" w:rsidRDefault="0012593B" w:rsidP="00A15340">
            <w:pPr>
              <w:pStyle w:val="Heading2"/>
              <w:spacing w:before="120" w:after="120"/>
              <w:rPr>
                <w:rFonts w:ascii="Verdana" w:hAnsi="Verdana"/>
                <w:i w:val="0"/>
                <w:iCs w:val="0"/>
              </w:rPr>
            </w:pPr>
            <w:bookmarkStart w:id="9" w:name="_Toc48725772"/>
            <w:bookmarkStart w:id="10" w:name="_Toc163473003"/>
            <w:bookmarkStart w:id="11" w:name="_Toc163476144"/>
            <w:r>
              <w:rPr>
                <w:rFonts w:ascii="Verdana" w:hAnsi="Verdana"/>
                <w:i w:val="0"/>
                <w:iCs w:val="0"/>
              </w:rPr>
              <w:t>Shipper’s Declaration for Dangerous Goods</w:t>
            </w:r>
            <w:bookmarkEnd w:id="9"/>
            <w:bookmarkEnd w:id="10"/>
            <w:bookmarkEnd w:id="11"/>
          </w:p>
        </w:tc>
      </w:tr>
    </w:tbl>
    <w:p w14:paraId="3CCF2CA6" w14:textId="77777777" w:rsidR="0012593B" w:rsidRDefault="005A30C1" w:rsidP="00A15340">
      <w:pPr>
        <w:pStyle w:val="BodyTextIndent2"/>
        <w:spacing w:before="120" w:line="240" w:lineRule="auto"/>
        <w:ind w:left="0"/>
        <w:rPr>
          <w:rFonts w:ascii="Verdana" w:hAnsi="Verdana"/>
        </w:rPr>
      </w:pPr>
      <w:r>
        <w:rPr>
          <w:rFonts w:ascii="Verdana" w:hAnsi="Verdana"/>
        </w:rPr>
        <w:t>A</w:t>
      </w:r>
      <w:r w:rsidR="0012593B">
        <w:rPr>
          <w:rFonts w:ascii="Verdana" w:hAnsi="Verdana"/>
        </w:rPr>
        <w:t xml:space="preserve"> </w:t>
      </w:r>
      <w:r w:rsidR="0012593B" w:rsidRPr="005A30C1">
        <w:rPr>
          <w:rFonts w:ascii="Verdana" w:hAnsi="Verdana"/>
          <w:b/>
        </w:rPr>
        <w:t>Shipper’s Declaration</w:t>
      </w:r>
      <w:r w:rsidRPr="005A30C1">
        <w:rPr>
          <w:rFonts w:ascii="Verdana" w:hAnsi="Verdana"/>
          <w:b/>
        </w:rPr>
        <w:t xml:space="preserve"> for Dangerous Goods</w:t>
      </w:r>
      <w:r>
        <w:rPr>
          <w:rFonts w:ascii="Verdana" w:hAnsi="Verdana"/>
        </w:rPr>
        <w:t xml:space="preserve"> is included with every shipment. This document gives the </w:t>
      </w:r>
      <w:r w:rsidR="0012593B">
        <w:rPr>
          <w:rFonts w:ascii="Verdana" w:hAnsi="Verdana"/>
        </w:rPr>
        <w:t xml:space="preserve">description of </w:t>
      </w:r>
      <w:r>
        <w:rPr>
          <w:rFonts w:ascii="Verdana" w:hAnsi="Verdana"/>
        </w:rPr>
        <w:t>the dangerous goods</w:t>
      </w:r>
      <w:r w:rsidR="0012593B">
        <w:rPr>
          <w:rFonts w:ascii="Verdana" w:hAnsi="Verdana"/>
        </w:rPr>
        <w:t>.</w:t>
      </w:r>
    </w:p>
    <w:p w14:paraId="72F0B5B1" w14:textId="77777777" w:rsidR="0012593B" w:rsidRDefault="0012593B" w:rsidP="00A15340">
      <w:pPr>
        <w:pStyle w:val="BodyTextIndent2"/>
        <w:spacing w:before="120" w:line="240" w:lineRule="auto"/>
        <w:ind w:left="0"/>
        <w:rPr>
          <w:rFonts w:ascii="Verdana" w:hAnsi="Verdana"/>
        </w:rPr>
      </w:pPr>
    </w:p>
    <w:p w14:paraId="17773BE4" w14:textId="289265D4" w:rsidR="0012593B" w:rsidRDefault="00E4374B" w:rsidP="00A15340">
      <w:pPr>
        <w:pStyle w:val="BodyTextIndent2"/>
        <w:spacing w:before="120" w:line="240" w:lineRule="auto"/>
        <w:ind w:left="0"/>
        <w:jc w:val="center"/>
        <w:rPr>
          <w:rFonts w:ascii="Verdana" w:hAnsi="Verdana"/>
        </w:rPr>
      </w:pPr>
      <w:r w:rsidRPr="000D0A6B">
        <w:rPr>
          <w:noProof/>
        </w:rPr>
        <w:drawing>
          <wp:inline distT="0" distB="0" distL="0" distR="0" wp14:anchorId="331ACA01" wp14:editId="0AA9A101">
            <wp:extent cx="5486400" cy="73247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324725"/>
                    </a:xfrm>
                    <a:prstGeom prst="rect">
                      <a:avLst/>
                    </a:prstGeom>
                    <a:noFill/>
                    <a:ln>
                      <a:noFill/>
                    </a:ln>
                  </pic:spPr>
                </pic:pic>
              </a:graphicData>
            </a:graphic>
          </wp:inline>
        </w:drawing>
      </w:r>
    </w:p>
    <w:p w14:paraId="54416594" w14:textId="3E78C6DA" w:rsidR="0012593B" w:rsidRDefault="009A72A0" w:rsidP="00A15340">
      <w:pPr>
        <w:pStyle w:val="BodyTextIndent2"/>
        <w:spacing w:before="120" w:line="240" w:lineRule="auto"/>
        <w:ind w:left="0"/>
        <w:jc w:val="center"/>
        <w:rPr>
          <w:rFonts w:ascii="Verdana" w:hAnsi="Verdana"/>
        </w:rPr>
      </w:pPr>
      <w:r>
        <w:rPr>
          <w:rFonts w:ascii="Verdana" w:hAnsi="Verdana"/>
          <w:b/>
        </w:rPr>
        <w:t>Figure C:</w:t>
      </w:r>
      <w:r>
        <w:rPr>
          <w:rFonts w:ascii="Verdana" w:hAnsi="Verdana"/>
        </w:rPr>
        <w:t xml:space="preserve"> </w:t>
      </w:r>
      <w:r w:rsidR="00EE7792">
        <w:rPr>
          <w:rFonts w:ascii="Verdana" w:hAnsi="Verdana"/>
        </w:rPr>
        <w:t xml:space="preserve"> </w:t>
      </w:r>
      <w:r w:rsidR="0012593B">
        <w:rPr>
          <w:rFonts w:ascii="Verdana" w:hAnsi="Verdana"/>
        </w:rPr>
        <w:t xml:space="preserve">Shipper’s Declaration </w:t>
      </w:r>
      <w:r w:rsidR="009B5D25">
        <w:rPr>
          <w:rFonts w:ascii="Verdana" w:hAnsi="Verdana"/>
        </w:rPr>
        <w:t>f</w:t>
      </w:r>
      <w:r w:rsidR="0012593B">
        <w:rPr>
          <w:rFonts w:ascii="Verdana" w:hAnsi="Verdana"/>
        </w:rPr>
        <w:t>or Dangerous Goods</w:t>
      </w:r>
    </w:p>
    <w:p w14:paraId="6BE2D11B" w14:textId="77777777" w:rsidR="0012593B" w:rsidRDefault="0012593B" w:rsidP="00A15340">
      <w:pPr>
        <w:pStyle w:val="BodyTextIndent2"/>
        <w:spacing w:before="120" w:line="240" w:lineRule="auto"/>
        <w:ind w:left="0"/>
        <w:jc w:val="center"/>
        <w:rPr>
          <w:rFonts w:ascii="Verdana" w:hAnsi="Verdana"/>
        </w:rPr>
      </w:pPr>
    </w:p>
    <w:p w14:paraId="777CD9B0" w14:textId="77777777" w:rsidR="004D15D3" w:rsidRDefault="004D15D3" w:rsidP="00A15340">
      <w:pPr>
        <w:spacing w:before="120" w:after="120"/>
        <w:rPr>
          <w:rFonts w:ascii="Verdana" w:hAnsi="Verdana"/>
        </w:rPr>
      </w:pPr>
      <w:bookmarkStart w:id="12" w:name="_Rationale"/>
      <w:bookmarkStart w:id="13" w:name="_Definitions"/>
      <w:bookmarkStart w:id="14" w:name="_Definitions/Abbreviations"/>
      <w:bookmarkStart w:id="15" w:name="_Process_for_Handling"/>
      <w:bookmarkEnd w:id="12"/>
      <w:bookmarkEnd w:id="13"/>
      <w:bookmarkEnd w:id="14"/>
      <w:bookmarkEnd w:id="15"/>
    </w:p>
    <w:p w14:paraId="0BB82FE6" w14:textId="6109776C" w:rsidR="00B437D8" w:rsidRDefault="0006500C" w:rsidP="00A15340">
      <w:pPr>
        <w:spacing w:before="120" w:after="120"/>
        <w:jc w:val="right"/>
        <w:rPr>
          <w:rFonts w:ascii="Verdana" w:hAnsi="Verdana"/>
        </w:rPr>
      </w:pPr>
      <w:hyperlink w:anchor="_top" w:history="1">
        <w:r w:rsidR="00B437D8" w:rsidRPr="00671C3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B437D8" w14:paraId="3B4FC5AA" w14:textId="77777777" w:rsidTr="00EE7792">
        <w:tc>
          <w:tcPr>
            <w:tcW w:w="5000" w:type="pct"/>
            <w:shd w:val="clear" w:color="auto" w:fill="BFBFBF" w:themeFill="background1" w:themeFillShade="BF"/>
          </w:tcPr>
          <w:p w14:paraId="341240E1" w14:textId="77777777" w:rsidR="00B437D8" w:rsidRPr="00F96E6C" w:rsidRDefault="00D04751" w:rsidP="00A15340">
            <w:pPr>
              <w:pStyle w:val="Heading2"/>
              <w:spacing w:before="120" w:after="120"/>
              <w:rPr>
                <w:rFonts w:ascii="Verdana" w:hAnsi="Verdana"/>
                <w:i w:val="0"/>
              </w:rPr>
            </w:pPr>
            <w:bookmarkStart w:id="16" w:name="_Toc48725773"/>
            <w:bookmarkStart w:id="17" w:name="_Toc163473004"/>
            <w:bookmarkStart w:id="18" w:name="_Toc163476145"/>
            <w:r w:rsidRPr="00F96E6C">
              <w:rPr>
                <w:rFonts w:ascii="Verdana" w:hAnsi="Verdana"/>
                <w:i w:val="0"/>
              </w:rPr>
              <w:t>FAQs</w:t>
            </w:r>
            <w:bookmarkEnd w:id="16"/>
            <w:bookmarkEnd w:id="17"/>
            <w:bookmarkEnd w:id="18"/>
          </w:p>
        </w:tc>
      </w:tr>
    </w:tbl>
    <w:p w14:paraId="18EA9977" w14:textId="77777777" w:rsidR="00315DA0" w:rsidRDefault="00315DA0" w:rsidP="00A15340">
      <w:pPr>
        <w:spacing w:before="120" w:after="120"/>
        <w:rPr>
          <w:rFonts w:ascii="Verdana" w:hAnsi="Verdana"/>
        </w:rPr>
      </w:pPr>
      <w:r>
        <w:rPr>
          <w:rFonts w:ascii="Verdana" w:hAnsi="Verdana"/>
        </w:rPr>
        <w:t xml:space="preserve">The following are answers to questions frequently asked by </w:t>
      </w:r>
      <w:r w:rsidR="000958A8">
        <w:rPr>
          <w:rFonts w:ascii="Verdana" w:hAnsi="Verdana"/>
        </w:rPr>
        <w:t>members</w:t>
      </w:r>
      <w:r>
        <w:rPr>
          <w:rFonts w:ascii="Verdana" w:hAnsi="Verdana"/>
        </w:rPr>
        <w:t>:</w:t>
      </w:r>
    </w:p>
    <w:p w14:paraId="7B0E2366" w14:textId="77777777" w:rsidR="00315DA0" w:rsidRPr="00315DA0" w:rsidRDefault="00315DA0" w:rsidP="00A15340">
      <w:pPr>
        <w:spacing w:before="120" w:after="120"/>
        <w:rPr>
          <w:rFonts w:ascii="Verdana" w:hAnsi="Verdana"/>
        </w:rPr>
      </w:pPr>
    </w:p>
    <w:p w14:paraId="6870F098" w14:textId="77777777" w:rsidR="00EB6DCA" w:rsidRPr="00EB6DCA" w:rsidRDefault="00EB6DCA" w:rsidP="00A15340">
      <w:pPr>
        <w:spacing w:before="120" w:after="120"/>
        <w:rPr>
          <w:rFonts w:ascii="Verdana" w:hAnsi="Verdana"/>
        </w:rPr>
      </w:pPr>
      <w:r w:rsidRPr="00315DA0">
        <w:rPr>
          <w:rFonts w:ascii="Verdana" w:hAnsi="Verdana"/>
          <w:b/>
        </w:rPr>
        <w:t>Q</w:t>
      </w:r>
      <w:r w:rsidRPr="009B5D25">
        <w:rPr>
          <w:rFonts w:ascii="Verdana" w:hAnsi="Verdana"/>
          <w:b/>
        </w:rPr>
        <w:t>:</w:t>
      </w:r>
      <w:r w:rsidR="00315DA0" w:rsidRPr="009B5D25">
        <w:rPr>
          <w:rFonts w:ascii="Verdana" w:hAnsi="Verdana"/>
          <w:b/>
        </w:rPr>
        <w:t xml:space="preserve"> </w:t>
      </w:r>
      <w:r w:rsidRPr="009B5D25">
        <w:rPr>
          <w:rFonts w:ascii="Verdana" w:hAnsi="Verdana"/>
          <w:b/>
        </w:rPr>
        <w:t xml:space="preserve"> Did my medication change? I have not seen this sticker/baggie</w:t>
      </w:r>
      <w:r w:rsidR="005A30C1" w:rsidRPr="009B5D25">
        <w:rPr>
          <w:rFonts w:ascii="Verdana" w:hAnsi="Verdana"/>
          <w:b/>
        </w:rPr>
        <w:t xml:space="preserve"> </w:t>
      </w:r>
      <w:r w:rsidRPr="009B5D25">
        <w:rPr>
          <w:rFonts w:ascii="Verdana" w:hAnsi="Verdana"/>
          <w:b/>
        </w:rPr>
        <w:t>before.</w:t>
      </w:r>
    </w:p>
    <w:p w14:paraId="4FCAF0D4" w14:textId="4A891C4A" w:rsidR="00EB6DCA" w:rsidRPr="00EB6DCA" w:rsidRDefault="00E4374B" w:rsidP="00A15340">
      <w:pPr>
        <w:spacing w:before="120" w:after="120"/>
        <w:ind w:left="720"/>
        <w:rPr>
          <w:rFonts w:ascii="Verdana" w:hAnsi="Verdana"/>
        </w:rPr>
      </w:pPr>
      <w:r w:rsidRPr="00F96E6C">
        <w:rPr>
          <w:rFonts w:ascii="Verdana" w:hAnsi="Verdana"/>
          <w:noProof/>
        </w:rPr>
        <w:drawing>
          <wp:inline distT="0" distB="0" distL="0" distR="0" wp14:anchorId="25C44894" wp14:editId="375B744A">
            <wp:extent cx="238125" cy="2095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B5D25">
        <w:rPr>
          <w:rFonts w:ascii="Verdana" w:hAnsi="Verdana"/>
        </w:rPr>
        <w:t xml:space="preserve"> </w:t>
      </w:r>
      <w:r w:rsidR="00EB6DCA" w:rsidRPr="00EB6DCA">
        <w:rPr>
          <w:rFonts w:ascii="Verdana" w:hAnsi="Verdana"/>
        </w:rPr>
        <w:t>No, the drug you have been receiving is still the same; there is no change to your medication. The medication you receive has been identified by our pharmacy because it may have special handling and/or disposal requirements</w:t>
      </w:r>
      <w:r w:rsidR="004F6CA0">
        <w:rPr>
          <w:rFonts w:ascii="Verdana" w:hAnsi="Verdana"/>
        </w:rPr>
        <w:t>,</w:t>
      </w:r>
      <w:r w:rsidR="00EB6DCA" w:rsidRPr="00EB6DCA">
        <w:rPr>
          <w:rFonts w:ascii="Verdana" w:hAnsi="Verdana"/>
        </w:rPr>
        <w:t xml:space="preserve"> and it is our goal to share this information with you and your caregiver, as applicable. The baggie/sticker are meant to provide awareness.</w:t>
      </w:r>
    </w:p>
    <w:p w14:paraId="3785C74A" w14:textId="77777777" w:rsidR="00315DA0" w:rsidRDefault="00315DA0" w:rsidP="00A15340">
      <w:pPr>
        <w:spacing w:before="120" w:after="120"/>
        <w:rPr>
          <w:rFonts w:ascii="Verdana" w:hAnsi="Verdana"/>
          <w:b/>
        </w:rPr>
      </w:pPr>
    </w:p>
    <w:p w14:paraId="223B264B" w14:textId="77777777" w:rsidR="00EB6DCA" w:rsidRPr="009B5D25" w:rsidRDefault="00EB6DCA" w:rsidP="00A15340">
      <w:pPr>
        <w:spacing w:before="120" w:after="120"/>
        <w:rPr>
          <w:rFonts w:ascii="Verdana" w:hAnsi="Verdana"/>
          <w:b/>
        </w:rPr>
      </w:pPr>
      <w:r w:rsidRPr="00315DA0">
        <w:rPr>
          <w:rFonts w:ascii="Verdana" w:hAnsi="Verdana"/>
          <w:b/>
        </w:rPr>
        <w:t>Q</w:t>
      </w:r>
      <w:r w:rsidRPr="009B5D25">
        <w:rPr>
          <w:rFonts w:ascii="Verdana" w:hAnsi="Verdana"/>
          <w:b/>
        </w:rPr>
        <w:t xml:space="preserve">: </w:t>
      </w:r>
      <w:r w:rsidR="00315DA0" w:rsidRPr="009B5D25">
        <w:rPr>
          <w:rFonts w:ascii="Verdana" w:hAnsi="Verdana"/>
          <w:b/>
        </w:rPr>
        <w:t xml:space="preserve"> </w:t>
      </w:r>
      <w:r w:rsidRPr="009B5D25">
        <w:rPr>
          <w:rFonts w:ascii="Verdana" w:hAnsi="Verdana"/>
          <w:b/>
        </w:rPr>
        <w:t>Can you stop putting my medication in the baggie/leave the sticker off the package?</w:t>
      </w:r>
    </w:p>
    <w:p w14:paraId="5238DEDE" w14:textId="6A98D341" w:rsidR="00EB6DCA" w:rsidRPr="00EB6DCA" w:rsidRDefault="00E4374B" w:rsidP="00A15340">
      <w:pPr>
        <w:spacing w:before="120" w:after="120"/>
        <w:ind w:left="720"/>
        <w:rPr>
          <w:rFonts w:ascii="Verdana" w:hAnsi="Verdana"/>
        </w:rPr>
      </w:pPr>
      <w:r>
        <w:rPr>
          <w:noProof/>
        </w:rPr>
        <w:drawing>
          <wp:inline distT="0" distB="0" distL="0" distR="0" wp14:anchorId="762122CA" wp14:editId="249105D0">
            <wp:extent cx="238125" cy="20955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B5D25">
        <w:t xml:space="preserve"> </w:t>
      </w:r>
      <w:r w:rsidR="00EB6DCA" w:rsidRPr="00EB6DCA">
        <w:rPr>
          <w:rFonts w:ascii="Verdana" w:hAnsi="Verdana"/>
        </w:rPr>
        <w:t xml:space="preserve">The baggie/sticker is intended to draw your attention to the drug for proper handling and disposal and the important information included inside the package. We do not have the ability to </w:t>
      </w:r>
      <w:r w:rsidR="000958A8">
        <w:rPr>
          <w:rFonts w:ascii="Verdana" w:hAnsi="Verdana"/>
        </w:rPr>
        <w:t xml:space="preserve">not </w:t>
      </w:r>
      <w:r w:rsidR="00EB6DCA" w:rsidRPr="00EB6DCA">
        <w:rPr>
          <w:rFonts w:ascii="Verdana" w:hAnsi="Verdana"/>
        </w:rPr>
        <w:t>use the baggie or sticker on request.</w:t>
      </w:r>
    </w:p>
    <w:p w14:paraId="6ACAB965" w14:textId="77777777" w:rsidR="00315DA0" w:rsidRDefault="00315DA0" w:rsidP="00A15340">
      <w:pPr>
        <w:spacing w:before="120" w:after="120"/>
        <w:rPr>
          <w:rFonts w:ascii="Verdana" w:hAnsi="Verdana"/>
          <w:b/>
        </w:rPr>
      </w:pPr>
    </w:p>
    <w:p w14:paraId="7E375438" w14:textId="77777777" w:rsidR="00EB6DCA" w:rsidRPr="00EB6DCA" w:rsidRDefault="00EB6DCA" w:rsidP="00A15340">
      <w:pPr>
        <w:spacing w:before="120" w:after="120"/>
        <w:rPr>
          <w:rFonts w:ascii="Verdana" w:hAnsi="Verdana"/>
        </w:rPr>
      </w:pPr>
      <w:r w:rsidRPr="00315DA0">
        <w:rPr>
          <w:rFonts w:ascii="Verdana" w:hAnsi="Verdana"/>
          <w:b/>
        </w:rPr>
        <w:t>Q:</w:t>
      </w:r>
      <w:r w:rsidRPr="009B5D25">
        <w:rPr>
          <w:rFonts w:ascii="Verdana" w:hAnsi="Verdana"/>
          <w:b/>
        </w:rPr>
        <w:t xml:space="preserve"> </w:t>
      </w:r>
      <w:r w:rsidR="00315DA0" w:rsidRPr="009B5D25">
        <w:rPr>
          <w:rFonts w:ascii="Verdana" w:hAnsi="Verdana"/>
          <w:b/>
        </w:rPr>
        <w:t xml:space="preserve"> </w:t>
      </w:r>
      <w:r w:rsidRPr="009B5D25">
        <w:rPr>
          <w:rFonts w:ascii="Verdana" w:hAnsi="Verdana"/>
          <w:b/>
        </w:rPr>
        <w:t>What is the proper way to handle a drug that comes in one of these baggies?</w:t>
      </w:r>
    </w:p>
    <w:p w14:paraId="2BA6E45A" w14:textId="63AEA6BA" w:rsidR="00EB6DCA" w:rsidRPr="00EB6DCA" w:rsidRDefault="00E4374B" w:rsidP="00A15340">
      <w:pPr>
        <w:spacing w:before="120" w:after="120"/>
        <w:ind w:left="720"/>
        <w:rPr>
          <w:rFonts w:ascii="Verdana" w:hAnsi="Verdana"/>
        </w:rPr>
      </w:pPr>
      <w:r>
        <w:rPr>
          <w:noProof/>
        </w:rPr>
        <w:drawing>
          <wp:inline distT="0" distB="0" distL="0" distR="0" wp14:anchorId="70409518" wp14:editId="69CC74ED">
            <wp:extent cx="238125" cy="20955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B5D25">
        <w:t xml:space="preserve"> </w:t>
      </w:r>
      <w:r w:rsidR="00EB6DCA" w:rsidRPr="00EB6DCA">
        <w:rPr>
          <w:rFonts w:ascii="Verdana" w:hAnsi="Verdana"/>
        </w:rPr>
        <w:t>If you should notice that anything has leaked or is outside of the prescription container(s)</w:t>
      </w:r>
      <w:r w:rsidR="004F6CA0">
        <w:rPr>
          <w:rFonts w:ascii="Verdana" w:hAnsi="Verdana"/>
        </w:rPr>
        <w:t>,</w:t>
      </w:r>
      <w:r w:rsidR="00EB6DCA" w:rsidRPr="00EB6DCA">
        <w:rPr>
          <w:rFonts w:ascii="Verdana" w:hAnsi="Verdana"/>
        </w:rPr>
        <w:t xml:space="preserve"> you would want to leave it in the bag (do not open the baggie). You can handle all intact tablets and capsules as usual, but if a capsule or tablet is damaged, do not try to clean off the residue or touch the remaining drugs in the container, instead we will re-ship you a new order</w:t>
      </w:r>
      <w:r w:rsidR="004F6CA0">
        <w:rPr>
          <w:rFonts w:ascii="Verdana" w:hAnsi="Verdana"/>
        </w:rPr>
        <w:t>.</w:t>
      </w:r>
    </w:p>
    <w:p w14:paraId="3C931BD9" w14:textId="77777777" w:rsidR="00315DA0" w:rsidRDefault="00315DA0" w:rsidP="00A15340">
      <w:pPr>
        <w:spacing w:before="120" w:after="120"/>
        <w:rPr>
          <w:rFonts w:ascii="Verdana" w:hAnsi="Verdana"/>
          <w:b/>
        </w:rPr>
      </w:pPr>
    </w:p>
    <w:p w14:paraId="72A034C9" w14:textId="77777777" w:rsidR="00EB6DCA" w:rsidRPr="009B5D25" w:rsidRDefault="00EB6DCA" w:rsidP="00A15340">
      <w:pPr>
        <w:spacing w:before="120" w:after="120"/>
        <w:rPr>
          <w:rFonts w:ascii="Verdana" w:hAnsi="Verdana"/>
          <w:b/>
        </w:rPr>
      </w:pPr>
      <w:r w:rsidRPr="00315DA0">
        <w:rPr>
          <w:rFonts w:ascii="Verdana" w:hAnsi="Verdana"/>
          <w:b/>
        </w:rPr>
        <w:t>Q</w:t>
      </w:r>
      <w:r w:rsidRPr="009B5D25">
        <w:rPr>
          <w:rFonts w:ascii="Verdana" w:hAnsi="Verdana"/>
          <w:b/>
        </w:rPr>
        <w:t xml:space="preserve">: </w:t>
      </w:r>
      <w:r w:rsidR="00315DA0" w:rsidRPr="009B5D25">
        <w:rPr>
          <w:rFonts w:ascii="Verdana" w:hAnsi="Verdana"/>
          <w:b/>
        </w:rPr>
        <w:t xml:space="preserve"> </w:t>
      </w:r>
      <w:r w:rsidR="004F6CA0" w:rsidRPr="009B5D25">
        <w:rPr>
          <w:rFonts w:ascii="Verdana" w:hAnsi="Verdana"/>
          <w:b/>
        </w:rPr>
        <w:t>What am I to do with left</w:t>
      </w:r>
      <w:r w:rsidRPr="009B5D25">
        <w:rPr>
          <w:rFonts w:ascii="Verdana" w:hAnsi="Verdana"/>
          <w:b/>
        </w:rPr>
        <w:t>over medication or medication that I am no longer taking?</w:t>
      </w:r>
    </w:p>
    <w:p w14:paraId="071604E0" w14:textId="483FCA88" w:rsidR="00EB6DCA" w:rsidRPr="00EB6DCA" w:rsidRDefault="00E4374B" w:rsidP="00A15340">
      <w:pPr>
        <w:spacing w:before="120" w:after="120"/>
        <w:ind w:left="720"/>
        <w:rPr>
          <w:rFonts w:ascii="Verdana" w:hAnsi="Verdana"/>
        </w:rPr>
      </w:pPr>
      <w:r>
        <w:rPr>
          <w:noProof/>
        </w:rPr>
        <w:drawing>
          <wp:inline distT="0" distB="0" distL="0" distR="0" wp14:anchorId="78A4A157" wp14:editId="3F4153FC">
            <wp:extent cx="238125" cy="2095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B5D25">
        <w:t xml:space="preserve"> </w:t>
      </w:r>
      <w:r w:rsidR="00EB6DCA" w:rsidRPr="00EB6DCA">
        <w:rPr>
          <w:rFonts w:ascii="Verdana" w:hAnsi="Verdana"/>
        </w:rPr>
        <w:t xml:space="preserve">We </w:t>
      </w:r>
      <w:r w:rsidR="00EB6DCA" w:rsidRPr="005A30C1">
        <w:rPr>
          <w:rFonts w:ascii="Verdana" w:hAnsi="Verdana"/>
          <w:b/>
        </w:rPr>
        <w:t>do not</w:t>
      </w:r>
      <w:r w:rsidR="00EB6DCA" w:rsidRPr="00EB6DCA">
        <w:rPr>
          <w:rFonts w:ascii="Verdana" w:hAnsi="Verdana"/>
        </w:rPr>
        <w:t xml:space="preserve"> recommend that you flush any leftover or unwanted medication down the drain or toilet. The U.S. Food and Drug Administration offers a list of medicines that can be flushed if no other option is available. Disposing of unused or unneeded prescription drugs can be accomplished by learning about drug take back or drug disposal options in your community. You can also do things at home to make the medicines safe to dispose of in the trash</w:t>
      </w:r>
      <w:r w:rsidR="004F6CA0">
        <w:rPr>
          <w:rFonts w:ascii="Verdana" w:hAnsi="Verdana"/>
        </w:rPr>
        <w:t>.</w:t>
      </w:r>
    </w:p>
    <w:p w14:paraId="72C5B09B" w14:textId="77777777" w:rsidR="00315DA0" w:rsidRPr="009B5D25" w:rsidRDefault="00315DA0" w:rsidP="00A15340">
      <w:pPr>
        <w:spacing w:before="120" w:after="120"/>
        <w:rPr>
          <w:rFonts w:ascii="Verdana" w:hAnsi="Verdana"/>
          <w:b/>
        </w:rPr>
      </w:pPr>
    </w:p>
    <w:p w14:paraId="25152318" w14:textId="77777777" w:rsidR="00EB6DCA" w:rsidRPr="009B5D25" w:rsidRDefault="00EB6DCA" w:rsidP="00A15340">
      <w:pPr>
        <w:spacing w:before="120" w:after="120"/>
        <w:rPr>
          <w:rFonts w:ascii="Verdana" w:hAnsi="Verdana"/>
          <w:b/>
        </w:rPr>
      </w:pPr>
      <w:r w:rsidRPr="009B5D25">
        <w:rPr>
          <w:rFonts w:ascii="Verdana" w:hAnsi="Verdana"/>
          <w:b/>
        </w:rPr>
        <w:t xml:space="preserve">Q: </w:t>
      </w:r>
      <w:r w:rsidR="00315DA0" w:rsidRPr="009B5D25">
        <w:rPr>
          <w:rFonts w:ascii="Verdana" w:hAnsi="Verdana"/>
          <w:b/>
        </w:rPr>
        <w:t xml:space="preserve"> </w:t>
      </w:r>
      <w:r w:rsidRPr="009B5D25">
        <w:rPr>
          <w:rFonts w:ascii="Verdana" w:hAnsi="Verdana"/>
          <w:b/>
        </w:rPr>
        <w:t xml:space="preserve">When you </w:t>
      </w:r>
      <w:proofErr w:type="gramStart"/>
      <w:r w:rsidRPr="009B5D25">
        <w:rPr>
          <w:rFonts w:ascii="Verdana" w:hAnsi="Verdana"/>
          <w:b/>
        </w:rPr>
        <w:t>say</w:t>
      </w:r>
      <w:proofErr w:type="gramEnd"/>
      <w:r w:rsidRPr="009B5D25">
        <w:rPr>
          <w:rFonts w:ascii="Verdana" w:hAnsi="Verdana"/>
          <w:b/>
        </w:rPr>
        <w:t xml:space="preserve"> </w:t>
      </w:r>
      <w:r w:rsidR="004F6CA0" w:rsidRPr="009B5D25">
        <w:rPr>
          <w:rFonts w:ascii="Verdana" w:hAnsi="Verdana"/>
          <w:b/>
        </w:rPr>
        <w:t>“</w:t>
      </w:r>
      <w:r w:rsidRPr="009B5D25">
        <w:rPr>
          <w:rFonts w:ascii="Verdana" w:hAnsi="Verdana"/>
          <w:b/>
        </w:rPr>
        <w:t>proper disposal of medication,</w:t>
      </w:r>
      <w:r w:rsidR="004F6CA0" w:rsidRPr="009B5D25">
        <w:rPr>
          <w:rFonts w:ascii="Verdana" w:hAnsi="Verdana"/>
          <w:b/>
        </w:rPr>
        <w:t>”</w:t>
      </w:r>
      <w:r w:rsidRPr="009B5D25">
        <w:rPr>
          <w:rFonts w:ascii="Verdana" w:hAnsi="Verdana"/>
          <w:b/>
        </w:rPr>
        <w:t xml:space="preserve"> what do you mean?</w:t>
      </w:r>
    </w:p>
    <w:p w14:paraId="36F02211" w14:textId="3C253BE4" w:rsidR="00EB6DCA" w:rsidRPr="00EB6DCA" w:rsidRDefault="00E4374B" w:rsidP="00A15340">
      <w:pPr>
        <w:spacing w:before="120" w:after="120"/>
        <w:ind w:left="720"/>
        <w:rPr>
          <w:rFonts w:ascii="Verdana" w:hAnsi="Verdana"/>
        </w:rPr>
      </w:pPr>
      <w:r>
        <w:rPr>
          <w:noProof/>
        </w:rPr>
        <w:drawing>
          <wp:inline distT="0" distB="0" distL="0" distR="0" wp14:anchorId="5ECE8EE6" wp14:editId="7204C5CD">
            <wp:extent cx="238125" cy="20955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B5D25">
        <w:t xml:space="preserve"> </w:t>
      </w:r>
      <w:r w:rsidR="00315DA0" w:rsidRPr="00EB6DCA">
        <w:rPr>
          <w:rFonts w:ascii="Verdana" w:hAnsi="Verdana"/>
        </w:rPr>
        <w:t xml:space="preserve">Drugs </w:t>
      </w:r>
      <w:r w:rsidR="00EB6DCA" w:rsidRPr="00EB6DCA">
        <w:rPr>
          <w:rFonts w:ascii="Verdana" w:hAnsi="Verdana"/>
        </w:rPr>
        <w:t>should not be flushed down the toilet. In most cases, removing the drug from the prescription bottle/container and mixing the drugs into dirt, coffee grounds, or cat litter is a good first in disposal. Other products like patches should be folded upon itself, so that any remaining medication on the patch cannot be touched</w:t>
      </w:r>
      <w:r w:rsidR="009B583F">
        <w:rPr>
          <w:rFonts w:ascii="Verdana" w:hAnsi="Verdana"/>
        </w:rPr>
        <w:t>,</w:t>
      </w:r>
      <w:r w:rsidR="00EB6DCA" w:rsidRPr="00EB6DCA">
        <w:rPr>
          <w:rFonts w:ascii="Verdana" w:hAnsi="Verdana"/>
        </w:rPr>
        <w:t xml:space="preserve"> and then disposed of in the trash.</w:t>
      </w:r>
    </w:p>
    <w:p w14:paraId="3557B18E" w14:textId="77777777" w:rsidR="00315DA0" w:rsidRDefault="00315DA0" w:rsidP="00A15340">
      <w:pPr>
        <w:spacing w:before="120" w:after="120"/>
        <w:rPr>
          <w:rFonts w:ascii="Verdana" w:hAnsi="Verdana"/>
          <w:b/>
        </w:rPr>
      </w:pPr>
    </w:p>
    <w:p w14:paraId="00436417" w14:textId="77777777" w:rsidR="00EB6DCA" w:rsidRPr="00EB6DCA" w:rsidRDefault="00EB6DCA" w:rsidP="00A15340">
      <w:pPr>
        <w:spacing w:before="120" w:after="120"/>
        <w:rPr>
          <w:rFonts w:ascii="Verdana" w:hAnsi="Verdana"/>
        </w:rPr>
      </w:pPr>
      <w:r w:rsidRPr="00315DA0">
        <w:rPr>
          <w:rFonts w:ascii="Verdana" w:hAnsi="Verdana"/>
          <w:b/>
        </w:rPr>
        <w:t>Q:</w:t>
      </w:r>
      <w:r w:rsidRPr="00EB6DCA">
        <w:rPr>
          <w:rFonts w:ascii="Verdana" w:hAnsi="Verdana"/>
        </w:rPr>
        <w:t xml:space="preserve"> </w:t>
      </w:r>
      <w:r w:rsidR="00315DA0">
        <w:rPr>
          <w:rFonts w:ascii="Verdana" w:hAnsi="Verdana"/>
        </w:rPr>
        <w:t xml:space="preserve"> </w:t>
      </w:r>
      <w:r w:rsidRPr="009B5D25">
        <w:rPr>
          <w:rFonts w:ascii="Verdana" w:hAnsi="Verdana"/>
          <w:b/>
        </w:rPr>
        <w:t>Why is one of my drugs in a baggie and my other drugs are not in a baggie?</w:t>
      </w:r>
    </w:p>
    <w:p w14:paraId="34636F1E" w14:textId="4CE44B5D" w:rsidR="00EB6DCA" w:rsidRPr="00EB6DCA" w:rsidRDefault="00E4374B" w:rsidP="00A15340">
      <w:pPr>
        <w:spacing w:before="120" w:after="120"/>
        <w:ind w:left="720"/>
        <w:rPr>
          <w:rFonts w:ascii="Verdana" w:hAnsi="Verdana"/>
        </w:rPr>
      </w:pPr>
      <w:r>
        <w:rPr>
          <w:noProof/>
        </w:rPr>
        <w:drawing>
          <wp:inline distT="0" distB="0" distL="0" distR="0" wp14:anchorId="354CF6FB" wp14:editId="2F1B7F02">
            <wp:extent cx="238125" cy="20955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B5D25">
        <w:t xml:space="preserve"> </w:t>
      </w:r>
      <w:r w:rsidR="00EB6DCA" w:rsidRPr="00EB6DCA">
        <w:rPr>
          <w:rFonts w:ascii="Verdana" w:hAnsi="Verdana"/>
        </w:rPr>
        <w:t>Medication you received in a baggie has been identified as one that may require special handling and/or disposal</w:t>
      </w:r>
      <w:r w:rsidR="009B583F">
        <w:rPr>
          <w:rFonts w:ascii="Verdana" w:hAnsi="Verdana"/>
        </w:rPr>
        <w:t>,</w:t>
      </w:r>
      <w:r w:rsidR="00EB6DCA" w:rsidRPr="00EB6DCA">
        <w:rPr>
          <w:rFonts w:ascii="Verdana" w:hAnsi="Verdana"/>
        </w:rPr>
        <w:t xml:space="preserve"> and it is our goal to share this information with you and your caregiver, as applicable. The baggie/sticker are meant to provide awareness.</w:t>
      </w:r>
    </w:p>
    <w:p w14:paraId="65AAA48B" w14:textId="77777777" w:rsidR="00315DA0" w:rsidRDefault="00315DA0" w:rsidP="00A15340">
      <w:pPr>
        <w:spacing w:before="120" w:after="120"/>
        <w:rPr>
          <w:rFonts w:ascii="Verdana" w:hAnsi="Verdana"/>
          <w:b/>
        </w:rPr>
      </w:pPr>
    </w:p>
    <w:p w14:paraId="5E775E22" w14:textId="77777777" w:rsidR="00EB6DCA" w:rsidRPr="009B5D25" w:rsidRDefault="00EB6DCA" w:rsidP="00A15340">
      <w:pPr>
        <w:spacing w:before="120" w:after="120"/>
        <w:rPr>
          <w:rFonts w:ascii="Verdana" w:hAnsi="Verdana"/>
          <w:b/>
        </w:rPr>
      </w:pPr>
      <w:r w:rsidRPr="00315DA0">
        <w:rPr>
          <w:rFonts w:ascii="Verdana" w:hAnsi="Verdana"/>
          <w:b/>
        </w:rPr>
        <w:t>Q:</w:t>
      </w:r>
      <w:r w:rsidRPr="00EB6DCA">
        <w:rPr>
          <w:rFonts w:ascii="Verdana" w:hAnsi="Verdana"/>
        </w:rPr>
        <w:t xml:space="preserve"> </w:t>
      </w:r>
      <w:r w:rsidR="00315DA0">
        <w:rPr>
          <w:rFonts w:ascii="Verdana" w:hAnsi="Verdana"/>
        </w:rPr>
        <w:t xml:space="preserve"> </w:t>
      </w:r>
      <w:r w:rsidRPr="009B5D25">
        <w:rPr>
          <w:rFonts w:ascii="Verdana" w:hAnsi="Verdana"/>
          <w:b/>
        </w:rPr>
        <w:t>Where can I find out more information about proper handling and disposal</w:t>
      </w:r>
      <w:r w:rsidR="000958A8" w:rsidRPr="009B5D25">
        <w:rPr>
          <w:rFonts w:ascii="Verdana" w:hAnsi="Verdana"/>
          <w:b/>
        </w:rPr>
        <w:t xml:space="preserve"> instructions</w:t>
      </w:r>
      <w:r w:rsidRPr="009B5D25">
        <w:rPr>
          <w:rFonts w:ascii="Verdana" w:hAnsi="Verdana"/>
          <w:b/>
        </w:rPr>
        <w:t>?</w:t>
      </w:r>
    </w:p>
    <w:p w14:paraId="24631EF0" w14:textId="10ACD13D" w:rsidR="00B437D8" w:rsidRDefault="00E4374B" w:rsidP="00A15340">
      <w:pPr>
        <w:spacing w:before="120" w:after="120"/>
        <w:ind w:left="720"/>
        <w:rPr>
          <w:rFonts w:ascii="Verdana" w:hAnsi="Verdana"/>
        </w:rPr>
      </w:pPr>
      <w:r>
        <w:rPr>
          <w:noProof/>
        </w:rPr>
        <w:drawing>
          <wp:inline distT="0" distB="0" distL="0" distR="0" wp14:anchorId="64ABC476" wp14:editId="6E38B60C">
            <wp:extent cx="238125" cy="20955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B5D25">
        <w:t xml:space="preserve"> </w:t>
      </w:r>
      <w:r w:rsidR="000958A8" w:rsidRPr="005A30C1">
        <w:rPr>
          <w:rFonts w:ascii="Verdana" w:hAnsi="Verdana"/>
        </w:rPr>
        <w:t>You can use the package insert to see the manufacturer specific handling and disposal instructions.  If you do not have the package insert, or</w:t>
      </w:r>
      <w:r w:rsidR="000958A8">
        <w:t xml:space="preserve"> </w:t>
      </w:r>
      <w:r w:rsidR="000958A8">
        <w:rPr>
          <w:rFonts w:ascii="Verdana" w:hAnsi="Verdana"/>
        </w:rPr>
        <w:t>y</w:t>
      </w:r>
      <w:r w:rsidR="00EB6DCA" w:rsidRPr="00EB6DCA">
        <w:rPr>
          <w:rFonts w:ascii="Verdana" w:hAnsi="Verdana"/>
        </w:rPr>
        <w:t>ou can visit the FDA website OR EPA website for more information</w:t>
      </w:r>
      <w:r w:rsidR="00315DA0">
        <w:rPr>
          <w:rFonts w:ascii="Verdana" w:hAnsi="Verdana"/>
        </w:rPr>
        <w:t>.</w:t>
      </w:r>
    </w:p>
    <w:p w14:paraId="09A695D6" w14:textId="77777777" w:rsidR="00315DA0" w:rsidRPr="00554233" w:rsidRDefault="00315DA0" w:rsidP="00A15340">
      <w:pPr>
        <w:pStyle w:val="ListParagraph"/>
        <w:numPr>
          <w:ilvl w:val="1"/>
          <w:numId w:val="14"/>
        </w:numPr>
        <w:autoSpaceDE w:val="0"/>
        <w:autoSpaceDN w:val="0"/>
        <w:adjustRightInd w:val="0"/>
        <w:spacing w:before="120" w:after="120"/>
        <w:rPr>
          <w:rFonts w:ascii="Verdana" w:hAnsi="Verdana" w:cs="Calibri"/>
          <w:color w:val="000000"/>
          <w:szCs w:val="22"/>
        </w:rPr>
      </w:pPr>
      <w:r w:rsidRPr="00554233">
        <w:rPr>
          <w:rFonts w:ascii="Verdana" w:hAnsi="Verdana" w:cs="Calibri"/>
          <w:b/>
          <w:bCs/>
          <w:color w:val="000000"/>
          <w:szCs w:val="22"/>
        </w:rPr>
        <w:t xml:space="preserve">FDA: </w:t>
      </w:r>
    </w:p>
    <w:p w14:paraId="56CEF281" w14:textId="77777777" w:rsidR="00315DA0" w:rsidRPr="00554233" w:rsidRDefault="0006500C" w:rsidP="00A15340">
      <w:pPr>
        <w:autoSpaceDE w:val="0"/>
        <w:autoSpaceDN w:val="0"/>
        <w:adjustRightInd w:val="0"/>
        <w:spacing w:before="120" w:after="120"/>
        <w:ind w:left="1440"/>
        <w:rPr>
          <w:rFonts w:ascii="Verdana" w:hAnsi="Verdana" w:cs="Calibri"/>
          <w:color w:val="000000"/>
          <w:szCs w:val="22"/>
        </w:rPr>
      </w:pPr>
      <w:hyperlink r:id="rId14" w:anchor=":~:text=Drug%20Take%20Back%20Programs&amp;text=Check%20with%20your%20local%20law,disposal%20kiosks%20for%20unused%20medicines." w:history="1">
        <w:r w:rsidR="00315DA0">
          <w:rPr>
            <w:rStyle w:val="Hyperlink"/>
            <w:rFonts w:ascii="Verdana" w:hAnsi="Verdana" w:cs="Calibri"/>
            <w:szCs w:val="22"/>
          </w:rPr>
          <w:t>https://www.fda.gov/consumers/consumer-updates/where-and-how-dispose-unused-medicines#:~:text=Drug%20Take%20Back%20Programs&amp;text=Check%20with%20your%20local%20law,disposal%20kiosks%20for%20unused%20medicines.</w:t>
        </w:r>
      </w:hyperlink>
      <w:r w:rsidR="00315DA0" w:rsidRPr="00554233">
        <w:rPr>
          <w:rFonts w:ascii="Verdana" w:hAnsi="Verdana" w:cs="Calibri"/>
          <w:color w:val="000000"/>
          <w:szCs w:val="22"/>
        </w:rPr>
        <w:t xml:space="preserve"> </w:t>
      </w:r>
    </w:p>
    <w:p w14:paraId="5C3A2ECE" w14:textId="77777777" w:rsidR="00315DA0" w:rsidRPr="00554233" w:rsidRDefault="00315DA0" w:rsidP="00A15340">
      <w:pPr>
        <w:pStyle w:val="ListParagraph"/>
        <w:numPr>
          <w:ilvl w:val="1"/>
          <w:numId w:val="14"/>
        </w:numPr>
        <w:autoSpaceDE w:val="0"/>
        <w:autoSpaceDN w:val="0"/>
        <w:adjustRightInd w:val="0"/>
        <w:spacing w:before="120" w:after="120"/>
        <w:rPr>
          <w:rFonts w:ascii="Verdana" w:hAnsi="Verdana" w:cs="Calibri"/>
          <w:color w:val="000000"/>
          <w:szCs w:val="22"/>
        </w:rPr>
      </w:pPr>
      <w:r w:rsidRPr="00554233">
        <w:rPr>
          <w:rFonts w:ascii="Verdana" w:hAnsi="Verdana" w:cs="Calibri"/>
          <w:b/>
          <w:bCs/>
          <w:color w:val="000000"/>
          <w:szCs w:val="22"/>
        </w:rPr>
        <w:t xml:space="preserve">EPA: </w:t>
      </w:r>
    </w:p>
    <w:p w14:paraId="3F227CE9" w14:textId="77777777" w:rsidR="00315DA0" w:rsidRDefault="0006500C" w:rsidP="00A15340">
      <w:pPr>
        <w:autoSpaceDE w:val="0"/>
        <w:autoSpaceDN w:val="0"/>
        <w:adjustRightInd w:val="0"/>
        <w:spacing w:before="120" w:after="120"/>
        <w:ind w:left="1440"/>
        <w:rPr>
          <w:rFonts w:ascii="Verdana" w:hAnsi="Verdana"/>
        </w:rPr>
      </w:pPr>
      <w:hyperlink r:id="rId15" w:anchor=":~:text=EPA%20encourages%20the%20public%20to,to%20dispose%20of%20unwanted%20medicines" w:history="1">
        <w:r w:rsidR="00315DA0">
          <w:rPr>
            <w:rStyle w:val="Hyperlink"/>
            <w:rFonts w:ascii="Verdana" w:hAnsi="Verdana" w:cs="Calibri"/>
            <w:szCs w:val="22"/>
          </w:rPr>
          <w:t>https://www.epa.gov/hwgenerators/collecting-and-disposing-unwanted-medicines#:~:text=EPA%20encourages%20the%20public%20to,to%20dispose%20of%20unwanted%20medicines</w:t>
        </w:r>
      </w:hyperlink>
      <w:r w:rsidR="000958A8">
        <w:rPr>
          <w:rStyle w:val="Hyperlink"/>
          <w:rFonts w:ascii="Verdana" w:hAnsi="Verdana" w:cs="Calibri"/>
          <w:szCs w:val="22"/>
        </w:rPr>
        <w:t>.</w:t>
      </w:r>
    </w:p>
    <w:p w14:paraId="291EDBF3" w14:textId="77777777" w:rsidR="0012593B" w:rsidRDefault="0012593B" w:rsidP="00A15340">
      <w:pPr>
        <w:spacing w:before="120" w:after="120"/>
        <w:rPr>
          <w:rStyle w:val="Hyperlink"/>
          <w:rFonts w:ascii="Verdana" w:hAnsi="Verdana"/>
          <w:u w:val="none"/>
        </w:rPr>
      </w:pPr>
    </w:p>
    <w:p w14:paraId="1FE8C2EF" w14:textId="4620D31B" w:rsidR="009B5D25" w:rsidRPr="009B5D25" w:rsidRDefault="0006500C" w:rsidP="00A15340">
      <w:pPr>
        <w:spacing w:before="120" w:after="120"/>
        <w:jc w:val="right"/>
        <w:rPr>
          <w:rFonts w:ascii="Verdana" w:hAnsi="Verdana"/>
        </w:rPr>
      </w:pPr>
      <w:hyperlink w:anchor="_top" w:history="1">
        <w:r w:rsidR="009B5D25" w:rsidRPr="00671C3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2593B" w:rsidRPr="0058134F" w14:paraId="55781D0B" w14:textId="77777777" w:rsidTr="00445AB5">
        <w:tc>
          <w:tcPr>
            <w:tcW w:w="5000" w:type="pct"/>
            <w:shd w:val="clear" w:color="auto" w:fill="BFBFBF" w:themeFill="background1" w:themeFillShade="BF"/>
          </w:tcPr>
          <w:p w14:paraId="3F8B1381" w14:textId="77777777" w:rsidR="0012593B" w:rsidRPr="0058134F" w:rsidRDefault="0012593B" w:rsidP="00A15340">
            <w:pPr>
              <w:pStyle w:val="Heading2"/>
              <w:tabs>
                <w:tab w:val="left" w:pos="11985"/>
              </w:tabs>
              <w:spacing w:before="120" w:after="120"/>
              <w:rPr>
                <w:rFonts w:ascii="Verdana" w:hAnsi="Verdana"/>
                <w:i w:val="0"/>
                <w:iCs w:val="0"/>
              </w:rPr>
            </w:pPr>
            <w:bookmarkStart w:id="19" w:name="_Toc42871943"/>
            <w:bookmarkStart w:id="20" w:name="_Toc48725774"/>
            <w:bookmarkStart w:id="21" w:name="_Toc163473005"/>
            <w:bookmarkStart w:id="22" w:name="_Toc163476146"/>
            <w:r>
              <w:rPr>
                <w:rFonts w:ascii="Verdana" w:hAnsi="Verdana"/>
                <w:i w:val="0"/>
                <w:iCs w:val="0"/>
              </w:rPr>
              <w:t>Safety Data Sheets (</w:t>
            </w:r>
            <w:proofErr w:type="spellStart"/>
            <w:r>
              <w:rPr>
                <w:rFonts w:ascii="Verdana" w:hAnsi="Verdana"/>
                <w:i w:val="0"/>
                <w:iCs w:val="0"/>
              </w:rPr>
              <w:t>SDS</w:t>
            </w:r>
            <w:proofErr w:type="spellEnd"/>
            <w:r>
              <w:rPr>
                <w:rFonts w:ascii="Verdana" w:hAnsi="Verdana"/>
                <w:i w:val="0"/>
                <w:iCs w:val="0"/>
              </w:rPr>
              <w:t>)</w:t>
            </w:r>
            <w:bookmarkEnd w:id="19"/>
            <w:bookmarkEnd w:id="20"/>
            <w:bookmarkEnd w:id="21"/>
            <w:bookmarkEnd w:id="22"/>
          </w:p>
        </w:tc>
      </w:tr>
    </w:tbl>
    <w:p w14:paraId="0564047E" w14:textId="77777777" w:rsidR="0012593B" w:rsidRPr="00A15340" w:rsidRDefault="0012593B" w:rsidP="00A15340">
      <w:pPr>
        <w:spacing w:before="120" w:after="120"/>
        <w:textAlignment w:val="top"/>
        <w:rPr>
          <w:rFonts w:ascii="Verdana" w:hAnsi="Verdana" w:cs="Arial"/>
          <w:bCs/>
        </w:rPr>
      </w:pPr>
      <w:r w:rsidRPr="00A15340">
        <w:rPr>
          <w:rFonts w:ascii="Verdana" w:hAnsi="Verdana" w:cs="Arial"/>
          <w:bCs/>
        </w:rPr>
        <w:t>The Hazard Communication Standard (HCS) requires chemical manufacturers, distributors, or importers to use Safety Data Sheets (</w:t>
      </w:r>
      <w:proofErr w:type="spellStart"/>
      <w:r w:rsidRPr="00A15340">
        <w:rPr>
          <w:rFonts w:ascii="Verdana" w:hAnsi="Verdana" w:cs="Arial"/>
          <w:bCs/>
        </w:rPr>
        <w:t>SDS</w:t>
      </w:r>
      <w:proofErr w:type="spellEnd"/>
      <w:r w:rsidRPr="00A15340">
        <w:rPr>
          <w:rFonts w:ascii="Verdana" w:hAnsi="Verdana" w:cs="Arial"/>
          <w:bCs/>
        </w:rPr>
        <w:t>) (formerly known as Material Safety Data Sheets or MSDS) to communicate the hazards of hazardous chemical products.</w:t>
      </w:r>
    </w:p>
    <w:p w14:paraId="690CFC0F" w14:textId="77777777" w:rsidR="0012593B" w:rsidRPr="00A15340" w:rsidRDefault="0012593B" w:rsidP="00A15340">
      <w:pPr>
        <w:spacing w:before="120" w:after="120"/>
        <w:textAlignment w:val="top"/>
        <w:rPr>
          <w:rFonts w:ascii="Verdana" w:hAnsi="Verdana" w:cs="Arial"/>
          <w:bCs/>
        </w:rPr>
      </w:pPr>
    </w:p>
    <w:p w14:paraId="322EC4AF" w14:textId="77777777" w:rsidR="0012593B" w:rsidRPr="00A15340" w:rsidRDefault="0012593B" w:rsidP="00A15340">
      <w:pPr>
        <w:spacing w:before="120" w:after="120"/>
        <w:textAlignment w:val="top"/>
        <w:rPr>
          <w:rFonts w:ascii="Verdana" w:hAnsi="Verdana" w:cs="Arial"/>
          <w:bCs/>
        </w:rPr>
      </w:pPr>
      <w:r w:rsidRPr="00A15340">
        <w:rPr>
          <w:rFonts w:ascii="Verdana" w:hAnsi="Verdana" w:cs="Arial"/>
          <w:bCs/>
        </w:rPr>
        <w:t>The</w:t>
      </w:r>
      <w:r w:rsidR="005A30C1" w:rsidRPr="00A15340">
        <w:rPr>
          <w:rFonts w:ascii="Verdana" w:hAnsi="Verdana" w:cs="Arial"/>
          <w:bCs/>
        </w:rPr>
        <w:t xml:space="preserve"> </w:t>
      </w:r>
      <w:r w:rsidRPr="00A15340">
        <w:rPr>
          <w:rFonts w:ascii="Verdana" w:hAnsi="Verdana" w:cs="Arial"/>
          <w:bCs/>
        </w:rPr>
        <w:t>hotline numb</w:t>
      </w:r>
      <w:r w:rsidR="005A30C1" w:rsidRPr="00A15340">
        <w:rPr>
          <w:rFonts w:ascii="Verdana" w:hAnsi="Verdana" w:cs="Arial"/>
          <w:bCs/>
        </w:rPr>
        <w:t xml:space="preserve">er, </w:t>
      </w:r>
      <w:r w:rsidR="005A30C1" w:rsidRPr="00A15340">
        <w:rPr>
          <w:rFonts w:ascii="Verdana" w:hAnsi="Verdana" w:cs="Arial"/>
          <w:b/>
          <w:bCs/>
        </w:rPr>
        <w:t>1-888-464-2960</w:t>
      </w:r>
      <w:r w:rsidR="005A30C1" w:rsidRPr="00A15340">
        <w:rPr>
          <w:rFonts w:ascii="Verdana" w:hAnsi="Verdana" w:cs="Arial"/>
          <w:bCs/>
        </w:rPr>
        <w:t>, is available when</w:t>
      </w:r>
      <w:r w:rsidRPr="00A15340">
        <w:rPr>
          <w:rFonts w:ascii="Verdana" w:hAnsi="Verdana" w:cs="Arial"/>
          <w:bCs/>
        </w:rPr>
        <w:t xml:space="preserve"> </w:t>
      </w:r>
      <w:proofErr w:type="spellStart"/>
      <w:r w:rsidRPr="00A15340">
        <w:rPr>
          <w:rFonts w:ascii="Verdana" w:hAnsi="Verdana" w:cs="Arial"/>
          <w:bCs/>
        </w:rPr>
        <w:t>SDS</w:t>
      </w:r>
      <w:proofErr w:type="spellEnd"/>
      <w:r w:rsidRPr="00A15340">
        <w:rPr>
          <w:rFonts w:ascii="Verdana" w:hAnsi="Verdana" w:cs="Arial"/>
          <w:bCs/>
        </w:rPr>
        <w:t xml:space="preserve"> information is needed</w:t>
      </w:r>
      <w:r w:rsidR="005A30C1" w:rsidRPr="00A15340">
        <w:rPr>
          <w:rFonts w:ascii="Verdana" w:hAnsi="Verdana" w:cs="Arial"/>
          <w:bCs/>
        </w:rPr>
        <w:t>.  Th</w:t>
      </w:r>
      <w:r w:rsidRPr="00A15340">
        <w:rPr>
          <w:rFonts w:ascii="Verdana" w:hAnsi="Verdana" w:cs="Arial"/>
          <w:bCs/>
        </w:rPr>
        <w:t>e information will be conveyed over the phone or can be faxed.</w:t>
      </w:r>
    </w:p>
    <w:p w14:paraId="473C435E" w14:textId="77777777" w:rsidR="0012593B" w:rsidRPr="0012593B" w:rsidRDefault="0012593B" w:rsidP="00A15340">
      <w:pPr>
        <w:spacing w:before="120" w:after="120"/>
        <w:textAlignment w:val="top"/>
        <w:rPr>
          <w:rFonts w:ascii="Verdana" w:hAnsi="Verdana" w:cs="Arial"/>
          <w:b/>
          <w:bCs/>
          <w:color w:val="333333"/>
        </w:rPr>
      </w:pPr>
    </w:p>
    <w:p w14:paraId="6DF14629" w14:textId="27D58D0D" w:rsidR="00176400" w:rsidRPr="005D7976" w:rsidRDefault="0006500C" w:rsidP="00A15340">
      <w:pPr>
        <w:spacing w:before="120" w:after="120"/>
        <w:jc w:val="right"/>
        <w:rPr>
          <w:rFonts w:ascii="Verdana" w:hAnsi="Verdana"/>
        </w:rPr>
      </w:pPr>
      <w:hyperlink w:anchor="_top" w:history="1">
        <w:r w:rsidR="009B5D25" w:rsidRPr="00671C3D">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5D7976" w14:paraId="746A85CB" w14:textId="77777777" w:rsidTr="00445AB5">
        <w:tc>
          <w:tcPr>
            <w:tcW w:w="5000" w:type="pct"/>
            <w:shd w:val="clear" w:color="auto" w:fill="BFBFBF" w:themeFill="background1" w:themeFillShade="BF"/>
          </w:tcPr>
          <w:p w14:paraId="5C1D8B01" w14:textId="77777777" w:rsidR="002C282A" w:rsidRPr="005D7976" w:rsidRDefault="002C282A" w:rsidP="00A15340">
            <w:pPr>
              <w:pStyle w:val="Heading2"/>
              <w:spacing w:before="120" w:after="120"/>
              <w:rPr>
                <w:rFonts w:ascii="Verdana" w:hAnsi="Verdana"/>
                <w:i w:val="0"/>
                <w:iCs w:val="0"/>
              </w:rPr>
            </w:pPr>
            <w:bookmarkStart w:id="23" w:name="_Toc48725775"/>
            <w:bookmarkStart w:id="24" w:name="_Toc163473006"/>
            <w:bookmarkStart w:id="25" w:name="_Toc163476147"/>
            <w:r w:rsidRPr="005D7976">
              <w:rPr>
                <w:rFonts w:ascii="Verdana" w:hAnsi="Verdana"/>
                <w:i w:val="0"/>
                <w:iCs w:val="0"/>
              </w:rPr>
              <w:t>Related Documents</w:t>
            </w:r>
            <w:bookmarkEnd w:id="23"/>
            <w:bookmarkEnd w:id="24"/>
            <w:bookmarkEnd w:id="25"/>
          </w:p>
        </w:tc>
      </w:tr>
    </w:tbl>
    <w:p w14:paraId="315C373B" w14:textId="4FC5C9AA" w:rsidR="0012593B" w:rsidRPr="0012593B" w:rsidRDefault="0006500C" w:rsidP="00A15340">
      <w:pPr>
        <w:spacing w:before="120" w:after="120"/>
        <w:rPr>
          <w:rFonts w:ascii="Verdana" w:hAnsi="Verdana"/>
        </w:rPr>
      </w:pPr>
      <w:hyperlink r:id="rId16" w:anchor="!/view?docid=49a324cd-73b1-4e49-bdae-9ac58e18d184" w:history="1">
        <w:r w:rsidR="00BA1D82">
          <w:rPr>
            <w:rStyle w:val="Hyperlink"/>
            <w:rFonts w:ascii="Verdana" w:hAnsi="Verdana"/>
          </w:rPr>
          <w:t>Shipping Guidelines and Fees (004611)</w:t>
        </w:r>
      </w:hyperlink>
    </w:p>
    <w:p w14:paraId="39BFA934" w14:textId="6DC4F2EB" w:rsidR="0012593B" w:rsidRPr="00BA1D82" w:rsidRDefault="0006500C" w:rsidP="00A15340">
      <w:pPr>
        <w:spacing w:before="120" w:after="120"/>
        <w:rPr>
          <w:rStyle w:val="Hyperlink"/>
          <w:rFonts w:ascii="Verdana" w:hAnsi="Verdana"/>
        </w:rPr>
      </w:pPr>
      <w:hyperlink r:id="rId17" w:anchor="!/view?docid=42b8115d-45ff-4172-9bc4-f3e0a26bde02" w:history="1">
        <w:r w:rsidR="00BA1D82" w:rsidRPr="00BA1D82">
          <w:rPr>
            <w:rStyle w:val="Hyperlink"/>
            <w:rFonts w:ascii="Verdana" w:hAnsi="Verdana"/>
          </w:rPr>
          <w:t>Cold Pack Packages (068152)</w:t>
        </w:r>
      </w:hyperlink>
    </w:p>
    <w:p w14:paraId="08CAF068" w14:textId="7B6B5915" w:rsidR="0012593B" w:rsidRPr="00660228" w:rsidRDefault="0006500C" w:rsidP="00A15340">
      <w:pPr>
        <w:spacing w:before="120" w:after="120"/>
        <w:rPr>
          <w:rStyle w:val="Hyperlink"/>
          <w:rFonts w:ascii="Verdana" w:hAnsi="Verdana"/>
        </w:rPr>
      </w:pPr>
      <w:hyperlink r:id="rId18" w:anchor="!/view?docid=3338f261-4696-4e84-9019-43cc2eef3352" w:history="1">
        <w:r w:rsidR="00660228" w:rsidRPr="00660228">
          <w:rPr>
            <w:rStyle w:val="Hyperlink"/>
            <w:rFonts w:ascii="Verdana" w:hAnsi="Verdana"/>
          </w:rPr>
          <w:t>Order Shipping Turn Around Time (018691)</w:t>
        </w:r>
      </w:hyperlink>
    </w:p>
    <w:p w14:paraId="73FB70A7" w14:textId="712E5F4C" w:rsidR="0012593B" w:rsidRPr="00290B81" w:rsidRDefault="0006500C" w:rsidP="00A15340">
      <w:pPr>
        <w:spacing w:before="120" w:after="120"/>
        <w:rPr>
          <w:rFonts w:ascii="Verdana" w:hAnsi="Verdana"/>
          <w:color w:val="000000"/>
        </w:rPr>
      </w:pPr>
      <w:hyperlink r:id="rId19" w:anchor="!/view?docid=c1f1028b-e42c-4b4f-a4cf-cc0b42c91606" w:history="1">
        <w:r w:rsidR="00C11006">
          <w:rPr>
            <w:rStyle w:val="Hyperlink"/>
            <w:rFonts w:ascii="Verdana" w:hAnsi="Verdana"/>
          </w:rPr>
          <w:t>Customer Care Abbreviations, Definitions, and Terms (017428)</w:t>
        </w:r>
      </w:hyperlink>
    </w:p>
    <w:p w14:paraId="5B880297" w14:textId="14B463F5" w:rsidR="00E82F09" w:rsidRPr="005D7976" w:rsidRDefault="0006500C" w:rsidP="009B5D25">
      <w:pPr>
        <w:jc w:val="right"/>
        <w:rPr>
          <w:rFonts w:ascii="Verdana" w:hAnsi="Verdana"/>
        </w:rPr>
      </w:pPr>
      <w:hyperlink w:anchor="_top" w:history="1">
        <w:r w:rsidR="009B5D25" w:rsidRPr="00671C3D">
          <w:rPr>
            <w:rStyle w:val="Hyperlink"/>
            <w:rFonts w:ascii="Verdana" w:hAnsi="Verdana"/>
          </w:rPr>
          <w:t>Top of the Document</w:t>
        </w:r>
      </w:hyperlink>
    </w:p>
    <w:p w14:paraId="0BD83E83" w14:textId="77777777" w:rsidR="00B13B31" w:rsidRPr="005D7976" w:rsidRDefault="00B13B31" w:rsidP="00C247CB">
      <w:pPr>
        <w:jc w:val="center"/>
        <w:rPr>
          <w:rFonts w:ascii="Verdana" w:hAnsi="Verdana"/>
          <w:sz w:val="16"/>
          <w:szCs w:val="16"/>
        </w:rPr>
      </w:pPr>
    </w:p>
    <w:p w14:paraId="01E2F166" w14:textId="77777777" w:rsidR="00710E68" w:rsidRPr="005D7976" w:rsidRDefault="00710E68" w:rsidP="00C247CB">
      <w:pPr>
        <w:jc w:val="center"/>
        <w:rPr>
          <w:rFonts w:ascii="Verdana" w:hAnsi="Verdana"/>
          <w:sz w:val="16"/>
          <w:szCs w:val="16"/>
        </w:rPr>
      </w:pPr>
      <w:r w:rsidRPr="005D7976">
        <w:rPr>
          <w:rFonts w:ascii="Verdana" w:hAnsi="Verdana"/>
          <w:sz w:val="16"/>
          <w:szCs w:val="16"/>
        </w:rPr>
        <w:t xml:space="preserve">Not </w:t>
      </w:r>
      <w:r w:rsidR="009F64F1" w:rsidRPr="005D7976">
        <w:rPr>
          <w:rFonts w:ascii="Verdana" w:hAnsi="Verdana"/>
          <w:sz w:val="16"/>
          <w:szCs w:val="16"/>
        </w:rPr>
        <w:t xml:space="preserve">to </w:t>
      </w:r>
      <w:r w:rsidRPr="005D7976">
        <w:rPr>
          <w:rFonts w:ascii="Verdana" w:hAnsi="Verdana"/>
          <w:sz w:val="16"/>
          <w:szCs w:val="16"/>
        </w:rPr>
        <w:t xml:space="preserve">Be Reproduced </w:t>
      </w:r>
      <w:r w:rsidR="009F64F1" w:rsidRPr="005D7976">
        <w:rPr>
          <w:rFonts w:ascii="Verdana" w:hAnsi="Verdana"/>
          <w:sz w:val="16"/>
          <w:szCs w:val="16"/>
        </w:rPr>
        <w:t xml:space="preserve">or </w:t>
      </w:r>
      <w:r w:rsidRPr="005D7976">
        <w:rPr>
          <w:rFonts w:ascii="Verdana" w:hAnsi="Verdana"/>
          <w:sz w:val="16"/>
          <w:szCs w:val="16"/>
        </w:rPr>
        <w:t xml:space="preserve">Disclosed to Others </w:t>
      </w:r>
      <w:r w:rsidR="009F64F1" w:rsidRPr="005D7976">
        <w:rPr>
          <w:rFonts w:ascii="Verdana" w:hAnsi="Verdana"/>
          <w:sz w:val="16"/>
          <w:szCs w:val="16"/>
        </w:rPr>
        <w:t xml:space="preserve">without </w:t>
      </w:r>
      <w:r w:rsidRPr="005D7976">
        <w:rPr>
          <w:rFonts w:ascii="Verdana" w:hAnsi="Verdana"/>
          <w:sz w:val="16"/>
          <w:szCs w:val="16"/>
        </w:rPr>
        <w:t>Prior Written Approval</w:t>
      </w:r>
    </w:p>
    <w:p w14:paraId="7A53864E" w14:textId="77777777" w:rsidR="00710E68" w:rsidRPr="005D7976" w:rsidRDefault="00710E68" w:rsidP="00C247CB">
      <w:pPr>
        <w:jc w:val="center"/>
        <w:rPr>
          <w:rFonts w:ascii="Verdana" w:hAnsi="Verdana"/>
          <w:b/>
          <w:color w:val="000000"/>
          <w:sz w:val="16"/>
          <w:szCs w:val="16"/>
        </w:rPr>
      </w:pPr>
      <w:r w:rsidRPr="005D7976">
        <w:rPr>
          <w:rFonts w:ascii="Verdana" w:hAnsi="Verdana"/>
          <w:b/>
          <w:color w:val="000000"/>
          <w:sz w:val="16"/>
          <w:szCs w:val="16"/>
        </w:rPr>
        <w:t xml:space="preserve">ELECTRONIC DATA = OFFICIAL VERSION </w:t>
      </w:r>
      <w:r w:rsidR="00B13B31" w:rsidRPr="005D7976">
        <w:rPr>
          <w:rFonts w:ascii="Verdana" w:hAnsi="Verdana"/>
          <w:b/>
          <w:color w:val="000000"/>
          <w:sz w:val="16"/>
          <w:szCs w:val="16"/>
        </w:rPr>
        <w:t>/</w:t>
      </w:r>
      <w:r w:rsidRPr="005D7976">
        <w:rPr>
          <w:rFonts w:ascii="Verdana" w:hAnsi="Verdana"/>
          <w:b/>
          <w:color w:val="000000"/>
          <w:sz w:val="16"/>
          <w:szCs w:val="16"/>
        </w:rPr>
        <w:t xml:space="preserve"> PAPER COPY </w:t>
      </w:r>
      <w:r w:rsidR="00B13B31" w:rsidRPr="005D7976">
        <w:rPr>
          <w:rFonts w:ascii="Verdana" w:hAnsi="Verdana"/>
          <w:b/>
          <w:color w:val="000000"/>
          <w:sz w:val="16"/>
          <w:szCs w:val="16"/>
        </w:rPr>
        <w:t>=</w:t>
      </w:r>
      <w:r w:rsidRPr="005D7976">
        <w:rPr>
          <w:rFonts w:ascii="Verdana" w:hAnsi="Verdana"/>
          <w:b/>
          <w:color w:val="000000"/>
          <w:sz w:val="16"/>
          <w:szCs w:val="16"/>
        </w:rPr>
        <w:t xml:space="preserve"> INFORMATIONAL ONLY</w:t>
      </w:r>
    </w:p>
    <w:p w14:paraId="71545DA4" w14:textId="77777777" w:rsidR="005A64DA" w:rsidRPr="005D7976" w:rsidRDefault="005A64DA" w:rsidP="00C247CB">
      <w:pPr>
        <w:jc w:val="center"/>
        <w:rPr>
          <w:rFonts w:ascii="Verdana" w:hAnsi="Verdana"/>
          <w:sz w:val="16"/>
          <w:szCs w:val="16"/>
        </w:rPr>
      </w:pPr>
    </w:p>
    <w:sectPr w:rsidR="005A64DA" w:rsidRPr="005D7976" w:rsidSect="00F1152F">
      <w:footerReference w:type="even" r:id="rId20"/>
      <w:footerReference w:type="default" r:id="rId21"/>
      <w:headerReference w:type="first" r:id="rId22"/>
      <w:footerReference w:type="first" r:id="rId2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D3055" w14:textId="77777777" w:rsidR="00AE66A7" w:rsidRDefault="00AE66A7">
      <w:r>
        <w:separator/>
      </w:r>
    </w:p>
  </w:endnote>
  <w:endnote w:type="continuationSeparator" w:id="0">
    <w:p w14:paraId="2ADB97E1" w14:textId="77777777" w:rsidR="00AE66A7" w:rsidRDefault="00AE6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D074"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2ABE9"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FABF"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58B">
      <w:rPr>
        <w:rStyle w:val="PageNumber"/>
        <w:noProof/>
      </w:rPr>
      <w:t>1</w:t>
    </w:r>
    <w:r>
      <w:rPr>
        <w:rStyle w:val="PageNumber"/>
      </w:rPr>
      <w:fldChar w:fldCharType="end"/>
    </w:r>
  </w:p>
  <w:p w14:paraId="518238B8"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42E9"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CB24F" w14:textId="77777777" w:rsidR="00AE66A7" w:rsidRDefault="00AE66A7">
      <w:r>
        <w:separator/>
      </w:r>
    </w:p>
  </w:footnote>
  <w:footnote w:type="continuationSeparator" w:id="0">
    <w:p w14:paraId="1007171D" w14:textId="77777777" w:rsidR="00AE66A7" w:rsidRDefault="00AE6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446B"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18.75pt;height:16.5pt;visibility:visible" o:bullet="t">
        <v:imagedata r:id="rId1" o:title=""/>
      </v:shape>
    </w:pict>
  </w:numPicBullet>
  <w:abstractNum w:abstractNumId="0"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066FA7"/>
    <w:multiLevelType w:val="hybridMultilevel"/>
    <w:tmpl w:val="6FB6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9D67B8"/>
    <w:multiLevelType w:val="hybridMultilevel"/>
    <w:tmpl w:val="B5A884BA"/>
    <w:lvl w:ilvl="0" w:tplc="EFFC571C">
      <w:numFmt w:val="bullet"/>
      <w:lvlText w:val="•"/>
      <w:lvlJc w:val="left"/>
      <w:pPr>
        <w:ind w:left="1080" w:hanging="72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E0901"/>
    <w:multiLevelType w:val="hybridMultilevel"/>
    <w:tmpl w:val="9E76B69C"/>
    <w:lvl w:ilvl="0" w:tplc="04090003">
      <w:start w:val="1"/>
      <w:numFmt w:val="bullet"/>
      <w:lvlText w:val="o"/>
      <w:lvlJc w:val="left"/>
      <w:pPr>
        <w:ind w:left="1080" w:hanging="360"/>
      </w:pPr>
      <w:rPr>
        <w:rFonts w:ascii="Courier New" w:hAnsi="Courier New" w:cs="Courier New" w:hint="default"/>
      </w:rPr>
    </w:lvl>
    <w:lvl w:ilvl="1" w:tplc="3872D466">
      <w:numFmt w:val="bullet"/>
      <w:lvlText w:val=""/>
      <w:lvlJc w:val="left"/>
      <w:pPr>
        <w:ind w:left="2160" w:hanging="720"/>
      </w:pPr>
      <w:rPr>
        <w:rFonts w:ascii="Symbol" w:eastAsia="Times New Roman" w:hAnsi="Symbol"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0F0485"/>
    <w:multiLevelType w:val="hybridMultilevel"/>
    <w:tmpl w:val="29422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E06012"/>
    <w:multiLevelType w:val="hybridMultilevel"/>
    <w:tmpl w:val="D3B08E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8" w15:restartNumberingAfterBreak="0">
    <w:nsid w:val="67992178"/>
    <w:multiLevelType w:val="hybridMultilevel"/>
    <w:tmpl w:val="45D44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7463A6"/>
    <w:multiLevelType w:val="hybridMultilevel"/>
    <w:tmpl w:val="34C6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5284F"/>
    <w:multiLevelType w:val="hybridMultilevel"/>
    <w:tmpl w:val="4A34FA90"/>
    <w:lvl w:ilvl="0" w:tplc="EFFC571C">
      <w:numFmt w:val="bullet"/>
      <w:lvlText w:val="•"/>
      <w:lvlJc w:val="left"/>
      <w:pPr>
        <w:ind w:left="1080" w:hanging="72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EFFC571C">
      <w:numFmt w:val="bullet"/>
      <w:lvlText w:val="•"/>
      <w:lvlJc w:val="left"/>
      <w:pPr>
        <w:ind w:left="2160" w:hanging="360"/>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03623"/>
    <w:multiLevelType w:val="hybridMultilevel"/>
    <w:tmpl w:val="3BE2C420"/>
    <w:lvl w:ilvl="0" w:tplc="EFFC571C">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267275"/>
    <w:multiLevelType w:val="hybridMultilevel"/>
    <w:tmpl w:val="24B0C3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12721E"/>
    <w:multiLevelType w:val="hybridMultilevel"/>
    <w:tmpl w:val="5292FD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9068152">
    <w:abstractNumId w:val="0"/>
  </w:num>
  <w:num w:numId="2" w16cid:durableId="1403138744">
    <w:abstractNumId w:val="2"/>
  </w:num>
  <w:num w:numId="3" w16cid:durableId="11883175">
    <w:abstractNumId w:val="7"/>
  </w:num>
  <w:num w:numId="4" w16cid:durableId="361712812">
    <w:abstractNumId w:val="8"/>
  </w:num>
  <w:num w:numId="5" w16cid:durableId="899367600">
    <w:abstractNumId w:val="3"/>
  </w:num>
  <w:num w:numId="6" w16cid:durableId="656149478">
    <w:abstractNumId w:val="13"/>
  </w:num>
  <w:num w:numId="7" w16cid:durableId="846674128">
    <w:abstractNumId w:val="4"/>
  </w:num>
  <w:num w:numId="8" w16cid:durableId="1344746327">
    <w:abstractNumId w:val="10"/>
  </w:num>
  <w:num w:numId="9" w16cid:durableId="1536962041">
    <w:abstractNumId w:val="11"/>
  </w:num>
  <w:num w:numId="10" w16cid:durableId="2007398093">
    <w:abstractNumId w:val="9"/>
  </w:num>
  <w:num w:numId="11" w16cid:durableId="1704553338">
    <w:abstractNumId w:val="1"/>
  </w:num>
  <w:num w:numId="12" w16cid:durableId="1838766574">
    <w:abstractNumId w:val="12"/>
  </w:num>
  <w:num w:numId="13" w16cid:durableId="1307976067">
    <w:abstractNumId w:val="5"/>
  </w:num>
  <w:num w:numId="14" w16cid:durableId="15235442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3103D"/>
    <w:rsid w:val="00035BED"/>
    <w:rsid w:val="00044013"/>
    <w:rsid w:val="000578A8"/>
    <w:rsid w:val="00061AD2"/>
    <w:rsid w:val="0006500C"/>
    <w:rsid w:val="000820B7"/>
    <w:rsid w:val="0008665F"/>
    <w:rsid w:val="000958A8"/>
    <w:rsid w:val="00095AB5"/>
    <w:rsid w:val="000A0521"/>
    <w:rsid w:val="000A6B88"/>
    <w:rsid w:val="000B3C4C"/>
    <w:rsid w:val="000B656F"/>
    <w:rsid w:val="000B72DF"/>
    <w:rsid w:val="000C01E3"/>
    <w:rsid w:val="000D1870"/>
    <w:rsid w:val="000D63BB"/>
    <w:rsid w:val="000D6714"/>
    <w:rsid w:val="000F0D1B"/>
    <w:rsid w:val="000F4459"/>
    <w:rsid w:val="001017C3"/>
    <w:rsid w:val="00115944"/>
    <w:rsid w:val="001212D7"/>
    <w:rsid w:val="0012373E"/>
    <w:rsid w:val="0012593B"/>
    <w:rsid w:val="001360A5"/>
    <w:rsid w:val="0014131D"/>
    <w:rsid w:val="001560C4"/>
    <w:rsid w:val="0016273A"/>
    <w:rsid w:val="00176400"/>
    <w:rsid w:val="001B3879"/>
    <w:rsid w:val="001F1218"/>
    <w:rsid w:val="002016B4"/>
    <w:rsid w:val="002055CF"/>
    <w:rsid w:val="00234646"/>
    <w:rsid w:val="00243EBB"/>
    <w:rsid w:val="00245B90"/>
    <w:rsid w:val="00245D49"/>
    <w:rsid w:val="00255C6B"/>
    <w:rsid w:val="002617F7"/>
    <w:rsid w:val="00265D86"/>
    <w:rsid w:val="0028215B"/>
    <w:rsid w:val="0028389C"/>
    <w:rsid w:val="0028648E"/>
    <w:rsid w:val="00291CE8"/>
    <w:rsid w:val="00296127"/>
    <w:rsid w:val="00296765"/>
    <w:rsid w:val="002B127E"/>
    <w:rsid w:val="002B593E"/>
    <w:rsid w:val="002C282A"/>
    <w:rsid w:val="002E58AD"/>
    <w:rsid w:val="002F1F92"/>
    <w:rsid w:val="00312690"/>
    <w:rsid w:val="00315DA0"/>
    <w:rsid w:val="00330A8D"/>
    <w:rsid w:val="0033143E"/>
    <w:rsid w:val="003725A1"/>
    <w:rsid w:val="003868A2"/>
    <w:rsid w:val="00392A5B"/>
    <w:rsid w:val="003A6D70"/>
    <w:rsid w:val="003B1F86"/>
    <w:rsid w:val="003C4627"/>
    <w:rsid w:val="003E6C1A"/>
    <w:rsid w:val="0040640A"/>
    <w:rsid w:val="00406DB5"/>
    <w:rsid w:val="00410BF0"/>
    <w:rsid w:val="0042336D"/>
    <w:rsid w:val="00430E7B"/>
    <w:rsid w:val="00443F8C"/>
    <w:rsid w:val="00445AB5"/>
    <w:rsid w:val="00457EAE"/>
    <w:rsid w:val="0046239E"/>
    <w:rsid w:val="004768BE"/>
    <w:rsid w:val="00477F73"/>
    <w:rsid w:val="0048355A"/>
    <w:rsid w:val="004B719C"/>
    <w:rsid w:val="004D15D3"/>
    <w:rsid w:val="004D3C53"/>
    <w:rsid w:val="004F6CA0"/>
    <w:rsid w:val="00512486"/>
    <w:rsid w:val="005140AE"/>
    <w:rsid w:val="00517E86"/>
    <w:rsid w:val="0052465B"/>
    <w:rsid w:val="00524CDD"/>
    <w:rsid w:val="00554233"/>
    <w:rsid w:val="00562B7D"/>
    <w:rsid w:val="0057558B"/>
    <w:rsid w:val="00581780"/>
    <w:rsid w:val="00582E85"/>
    <w:rsid w:val="005910B5"/>
    <w:rsid w:val="005A30C1"/>
    <w:rsid w:val="005A6118"/>
    <w:rsid w:val="005A64DA"/>
    <w:rsid w:val="005B4E1E"/>
    <w:rsid w:val="005B5509"/>
    <w:rsid w:val="005C1D83"/>
    <w:rsid w:val="005D7976"/>
    <w:rsid w:val="005E650E"/>
    <w:rsid w:val="005E7A5B"/>
    <w:rsid w:val="005F393F"/>
    <w:rsid w:val="006003C8"/>
    <w:rsid w:val="00622D77"/>
    <w:rsid w:val="00625170"/>
    <w:rsid w:val="00627F34"/>
    <w:rsid w:val="00636B18"/>
    <w:rsid w:val="00637CA1"/>
    <w:rsid w:val="0064267B"/>
    <w:rsid w:val="00651E1B"/>
    <w:rsid w:val="00660228"/>
    <w:rsid w:val="00666848"/>
    <w:rsid w:val="00671C3D"/>
    <w:rsid w:val="00674A16"/>
    <w:rsid w:val="00691E10"/>
    <w:rsid w:val="006A0481"/>
    <w:rsid w:val="006C0D50"/>
    <w:rsid w:val="006C653F"/>
    <w:rsid w:val="006C701A"/>
    <w:rsid w:val="006D0A7B"/>
    <w:rsid w:val="006E73E2"/>
    <w:rsid w:val="006F565C"/>
    <w:rsid w:val="006F7DFC"/>
    <w:rsid w:val="00704AF2"/>
    <w:rsid w:val="00710E68"/>
    <w:rsid w:val="00714BA0"/>
    <w:rsid w:val="00720CC2"/>
    <w:rsid w:val="007269B6"/>
    <w:rsid w:val="00726E7A"/>
    <w:rsid w:val="0073294A"/>
    <w:rsid w:val="00732E52"/>
    <w:rsid w:val="00745690"/>
    <w:rsid w:val="00752801"/>
    <w:rsid w:val="00765D11"/>
    <w:rsid w:val="007747B8"/>
    <w:rsid w:val="00785118"/>
    <w:rsid w:val="00786BEB"/>
    <w:rsid w:val="00790F6E"/>
    <w:rsid w:val="007A1929"/>
    <w:rsid w:val="007C77DD"/>
    <w:rsid w:val="007E3EA6"/>
    <w:rsid w:val="007F64A1"/>
    <w:rsid w:val="008042E1"/>
    <w:rsid w:val="00804D63"/>
    <w:rsid w:val="00806B9D"/>
    <w:rsid w:val="00812777"/>
    <w:rsid w:val="00836FD6"/>
    <w:rsid w:val="0084129E"/>
    <w:rsid w:val="00843390"/>
    <w:rsid w:val="00846373"/>
    <w:rsid w:val="008568AE"/>
    <w:rsid w:val="00856D8A"/>
    <w:rsid w:val="00860590"/>
    <w:rsid w:val="008614E8"/>
    <w:rsid w:val="00867EDF"/>
    <w:rsid w:val="00875F0D"/>
    <w:rsid w:val="00877414"/>
    <w:rsid w:val="008A03B7"/>
    <w:rsid w:val="008A3B29"/>
    <w:rsid w:val="008B69C1"/>
    <w:rsid w:val="008C1987"/>
    <w:rsid w:val="008C2197"/>
    <w:rsid w:val="008C3493"/>
    <w:rsid w:val="008D11A6"/>
    <w:rsid w:val="008D1F7B"/>
    <w:rsid w:val="008D2D64"/>
    <w:rsid w:val="00902E07"/>
    <w:rsid w:val="00915690"/>
    <w:rsid w:val="009266E1"/>
    <w:rsid w:val="00943537"/>
    <w:rsid w:val="00947783"/>
    <w:rsid w:val="00954FE8"/>
    <w:rsid w:val="009726E0"/>
    <w:rsid w:val="00975003"/>
    <w:rsid w:val="00990822"/>
    <w:rsid w:val="00990C4B"/>
    <w:rsid w:val="00992E77"/>
    <w:rsid w:val="0099415F"/>
    <w:rsid w:val="009A72A0"/>
    <w:rsid w:val="009B583F"/>
    <w:rsid w:val="009B5D25"/>
    <w:rsid w:val="009C4A31"/>
    <w:rsid w:val="009F64F1"/>
    <w:rsid w:val="009F6FD2"/>
    <w:rsid w:val="009F78D3"/>
    <w:rsid w:val="00A15340"/>
    <w:rsid w:val="00A4732A"/>
    <w:rsid w:val="00A62CC6"/>
    <w:rsid w:val="00A7166B"/>
    <w:rsid w:val="00A83BA0"/>
    <w:rsid w:val="00A84F18"/>
    <w:rsid w:val="00A85045"/>
    <w:rsid w:val="00A95738"/>
    <w:rsid w:val="00A97B7D"/>
    <w:rsid w:val="00AA4825"/>
    <w:rsid w:val="00AB33E1"/>
    <w:rsid w:val="00AD1646"/>
    <w:rsid w:val="00AE66A7"/>
    <w:rsid w:val="00AF038B"/>
    <w:rsid w:val="00B078FC"/>
    <w:rsid w:val="00B13B31"/>
    <w:rsid w:val="00B26045"/>
    <w:rsid w:val="00B37EC2"/>
    <w:rsid w:val="00B437D8"/>
    <w:rsid w:val="00B44C55"/>
    <w:rsid w:val="00B46A95"/>
    <w:rsid w:val="00B544C2"/>
    <w:rsid w:val="00B5566F"/>
    <w:rsid w:val="00B64BE7"/>
    <w:rsid w:val="00B703D5"/>
    <w:rsid w:val="00B70CC4"/>
    <w:rsid w:val="00BA1D82"/>
    <w:rsid w:val="00BB02DE"/>
    <w:rsid w:val="00BB371A"/>
    <w:rsid w:val="00BC00A6"/>
    <w:rsid w:val="00BD7B25"/>
    <w:rsid w:val="00BE1AFF"/>
    <w:rsid w:val="00BE4CAC"/>
    <w:rsid w:val="00BF6B5A"/>
    <w:rsid w:val="00BF74E9"/>
    <w:rsid w:val="00C0030C"/>
    <w:rsid w:val="00C11006"/>
    <w:rsid w:val="00C247CB"/>
    <w:rsid w:val="00C25830"/>
    <w:rsid w:val="00C360BD"/>
    <w:rsid w:val="00C476E1"/>
    <w:rsid w:val="00C52E77"/>
    <w:rsid w:val="00C53660"/>
    <w:rsid w:val="00C566B3"/>
    <w:rsid w:val="00C65249"/>
    <w:rsid w:val="00C675E4"/>
    <w:rsid w:val="00C67B32"/>
    <w:rsid w:val="00C729E0"/>
    <w:rsid w:val="00C75C83"/>
    <w:rsid w:val="00C81428"/>
    <w:rsid w:val="00CB0C1D"/>
    <w:rsid w:val="00CC5AA2"/>
    <w:rsid w:val="00CC721A"/>
    <w:rsid w:val="00CD0963"/>
    <w:rsid w:val="00CE3D42"/>
    <w:rsid w:val="00CE53E6"/>
    <w:rsid w:val="00CF5CC0"/>
    <w:rsid w:val="00CF6131"/>
    <w:rsid w:val="00D04751"/>
    <w:rsid w:val="00D06EAA"/>
    <w:rsid w:val="00D36733"/>
    <w:rsid w:val="00D471B5"/>
    <w:rsid w:val="00D571DB"/>
    <w:rsid w:val="00D60FD1"/>
    <w:rsid w:val="00D6774D"/>
    <w:rsid w:val="00D75191"/>
    <w:rsid w:val="00D80929"/>
    <w:rsid w:val="00D85254"/>
    <w:rsid w:val="00D9343D"/>
    <w:rsid w:val="00DB5391"/>
    <w:rsid w:val="00DC4FFC"/>
    <w:rsid w:val="00DF6BE4"/>
    <w:rsid w:val="00E157BC"/>
    <w:rsid w:val="00E16B1A"/>
    <w:rsid w:val="00E427EA"/>
    <w:rsid w:val="00E4374B"/>
    <w:rsid w:val="00E50E4A"/>
    <w:rsid w:val="00E82F09"/>
    <w:rsid w:val="00E91F5F"/>
    <w:rsid w:val="00EA6F59"/>
    <w:rsid w:val="00EB12DD"/>
    <w:rsid w:val="00EB153E"/>
    <w:rsid w:val="00EB212F"/>
    <w:rsid w:val="00EB34D5"/>
    <w:rsid w:val="00EB57EB"/>
    <w:rsid w:val="00EB6DCA"/>
    <w:rsid w:val="00ED50CF"/>
    <w:rsid w:val="00EE08C0"/>
    <w:rsid w:val="00EE7792"/>
    <w:rsid w:val="00F1152F"/>
    <w:rsid w:val="00F207B3"/>
    <w:rsid w:val="00F459BA"/>
    <w:rsid w:val="00F5486B"/>
    <w:rsid w:val="00F6155B"/>
    <w:rsid w:val="00F658E0"/>
    <w:rsid w:val="00F859B7"/>
    <w:rsid w:val="00F96E6C"/>
    <w:rsid w:val="00FC1C44"/>
    <w:rsid w:val="00FF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4BFD62D5"/>
  <w15:chartTrackingRefBased/>
  <w15:docId w15:val="{C49FCB27-98DF-4B43-989C-AE7C03D0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F459BA"/>
    <w:pPr>
      <w:tabs>
        <w:tab w:val="right" w:leader="dot" w:pos="12950"/>
      </w:tabs>
      <w:spacing w:before="120" w:after="120"/>
      <w:jc w:val="right"/>
    </w:pPr>
  </w:style>
  <w:style w:type="paragraph" w:styleId="TOC1">
    <w:name w:val="toc 1"/>
    <w:basedOn w:val="Normal"/>
    <w:next w:val="Normal"/>
    <w:autoRedefine/>
    <w:uiPriority w:val="39"/>
    <w:rsid w:val="00B13B31"/>
  </w:style>
  <w:style w:type="character" w:customStyle="1" w:styleId="BodyTextIndent2Char">
    <w:name w:val="Body Text Indent 2 Char"/>
    <w:link w:val="BodyTextIndent2"/>
    <w:rsid w:val="004D15D3"/>
    <w:rPr>
      <w:sz w:val="24"/>
      <w:szCs w:val="24"/>
    </w:rPr>
  </w:style>
  <w:style w:type="character" w:customStyle="1" w:styleId="content-id">
    <w:name w:val="content-id"/>
    <w:basedOn w:val="DefaultParagraphFont"/>
    <w:rsid w:val="004D15D3"/>
  </w:style>
  <w:style w:type="paragraph" w:styleId="ListParagraph">
    <w:name w:val="List Paragraph"/>
    <w:basedOn w:val="Normal"/>
    <w:uiPriority w:val="34"/>
    <w:qFormat/>
    <w:rsid w:val="00B437D8"/>
    <w:pPr>
      <w:ind w:left="720"/>
      <w:contextualSpacing/>
    </w:pPr>
  </w:style>
  <w:style w:type="paragraph" w:styleId="BalloonText">
    <w:name w:val="Balloon Text"/>
    <w:basedOn w:val="Normal"/>
    <w:link w:val="BalloonTextChar"/>
    <w:rsid w:val="0012593B"/>
    <w:rPr>
      <w:rFonts w:ascii="Segoe UI" w:hAnsi="Segoe UI" w:cs="Segoe UI"/>
      <w:sz w:val="18"/>
      <w:szCs w:val="18"/>
    </w:rPr>
  </w:style>
  <w:style w:type="character" w:customStyle="1" w:styleId="BalloonTextChar">
    <w:name w:val="Balloon Text Char"/>
    <w:link w:val="BalloonText"/>
    <w:rsid w:val="0012593B"/>
    <w:rPr>
      <w:rFonts w:ascii="Segoe UI" w:hAnsi="Segoe UI" w:cs="Segoe UI"/>
      <w:sz w:val="18"/>
      <w:szCs w:val="18"/>
    </w:rPr>
  </w:style>
  <w:style w:type="character" w:styleId="CommentReference">
    <w:name w:val="annotation reference"/>
    <w:rsid w:val="0012593B"/>
    <w:rPr>
      <w:sz w:val="16"/>
      <w:szCs w:val="16"/>
    </w:rPr>
  </w:style>
  <w:style w:type="paragraph" w:styleId="CommentText">
    <w:name w:val="annotation text"/>
    <w:basedOn w:val="Normal"/>
    <w:link w:val="CommentTextChar"/>
    <w:rsid w:val="0012593B"/>
    <w:rPr>
      <w:sz w:val="20"/>
      <w:szCs w:val="20"/>
    </w:rPr>
  </w:style>
  <w:style w:type="character" w:customStyle="1" w:styleId="CommentTextChar">
    <w:name w:val="Comment Text Char"/>
    <w:basedOn w:val="DefaultParagraphFont"/>
    <w:link w:val="CommentText"/>
    <w:rsid w:val="0012593B"/>
  </w:style>
  <w:style w:type="paragraph" w:styleId="CommentSubject">
    <w:name w:val="annotation subject"/>
    <w:basedOn w:val="CommentText"/>
    <w:next w:val="CommentText"/>
    <w:link w:val="CommentSubjectChar"/>
    <w:rsid w:val="0012593B"/>
    <w:rPr>
      <w:b/>
      <w:bCs/>
    </w:rPr>
  </w:style>
  <w:style w:type="character" w:customStyle="1" w:styleId="CommentSubjectChar">
    <w:name w:val="Comment Subject Char"/>
    <w:link w:val="CommentSubject"/>
    <w:rsid w:val="0012593B"/>
    <w:rPr>
      <w:b/>
      <w:bCs/>
    </w:rPr>
  </w:style>
  <w:style w:type="character" w:customStyle="1" w:styleId="Heading2Char">
    <w:name w:val="Heading 2 Char"/>
    <w:link w:val="Heading2"/>
    <w:locked/>
    <w:rsid w:val="0012593B"/>
    <w:rPr>
      <w:rFonts w:ascii="Arial" w:hAnsi="Arial" w:cs="Arial"/>
      <w:b/>
      <w:bCs/>
      <w:i/>
      <w:iCs/>
      <w:sz w:val="28"/>
      <w:szCs w:val="28"/>
    </w:rPr>
  </w:style>
  <w:style w:type="paragraph" w:styleId="Revision">
    <w:name w:val="Revision"/>
    <w:hidden/>
    <w:uiPriority w:val="99"/>
    <w:semiHidden/>
    <w:rsid w:val="00E4374B"/>
    <w:rPr>
      <w:sz w:val="24"/>
      <w:szCs w:val="24"/>
    </w:rPr>
  </w:style>
  <w:style w:type="character" w:styleId="UnresolvedMention">
    <w:name w:val="Unresolved Mention"/>
    <w:basedOn w:val="DefaultParagraphFont"/>
    <w:uiPriority w:val="99"/>
    <w:semiHidden/>
    <w:unhideWhenUsed/>
    <w:rsid w:val="00BA1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hesource.cvshealth.com/nuxeo/thesour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pa.gov/hwgenerators/collecting-and-disposing-unwanted-medicines"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fda.gov/consumers/consumer-updates/where-and-how-dispose-unused-medicines"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43CBED-B003-44A7-972E-3107A818F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16</TotalTime>
  <Pages>1</Pages>
  <Words>736</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6168</CharactersWithSpaces>
  <SharedDoc>false</SharedDoc>
  <HLinks>
    <vt:vector size="108" baseType="variant">
      <vt:variant>
        <vt:i4>7274612</vt:i4>
      </vt:variant>
      <vt:variant>
        <vt:i4>54</vt:i4>
      </vt:variant>
      <vt:variant>
        <vt:i4>0</vt:i4>
      </vt:variant>
      <vt:variant>
        <vt:i4>5</vt:i4>
      </vt:variant>
      <vt:variant>
        <vt:lpwstr/>
      </vt:variant>
      <vt:variant>
        <vt:lpwstr>top</vt:lpwstr>
      </vt:variant>
      <vt:variant>
        <vt:i4>3735596</vt:i4>
      </vt:variant>
      <vt:variant>
        <vt:i4>51</vt:i4>
      </vt:variant>
      <vt:variant>
        <vt:i4>0</vt:i4>
      </vt:variant>
      <vt:variant>
        <vt:i4>5</vt:i4>
      </vt:variant>
      <vt:variant>
        <vt:lpwstr>C:\Users\C102191\AppData\Local\Microsoft\Windows\INetCache\AppData\Local\Microsoft\Windows\INetCache\AppData\Local\Microsoft\Windows\INetCache\Content.Outlook\WY47H1SD\CMS-2-017428</vt:lpwstr>
      </vt:variant>
      <vt:variant>
        <vt:lpwstr/>
      </vt:variant>
      <vt:variant>
        <vt:i4>8192055</vt:i4>
      </vt:variant>
      <vt:variant>
        <vt:i4>48</vt:i4>
      </vt:variant>
      <vt:variant>
        <vt:i4>0</vt:i4>
      </vt:variant>
      <vt:variant>
        <vt:i4>5</vt:i4>
      </vt:variant>
      <vt:variant>
        <vt:lpwstr>C:\Users\C102191\AppData\Local\Microsoft\Windows\INetCache\AppData\Local\Microsoft\Windows\INetCache\AppData\Local\Microsoft\Windows\INetCache\Content.Outlook\WY47H1SD\TSRC-PROD-018691</vt:lpwstr>
      </vt:variant>
      <vt:variant>
        <vt:lpwstr/>
      </vt:variant>
      <vt:variant>
        <vt:i4>5701653</vt:i4>
      </vt:variant>
      <vt:variant>
        <vt:i4>45</vt:i4>
      </vt:variant>
      <vt:variant>
        <vt:i4>0</vt:i4>
      </vt:variant>
      <vt:variant>
        <vt:i4>5</vt:i4>
      </vt:variant>
      <vt:variant>
        <vt:lpwstr>C:\Users\C102191\AppData\Local\Microsoft\Windows\INetCache\AppData\Local\Microsoft\Windows\INetCache\AppData\Local\Microsoft\Windows\INetCache\Content.Outlook\WY47H1SD\CMS-PRD1-068152</vt:lpwstr>
      </vt:variant>
      <vt:variant>
        <vt:lpwstr/>
      </vt:variant>
      <vt:variant>
        <vt:i4>3342380</vt:i4>
      </vt:variant>
      <vt:variant>
        <vt:i4>42</vt:i4>
      </vt:variant>
      <vt:variant>
        <vt:i4>0</vt:i4>
      </vt:variant>
      <vt:variant>
        <vt:i4>5</vt:i4>
      </vt:variant>
      <vt:variant>
        <vt:lpwstr>C:\Users\C102191\AppData\Local\Microsoft\Windows\INetCache\AppData\Local\Microsoft\Windows\INetCache\AppData\Local\Microsoft\Windows\INetCache\Content.Outlook\WY47H1SD\CMS-2-004611</vt:lpwstr>
      </vt:variant>
      <vt:variant>
        <vt:lpwstr/>
      </vt:variant>
      <vt:variant>
        <vt:i4>7274612</vt:i4>
      </vt:variant>
      <vt:variant>
        <vt:i4>39</vt:i4>
      </vt:variant>
      <vt:variant>
        <vt:i4>0</vt:i4>
      </vt:variant>
      <vt:variant>
        <vt:i4>5</vt:i4>
      </vt:variant>
      <vt:variant>
        <vt:lpwstr/>
      </vt:variant>
      <vt:variant>
        <vt:lpwstr>top</vt:lpwstr>
      </vt:variant>
      <vt:variant>
        <vt:i4>7274612</vt:i4>
      </vt:variant>
      <vt:variant>
        <vt:i4>36</vt:i4>
      </vt:variant>
      <vt:variant>
        <vt:i4>0</vt:i4>
      </vt:variant>
      <vt:variant>
        <vt:i4>5</vt:i4>
      </vt:variant>
      <vt:variant>
        <vt:lpwstr/>
      </vt:variant>
      <vt:variant>
        <vt:lpwstr>top</vt:lpwstr>
      </vt:variant>
      <vt:variant>
        <vt:i4>524383</vt:i4>
      </vt:variant>
      <vt:variant>
        <vt:i4>33</vt:i4>
      </vt:variant>
      <vt:variant>
        <vt:i4>0</vt:i4>
      </vt:variant>
      <vt:variant>
        <vt:i4>5</vt:i4>
      </vt:variant>
      <vt:variant>
        <vt:lpwstr>https://www.epa.gov/hwgenerators/collecting-and-disposing-unwanted-medicines</vt:lpwstr>
      </vt:variant>
      <vt:variant>
        <vt:lpwstr>:~:text=EPA%20encourages%20the%20public%20to,to%20dispose%20of%20unwanted%20medicines</vt:lpwstr>
      </vt:variant>
      <vt:variant>
        <vt:i4>2949172</vt:i4>
      </vt:variant>
      <vt:variant>
        <vt:i4>30</vt:i4>
      </vt:variant>
      <vt:variant>
        <vt:i4>0</vt:i4>
      </vt:variant>
      <vt:variant>
        <vt:i4>5</vt:i4>
      </vt:variant>
      <vt:variant>
        <vt:lpwstr>https://www.fda.gov/consumers/consumer-updates/where-and-how-dispose-unused-medicines</vt:lpwstr>
      </vt:variant>
      <vt:variant>
        <vt:lpwstr>:~:text=Drug%20Take%20Back%20Programs&amp;text=Check%20with%20your%20local%20law,disposal%20kiosks%20for%20unused%20medicines.</vt:lpwstr>
      </vt:variant>
      <vt:variant>
        <vt:i4>7274612</vt:i4>
      </vt:variant>
      <vt:variant>
        <vt:i4>27</vt:i4>
      </vt:variant>
      <vt:variant>
        <vt:i4>0</vt:i4>
      </vt:variant>
      <vt:variant>
        <vt:i4>5</vt:i4>
      </vt:variant>
      <vt:variant>
        <vt:lpwstr/>
      </vt:variant>
      <vt:variant>
        <vt:lpwstr>top</vt:lpwstr>
      </vt:variant>
      <vt:variant>
        <vt:i4>7274612</vt:i4>
      </vt:variant>
      <vt:variant>
        <vt:i4>24</vt:i4>
      </vt:variant>
      <vt:variant>
        <vt:i4>0</vt:i4>
      </vt:variant>
      <vt:variant>
        <vt:i4>5</vt:i4>
      </vt:variant>
      <vt:variant>
        <vt:lpwstr/>
      </vt:variant>
      <vt:variant>
        <vt:lpwstr>top</vt:lpwstr>
      </vt:variant>
      <vt:variant>
        <vt:i4>7274612</vt:i4>
      </vt:variant>
      <vt:variant>
        <vt:i4>21</vt:i4>
      </vt:variant>
      <vt:variant>
        <vt:i4>0</vt:i4>
      </vt:variant>
      <vt:variant>
        <vt:i4>5</vt:i4>
      </vt:variant>
      <vt:variant>
        <vt:lpwstr/>
      </vt:variant>
      <vt:variant>
        <vt:lpwstr>top</vt:lpwstr>
      </vt:variant>
      <vt:variant>
        <vt:i4>1245239</vt:i4>
      </vt:variant>
      <vt:variant>
        <vt:i4>17</vt:i4>
      </vt:variant>
      <vt:variant>
        <vt:i4>0</vt:i4>
      </vt:variant>
      <vt:variant>
        <vt:i4>5</vt:i4>
      </vt:variant>
      <vt:variant>
        <vt:lpwstr/>
      </vt:variant>
      <vt:variant>
        <vt:lpwstr>_Toc50741444</vt:lpwstr>
      </vt:variant>
      <vt:variant>
        <vt:i4>1310775</vt:i4>
      </vt:variant>
      <vt:variant>
        <vt:i4>14</vt:i4>
      </vt:variant>
      <vt:variant>
        <vt:i4>0</vt:i4>
      </vt:variant>
      <vt:variant>
        <vt:i4>5</vt:i4>
      </vt:variant>
      <vt:variant>
        <vt:lpwstr/>
      </vt:variant>
      <vt:variant>
        <vt:lpwstr>_Toc50741443</vt:lpwstr>
      </vt:variant>
      <vt:variant>
        <vt:i4>1376311</vt:i4>
      </vt:variant>
      <vt:variant>
        <vt:i4>11</vt:i4>
      </vt:variant>
      <vt:variant>
        <vt:i4>0</vt:i4>
      </vt:variant>
      <vt:variant>
        <vt:i4>5</vt:i4>
      </vt:variant>
      <vt:variant>
        <vt:lpwstr/>
      </vt:variant>
      <vt:variant>
        <vt:lpwstr>_Toc50741442</vt:lpwstr>
      </vt:variant>
      <vt:variant>
        <vt:i4>1441847</vt:i4>
      </vt:variant>
      <vt:variant>
        <vt:i4>8</vt:i4>
      </vt:variant>
      <vt:variant>
        <vt:i4>0</vt:i4>
      </vt:variant>
      <vt:variant>
        <vt:i4>5</vt:i4>
      </vt:variant>
      <vt:variant>
        <vt:lpwstr/>
      </vt:variant>
      <vt:variant>
        <vt:lpwstr>_Toc50741441</vt:lpwstr>
      </vt:variant>
      <vt:variant>
        <vt:i4>1507383</vt:i4>
      </vt:variant>
      <vt:variant>
        <vt:i4>5</vt:i4>
      </vt:variant>
      <vt:variant>
        <vt:i4>0</vt:i4>
      </vt:variant>
      <vt:variant>
        <vt:i4>5</vt:i4>
      </vt:variant>
      <vt:variant>
        <vt:lpwstr/>
      </vt:variant>
      <vt:variant>
        <vt:lpwstr>_Toc50741440</vt:lpwstr>
      </vt:variant>
      <vt:variant>
        <vt:i4>1966128</vt:i4>
      </vt:variant>
      <vt:variant>
        <vt:i4>2</vt:i4>
      </vt:variant>
      <vt:variant>
        <vt:i4>0</vt:i4>
      </vt:variant>
      <vt:variant>
        <vt:i4>5</vt:i4>
      </vt:variant>
      <vt:variant>
        <vt:lpwstr/>
      </vt:variant>
      <vt:variant>
        <vt:lpwstr>_Toc50741439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22</cp:revision>
  <cp:lastPrinted>2007-01-03T16:56:00Z</cp:lastPrinted>
  <dcterms:created xsi:type="dcterms:W3CDTF">2024-03-29T20:19:00Z</dcterms:created>
  <dcterms:modified xsi:type="dcterms:W3CDTF">2024-04-08T18:47:00Z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2022-04-13T12:52:06Z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5c6e8038-c8d9-48bd-807e-83e510c83f7d</vt:lpwstr>
  </property>
  <property fmtid="{D5CDD505-2E9C-101B-9397-08002B2CF9AE}" pid="8" name="MSIP_Label_67599526-06ca-49cc-9fa9-5307800a949a_ContentBits">
    <vt:lpwstr>0</vt:lpwstr>
  </property>
</Properties>
</file>