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FB2A9" w14:textId="4395A5CC" w:rsidR="00255C6B" w:rsidRPr="0058134F" w:rsidRDefault="00DE7A98" w:rsidP="00255C6B">
      <w:pPr>
        <w:pStyle w:val="Heading1"/>
        <w:rPr>
          <w:rFonts w:ascii="Verdana" w:hAnsi="Verdana"/>
          <w:color w:val="000000"/>
          <w:sz w:val="36"/>
          <w:szCs w:val="36"/>
        </w:rPr>
      </w:pPr>
      <w:bookmarkStart w:id="0" w:name="_top"/>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F70C80">
        <w:rPr>
          <w:rFonts w:ascii="Verdana" w:hAnsi="Verdana"/>
          <w:color w:val="000000"/>
          <w:sz w:val="36"/>
          <w:szCs w:val="36"/>
        </w:rPr>
        <w:t>Identified as Duplicate</w:t>
      </w:r>
      <w:r w:rsidR="002C1501">
        <w:rPr>
          <w:rFonts w:ascii="Verdana" w:hAnsi="Verdana"/>
          <w:color w:val="000000"/>
          <w:sz w:val="36"/>
          <w:szCs w:val="36"/>
        </w:rPr>
        <w:t xml:space="preserve"> </w:t>
      </w:r>
      <w:r w:rsidR="00F70C80">
        <w:rPr>
          <w:rFonts w:ascii="Verdana" w:hAnsi="Verdana"/>
          <w:color w:val="000000"/>
          <w:sz w:val="36"/>
          <w:szCs w:val="36"/>
        </w:rPr>
        <w:t xml:space="preserve">Archive Error </w:t>
      </w:r>
      <w:r w:rsidR="004A6CBC">
        <w:rPr>
          <w:rFonts w:ascii="Verdana" w:hAnsi="Verdana"/>
          <w:color w:val="000000"/>
          <w:sz w:val="36"/>
          <w:szCs w:val="36"/>
        </w:rPr>
        <w:t>CCR</w:t>
      </w:r>
    </w:p>
    <w:p w14:paraId="538EBD2A" w14:textId="32D7DFF1" w:rsidR="00006AED" w:rsidRDefault="0058134F">
      <w:pPr>
        <w:pStyle w:val="TOC2"/>
        <w:tabs>
          <w:tab w:val="right" w:leader="dot" w:pos="12950"/>
        </w:tabs>
        <w:rPr>
          <w:rFonts w:asciiTheme="minorHAnsi" w:eastAsiaTheme="minorEastAsia" w:hAnsiTheme="minorHAnsi" w:cstheme="minorBidi"/>
          <w:noProof/>
          <w:color w:val="auto"/>
          <w:kern w:val="2"/>
          <w:sz w:val="22"/>
          <w:szCs w:val="22"/>
          <w:u w:val="none"/>
          <w14:ligatures w14:val="standardContextual"/>
        </w:rPr>
      </w:pPr>
      <w:r>
        <w:fldChar w:fldCharType="begin"/>
      </w:r>
      <w:r>
        <w:instrText xml:space="preserve"> TOC \o "2-2" \n \h \z \u </w:instrText>
      </w:r>
      <w:r>
        <w:fldChar w:fldCharType="separate"/>
      </w:r>
      <w:hyperlink w:anchor="_Toc168564099" w:history="1">
        <w:r w:rsidR="00006AED" w:rsidRPr="00390848">
          <w:rPr>
            <w:rStyle w:val="Hyperlink"/>
            <w:noProof/>
          </w:rPr>
          <w:t>Reminders</w:t>
        </w:r>
      </w:hyperlink>
    </w:p>
    <w:p w14:paraId="25FBD2AB" w14:textId="69877467" w:rsidR="00006AED" w:rsidRDefault="00006AED">
      <w:pPr>
        <w:pStyle w:val="TOC2"/>
        <w:tabs>
          <w:tab w:val="right" w:leader="dot" w:pos="12950"/>
        </w:tabs>
        <w:rPr>
          <w:rFonts w:asciiTheme="minorHAnsi" w:eastAsiaTheme="minorEastAsia" w:hAnsiTheme="minorHAnsi" w:cstheme="minorBidi"/>
          <w:noProof/>
          <w:color w:val="auto"/>
          <w:kern w:val="2"/>
          <w:sz w:val="22"/>
          <w:szCs w:val="22"/>
          <w:u w:val="none"/>
          <w14:ligatures w14:val="standardContextual"/>
        </w:rPr>
      </w:pPr>
      <w:hyperlink w:anchor="_Toc168564100" w:history="1">
        <w:r w:rsidRPr="00390848">
          <w:rPr>
            <w:rStyle w:val="Hyperlink"/>
            <w:noProof/>
          </w:rPr>
          <w:t>Searching for a Member’s Duplicate Prescription</w:t>
        </w:r>
      </w:hyperlink>
    </w:p>
    <w:p w14:paraId="48CDBEDD" w14:textId="13600E71" w:rsidR="00006AED" w:rsidRDefault="00006AED">
      <w:pPr>
        <w:pStyle w:val="TOC2"/>
        <w:tabs>
          <w:tab w:val="right" w:leader="dot" w:pos="12950"/>
        </w:tabs>
        <w:rPr>
          <w:rFonts w:asciiTheme="minorHAnsi" w:eastAsiaTheme="minorEastAsia" w:hAnsiTheme="minorHAnsi" w:cstheme="minorBidi"/>
          <w:noProof/>
          <w:color w:val="auto"/>
          <w:kern w:val="2"/>
          <w:sz w:val="22"/>
          <w:szCs w:val="22"/>
          <w:u w:val="none"/>
          <w14:ligatures w14:val="standardContextual"/>
        </w:rPr>
      </w:pPr>
      <w:hyperlink w:anchor="_Toc168564101" w:history="1">
        <w:r w:rsidRPr="00390848">
          <w:rPr>
            <w:rStyle w:val="Hyperlink"/>
            <w:noProof/>
          </w:rPr>
          <w:t>Turn Around Time</w:t>
        </w:r>
      </w:hyperlink>
    </w:p>
    <w:p w14:paraId="18200ED6" w14:textId="6D056C79" w:rsidR="00006AED" w:rsidRDefault="00006AED">
      <w:pPr>
        <w:pStyle w:val="TOC2"/>
        <w:tabs>
          <w:tab w:val="right" w:leader="dot" w:pos="12950"/>
        </w:tabs>
        <w:rPr>
          <w:rFonts w:asciiTheme="minorHAnsi" w:eastAsiaTheme="minorEastAsia" w:hAnsiTheme="minorHAnsi" w:cstheme="minorBidi"/>
          <w:noProof/>
          <w:color w:val="auto"/>
          <w:kern w:val="2"/>
          <w:sz w:val="22"/>
          <w:szCs w:val="22"/>
          <w:u w:val="none"/>
          <w14:ligatures w14:val="standardContextual"/>
        </w:rPr>
      </w:pPr>
      <w:hyperlink w:anchor="_Toc168564102" w:history="1">
        <w:r w:rsidRPr="00390848">
          <w:rPr>
            <w:rStyle w:val="Hyperlink"/>
            <w:noProof/>
          </w:rPr>
          <w:t>Related Documents</w:t>
        </w:r>
      </w:hyperlink>
    </w:p>
    <w:p w14:paraId="782083EB" w14:textId="20E5E676" w:rsidR="0058134F" w:rsidRDefault="0058134F" w:rsidP="004774E8">
      <w:r>
        <w:fldChar w:fldCharType="end"/>
      </w:r>
      <w:r w:rsidR="004774E8" w:rsidRPr="0058134F">
        <w:t xml:space="preserve"> </w:t>
      </w:r>
    </w:p>
    <w:p w14:paraId="556CA972" w14:textId="51C8366D" w:rsidR="00816554" w:rsidRDefault="00816554" w:rsidP="004774E8"/>
    <w:p w14:paraId="08DCDBE7" w14:textId="0F305871" w:rsidR="00816554" w:rsidRDefault="00816554" w:rsidP="004774E8">
      <w:r>
        <w:rPr>
          <w:b/>
          <w:bCs/>
        </w:rPr>
        <w:t xml:space="preserve">Description:  </w:t>
      </w:r>
      <w:r>
        <w:t xml:space="preserve"> </w:t>
      </w:r>
      <w:r w:rsidR="00006AED">
        <w:t>T</w:t>
      </w:r>
      <w:r>
        <w:t>he process for when</w:t>
      </w:r>
      <w:r w:rsidRPr="00816554">
        <w:t xml:space="preserve"> prescriptions are archived in error resulting in a mail order delay</w:t>
      </w:r>
      <w:r>
        <w:t xml:space="preserve">. </w:t>
      </w:r>
    </w:p>
    <w:p w14:paraId="1B2289AD" w14:textId="77777777" w:rsidR="00816554" w:rsidRPr="00816554" w:rsidRDefault="00816554" w:rsidP="004774E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D7AB4" w:rsidRPr="0058134F" w14:paraId="33C6A6E0" w14:textId="77777777" w:rsidTr="00CD5A88">
        <w:tc>
          <w:tcPr>
            <w:tcW w:w="5000" w:type="pct"/>
            <w:shd w:val="clear" w:color="auto" w:fill="BFBFBF" w:themeFill="background1" w:themeFillShade="BF"/>
          </w:tcPr>
          <w:p w14:paraId="1271D35F" w14:textId="5004F3B0" w:rsidR="00AD7AB4" w:rsidRPr="0058134F" w:rsidRDefault="00816554" w:rsidP="00E3496E">
            <w:pPr>
              <w:pStyle w:val="Heading2"/>
              <w:spacing w:before="120" w:after="120"/>
              <w:rPr>
                <w:rFonts w:ascii="Verdana" w:hAnsi="Verdana"/>
                <w:i w:val="0"/>
                <w:iCs w:val="0"/>
              </w:rPr>
            </w:pPr>
            <w:bookmarkStart w:id="1" w:name="_Overview"/>
            <w:bookmarkStart w:id="2" w:name="_Toc168564099"/>
            <w:bookmarkEnd w:id="1"/>
            <w:r>
              <w:rPr>
                <w:rFonts w:ascii="Verdana" w:hAnsi="Verdana"/>
                <w:i w:val="0"/>
                <w:iCs w:val="0"/>
              </w:rPr>
              <w:t>Reminders</w:t>
            </w:r>
            <w:bookmarkEnd w:id="2"/>
            <w:r>
              <w:rPr>
                <w:rFonts w:ascii="Verdana" w:hAnsi="Verdana"/>
                <w:i w:val="0"/>
                <w:iCs w:val="0"/>
              </w:rPr>
              <w:t xml:space="preserve"> </w:t>
            </w:r>
          </w:p>
        </w:tc>
      </w:tr>
    </w:tbl>
    <w:p w14:paraId="66FC9E2A" w14:textId="77777777" w:rsidR="006B0ECD" w:rsidRDefault="004774E8" w:rsidP="00E3496E">
      <w:pPr>
        <w:spacing w:before="120" w:after="120"/>
      </w:pPr>
      <w:r>
        <w:t xml:space="preserve">We </w:t>
      </w:r>
      <w:r w:rsidR="00F70C80">
        <w:t xml:space="preserve">receive millions of electronic and faxed prescriptions each year, this document </w:t>
      </w:r>
      <w:r w:rsidR="006B0ECD">
        <w:t>will</w:t>
      </w:r>
      <w:r w:rsidR="00F70C80">
        <w:t xml:space="preserve"> provide guidance when these prescriptions are archived in error resulting in </w:t>
      </w:r>
      <w:r w:rsidR="006720B4">
        <w:t xml:space="preserve">a </w:t>
      </w:r>
      <w:r w:rsidR="00F70C80">
        <w:t xml:space="preserve">mail order delay. </w:t>
      </w:r>
    </w:p>
    <w:p w14:paraId="044C9358" w14:textId="77777777" w:rsidR="006B0ECD" w:rsidRDefault="006B0ECD" w:rsidP="00E3496E">
      <w:pPr>
        <w:spacing w:before="120" w:after="120"/>
      </w:pPr>
    </w:p>
    <w:p w14:paraId="08BD4188" w14:textId="77777777" w:rsidR="00EB1F94" w:rsidRDefault="006B0ECD" w:rsidP="00E3496E">
      <w:pPr>
        <w:spacing w:before="120" w:after="120"/>
      </w:pPr>
      <w:r>
        <w:t xml:space="preserve">To identify the issue, </w:t>
      </w:r>
      <w:r w:rsidR="004774E8">
        <w:t xml:space="preserve">we </w:t>
      </w:r>
      <w:r>
        <w:t xml:space="preserve">are expected to ask probing questions. Most commonly, members will have an order awaiting prescriber response for renewal and </w:t>
      </w:r>
      <w:r w:rsidR="004A125A">
        <w:t xml:space="preserve">will </w:t>
      </w:r>
      <w:r>
        <w:t xml:space="preserve">advise </w:t>
      </w:r>
      <w:r w:rsidR="00C06D33">
        <w:t>C</w:t>
      </w:r>
      <w:r>
        <w:t xml:space="preserve">ustomer </w:t>
      </w:r>
      <w:r w:rsidR="00C06D33">
        <w:t>C</w:t>
      </w:r>
      <w:r>
        <w:t xml:space="preserve">are agents </w:t>
      </w:r>
      <w:r w:rsidR="006720B4">
        <w:t xml:space="preserve">that </w:t>
      </w:r>
      <w:r>
        <w:t xml:space="preserve">their physician has replied to the request. If a </w:t>
      </w:r>
      <w:r w:rsidR="006720B4">
        <w:t xml:space="preserve">prescription </w:t>
      </w:r>
      <w:r>
        <w:t xml:space="preserve">has been received and archived in error, comments will be visible at the </w:t>
      </w:r>
      <w:r w:rsidRPr="006B0ECD">
        <w:rPr>
          <w:b/>
        </w:rPr>
        <w:t>member level</w:t>
      </w:r>
      <w:r>
        <w:t xml:space="preserve"> in People</w:t>
      </w:r>
      <w:r w:rsidR="004843E0">
        <w:t>S</w:t>
      </w:r>
      <w:r>
        <w:t xml:space="preserve">afe. </w:t>
      </w:r>
    </w:p>
    <w:p w14:paraId="5F87B879" w14:textId="77777777" w:rsidR="00422020" w:rsidRDefault="00422020" w:rsidP="00E3496E">
      <w:pPr>
        <w:spacing w:before="120" w:after="120"/>
      </w:pPr>
    </w:p>
    <w:p w14:paraId="74BCF164" w14:textId="5E8784A3" w:rsidR="00E409C9" w:rsidRDefault="00BF375F" w:rsidP="00E3496E">
      <w:pPr>
        <w:spacing w:before="120" w:after="120"/>
      </w:pPr>
      <w:r>
        <w:rPr>
          <w:b/>
          <w:noProof/>
        </w:rPr>
        <w:drawing>
          <wp:inline distT="0" distB="0" distL="0" distR="0" wp14:anchorId="7B9E556F" wp14:editId="022879D5">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B0ECD">
        <w:t xml:space="preserve"> If comments are found, pl</w:t>
      </w:r>
      <w:r w:rsidR="00E409C9">
        <w:t xml:space="preserve">ease assure members their prescription has been received from the prescriber and we will work to get it to them as quickly as possible. </w:t>
      </w:r>
      <w:r w:rsidR="006B0ECD">
        <w:t>We should not blame</w:t>
      </w:r>
      <w:r w:rsidR="00E409C9">
        <w:t xml:space="preserve"> the system or another team as this will decrease member confidence in our systems and processes. </w:t>
      </w:r>
      <w:r w:rsidR="00E137AD">
        <w:t>R</w:t>
      </w:r>
      <w:r w:rsidR="00E409C9">
        <w:t>efer to</w:t>
      </w:r>
      <w:r w:rsidR="006819E6">
        <w:t xml:space="preserve"> </w:t>
      </w:r>
      <w:hyperlink r:id="rId12" w:anchor="!/view?docid=3b7dbf62-c6e3-494d-86af-4a5ff49a52af" w:history="1">
        <w:r w:rsidR="00CD5A88">
          <w:rPr>
            <w:rStyle w:val="Hyperlink"/>
          </w:rPr>
          <w:t>Member Low or Out of Medication (046109)</w:t>
        </w:r>
      </w:hyperlink>
      <w:r w:rsidR="004774E8">
        <w:t xml:space="preserve"> for options if a </w:t>
      </w:r>
      <w:r w:rsidR="004774E8" w:rsidRPr="00E137AD">
        <w:rPr>
          <w:b/>
        </w:rPr>
        <w:t>short</w:t>
      </w:r>
      <w:r w:rsidR="004774E8">
        <w:rPr>
          <w:b/>
        </w:rPr>
        <w:t>-</w:t>
      </w:r>
      <w:r w:rsidR="004774E8" w:rsidRPr="00E137AD">
        <w:rPr>
          <w:b/>
        </w:rPr>
        <w:t>term supply</w:t>
      </w:r>
      <w:r w:rsidR="004774E8">
        <w:t xml:space="preserve"> is neede</w:t>
      </w:r>
      <w:r w:rsidR="006819E6">
        <w:t>d.</w:t>
      </w:r>
    </w:p>
    <w:p w14:paraId="0F8577B3" w14:textId="77777777" w:rsidR="004774E8" w:rsidRDefault="004774E8" w:rsidP="00EB1F94"/>
    <w:p w14:paraId="0E4DD6F0" w14:textId="4C94EC7C" w:rsidR="004843E0" w:rsidRDefault="004843E0" w:rsidP="004843E0">
      <w:pPr>
        <w:jc w:val="right"/>
      </w:pPr>
      <w:hyperlink w:anchor="_top" w:history="1">
        <w:r w:rsidRPr="00006AE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81783" w:rsidRPr="0058134F" w14:paraId="0FA704E4" w14:textId="77777777" w:rsidTr="00CD5A88">
        <w:tc>
          <w:tcPr>
            <w:tcW w:w="5000" w:type="pct"/>
            <w:shd w:val="clear" w:color="auto" w:fill="BFBFBF" w:themeFill="background1" w:themeFillShade="BF"/>
          </w:tcPr>
          <w:p w14:paraId="5B3B5E8C" w14:textId="0122D5E6" w:rsidR="00F81783" w:rsidRPr="0058134F" w:rsidRDefault="0075105F" w:rsidP="00E3496E">
            <w:pPr>
              <w:pStyle w:val="Heading2"/>
              <w:tabs>
                <w:tab w:val="left" w:pos="11985"/>
              </w:tabs>
              <w:spacing w:before="120" w:after="120"/>
              <w:rPr>
                <w:rFonts w:ascii="Verdana" w:hAnsi="Verdana"/>
                <w:i w:val="0"/>
                <w:iCs w:val="0"/>
              </w:rPr>
            </w:pPr>
            <w:bookmarkStart w:id="3" w:name="_Toc168564100"/>
            <w:bookmarkStart w:id="4" w:name="OLE_LINK7"/>
            <w:bookmarkStart w:id="5" w:name="OLE_LINK8"/>
            <w:r>
              <w:rPr>
                <w:rFonts w:ascii="Verdana" w:hAnsi="Verdana"/>
                <w:i w:val="0"/>
                <w:iCs w:val="0"/>
              </w:rPr>
              <w:t>Searching for a Member’s Duplicate Prescription</w:t>
            </w:r>
            <w:bookmarkEnd w:id="3"/>
            <w:r w:rsidR="00F70C80">
              <w:rPr>
                <w:rFonts w:ascii="Verdana" w:hAnsi="Verdana"/>
                <w:i w:val="0"/>
                <w:iCs w:val="0"/>
              </w:rPr>
              <w:t xml:space="preserve"> </w:t>
            </w:r>
            <w:bookmarkEnd w:id="4"/>
            <w:bookmarkEnd w:id="5"/>
          </w:p>
        </w:tc>
      </w:tr>
    </w:tbl>
    <w:p w14:paraId="1573651D" w14:textId="77777777" w:rsidR="007A6D7B" w:rsidRDefault="007A6D7B" w:rsidP="00E3496E">
      <w:pPr>
        <w:spacing w:before="120" w:after="120"/>
        <w:textAlignment w:val="top"/>
        <w:rPr>
          <w:rFonts w:cs="Arial"/>
          <w:bCs/>
          <w:color w:val="333333"/>
        </w:rPr>
      </w:pPr>
    </w:p>
    <w:p w14:paraId="06FACB8D" w14:textId="77777777" w:rsidR="004A125A" w:rsidRPr="00C90245" w:rsidRDefault="002C7CA4" w:rsidP="00E3496E">
      <w:pPr>
        <w:spacing w:before="120" w:after="120"/>
        <w:textAlignment w:val="top"/>
        <w:rPr>
          <w:rFonts w:cs="Arial"/>
          <w:bCs/>
        </w:rPr>
      </w:pPr>
      <w:r w:rsidRPr="00C90245">
        <w:rPr>
          <w:rFonts w:cs="Arial"/>
          <w:bCs/>
        </w:rPr>
        <w:t>Perform the steps below</w:t>
      </w:r>
      <w:r w:rsidR="00913B1B" w:rsidRPr="00C90245">
        <w:rPr>
          <w:rFonts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5"/>
        <w:gridCol w:w="3566"/>
        <w:gridCol w:w="909"/>
        <w:gridCol w:w="7840"/>
      </w:tblGrid>
      <w:tr w:rsidR="008230FA" w:rsidRPr="0058134F" w14:paraId="4A0B0BFF" w14:textId="77777777" w:rsidTr="00CD5A88">
        <w:tc>
          <w:tcPr>
            <w:tcW w:w="245" w:type="pct"/>
            <w:shd w:val="clear" w:color="auto" w:fill="D9D9D9" w:themeFill="background1" w:themeFillShade="D9"/>
          </w:tcPr>
          <w:p w14:paraId="5E5F94AC" w14:textId="77777777" w:rsidR="008230FA" w:rsidRPr="0031515A" w:rsidRDefault="008230FA" w:rsidP="00E3496E">
            <w:pPr>
              <w:spacing w:before="120" w:after="120" w:line="240" w:lineRule="atLeast"/>
              <w:jc w:val="center"/>
              <w:textAlignment w:val="top"/>
              <w:rPr>
                <w:rFonts w:cs="Arial"/>
                <w:b/>
                <w:bCs/>
              </w:rPr>
            </w:pPr>
            <w:r w:rsidRPr="0031515A">
              <w:rPr>
                <w:rFonts w:cs="Arial"/>
                <w:b/>
                <w:bCs/>
              </w:rPr>
              <w:t>Step</w:t>
            </w:r>
            <w:r w:rsidR="00913B1B" w:rsidRPr="0031515A">
              <w:rPr>
                <w:rFonts w:cs="Arial"/>
                <w:b/>
                <w:bCs/>
              </w:rPr>
              <w:t xml:space="preserve"> </w:t>
            </w:r>
          </w:p>
        </w:tc>
        <w:tc>
          <w:tcPr>
            <w:tcW w:w="4755" w:type="pct"/>
            <w:gridSpan w:val="3"/>
            <w:shd w:val="clear" w:color="auto" w:fill="D9D9D9" w:themeFill="background1" w:themeFillShade="D9"/>
          </w:tcPr>
          <w:p w14:paraId="13D76A05" w14:textId="77777777" w:rsidR="008230FA" w:rsidRPr="00CD5A88" w:rsidRDefault="008230FA" w:rsidP="00E3496E">
            <w:pPr>
              <w:spacing w:before="120" w:after="120" w:line="240" w:lineRule="atLeast"/>
              <w:jc w:val="center"/>
              <w:textAlignment w:val="top"/>
              <w:rPr>
                <w:rFonts w:cs="Arial"/>
                <w:b/>
                <w:bCs/>
              </w:rPr>
            </w:pPr>
            <w:r w:rsidRPr="00CD5A88">
              <w:rPr>
                <w:rFonts w:cs="Arial"/>
                <w:b/>
                <w:bCs/>
              </w:rPr>
              <w:t>Action</w:t>
            </w:r>
            <w:r w:rsidR="00913B1B" w:rsidRPr="00CD5A88">
              <w:rPr>
                <w:rFonts w:cs="Arial"/>
                <w:b/>
                <w:bCs/>
              </w:rPr>
              <w:t xml:space="preserve"> </w:t>
            </w:r>
          </w:p>
        </w:tc>
      </w:tr>
      <w:tr w:rsidR="008230FA" w:rsidRPr="009D5AA3" w14:paraId="2B36A6BC" w14:textId="77777777" w:rsidTr="00816554">
        <w:tc>
          <w:tcPr>
            <w:tcW w:w="245" w:type="pct"/>
          </w:tcPr>
          <w:p w14:paraId="24D808BC" w14:textId="77777777" w:rsidR="008230FA" w:rsidRPr="0031515A" w:rsidRDefault="00C31336" w:rsidP="00E3496E">
            <w:pPr>
              <w:spacing w:before="120" w:after="120" w:line="240" w:lineRule="atLeast"/>
              <w:jc w:val="center"/>
              <w:textAlignment w:val="top"/>
              <w:rPr>
                <w:rFonts w:cs="Arial"/>
                <w:b/>
                <w:bCs/>
              </w:rPr>
            </w:pPr>
            <w:r w:rsidRPr="0031515A">
              <w:rPr>
                <w:rFonts w:cs="Arial"/>
                <w:b/>
                <w:bCs/>
              </w:rPr>
              <w:t>1</w:t>
            </w:r>
          </w:p>
        </w:tc>
        <w:tc>
          <w:tcPr>
            <w:tcW w:w="4755" w:type="pct"/>
            <w:gridSpan w:val="3"/>
          </w:tcPr>
          <w:p w14:paraId="702A8B80" w14:textId="47D98CCE" w:rsidR="004A125A" w:rsidRPr="00F70C80" w:rsidRDefault="00F70C80" w:rsidP="00E3496E">
            <w:pPr>
              <w:spacing w:before="120" w:after="120"/>
            </w:pPr>
            <w:r w:rsidRPr="00F70C80">
              <w:t xml:space="preserve">Navigate to member level comments and select the appropriate member, then </w:t>
            </w:r>
            <w:r w:rsidR="004A125A">
              <w:t>click</w:t>
            </w:r>
            <w:r w:rsidRPr="00F70C80">
              <w:t xml:space="preserve"> </w:t>
            </w:r>
            <w:r w:rsidRPr="00F70C80">
              <w:rPr>
                <w:b/>
              </w:rPr>
              <w:t>Search</w:t>
            </w:r>
            <w:r w:rsidRPr="00F70C80">
              <w:t>.</w:t>
            </w:r>
          </w:p>
        </w:tc>
      </w:tr>
      <w:tr w:rsidR="00F70C80" w:rsidRPr="0058134F" w14:paraId="700FA110" w14:textId="77777777" w:rsidTr="00816554">
        <w:trPr>
          <w:trHeight w:val="330"/>
        </w:trPr>
        <w:tc>
          <w:tcPr>
            <w:tcW w:w="245" w:type="pct"/>
            <w:vMerge w:val="restart"/>
          </w:tcPr>
          <w:p w14:paraId="6AA7503D" w14:textId="77777777" w:rsidR="00F70C80" w:rsidRPr="0031515A" w:rsidRDefault="00F70C80" w:rsidP="00E3496E">
            <w:pPr>
              <w:spacing w:before="120" w:after="120" w:line="240" w:lineRule="atLeast"/>
              <w:jc w:val="center"/>
              <w:textAlignment w:val="top"/>
              <w:rPr>
                <w:rFonts w:cs="Arial"/>
                <w:b/>
                <w:bCs/>
              </w:rPr>
            </w:pPr>
            <w:r w:rsidRPr="0031515A">
              <w:rPr>
                <w:rFonts w:cs="Arial"/>
                <w:b/>
                <w:bCs/>
              </w:rPr>
              <w:t>2</w:t>
            </w:r>
          </w:p>
        </w:tc>
        <w:tc>
          <w:tcPr>
            <w:tcW w:w="4755" w:type="pct"/>
            <w:gridSpan w:val="3"/>
            <w:tcBorders>
              <w:bottom w:val="single" w:sz="4" w:space="0" w:color="auto"/>
            </w:tcBorders>
          </w:tcPr>
          <w:p w14:paraId="2FBE1B1D" w14:textId="7FFB9FC3" w:rsidR="00F70C80" w:rsidRDefault="00F70C80" w:rsidP="00E3496E">
            <w:pPr>
              <w:spacing w:before="120" w:after="120"/>
            </w:pPr>
            <w:r w:rsidRPr="00F70C80">
              <w:t>Look for any comments with the subject line:</w:t>
            </w:r>
            <w:r w:rsidR="00C90245">
              <w:t xml:space="preserve"> </w:t>
            </w:r>
            <w:r w:rsidRPr="00F70C80">
              <w:t xml:space="preserve"> </w:t>
            </w:r>
            <w:r w:rsidRPr="00F70C80">
              <w:rPr>
                <w:b/>
              </w:rPr>
              <w:t>IDENTIFIED AS DUPLICATE</w:t>
            </w:r>
            <w:r w:rsidRPr="00F70C80">
              <w:t>.</w:t>
            </w:r>
          </w:p>
          <w:p w14:paraId="2B22F10B" w14:textId="77777777" w:rsidR="002D3054" w:rsidRDefault="002D3054" w:rsidP="00E3496E">
            <w:pPr>
              <w:spacing w:before="120" w:after="120"/>
            </w:pPr>
          </w:p>
          <w:p w14:paraId="7685EDBD" w14:textId="0C652894" w:rsidR="002D3054" w:rsidRDefault="00BF375F" w:rsidP="00E3496E">
            <w:pPr>
              <w:spacing w:before="120" w:after="120"/>
              <w:jc w:val="center"/>
              <w:rPr>
                <w:rFonts w:ascii="Times New Roman" w:hAnsi="Times New Roman"/>
                <w:noProof/>
                <w:sz w:val="28"/>
                <w:szCs w:val="28"/>
              </w:rPr>
            </w:pPr>
            <w:r>
              <w:rPr>
                <w:rFonts w:ascii="Times New Roman" w:hAnsi="Times New Roman"/>
                <w:noProof/>
                <w:sz w:val="28"/>
                <w:szCs w:val="28"/>
              </w:rPr>
              <w:lastRenderedPageBreak/>
              <w:drawing>
                <wp:inline distT="0" distB="0" distL="0" distR="0" wp14:anchorId="044070B9" wp14:editId="2F84956C">
                  <wp:extent cx="5495925" cy="30194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19425"/>
                          </a:xfrm>
                          <a:prstGeom prst="rect">
                            <a:avLst/>
                          </a:prstGeom>
                          <a:noFill/>
                          <a:ln w="6350" cmpd="sng">
                            <a:solidFill>
                              <a:srgbClr val="000000"/>
                            </a:solidFill>
                            <a:miter lim="800000"/>
                            <a:headEnd/>
                            <a:tailEnd/>
                          </a:ln>
                          <a:effectLst/>
                        </pic:spPr>
                      </pic:pic>
                    </a:graphicData>
                  </a:graphic>
                </wp:inline>
              </w:drawing>
            </w:r>
          </w:p>
          <w:p w14:paraId="0AFE5516" w14:textId="77777777" w:rsidR="00CD0389" w:rsidRDefault="00EA5560" w:rsidP="00E3496E">
            <w:pPr>
              <w:spacing w:before="120" w:after="120"/>
            </w:pPr>
            <w:r w:rsidRPr="004843E0">
              <w:rPr>
                <w:b/>
              </w:rPr>
              <w:t>Note</w:t>
            </w:r>
            <w:r w:rsidR="00CD0389">
              <w:rPr>
                <w:b/>
              </w:rPr>
              <w:t>s</w:t>
            </w:r>
            <w:r w:rsidRPr="006F4B68">
              <w:rPr>
                <w:b/>
                <w:bCs/>
              </w:rPr>
              <w:t>:</w:t>
            </w:r>
            <w:r w:rsidRPr="004843E0">
              <w:t xml:space="preserve"> </w:t>
            </w:r>
          </w:p>
          <w:p w14:paraId="24818781" w14:textId="2E2D21F0" w:rsidR="004774E8" w:rsidRPr="001C35F7" w:rsidRDefault="00EA5560" w:rsidP="00E3496E">
            <w:pPr>
              <w:numPr>
                <w:ilvl w:val="0"/>
                <w:numId w:val="18"/>
              </w:numPr>
              <w:spacing w:before="120" w:after="120"/>
              <w:ind w:left="360"/>
              <w:rPr>
                <w:lang w:val="en"/>
              </w:rPr>
            </w:pPr>
            <w:r w:rsidRPr="004843E0">
              <w:t xml:space="preserve">We can only submit for rescan if the comments are within 365 days </w:t>
            </w:r>
            <w:r w:rsidR="001F6ED2">
              <w:t xml:space="preserve">of today’s date </w:t>
            </w:r>
            <w:r w:rsidRPr="004843E0">
              <w:t xml:space="preserve">for non-controlled </w:t>
            </w:r>
            <w:r w:rsidR="001F6ED2" w:rsidRPr="004843E0">
              <w:t>medications</w:t>
            </w:r>
            <w:r w:rsidR="004A125A">
              <w:t xml:space="preserve">. </w:t>
            </w:r>
            <w:r w:rsidR="004843E0">
              <w:t>C</w:t>
            </w:r>
            <w:r w:rsidR="001F6ED2" w:rsidRPr="004843E0">
              <w:t xml:space="preserve">ontrolled </w:t>
            </w:r>
            <w:r w:rsidR="004843E0">
              <w:t>S</w:t>
            </w:r>
            <w:r w:rsidR="001F6ED2" w:rsidRPr="004843E0">
              <w:t xml:space="preserve">ubstances will vary </w:t>
            </w:r>
            <w:r w:rsidR="004A125A">
              <w:t>by</w:t>
            </w:r>
            <w:r w:rsidR="001F6ED2" w:rsidRPr="004843E0">
              <w:t xml:space="preserve"> state law. Review </w:t>
            </w:r>
            <w:hyperlink r:id="rId14" w:anchor="!/view?docid=10965139-fc1c-42f6-92ac-7933d76a9117" w:history="1">
              <w:r w:rsidR="00C90245">
                <w:rPr>
                  <w:rStyle w:val="Hyperlink"/>
                </w:rPr>
                <w:t>Controlled Substance State Laws (004776)</w:t>
              </w:r>
            </w:hyperlink>
            <w:r w:rsidR="004774E8">
              <w:t xml:space="preserve"> </w:t>
            </w:r>
            <w:r w:rsidR="004774E8" w:rsidRPr="004843E0">
              <w:t>to determine if a controlled medication is eligible for rescan</w:t>
            </w:r>
            <w:r w:rsidR="006819E6">
              <w:t>.</w:t>
            </w:r>
          </w:p>
          <w:p w14:paraId="7712EFFE" w14:textId="77777777" w:rsidR="001C35F7" w:rsidRDefault="00EA5560" w:rsidP="001C35F7">
            <w:pPr>
              <w:numPr>
                <w:ilvl w:val="0"/>
                <w:numId w:val="18"/>
              </w:numPr>
              <w:spacing w:before="120" w:after="120"/>
              <w:ind w:left="360"/>
              <w:rPr>
                <w:lang w:val="en"/>
              </w:rPr>
            </w:pPr>
            <w:r w:rsidRPr="004843E0">
              <w:t xml:space="preserve">If comments are beyond </w:t>
            </w:r>
            <w:r w:rsidR="001F6ED2" w:rsidRPr="004843E0">
              <w:t>these</w:t>
            </w:r>
            <w:r w:rsidRPr="004843E0">
              <w:t xml:space="preserve"> timeframe</w:t>
            </w:r>
            <w:r w:rsidR="001F6ED2" w:rsidRPr="004843E0">
              <w:t>s</w:t>
            </w:r>
            <w:r w:rsidRPr="004843E0">
              <w:t>, then a new R</w:t>
            </w:r>
            <w:r w:rsidR="004843E0">
              <w:t>x</w:t>
            </w:r>
            <w:r w:rsidRPr="004843E0">
              <w:t xml:space="preserve"> will be needed. Refer to</w:t>
            </w:r>
            <w:r w:rsidR="006819E6">
              <w:t xml:space="preserve"> </w:t>
            </w:r>
            <w:hyperlink r:id="rId15" w:anchor="!/view?docid=a1443f4f-499e-442c-be11-fd2b207bf86c" w:history="1">
              <w:r w:rsidR="00C90245">
                <w:rPr>
                  <w:rStyle w:val="Hyperlink"/>
                </w:rPr>
                <w:t>Obtaining a New Prescription for the Member (058827)</w:t>
              </w:r>
            </w:hyperlink>
            <w:r w:rsidR="004774E8">
              <w:t xml:space="preserve"> </w:t>
            </w:r>
            <w:r>
              <w:rPr>
                <w:lang w:val="en"/>
              </w:rPr>
              <w:t>to initiate a new R</w:t>
            </w:r>
            <w:r w:rsidR="001C35F7">
              <w:rPr>
                <w:lang w:val="en"/>
              </w:rPr>
              <w:t>x</w:t>
            </w:r>
            <w:r>
              <w:rPr>
                <w:lang w:val="en"/>
              </w:rPr>
              <w:t xml:space="preserve"> re</w:t>
            </w:r>
            <w:r w:rsidR="001F6ED2">
              <w:rPr>
                <w:lang w:val="en"/>
              </w:rPr>
              <w:t>quest</w:t>
            </w:r>
            <w:r w:rsidR="006819E6">
              <w:rPr>
                <w:lang w:val="en"/>
              </w:rPr>
              <w:t>.</w:t>
            </w:r>
          </w:p>
          <w:p w14:paraId="5EDCDF2F" w14:textId="15D3BD54" w:rsidR="00EA5560" w:rsidRPr="001C35F7" w:rsidRDefault="00000000" w:rsidP="001C35F7">
            <w:pPr>
              <w:numPr>
                <w:ilvl w:val="0"/>
                <w:numId w:val="18"/>
              </w:numPr>
              <w:spacing w:before="120" w:after="120"/>
              <w:ind w:left="360"/>
              <w:rPr>
                <w:lang w:val="en"/>
              </w:rPr>
            </w:pPr>
            <w:r>
              <w:pict w14:anchorId="7EACB310">
                <v:shape id="Picture 4" o:spid="_x0000_i1026" type="#_x0000_t75" style="width:18.75pt;height:16.5pt;visibility:visible;mso-wrap-style:square">
                  <v:imagedata r:id="rId16" o:title=""/>
                </v:shape>
              </w:pict>
            </w:r>
            <w:r w:rsidR="001C35F7" w:rsidRPr="001C35F7">
              <w:rPr>
                <w:lang w:val="en"/>
              </w:rPr>
              <w:t xml:space="preserve"> </w:t>
            </w:r>
            <w:r w:rsidR="00CD0389" w:rsidRPr="001C35F7">
              <w:rPr>
                <w:lang w:val="en"/>
              </w:rPr>
              <w:t xml:space="preserve">An </w:t>
            </w:r>
            <w:r w:rsidR="00CD0389" w:rsidRPr="001C35F7">
              <w:rPr>
                <w:b/>
                <w:lang w:val="en"/>
              </w:rPr>
              <w:t>EPCS</w:t>
            </w:r>
            <w:r w:rsidR="00CD0389" w:rsidRPr="001C35F7">
              <w:rPr>
                <w:lang w:val="en"/>
              </w:rPr>
              <w:t xml:space="preserve"> (</w:t>
            </w:r>
            <w:r w:rsidR="00CD0389" w:rsidRPr="001C35F7">
              <w:rPr>
                <w:rFonts w:cs="Arial"/>
                <w:shd w:val="clear" w:color="auto" w:fill="FFFFFF"/>
              </w:rPr>
              <w:t>Electronic Prescriptions for Controlled Substances)</w:t>
            </w:r>
            <w:r w:rsidR="00CD0389" w:rsidRPr="001C35F7">
              <w:rPr>
                <w:rFonts w:ascii="Arial" w:hAnsi="Arial" w:cs="Arial"/>
                <w:shd w:val="clear" w:color="auto" w:fill="FFFFFF"/>
              </w:rPr>
              <w:t xml:space="preserve"> </w:t>
            </w:r>
            <w:r w:rsidR="00CD0389" w:rsidRPr="001C35F7">
              <w:rPr>
                <w:lang w:val="en"/>
              </w:rPr>
              <w:t xml:space="preserve">cannot be restarted/rescanned under </w:t>
            </w:r>
            <w:r w:rsidR="00CD0389" w:rsidRPr="001C35F7">
              <w:rPr>
                <w:b/>
                <w:lang w:val="en"/>
              </w:rPr>
              <w:t xml:space="preserve">any </w:t>
            </w:r>
            <w:r w:rsidR="00CD0389" w:rsidRPr="001C35F7">
              <w:rPr>
                <w:lang w:val="en"/>
              </w:rPr>
              <w:t>circumstance</w:t>
            </w:r>
            <w:r w:rsidR="004A125A" w:rsidRPr="001C35F7">
              <w:rPr>
                <w:lang w:val="en"/>
              </w:rPr>
              <w:t xml:space="preserve">. The </w:t>
            </w:r>
            <w:r w:rsidR="00CD0389" w:rsidRPr="001C35F7">
              <w:rPr>
                <w:lang w:val="en"/>
              </w:rPr>
              <w:t xml:space="preserve">prescriber will need to submit a </w:t>
            </w:r>
            <w:r w:rsidR="00CD0389" w:rsidRPr="001C35F7">
              <w:rPr>
                <w:b/>
                <w:lang w:val="en"/>
              </w:rPr>
              <w:t>new</w:t>
            </w:r>
            <w:r w:rsidR="00CD0389" w:rsidRPr="001C35F7">
              <w:rPr>
                <w:lang w:val="en"/>
              </w:rPr>
              <w:t xml:space="preserve"> EPCS. </w:t>
            </w:r>
            <w:r w:rsidR="001F6ED2" w:rsidRPr="001C35F7">
              <w:rPr>
                <w:lang w:val="en"/>
              </w:rPr>
              <w:t xml:space="preserve"> </w:t>
            </w:r>
            <w:r w:rsidR="004843E0" w:rsidRPr="001C35F7">
              <w:rPr>
                <w:lang w:val="en"/>
              </w:rPr>
              <w:t xml:space="preserve"> </w:t>
            </w:r>
            <w:r w:rsidR="004A6219" w:rsidRPr="001C35F7">
              <w:rPr>
                <w:rFonts w:ascii="Times New Roman" w:hAnsi="Times New Roman"/>
                <w:noProof/>
              </w:rPr>
              <w:t xml:space="preserve"> </w:t>
            </w:r>
          </w:p>
          <w:p w14:paraId="3BE234C8" w14:textId="1DB3961D" w:rsidR="001C35F7" w:rsidRPr="001C35F7" w:rsidRDefault="001C35F7" w:rsidP="001C35F7">
            <w:pPr>
              <w:spacing w:before="120" w:after="120"/>
              <w:rPr>
                <w:lang w:val="en"/>
              </w:rPr>
            </w:pPr>
          </w:p>
        </w:tc>
      </w:tr>
      <w:tr w:rsidR="00F70C80" w:rsidRPr="0058134F" w14:paraId="7F44C9D8" w14:textId="77777777" w:rsidTr="00CD5A88">
        <w:trPr>
          <w:trHeight w:val="165"/>
        </w:trPr>
        <w:tc>
          <w:tcPr>
            <w:tcW w:w="245" w:type="pct"/>
            <w:vMerge/>
          </w:tcPr>
          <w:p w14:paraId="22A2DCCC" w14:textId="77777777" w:rsidR="00F70C80" w:rsidRPr="0031515A" w:rsidRDefault="00F70C80" w:rsidP="00E3496E">
            <w:pPr>
              <w:spacing w:before="120" w:after="120" w:line="240" w:lineRule="atLeast"/>
              <w:jc w:val="center"/>
              <w:textAlignment w:val="top"/>
              <w:rPr>
                <w:rFonts w:cs="Arial"/>
                <w:b/>
                <w:bCs/>
              </w:rPr>
            </w:pPr>
          </w:p>
        </w:tc>
        <w:tc>
          <w:tcPr>
            <w:tcW w:w="1377" w:type="pct"/>
            <w:shd w:val="clear" w:color="auto" w:fill="D9D9D9" w:themeFill="background1" w:themeFillShade="D9"/>
          </w:tcPr>
          <w:p w14:paraId="5CFD4CDC" w14:textId="77777777" w:rsidR="00F70C80" w:rsidRPr="00C90245" w:rsidRDefault="00F70C80" w:rsidP="00C90245">
            <w:pPr>
              <w:spacing w:before="120" w:after="120"/>
              <w:jc w:val="center"/>
              <w:rPr>
                <w:b/>
              </w:rPr>
            </w:pPr>
            <w:r w:rsidRPr="00C90245">
              <w:rPr>
                <w:b/>
              </w:rPr>
              <w:t>If</w:t>
            </w:r>
            <w:r w:rsidR="002C1501" w:rsidRPr="00C90245">
              <w:rPr>
                <w:b/>
              </w:rPr>
              <w:t xml:space="preserve"> a Duplicate Prescription Comment is</w:t>
            </w:r>
            <w:r w:rsidRPr="00C90245">
              <w:rPr>
                <w:b/>
              </w:rPr>
              <w:t>…</w:t>
            </w:r>
          </w:p>
        </w:tc>
        <w:tc>
          <w:tcPr>
            <w:tcW w:w="3378" w:type="pct"/>
            <w:gridSpan w:val="2"/>
            <w:shd w:val="clear" w:color="auto" w:fill="D9D9D9" w:themeFill="background1" w:themeFillShade="D9"/>
          </w:tcPr>
          <w:p w14:paraId="7C7A6A16" w14:textId="77777777" w:rsidR="00F70C80" w:rsidRPr="00C90245" w:rsidRDefault="00F70C80" w:rsidP="00C90245">
            <w:pPr>
              <w:spacing w:before="120" w:after="120"/>
              <w:jc w:val="center"/>
              <w:rPr>
                <w:b/>
              </w:rPr>
            </w:pPr>
            <w:r w:rsidRPr="00C90245">
              <w:rPr>
                <w:b/>
              </w:rPr>
              <w:t>Then…</w:t>
            </w:r>
          </w:p>
        </w:tc>
      </w:tr>
      <w:tr w:rsidR="00F70C80" w:rsidRPr="0058134F" w14:paraId="3239904B" w14:textId="77777777" w:rsidTr="00816554">
        <w:trPr>
          <w:trHeight w:val="112"/>
        </w:trPr>
        <w:tc>
          <w:tcPr>
            <w:tcW w:w="245" w:type="pct"/>
            <w:vMerge/>
          </w:tcPr>
          <w:p w14:paraId="0D006D6A" w14:textId="77777777" w:rsidR="00F70C80" w:rsidRPr="0031515A" w:rsidRDefault="00F70C80" w:rsidP="00E3496E">
            <w:pPr>
              <w:spacing w:before="120" w:after="120" w:line="240" w:lineRule="atLeast"/>
              <w:jc w:val="center"/>
              <w:textAlignment w:val="top"/>
              <w:rPr>
                <w:rFonts w:cs="Arial"/>
                <w:b/>
                <w:bCs/>
              </w:rPr>
            </w:pPr>
          </w:p>
        </w:tc>
        <w:tc>
          <w:tcPr>
            <w:tcW w:w="1377" w:type="pct"/>
          </w:tcPr>
          <w:p w14:paraId="64723E6B" w14:textId="77777777" w:rsidR="00F70C80" w:rsidRPr="00C90245" w:rsidRDefault="002C1501" w:rsidP="00C90245">
            <w:pPr>
              <w:spacing w:before="120" w:after="120" w:line="240" w:lineRule="atLeast"/>
              <w:textAlignment w:val="top"/>
              <w:rPr>
                <w:rFonts w:cs="Arial"/>
                <w:bCs/>
              </w:rPr>
            </w:pPr>
            <w:r w:rsidRPr="00C90245">
              <w:rPr>
                <w:rFonts w:cs="Arial"/>
                <w:bCs/>
              </w:rPr>
              <w:t>L</w:t>
            </w:r>
            <w:r w:rsidR="00F70C80" w:rsidRPr="00C90245">
              <w:rPr>
                <w:rFonts w:cs="Arial"/>
                <w:bCs/>
              </w:rPr>
              <w:t>ocated</w:t>
            </w:r>
          </w:p>
        </w:tc>
        <w:tc>
          <w:tcPr>
            <w:tcW w:w="3378" w:type="pct"/>
            <w:gridSpan w:val="2"/>
          </w:tcPr>
          <w:p w14:paraId="36D8B236" w14:textId="100BBE06" w:rsidR="004A125A" w:rsidRPr="00C90245" w:rsidRDefault="00C90245" w:rsidP="00C90245">
            <w:pPr>
              <w:spacing w:before="120" w:after="120" w:line="240" w:lineRule="atLeast"/>
              <w:textAlignment w:val="top"/>
              <w:rPr>
                <w:rFonts w:cs="Arial"/>
                <w:bCs/>
              </w:rPr>
            </w:pPr>
            <w:r>
              <w:rPr>
                <w:rFonts w:cs="Arial"/>
                <w:bCs/>
              </w:rPr>
              <w:t>Continue</w:t>
            </w:r>
            <w:r w:rsidR="00F70C80" w:rsidRPr="00C90245">
              <w:rPr>
                <w:rFonts w:cs="Arial"/>
                <w:bCs/>
              </w:rPr>
              <w:t xml:space="preserve"> to </w:t>
            </w:r>
            <w:r w:rsidR="00F70C80" w:rsidRPr="00C90245">
              <w:rPr>
                <w:rFonts w:cs="Arial"/>
                <w:b/>
                <w:bCs/>
              </w:rPr>
              <w:t>Step 3</w:t>
            </w:r>
            <w:r w:rsidR="00F70C80" w:rsidRPr="00C90245">
              <w:rPr>
                <w:rFonts w:cs="Arial"/>
                <w:bCs/>
              </w:rPr>
              <w:t xml:space="preserve">. </w:t>
            </w:r>
          </w:p>
        </w:tc>
      </w:tr>
      <w:tr w:rsidR="00F70C80" w:rsidRPr="0058134F" w14:paraId="65DBDB42" w14:textId="77777777" w:rsidTr="00816554">
        <w:trPr>
          <w:trHeight w:val="112"/>
        </w:trPr>
        <w:tc>
          <w:tcPr>
            <w:tcW w:w="245" w:type="pct"/>
            <w:vMerge/>
          </w:tcPr>
          <w:p w14:paraId="65615C71" w14:textId="77777777" w:rsidR="00F70C80" w:rsidRPr="0031515A" w:rsidRDefault="00F70C80" w:rsidP="00E3496E">
            <w:pPr>
              <w:spacing w:before="120" w:after="120" w:line="240" w:lineRule="atLeast"/>
              <w:jc w:val="center"/>
              <w:textAlignment w:val="top"/>
              <w:rPr>
                <w:rFonts w:cs="Arial"/>
                <w:b/>
                <w:bCs/>
              </w:rPr>
            </w:pPr>
          </w:p>
        </w:tc>
        <w:tc>
          <w:tcPr>
            <w:tcW w:w="1377" w:type="pct"/>
          </w:tcPr>
          <w:p w14:paraId="63245B07" w14:textId="77777777" w:rsidR="00F70C80" w:rsidRPr="00C90245" w:rsidRDefault="002C1501" w:rsidP="00C90245">
            <w:pPr>
              <w:spacing w:before="120" w:after="120" w:line="240" w:lineRule="atLeast"/>
              <w:textAlignment w:val="top"/>
              <w:rPr>
                <w:rFonts w:cs="Arial"/>
                <w:bCs/>
              </w:rPr>
            </w:pPr>
            <w:r w:rsidRPr="00C90245">
              <w:rPr>
                <w:rFonts w:cs="Arial"/>
                <w:bCs/>
              </w:rPr>
              <w:t>N</w:t>
            </w:r>
            <w:r w:rsidR="00F70C80" w:rsidRPr="00C90245">
              <w:rPr>
                <w:rFonts w:cs="Arial"/>
                <w:bCs/>
              </w:rPr>
              <w:t>ot located</w:t>
            </w:r>
          </w:p>
        </w:tc>
        <w:tc>
          <w:tcPr>
            <w:tcW w:w="3378" w:type="pct"/>
            <w:gridSpan w:val="2"/>
          </w:tcPr>
          <w:p w14:paraId="146AF23D" w14:textId="1A938C4F" w:rsidR="004A125A" w:rsidRPr="00C90245" w:rsidRDefault="00F70C80" w:rsidP="00C90245">
            <w:pPr>
              <w:spacing w:before="120" w:after="120" w:line="240" w:lineRule="atLeast"/>
              <w:textAlignment w:val="top"/>
              <w:rPr>
                <w:rFonts w:cs="Arial"/>
                <w:bCs/>
              </w:rPr>
            </w:pPr>
            <w:r w:rsidRPr="00C90245">
              <w:rPr>
                <w:rFonts w:cs="Arial"/>
                <w:bCs/>
              </w:rPr>
              <w:t>Advise member that no new R</w:t>
            </w:r>
            <w:r w:rsidR="004A125A" w:rsidRPr="00C90245">
              <w:rPr>
                <w:rFonts w:cs="Arial"/>
                <w:bCs/>
              </w:rPr>
              <w:t>x</w:t>
            </w:r>
            <w:r w:rsidRPr="00C90245">
              <w:rPr>
                <w:rFonts w:cs="Arial"/>
                <w:bCs/>
              </w:rPr>
              <w:t xml:space="preserve"> has been received from the physician's office. </w:t>
            </w:r>
            <w:r w:rsidR="00F51BDD" w:rsidRPr="00C90245">
              <w:rPr>
                <w:rFonts w:cs="Arial"/>
                <w:bCs/>
              </w:rPr>
              <w:t>Proactively educate the member on options to obtain a prescription or access to their medication.</w:t>
            </w:r>
          </w:p>
        </w:tc>
      </w:tr>
      <w:tr w:rsidR="00F70C80" w:rsidRPr="0058134F" w14:paraId="170515FE" w14:textId="77777777" w:rsidTr="00816554">
        <w:tc>
          <w:tcPr>
            <w:tcW w:w="245" w:type="pct"/>
          </w:tcPr>
          <w:p w14:paraId="3E776FA8" w14:textId="77777777" w:rsidR="00F70C80" w:rsidRPr="0031515A" w:rsidRDefault="00F70C80" w:rsidP="00E3496E">
            <w:pPr>
              <w:spacing w:before="120" w:after="120" w:line="240" w:lineRule="atLeast"/>
              <w:jc w:val="center"/>
              <w:textAlignment w:val="top"/>
              <w:rPr>
                <w:rFonts w:cs="Arial"/>
                <w:b/>
                <w:bCs/>
              </w:rPr>
            </w:pPr>
            <w:r w:rsidRPr="0031515A">
              <w:rPr>
                <w:rFonts w:cs="Arial"/>
                <w:b/>
                <w:bCs/>
              </w:rPr>
              <w:t>3</w:t>
            </w:r>
          </w:p>
        </w:tc>
        <w:tc>
          <w:tcPr>
            <w:tcW w:w="4755" w:type="pct"/>
            <w:gridSpan w:val="3"/>
          </w:tcPr>
          <w:p w14:paraId="07036377" w14:textId="77777777" w:rsidR="00F70C80" w:rsidRPr="00E3496E" w:rsidRDefault="00F70C80" w:rsidP="00E3496E">
            <w:pPr>
              <w:spacing w:before="120" w:after="120" w:line="240" w:lineRule="atLeast"/>
              <w:textAlignment w:val="top"/>
              <w:rPr>
                <w:rFonts w:cs="Arial"/>
                <w:bCs/>
              </w:rPr>
            </w:pPr>
            <w:r w:rsidRPr="00E3496E">
              <w:rPr>
                <w:rFonts w:cs="Arial"/>
                <w:bCs/>
              </w:rPr>
              <w:t xml:space="preserve">Click </w:t>
            </w:r>
            <w:r w:rsidRPr="009437FF">
              <w:rPr>
                <w:rFonts w:cs="Arial"/>
                <w:b/>
                <w:bCs/>
              </w:rPr>
              <w:t>+</w:t>
            </w:r>
            <w:r w:rsidRPr="00E3496E">
              <w:rPr>
                <w:rFonts w:cs="Arial"/>
                <w:bCs/>
              </w:rPr>
              <w:t xml:space="preserve"> to read the notes for the comment. </w:t>
            </w:r>
            <w:r w:rsidR="00A070DC" w:rsidRPr="00E3496E">
              <w:rPr>
                <w:rFonts w:cs="Arial"/>
                <w:bCs/>
              </w:rPr>
              <w:t>Collect the offending R</w:t>
            </w:r>
            <w:r w:rsidR="004A125A" w:rsidRPr="00E3496E">
              <w:rPr>
                <w:rFonts w:cs="Arial"/>
                <w:bCs/>
              </w:rPr>
              <w:t>x</w:t>
            </w:r>
            <w:r w:rsidR="00A070DC" w:rsidRPr="00E3496E">
              <w:rPr>
                <w:rFonts w:cs="Arial"/>
                <w:bCs/>
              </w:rPr>
              <w:t xml:space="preserve"> Number and save it to your notepad. </w:t>
            </w:r>
            <w:r w:rsidR="004A125A" w:rsidRPr="00E3496E">
              <w:rPr>
                <w:rFonts w:cs="Arial"/>
                <w:bCs/>
              </w:rPr>
              <w:t xml:space="preserve">Proceed </w:t>
            </w:r>
            <w:r w:rsidR="00A070DC" w:rsidRPr="00E3496E">
              <w:rPr>
                <w:rFonts w:cs="Arial"/>
                <w:bCs/>
              </w:rPr>
              <w:t xml:space="preserve">to </w:t>
            </w:r>
            <w:r w:rsidR="00A070DC" w:rsidRPr="00E3496E">
              <w:rPr>
                <w:rFonts w:cs="Arial"/>
                <w:b/>
                <w:bCs/>
              </w:rPr>
              <w:t>Step 4</w:t>
            </w:r>
            <w:r w:rsidR="00A070DC" w:rsidRPr="00E3496E">
              <w:rPr>
                <w:rFonts w:cs="Arial"/>
                <w:bCs/>
              </w:rPr>
              <w:t>.</w:t>
            </w:r>
          </w:p>
          <w:p w14:paraId="44694EE9" w14:textId="225BE743" w:rsidR="00EC1E00" w:rsidRPr="00E3496E" w:rsidRDefault="00BF375F" w:rsidP="00E3496E">
            <w:pPr>
              <w:spacing w:before="120" w:after="120" w:line="240" w:lineRule="atLeast"/>
              <w:textAlignment w:val="top"/>
              <w:rPr>
                <w:rFonts w:cs="Arial"/>
                <w:bCs/>
              </w:rPr>
            </w:pPr>
            <w:r w:rsidRPr="00E3496E">
              <w:rPr>
                <w:rFonts w:cs="Arial"/>
                <w:b/>
                <w:bCs/>
                <w:noProof/>
              </w:rPr>
              <w:drawing>
                <wp:inline distT="0" distB="0" distL="0" distR="0" wp14:anchorId="7345AA50" wp14:editId="5D2F3283">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E6938" w:rsidRPr="00E3496E">
              <w:rPr>
                <w:rFonts w:cs="Arial"/>
                <w:bCs/>
              </w:rPr>
              <w:t xml:space="preserve"> Do not click ‘Expand All</w:t>
            </w:r>
            <w:r w:rsidR="00EC1E00" w:rsidRPr="00E3496E">
              <w:rPr>
                <w:rFonts w:cs="Arial"/>
                <w:bCs/>
              </w:rPr>
              <w:t>’.</w:t>
            </w:r>
            <w:r w:rsidR="00DE6938" w:rsidRPr="00E3496E">
              <w:rPr>
                <w:rFonts w:cs="Arial"/>
                <w:bCs/>
              </w:rPr>
              <w:t xml:space="preserve"> Expand the most recent dates first to determine which prescription is newest. </w:t>
            </w:r>
            <w:r w:rsidR="004843E0" w:rsidRPr="00E3496E">
              <w:rPr>
                <w:rFonts w:cs="Arial"/>
                <w:bCs/>
              </w:rPr>
              <w:t xml:space="preserve"> </w:t>
            </w:r>
            <w:r w:rsidR="004A6219" w:rsidRPr="00E3496E">
              <w:rPr>
                <w:rFonts w:ascii="Times New Roman" w:hAnsi="Times New Roman"/>
                <w:noProof/>
              </w:rPr>
              <w:t xml:space="preserve"> </w:t>
            </w:r>
          </w:p>
        </w:tc>
      </w:tr>
      <w:tr w:rsidR="00A070DC" w:rsidRPr="0058134F" w14:paraId="4A665516" w14:textId="77777777" w:rsidTr="00816554">
        <w:trPr>
          <w:trHeight w:val="3765"/>
        </w:trPr>
        <w:tc>
          <w:tcPr>
            <w:tcW w:w="245" w:type="pct"/>
            <w:vMerge w:val="restart"/>
          </w:tcPr>
          <w:p w14:paraId="3929607B" w14:textId="3AC3B93A" w:rsidR="00A070DC" w:rsidRPr="0031515A" w:rsidRDefault="00A070DC" w:rsidP="00E3496E">
            <w:pPr>
              <w:spacing w:before="120" w:after="120" w:line="240" w:lineRule="atLeast"/>
              <w:jc w:val="center"/>
              <w:textAlignment w:val="top"/>
              <w:rPr>
                <w:rFonts w:cs="Arial"/>
                <w:b/>
                <w:bCs/>
              </w:rPr>
            </w:pPr>
            <w:r w:rsidRPr="0031515A">
              <w:rPr>
                <w:rFonts w:cs="Arial"/>
                <w:b/>
                <w:bCs/>
              </w:rPr>
              <w:lastRenderedPageBreak/>
              <w:t>4</w:t>
            </w:r>
          </w:p>
        </w:tc>
        <w:tc>
          <w:tcPr>
            <w:tcW w:w="4755" w:type="pct"/>
            <w:gridSpan w:val="3"/>
            <w:tcBorders>
              <w:bottom w:val="single" w:sz="4" w:space="0" w:color="auto"/>
            </w:tcBorders>
          </w:tcPr>
          <w:p w14:paraId="036712CC" w14:textId="77777777" w:rsidR="00A070DC" w:rsidRPr="00E3496E" w:rsidRDefault="00A070DC" w:rsidP="00E3496E">
            <w:pPr>
              <w:spacing w:before="120" w:after="120" w:line="240" w:lineRule="atLeast"/>
              <w:textAlignment w:val="top"/>
              <w:rPr>
                <w:rFonts w:cs="Arial"/>
                <w:bCs/>
              </w:rPr>
            </w:pPr>
            <w:r w:rsidRPr="00E3496E">
              <w:rPr>
                <w:rFonts w:cs="Arial"/>
                <w:bCs/>
              </w:rPr>
              <w:t>Navigate to the main screen and use the R</w:t>
            </w:r>
            <w:r w:rsidR="00CD7083" w:rsidRPr="00E3496E">
              <w:rPr>
                <w:rFonts w:cs="Arial"/>
                <w:bCs/>
              </w:rPr>
              <w:t>x</w:t>
            </w:r>
            <w:r w:rsidRPr="00E3496E">
              <w:rPr>
                <w:rFonts w:cs="Arial"/>
                <w:bCs/>
              </w:rPr>
              <w:t xml:space="preserve"> Number search function to search for the offending R</w:t>
            </w:r>
            <w:r w:rsidR="00CD7083" w:rsidRPr="00E3496E">
              <w:rPr>
                <w:rFonts w:cs="Arial"/>
                <w:bCs/>
              </w:rPr>
              <w:t>x</w:t>
            </w:r>
            <w:r w:rsidRPr="00E3496E">
              <w:rPr>
                <w:rFonts w:cs="Arial"/>
                <w:bCs/>
              </w:rPr>
              <w:t xml:space="preserve"> number.</w:t>
            </w:r>
          </w:p>
          <w:p w14:paraId="41A3690B" w14:textId="3501B253" w:rsidR="00816554" w:rsidRPr="00E3496E" w:rsidRDefault="00816554" w:rsidP="00E3496E">
            <w:pPr>
              <w:spacing w:before="120" w:after="120" w:line="240" w:lineRule="atLeast"/>
              <w:jc w:val="center"/>
              <w:textAlignment w:val="top"/>
              <w:rPr>
                <w:rFonts w:ascii="Times New Roman" w:hAnsi="Times New Roman"/>
                <w:noProof/>
                <w:sz w:val="28"/>
                <w:szCs w:val="28"/>
              </w:rPr>
            </w:pPr>
          </w:p>
          <w:p w14:paraId="1D22E023" w14:textId="0A103363" w:rsidR="00816554" w:rsidRPr="00E3496E" w:rsidRDefault="00BF375F" w:rsidP="00E3496E">
            <w:pPr>
              <w:spacing w:before="120" w:after="120" w:line="240" w:lineRule="atLeast"/>
              <w:jc w:val="center"/>
              <w:textAlignment w:val="top"/>
              <w:rPr>
                <w:rFonts w:ascii="Times New Roman" w:hAnsi="Times New Roman"/>
                <w:noProof/>
                <w:sz w:val="28"/>
                <w:szCs w:val="28"/>
              </w:rPr>
            </w:pPr>
            <w:r w:rsidRPr="00E3496E">
              <w:rPr>
                <w:noProof/>
              </w:rPr>
              <w:drawing>
                <wp:inline distT="0" distB="0" distL="0" distR="0" wp14:anchorId="095FBEC5" wp14:editId="7A1B72CE">
                  <wp:extent cx="4495800" cy="142875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1428750"/>
                          </a:xfrm>
                          <a:prstGeom prst="rect">
                            <a:avLst/>
                          </a:prstGeom>
                          <a:noFill/>
                          <a:ln>
                            <a:noFill/>
                          </a:ln>
                        </pic:spPr>
                      </pic:pic>
                    </a:graphicData>
                  </a:graphic>
                </wp:inline>
              </w:drawing>
            </w:r>
          </w:p>
          <w:p w14:paraId="70D8DB6A" w14:textId="77777777" w:rsidR="00A070DC" w:rsidRPr="00E3496E" w:rsidRDefault="00A070DC" w:rsidP="00E3496E">
            <w:pPr>
              <w:spacing w:before="120" w:after="120" w:line="240" w:lineRule="atLeast"/>
              <w:textAlignment w:val="top"/>
              <w:rPr>
                <w:rFonts w:cs="Arial"/>
                <w:bCs/>
              </w:rPr>
            </w:pPr>
          </w:p>
        </w:tc>
      </w:tr>
      <w:tr w:rsidR="00A070DC" w:rsidRPr="0058134F" w14:paraId="56C24F87" w14:textId="77777777" w:rsidTr="00CD5A88">
        <w:trPr>
          <w:trHeight w:val="120"/>
        </w:trPr>
        <w:tc>
          <w:tcPr>
            <w:tcW w:w="245" w:type="pct"/>
            <w:vMerge/>
          </w:tcPr>
          <w:p w14:paraId="52DB1644" w14:textId="77777777" w:rsidR="00A070DC" w:rsidRPr="0031515A" w:rsidRDefault="00A070DC" w:rsidP="00F6686D">
            <w:pPr>
              <w:spacing w:line="240" w:lineRule="atLeast"/>
              <w:jc w:val="center"/>
              <w:textAlignment w:val="top"/>
              <w:rPr>
                <w:rFonts w:cs="Arial"/>
                <w:b/>
                <w:bCs/>
              </w:rPr>
            </w:pPr>
          </w:p>
        </w:tc>
        <w:tc>
          <w:tcPr>
            <w:tcW w:w="1728" w:type="pct"/>
            <w:gridSpan w:val="2"/>
            <w:shd w:val="clear" w:color="auto" w:fill="D9D9D9" w:themeFill="background1" w:themeFillShade="D9"/>
          </w:tcPr>
          <w:p w14:paraId="39F21069" w14:textId="77777777" w:rsidR="00A070DC" w:rsidRPr="00E3496E" w:rsidRDefault="00A070DC" w:rsidP="00E3496E">
            <w:pPr>
              <w:spacing w:before="120" w:after="120" w:line="240" w:lineRule="atLeast"/>
              <w:jc w:val="center"/>
              <w:textAlignment w:val="top"/>
              <w:rPr>
                <w:rFonts w:cs="Arial"/>
                <w:b/>
                <w:bCs/>
              </w:rPr>
            </w:pPr>
            <w:r w:rsidRPr="00E3496E">
              <w:rPr>
                <w:rFonts w:cs="Arial"/>
                <w:b/>
                <w:bCs/>
              </w:rPr>
              <w:t>If</w:t>
            </w:r>
            <w:r w:rsidR="002C1501" w:rsidRPr="00E3496E">
              <w:rPr>
                <w:rFonts w:cs="Arial"/>
                <w:b/>
                <w:bCs/>
              </w:rPr>
              <w:t xml:space="preserve"> the Offending Rx Number is</w:t>
            </w:r>
            <w:r w:rsidRPr="00E3496E">
              <w:rPr>
                <w:rFonts w:cs="Arial"/>
                <w:b/>
                <w:bCs/>
              </w:rPr>
              <w:t>…</w:t>
            </w:r>
          </w:p>
        </w:tc>
        <w:tc>
          <w:tcPr>
            <w:tcW w:w="3027" w:type="pct"/>
            <w:shd w:val="clear" w:color="auto" w:fill="D9D9D9" w:themeFill="background1" w:themeFillShade="D9"/>
          </w:tcPr>
          <w:p w14:paraId="166C6097" w14:textId="77777777" w:rsidR="00A070DC" w:rsidRPr="00E3496E" w:rsidRDefault="00A070DC" w:rsidP="00E3496E">
            <w:pPr>
              <w:spacing w:before="120" w:after="120" w:line="240" w:lineRule="atLeast"/>
              <w:jc w:val="center"/>
              <w:textAlignment w:val="top"/>
              <w:rPr>
                <w:rFonts w:cs="Arial"/>
                <w:b/>
                <w:bCs/>
              </w:rPr>
            </w:pPr>
            <w:r w:rsidRPr="00E3496E">
              <w:rPr>
                <w:rFonts w:cs="Arial"/>
                <w:b/>
                <w:bCs/>
              </w:rPr>
              <w:t>Then…</w:t>
            </w:r>
          </w:p>
        </w:tc>
      </w:tr>
      <w:tr w:rsidR="00A070DC" w:rsidRPr="0058134F" w14:paraId="61E4AC9D" w14:textId="77777777" w:rsidTr="00816554">
        <w:trPr>
          <w:trHeight w:val="135"/>
        </w:trPr>
        <w:tc>
          <w:tcPr>
            <w:tcW w:w="245" w:type="pct"/>
            <w:vMerge/>
          </w:tcPr>
          <w:p w14:paraId="7771E39A" w14:textId="77777777" w:rsidR="00A070DC" w:rsidRPr="0031515A" w:rsidRDefault="00A070DC" w:rsidP="00F6686D">
            <w:pPr>
              <w:spacing w:line="240" w:lineRule="atLeast"/>
              <w:jc w:val="center"/>
              <w:textAlignment w:val="top"/>
              <w:rPr>
                <w:rFonts w:cs="Arial"/>
                <w:b/>
                <w:bCs/>
              </w:rPr>
            </w:pPr>
          </w:p>
        </w:tc>
        <w:tc>
          <w:tcPr>
            <w:tcW w:w="1728" w:type="pct"/>
            <w:gridSpan w:val="2"/>
          </w:tcPr>
          <w:p w14:paraId="67358AEC" w14:textId="77777777" w:rsidR="00A070DC" w:rsidRPr="00E3496E" w:rsidRDefault="004A125A" w:rsidP="00E3496E">
            <w:pPr>
              <w:spacing w:before="120" w:after="120" w:line="240" w:lineRule="atLeast"/>
              <w:textAlignment w:val="top"/>
              <w:rPr>
                <w:rFonts w:cs="Arial"/>
                <w:bCs/>
              </w:rPr>
            </w:pPr>
            <w:r w:rsidRPr="00E3496E">
              <w:rPr>
                <w:rFonts w:cs="Arial"/>
                <w:bCs/>
              </w:rPr>
              <w:t>The p</w:t>
            </w:r>
            <w:r w:rsidR="00A070DC" w:rsidRPr="00E3496E">
              <w:rPr>
                <w:rFonts w:cs="Arial"/>
                <w:bCs/>
              </w:rPr>
              <w:t>rescription</w:t>
            </w:r>
            <w:r w:rsidR="002C1501" w:rsidRPr="00E3496E">
              <w:rPr>
                <w:rFonts w:cs="Arial"/>
                <w:bCs/>
              </w:rPr>
              <w:t xml:space="preserve"> </w:t>
            </w:r>
            <w:r w:rsidR="00A070DC" w:rsidRPr="00E3496E">
              <w:rPr>
                <w:rFonts w:cs="Arial"/>
                <w:bCs/>
              </w:rPr>
              <w:t>you are looking for</w:t>
            </w:r>
          </w:p>
        </w:tc>
        <w:tc>
          <w:tcPr>
            <w:tcW w:w="3027" w:type="pct"/>
          </w:tcPr>
          <w:p w14:paraId="1D5BB2BD" w14:textId="15CF85C9" w:rsidR="004B1A5D" w:rsidRPr="00E3496E" w:rsidRDefault="004B1A5D" w:rsidP="00E3496E">
            <w:pPr>
              <w:spacing w:before="120" w:after="120" w:line="240" w:lineRule="atLeast"/>
              <w:textAlignment w:val="top"/>
              <w:rPr>
                <w:rFonts w:cs="Arial"/>
                <w:bCs/>
              </w:rPr>
            </w:pPr>
            <w:r w:rsidRPr="00E3496E">
              <w:rPr>
                <w:rFonts w:cs="Arial"/>
                <w:bCs/>
              </w:rPr>
              <w:t>Create an order placement manual refill RM T</w:t>
            </w:r>
            <w:r w:rsidR="00006AED">
              <w:rPr>
                <w:rFonts w:cs="Arial"/>
                <w:bCs/>
              </w:rPr>
              <w:t>ask</w:t>
            </w:r>
            <w:r w:rsidRPr="00E3496E">
              <w:rPr>
                <w:rFonts w:cs="Arial"/>
                <w:bCs/>
              </w:rPr>
              <w:t xml:space="preserve"> and notate the R</w:t>
            </w:r>
            <w:r w:rsidR="00C2354C" w:rsidRPr="00E3496E">
              <w:rPr>
                <w:rFonts w:cs="Arial"/>
                <w:bCs/>
              </w:rPr>
              <w:t>x</w:t>
            </w:r>
            <w:r w:rsidRPr="00E3496E">
              <w:rPr>
                <w:rFonts w:cs="Arial"/>
                <w:bCs/>
              </w:rPr>
              <w:t xml:space="preserve"> was archived in error please rescan script.</w:t>
            </w:r>
          </w:p>
        </w:tc>
      </w:tr>
      <w:tr w:rsidR="00A070DC" w:rsidRPr="0058134F" w14:paraId="3F7070CE" w14:textId="77777777" w:rsidTr="00816554">
        <w:trPr>
          <w:trHeight w:val="120"/>
        </w:trPr>
        <w:tc>
          <w:tcPr>
            <w:tcW w:w="245" w:type="pct"/>
            <w:vMerge/>
          </w:tcPr>
          <w:p w14:paraId="1CBEE678" w14:textId="77777777" w:rsidR="00A070DC" w:rsidRPr="0031515A" w:rsidRDefault="00A070DC" w:rsidP="00F6686D">
            <w:pPr>
              <w:spacing w:line="240" w:lineRule="atLeast"/>
              <w:jc w:val="center"/>
              <w:textAlignment w:val="top"/>
              <w:rPr>
                <w:rFonts w:cs="Arial"/>
                <w:b/>
                <w:bCs/>
              </w:rPr>
            </w:pPr>
          </w:p>
        </w:tc>
        <w:tc>
          <w:tcPr>
            <w:tcW w:w="1728" w:type="pct"/>
            <w:gridSpan w:val="2"/>
          </w:tcPr>
          <w:p w14:paraId="629C3E7E" w14:textId="77777777" w:rsidR="00A070DC" w:rsidRPr="00E3496E" w:rsidRDefault="002C1501" w:rsidP="00E3496E">
            <w:pPr>
              <w:spacing w:before="120" w:after="120" w:line="240" w:lineRule="atLeast"/>
              <w:textAlignment w:val="top"/>
              <w:rPr>
                <w:rFonts w:cs="Arial"/>
                <w:bCs/>
              </w:rPr>
            </w:pPr>
            <w:r w:rsidRPr="00E3496E">
              <w:rPr>
                <w:rFonts w:cs="Arial"/>
                <w:bCs/>
              </w:rPr>
              <w:t>N</w:t>
            </w:r>
            <w:r w:rsidR="00A070DC" w:rsidRPr="00E3496E">
              <w:rPr>
                <w:rFonts w:cs="Arial"/>
                <w:bCs/>
              </w:rPr>
              <w:t>ot the prescription</w:t>
            </w:r>
            <w:r w:rsidRPr="00E3496E">
              <w:rPr>
                <w:rFonts w:cs="Arial"/>
                <w:bCs/>
              </w:rPr>
              <w:t xml:space="preserve"> </w:t>
            </w:r>
            <w:r w:rsidR="00A070DC" w:rsidRPr="00E3496E">
              <w:rPr>
                <w:rFonts w:cs="Arial"/>
                <w:bCs/>
              </w:rPr>
              <w:t>you are looking for</w:t>
            </w:r>
          </w:p>
        </w:tc>
        <w:tc>
          <w:tcPr>
            <w:tcW w:w="3027" w:type="pct"/>
          </w:tcPr>
          <w:p w14:paraId="353EA5EE" w14:textId="3ABDD9AA" w:rsidR="004A125A" w:rsidRPr="00E3496E" w:rsidRDefault="00A070DC" w:rsidP="00E3496E">
            <w:pPr>
              <w:spacing w:before="120" w:after="120" w:line="240" w:lineRule="atLeast"/>
              <w:textAlignment w:val="top"/>
              <w:rPr>
                <w:rFonts w:cs="Arial"/>
                <w:bCs/>
              </w:rPr>
            </w:pPr>
            <w:r w:rsidRPr="00E3496E">
              <w:rPr>
                <w:rFonts w:cs="Arial"/>
                <w:bCs/>
              </w:rPr>
              <w:t>Advise member that no new R</w:t>
            </w:r>
            <w:r w:rsidR="002C1501" w:rsidRPr="00E3496E">
              <w:rPr>
                <w:rFonts w:cs="Arial"/>
                <w:bCs/>
              </w:rPr>
              <w:t>x</w:t>
            </w:r>
            <w:r w:rsidRPr="00E3496E">
              <w:rPr>
                <w:rFonts w:cs="Arial"/>
                <w:bCs/>
              </w:rPr>
              <w:t xml:space="preserve"> has been received from the physician's office.</w:t>
            </w:r>
            <w:r w:rsidR="00F51BDD" w:rsidRPr="00E3496E">
              <w:rPr>
                <w:rFonts w:cs="Arial"/>
                <w:bCs/>
              </w:rPr>
              <w:t xml:space="preserve"> Proactively educate the member on options to obtain a prescription or access to their medication.</w:t>
            </w:r>
          </w:p>
        </w:tc>
      </w:tr>
    </w:tbl>
    <w:p w14:paraId="57A46467" w14:textId="77777777" w:rsidR="004774E8" w:rsidRDefault="004774E8" w:rsidP="004774E8">
      <w:pPr>
        <w:jc w:val="right"/>
      </w:pPr>
    </w:p>
    <w:p w14:paraId="7397E1EF" w14:textId="75E95218" w:rsidR="004D1520" w:rsidRDefault="007A6D7B" w:rsidP="00006AED">
      <w:pPr>
        <w:jc w:val="right"/>
        <w:rPr>
          <w:rFonts w:ascii="Arial" w:hAnsi="Arial" w:cs="Arial"/>
          <w:color w:val="000000"/>
          <w:sz w:val="27"/>
          <w:szCs w:val="27"/>
        </w:rPr>
      </w:pPr>
      <w:hyperlink w:anchor="_top" w:history="1">
        <w:r w:rsidRPr="00006AED">
          <w:rPr>
            <w:rStyle w:val="Hyperlink"/>
          </w:rPr>
          <w:t>Top of the Document</w:t>
        </w:r>
        <w:r w:rsidR="004D1520" w:rsidRPr="00006AED">
          <w:rPr>
            <w:rStyle w:val="Hyperlink"/>
            <w:rFonts w:cs="Arial"/>
          </w:rPr>
          <w:t> </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4D1520" w14:paraId="7DFB6AFA" w14:textId="77777777" w:rsidTr="00CD5A88">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24C3936C" w14:textId="6B062834" w:rsidR="004D1520" w:rsidRPr="007A6D7B" w:rsidRDefault="004D1520" w:rsidP="00E3496E">
            <w:pPr>
              <w:pStyle w:val="Heading2"/>
              <w:spacing w:before="120" w:after="120"/>
              <w:rPr>
                <w:i w:val="0"/>
                <w:sz w:val="36"/>
                <w:szCs w:val="36"/>
              </w:rPr>
            </w:pPr>
            <w:bookmarkStart w:id="6" w:name="_Toc535925541"/>
            <w:bookmarkStart w:id="7" w:name="_Turn_Around_Time"/>
            <w:bookmarkStart w:id="8" w:name="_Toc8124973"/>
            <w:bookmarkStart w:id="9" w:name="_Toc168564101"/>
            <w:bookmarkEnd w:id="6"/>
            <w:bookmarkEnd w:id="7"/>
            <w:r w:rsidRPr="007A6D7B">
              <w:rPr>
                <w:rFonts w:ascii="Verdana" w:hAnsi="Verdana"/>
                <w:i w:val="0"/>
              </w:rPr>
              <w:lastRenderedPageBreak/>
              <w:t>Turn Around Time</w:t>
            </w:r>
            <w:bookmarkEnd w:id="8"/>
            <w:bookmarkEnd w:id="9"/>
            <w:r w:rsidR="007A6D7B">
              <w:rPr>
                <w:rFonts w:ascii="Verdana" w:hAnsi="Verdana"/>
                <w:i w:val="0"/>
              </w:rPr>
              <w:t xml:space="preserve"> </w:t>
            </w:r>
          </w:p>
        </w:tc>
      </w:tr>
    </w:tbl>
    <w:p w14:paraId="3143E35F" w14:textId="77777777" w:rsidR="004D1520" w:rsidRDefault="004D1520" w:rsidP="00006AED">
      <w:pPr>
        <w:pStyle w:val="NormalWeb"/>
        <w:spacing w:before="120" w:beforeAutospacing="0" w:after="120" w:afterAutospacing="0"/>
        <w:rPr>
          <w:rFonts w:ascii="Arial" w:hAnsi="Arial" w:cs="Arial"/>
          <w:color w:val="000000"/>
          <w:sz w:val="27"/>
          <w:szCs w:val="27"/>
        </w:rPr>
      </w:pPr>
      <w:r>
        <w:rPr>
          <w:rFonts w:cs="Arial"/>
          <w:color w:val="000000"/>
        </w:rPr>
        <w:t>1-2 business days</w:t>
      </w:r>
    </w:p>
    <w:p w14:paraId="14767261" w14:textId="77777777" w:rsidR="004D1520" w:rsidRDefault="004D1520" w:rsidP="004774E8">
      <w:pPr>
        <w:jc w:val="right"/>
      </w:pPr>
    </w:p>
    <w:p w14:paraId="1F0EB5ED" w14:textId="442F3E58" w:rsidR="004774E8" w:rsidRDefault="004774E8" w:rsidP="004774E8">
      <w:pPr>
        <w:jc w:val="right"/>
      </w:pPr>
      <w:hyperlink w:anchor="_top" w:history="1">
        <w:r w:rsidRPr="00006AE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774E8" w:rsidRPr="0064267B" w14:paraId="70C9855C" w14:textId="77777777" w:rsidTr="00CD5A88">
        <w:tc>
          <w:tcPr>
            <w:tcW w:w="5000" w:type="pct"/>
            <w:shd w:val="clear" w:color="auto" w:fill="BFBFBF" w:themeFill="background1" w:themeFillShade="BF"/>
          </w:tcPr>
          <w:p w14:paraId="126611E7" w14:textId="77777777" w:rsidR="004774E8" w:rsidRPr="00F13F27" w:rsidRDefault="004774E8" w:rsidP="00E3496E">
            <w:pPr>
              <w:pStyle w:val="Heading2"/>
              <w:spacing w:before="120" w:after="120"/>
              <w:rPr>
                <w:rFonts w:ascii="Verdana" w:hAnsi="Verdana"/>
                <w:i w:val="0"/>
              </w:rPr>
            </w:pPr>
            <w:bookmarkStart w:id="10" w:name="_Toc168564102"/>
            <w:r w:rsidRPr="00F13F27">
              <w:rPr>
                <w:rFonts w:ascii="Verdana" w:hAnsi="Verdana"/>
                <w:i w:val="0"/>
              </w:rPr>
              <w:t>Related Documents</w:t>
            </w:r>
            <w:bookmarkEnd w:id="10"/>
          </w:p>
        </w:tc>
      </w:tr>
    </w:tbl>
    <w:p w14:paraId="7E0E0E55" w14:textId="05214659" w:rsidR="007A6D7B" w:rsidRDefault="00006AED" w:rsidP="00006AED">
      <w:pPr>
        <w:spacing w:before="120" w:after="120"/>
        <w:rPr>
          <w:rStyle w:val="Hyperlink"/>
          <w:b/>
          <w:color w:val="auto"/>
          <w:u w:val="none"/>
        </w:rPr>
      </w:pPr>
      <w:hyperlink r:id="rId18" w:anchor="!/view?docid=c1f1028b-e42c-4b4f-a4cf-cc0b42c91606" w:history="1">
        <w:r>
          <w:rPr>
            <w:rStyle w:val="Hyperlink"/>
          </w:rPr>
          <w:t>Customer Care Abbreviations, Definitions, and Terms (017428)</w:t>
        </w:r>
      </w:hyperlink>
    </w:p>
    <w:p w14:paraId="7C48D314" w14:textId="270796A2" w:rsidR="007A6D7B" w:rsidRPr="00DB338D" w:rsidRDefault="007A6D7B" w:rsidP="007A6D7B">
      <w:r w:rsidRPr="007A6D7B">
        <w:rPr>
          <w:rStyle w:val="Hyperlink"/>
          <w:b/>
          <w:color w:val="auto"/>
          <w:u w:val="none"/>
        </w:rPr>
        <w:t xml:space="preserve">Parent </w:t>
      </w:r>
      <w:r w:rsidR="00816554" w:rsidRPr="00E3496E">
        <w:rPr>
          <w:rStyle w:val="Hyperlink"/>
          <w:b/>
          <w:color w:val="auto"/>
          <w:u w:val="none"/>
        </w:rPr>
        <w:t>Document</w:t>
      </w:r>
      <w:r w:rsidRPr="00E3496E">
        <w:rPr>
          <w:rStyle w:val="Hyperlink"/>
          <w:b/>
          <w:color w:val="auto"/>
          <w:u w:val="none"/>
        </w:rPr>
        <w:t>:</w:t>
      </w:r>
      <w:r w:rsidR="00006AED">
        <w:rPr>
          <w:rStyle w:val="Hyperlink"/>
          <w:b/>
          <w:color w:val="auto"/>
          <w:u w:val="none"/>
        </w:rPr>
        <w:t xml:space="preserve"> </w:t>
      </w:r>
      <w:r w:rsidRPr="00E3496E">
        <w:rPr>
          <w:rStyle w:val="Hyperlink"/>
          <w:b/>
          <w:color w:val="auto"/>
          <w:u w:val="none"/>
        </w:rPr>
        <w:t xml:space="preserve"> </w:t>
      </w:r>
      <w:hyperlink r:id="rId19" w:tgtFrame="_blank" w:history="1">
        <w:r w:rsidRPr="00DB338D">
          <w:rPr>
            <w:rStyle w:val="Hyperlink"/>
          </w:rPr>
          <w:t>Customer Care Internal and External Call Handling (CALL</w:t>
        </w:r>
        <w:r>
          <w:rPr>
            <w:rStyle w:val="Hyperlink"/>
          </w:rPr>
          <w:t>-</w:t>
        </w:r>
        <w:r w:rsidRPr="00DB338D">
          <w:rPr>
            <w:rStyle w:val="Hyperlink"/>
          </w:rPr>
          <w:t>0049)</w:t>
        </w:r>
      </w:hyperlink>
    </w:p>
    <w:p w14:paraId="3B68CFF0" w14:textId="4DD5D691" w:rsidR="004774E8" w:rsidRDefault="004774E8" w:rsidP="004774E8">
      <w:pPr>
        <w:jc w:val="right"/>
      </w:pPr>
      <w:hyperlink w:anchor="_top" w:history="1">
        <w:r w:rsidRPr="00006AED">
          <w:rPr>
            <w:rStyle w:val="Hyperlink"/>
          </w:rPr>
          <w:t>Top of the Document</w:t>
        </w:r>
      </w:hyperlink>
    </w:p>
    <w:p w14:paraId="3D62A9B6" w14:textId="77777777" w:rsidR="004774E8" w:rsidRPr="00C247CB" w:rsidRDefault="004774E8" w:rsidP="004774E8">
      <w:pPr>
        <w:jc w:val="center"/>
        <w:rPr>
          <w:sz w:val="16"/>
          <w:szCs w:val="16"/>
        </w:rPr>
      </w:pPr>
      <w:r w:rsidRPr="00C247CB">
        <w:rPr>
          <w:sz w:val="16"/>
          <w:szCs w:val="16"/>
        </w:rPr>
        <w:t>Not to Be Reproduced or Disclosed to Others without Prior Written Approval</w:t>
      </w:r>
    </w:p>
    <w:p w14:paraId="0A8F7FBA" w14:textId="57EC8FDC" w:rsidR="005A64DA" w:rsidRPr="00006AED" w:rsidRDefault="004774E8" w:rsidP="00006AED">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sectPr w:rsidR="005A64DA" w:rsidRPr="00006AED" w:rsidSect="00EB1F94">
      <w:footerReference w:type="default" r:id="rId20"/>
      <w:headerReference w:type="first" r:id="rId21"/>
      <w:footerReference w:type="firs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928BA" w14:textId="77777777" w:rsidR="001C796D" w:rsidRDefault="001C796D">
      <w:r>
        <w:separator/>
      </w:r>
    </w:p>
  </w:endnote>
  <w:endnote w:type="continuationSeparator" w:id="0">
    <w:p w14:paraId="79183B89" w14:textId="77777777" w:rsidR="001C796D" w:rsidRDefault="001C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A192" w14:textId="77777777" w:rsidR="00CD7083" w:rsidRPr="00CD7083" w:rsidRDefault="00CD7083" w:rsidP="00CD7083">
    <w:pPr>
      <w:pStyle w:val="Heading1"/>
      <w:rPr>
        <w:rFonts w:ascii="Verdana" w:hAnsi="Verdana"/>
        <w:color w:val="FFFFFF"/>
        <w:sz w:val="16"/>
        <w:szCs w:val="16"/>
      </w:rPr>
    </w:pPr>
    <w:r w:rsidRPr="00CD7083">
      <w:rPr>
        <w:rFonts w:ascii="Verdana" w:hAnsi="Verdana"/>
        <w:color w:val="FFFFFF"/>
        <w:sz w:val="16"/>
        <w:szCs w:val="16"/>
      </w:rPr>
      <w:t>Identified as Duplicate Archive Error CCR Identified as Duplicate Archive Error CCR Identified as Duplicate Archive Error CCR Identified as Duplicate Archive Error CCR Identified as Duplicate Archive Error CCR Identified as Duplicate Archive Error CCR</w:t>
    </w:r>
  </w:p>
  <w:p w14:paraId="6F565480" w14:textId="77777777" w:rsidR="00CD7083" w:rsidRPr="00CD7083" w:rsidRDefault="00CD7083" w:rsidP="00CD7083">
    <w:pPr>
      <w:pStyle w:val="Heading1"/>
      <w:rPr>
        <w:rFonts w:ascii="Verdana" w:hAnsi="Verdana"/>
        <w:color w:val="000000"/>
        <w:sz w:val="16"/>
        <w:szCs w:val="16"/>
      </w:rPr>
    </w:pPr>
  </w:p>
  <w:p w14:paraId="5DF49302" w14:textId="77777777" w:rsidR="00CD7083" w:rsidRPr="00CD7083" w:rsidRDefault="00CD7083" w:rsidP="00CD7083">
    <w:pPr>
      <w:pStyle w:val="Heading1"/>
      <w:rPr>
        <w:rFonts w:ascii="Verdana" w:hAnsi="Verdana"/>
        <w:color w:val="000000"/>
        <w:sz w:val="16"/>
        <w:szCs w:val="16"/>
      </w:rPr>
    </w:pPr>
  </w:p>
  <w:p w14:paraId="0AB88BC5" w14:textId="77777777" w:rsidR="00C476E1" w:rsidRPr="00C32D18" w:rsidRDefault="00C476E1"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1083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4FD01" w14:textId="77777777" w:rsidR="001C796D" w:rsidRDefault="001C796D">
      <w:r>
        <w:separator/>
      </w:r>
    </w:p>
  </w:footnote>
  <w:footnote w:type="continuationSeparator" w:id="0">
    <w:p w14:paraId="764D13D0" w14:textId="77777777" w:rsidR="001C796D" w:rsidRDefault="001C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4D35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75pt;height:16.5pt" o:bullet="t">
        <v:imagedata r:id="rId1" o:title="Icon - Important Information"/>
      </v:shape>
    </w:pict>
  </w:numPicBullet>
  <w:abstractNum w:abstractNumId="0" w15:restartNumberingAfterBreak="0">
    <w:nsid w:val="02703F7A"/>
    <w:multiLevelType w:val="hybridMultilevel"/>
    <w:tmpl w:val="4858C90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2455"/>
    <w:multiLevelType w:val="hybridMultilevel"/>
    <w:tmpl w:val="07385D40"/>
    <w:lvl w:ilvl="0" w:tplc="EEA24468">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5773B"/>
    <w:multiLevelType w:val="hybridMultilevel"/>
    <w:tmpl w:val="DC3A1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8B619EB"/>
    <w:multiLevelType w:val="hybridMultilevel"/>
    <w:tmpl w:val="0194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DD3005"/>
    <w:multiLevelType w:val="hybridMultilevel"/>
    <w:tmpl w:val="ED2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40FA7"/>
    <w:multiLevelType w:val="hybridMultilevel"/>
    <w:tmpl w:val="69262FE8"/>
    <w:lvl w:ilvl="0" w:tplc="EEA24468">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4270815">
    <w:abstractNumId w:val="14"/>
  </w:num>
  <w:num w:numId="2" w16cid:durableId="517237929">
    <w:abstractNumId w:val="6"/>
  </w:num>
  <w:num w:numId="3" w16cid:durableId="1607695627">
    <w:abstractNumId w:val="17"/>
  </w:num>
  <w:num w:numId="4" w16cid:durableId="1939174707">
    <w:abstractNumId w:val="18"/>
  </w:num>
  <w:num w:numId="5" w16cid:durableId="1707677690">
    <w:abstractNumId w:val="3"/>
  </w:num>
  <w:num w:numId="6" w16cid:durableId="236284436">
    <w:abstractNumId w:val="19"/>
  </w:num>
  <w:num w:numId="7" w16cid:durableId="419374378">
    <w:abstractNumId w:val="13"/>
  </w:num>
  <w:num w:numId="8" w16cid:durableId="449596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7424591">
    <w:abstractNumId w:val="8"/>
  </w:num>
  <w:num w:numId="10" w16cid:durableId="1719162644">
    <w:abstractNumId w:val="2"/>
  </w:num>
  <w:num w:numId="11" w16cid:durableId="873079595">
    <w:abstractNumId w:val="7"/>
  </w:num>
  <w:num w:numId="12" w16cid:durableId="438061982">
    <w:abstractNumId w:val="4"/>
  </w:num>
  <w:num w:numId="13" w16cid:durableId="821697571">
    <w:abstractNumId w:val="11"/>
  </w:num>
  <w:num w:numId="14" w16cid:durableId="298876226">
    <w:abstractNumId w:val="9"/>
  </w:num>
  <w:num w:numId="15" w16cid:durableId="1117063233">
    <w:abstractNumId w:val="15"/>
  </w:num>
  <w:num w:numId="16" w16cid:durableId="747968893">
    <w:abstractNumId w:val="12"/>
  </w:num>
  <w:num w:numId="17" w16cid:durableId="1391808120">
    <w:abstractNumId w:val="10"/>
  </w:num>
  <w:num w:numId="18" w16cid:durableId="1352300365">
    <w:abstractNumId w:val="0"/>
  </w:num>
  <w:num w:numId="19" w16cid:durableId="1874070051">
    <w:abstractNumId w:val="5"/>
  </w:num>
  <w:num w:numId="20" w16cid:durableId="530264984">
    <w:abstractNumId w:val="1"/>
  </w:num>
  <w:num w:numId="21" w16cid:durableId="509561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6AED"/>
    <w:rsid w:val="00015A2E"/>
    <w:rsid w:val="00033700"/>
    <w:rsid w:val="00035BED"/>
    <w:rsid w:val="0004181B"/>
    <w:rsid w:val="00061AD2"/>
    <w:rsid w:val="000706D4"/>
    <w:rsid w:val="00077558"/>
    <w:rsid w:val="000863D4"/>
    <w:rsid w:val="0008665F"/>
    <w:rsid w:val="00095AB5"/>
    <w:rsid w:val="000A6B88"/>
    <w:rsid w:val="000B3C4C"/>
    <w:rsid w:val="000B6385"/>
    <w:rsid w:val="000B656F"/>
    <w:rsid w:val="000B72DF"/>
    <w:rsid w:val="000C3EDF"/>
    <w:rsid w:val="000D1870"/>
    <w:rsid w:val="000D2E81"/>
    <w:rsid w:val="000D4BA2"/>
    <w:rsid w:val="000D6714"/>
    <w:rsid w:val="000E2833"/>
    <w:rsid w:val="000F0D1B"/>
    <w:rsid w:val="000F54AF"/>
    <w:rsid w:val="00104CDE"/>
    <w:rsid w:val="00115944"/>
    <w:rsid w:val="00117C30"/>
    <w:rsid w:val="0012373E"/>
    <w:rsid w:val="001360A5"/>
    <w:rsid w:val="0016273A"/>
    <w:rsid w:val="0017382A"/>
    <w:rsid w:val="00181B1A"/>
    <w:rsid w:val="0019130B"/>
    <w:rsid w:val="001A5256"/>
    <w:rsid w:val="001B3879"/>
    <w:rsid w:val="001C35F7"/>
    <w:rsid w:val="001C796D"/>
    <w:rsid w:val="001E7746"/>
    <w:rsid w:val="001F0774"/>
    <w:rsid w:val="001F1218"/>
    <w:rsid w:val="001F1E64"/>
    <w:rsid w:val="001F5947"/>
    <w:rsid w:val="001F6ED2"/>
    <w:rsid w:val="002016B4"/>
    <w:rsid w:val="00204AB7"/>
    <w:rsid w:val="002055CF"/>
    <w:rsid w:val="00243EBB"/>
    <w:rsid w:val="00255C6B"/>
    <w:rsid w:val="00265D86"/>
    <w:rsid w:val="002750DC"/>
    <w:rsid w:val="00291CE8"/>
    <w:rsid w:val="00294852"/>
    <w:rsid w:val="00296127"/>
    <w:rsid w:val="00296765"/>
    <w:rsid w:val="002A673F"/>
    <w:rsid w:val="002B593E"/>
    <w:rsid w:val="002C1501"/>
    <w:rsid w:val="002C7CA4"/>
    <w:rsid w:val="002D0E97"/>
    <w:rsid w:val="002D3054"/>
    <w:rsid w:val="002E6E58"/>
    <w:rsid w:val="002F1F92"/>
    <w:rsid w:val="002F6F9E"/>
    <w:rsid w:val="0031515A"/>
    <w:rsid w:val="0032244E"/>
    <w:rsid w:val="0033143E"/>
    <w:rsid w:val="00336867"/>
    <w:rsid w:val="0034301D"/>
    <w:rsid w:val="0034318F"/>
    <w:rsid w:val="0034552B"/>
    <w:rsid w:val="003725A1"/>
    <w:rsid w:val="003868A2"/>
    <w:rsid w:val="00392A5B"/>
    <w:rsid w:val="0039655A"/>
    <w:rsid w:val="003A6D70"/>
    <w:rsid w:val="003B1F86"/>
    <w:rsid w:val="003C28EC"/>
    <w:rsid w:val="003C4627"/>
    <w:rsid w:val="003E6C1A"/>
    <w:rsid w:val="003F778E"/>
    <w:rsid w:val="0040640A"/>
    <w:rsid w:val="00406DB5"/>
    <w:rsid w:val="00422020"/>
    <w:rsid w:val="0042336D"/>
    <w:rsid w:val="00457EAE"/>
    <w:rsid w:val="004607E7"/>
    <w:rsid w:val="004768BE"/>
    <w:rsid w:val="004774E8"/>
    <w:rsid w:val="00477F73"/>
    <w:rsid w:val="0048355A"/>
    <w:rsid w:val="004843E0"/>
    <w:rsid w:val="00484781"/>
    <w:rsid w:val="00486108"/>
    <w:rsid w:val="00487CAE"/>
    <w:rsid w:val="004A125A"/>
    <w:rsid w:val="004A6219"/>
    <w:rsid w:val="004A6CBC"/>
    <w:rsid w:val="004B1A5D"/>
    <w:rsid w:val="004D0AF2"/>
    <w:rsid w:val="004D1520"/>
    <w:rsid w:val="004D3C53"/>
    <w:rsid w:val="004F4BFF"/>
    <w:rsid w:val="004F7F34"/>
    <w:rsid w:val="00505588"/>
    <w:rsid w:val="00512486"/>
    <w:rsid w:val="0052465B"/>
    <w:rsid w:val="00524CDD"/>
    <w:rsid w:val="005420CA"/>
    <w:rsid w:val="00547C68"/>
    <w:rsid w:val="00551629"/>
    <w:rsid w:val="00565A58"/>
    <w:rsid w:val="00573DCE"/>
    <w:rsid w:val="00574A0C"/>
    <w:rsid w:val="00577909"/>
    <w:rsid w:val="0058134F"/>
    <w:rsid w:val="00582E85"/>
    <w:rsid w:val="00587EE4"/>
    <w:rsid w:val="005910B5"/>
    <w:rsid w:val="00594CF7"/>
    <w:rsid w:val="005A1DF6"/>
    <w:rsid w:val="005A5D88"/>
    <w:rsid w:val="005A6118"/>
    <w:rsid w:val="005A64DA"/>
    <w:rsid w:val="005B446E"/>
    <w:rsid w:val="005C1D83"/>
    <w:rsid w:val="005E0904"/>
    <w:rsid w:val="005E19F9"/>
    <w:rsid w:val="005E650E"/>
    <w:rsid w:val="0062203F"/>
    <w:rsid w:val="00622D77"/>
    <w:rsid w:val="00627F34"/>
    <w:rsid w:val="00636B18"/>
    <w:rsid w:val="00637CA1"/>
    <w:rsid w:val="00640B0C"/>
    <w:rsid w:val="00645B32"/>
    <w:rsid w:val="00647CDD"/>
    <w:rsid w:val="00662334"/>
    <w:rsid w:val="0066617F"/>
    <w:rsid w:val="006720B4"/>
    <w:rsid w:val="00674A16"/>
    <w:rsid w:val="00674F66"/>
    <w:rsid w:val="006819E6"/>
    <w:rsid w:val="00683E1F"/>
    <w:rsid w:val="00691E10"/>
    <w:rsid w:val="006A0481"/>
    <w:rsid w:val="006B0ECD"/>
    <w:rsid w:val="006C653F"/>
    <w:rsid w:val="006F4B68"/>
    <w:rsid w:val="006F71F1"/>
    <w:rsid w:val="006F7DFC"/>
    <w:rsid w:val="00700997"/>
    <w:rsid w:val="00704AF2"/>
    <w:rsid w:val="0070776C"/>
    <w:rsid w:val="00710E68"/>
    <w:rsid w:val="00714BA0"/>
    <w:rsid w:val="00725B82"/>
    <w:rsid w:val="007269B6"/>
    <w:rsid w:val="00726E7A"/>
    <w:rsid w:val="0073294A"/>
    <w:rsid w:val="00732E52"/>
    <w:rsid w:val="00736607"/>
    <w:rsid w:val="0075105F"/>
    <w:rsid w:val="00752801"/>
    <w:rsid w:val="007802F6"/>
    <w:rsid w:val="00785118"/>
    <w:rsid w:val="00785C47"/>
    <w:rsid w:val="00786BEB"/>
    <w:rsid w:val="007A3747"/>
    <w:rsid w:val="007A403E"/>
    <w:rsid w:val="007A6D7B"/>
    <w:rsid w:val="007A75EA"/>
    <w:rsid w:val="007B710F"/>
    <w:rsid w:val="007C2536"/>
    <w:rsid w:val="007C62E4"/>
    <w:rsid w:val="007C77DD"/>
    <w:rsid w:val="007E3EA6"/>
    <w:rsid w:val="007F04AB"/>
    <w:rsid w:val="00803AE3"/>
    <w:rsid w:val="008042E1"/>
    <w:rsid w:val="00804D63"/>
    <w:rsid w:val="00806B9D"/>
    <w:rsid w:val="00812777"/>
    <w:rsid w:val="00816554"/>
    <w:rsid w:val="008230FA"/>
    <w:rsid w:val="00823D54"/>
    <w:rsid w:val="008363C7"/>
    <w:rsid w:val="0084129E"/>
    <w:rsid w:val="00843390"/>
    <w:rsid w:val="00846373"/>
    <w:rsid w:val="00846ECB"/>
    <w:rsid w:val="008568AE"/>
    <w:rsid w:val="00860590"/>
    <w:rsid w:val="00861316"/>
    <w:rsid w:val="008614E8"/>
    <w:rsid w:val="00867EDF"/>
    <w:rsid w:val="008734D7"/>
    <w:rsid w:val="00875F0D"/>
    <w:rsid w:val="00877414"/>
    <w:rsid w:val="008825E7"/>
    <w:rsid w:val="008A03B7"/>
    <w:rsid w:val="008C2197"/>
    <w:rsid w:val="008C3493"/>
    <w:rsid w:val="008D10A0"/>
    <w:rsid w:val="008D11A6"/>
    <w:rsid w:val="008D1F7B"/>
    <w:rsid w:val="008D2D64"/>
    <w:rsid w:val="008E21BE"/>
    <w:rsid w:val="00902E07"/>
    <w:rsid w:val="00913B1B"/>
    <w:rsid w:val="00916E16"/>
    <w:rsid w:val="00927861"/>
    <w:rsid w:val="00935BF3"/>
    <w:rsid w:val="0094148C"/>
    <w:rsid w:val="00942635"/>
    <w:rsid w:val="009437FF"/>
    <w:rsid w:val="00947783"/>
    <w:rsid w:val="00954FE8"/>
    <w:rsid w:val="00955A33"/>
    <w:rsid w:val="00967866"/>
    <w:rsid w:val="009726E0"/>
    <w:rsid w:val="00990822"/>
    <w:rsid w:val="009A058A"/>
    <w:rsid w:val="009C4A31"/>
    <w:rsid w:val="009D5AA3"/>
    <w:rsid w:val="009E00C2"/>
    <w:rsid w:val="009F6FD2"/>
    <w:rsid w:val="009F78D3"/>
    <w:rsid w:val="00A070DC"/>
    <w:rsid w:val="00A31F37"/>
    <w:rsid w:val="00A4732A"/>
    <w:rsid w:val="00A57D26"/>
    <w:rsid w:val="00A7166B"/>
    <w:rsid w:val="00A71B4C"/>
    <w:rsid w:val="00A72DEB"/>
    <w:rsid w:val="00A816B8"/>
    <w:rsid w:val="00A83BA0"/>
    <w:rsid w:val="00A84F18"/>
    <w:rsid w:val="00A85045"/>
    <w:rsid w:val="00A95738"/>
    <w:rsid w:val="00A97B7D"/>
    <w:rsid w:val="00AA2252"/>
    <w:rsid w:val="00AA4825"/>
    <w:rsid w:val="00AB33E1"/>
    <w:rsid w:val="00AC1C3B"/>
    <w:rsid w:val="00AC4214"/>
    <w:rsid w:val="00AC6E70"/>
    <w:rsid w:val="00AD1646"/>
    <w:rsid w:val="00AD7AB4"/>
    <w:rsid w:val="00AF038B"/>
    <w:rsid w:val="00AF78FA"/>
    <w:rsid w:val="00B078F6"/>
    <w:rsid w:val="00B20AEB"/>
    <w:rsid w:val="00B26045"/>
    <w:rsid w:val="00B35A75"/>
    <w:rsid w:val="00B36999"/>
    <w:rsid w:val="00B44C55"/>
    <w:rsid w:val="00B46A95"/>
    <w:rsid w:val="00B5114C"/>
    <w:rsid w:val="00B5123C"/>
    <w:rsid w:val="00B530CC"/>
    <w:rsid w:val="00B544C2"/>
    <w:rsid w:val="00B5566F"/>
    <w:rsid w:val="00B630A6"/>
    <w:rsid w:val="00B70CC4"/>
    <w:rsid w:val="00B87E88"/>
    <w:rsid w:val="00BA4C77"/>
    <w:rsid w:val="00BB02DE"/>
    <w:rsid w:val="00BB371A"/>
    <w:rsid w:val="00BB59C8"/>
    <w:rsid w:val="00BD5E06"/>
    <w:rsid w:val="00BD7B25"/>
    <w:rsid w:val="00BE1AFF"/>
    <w:rsid w:val="00BF375F"/>
    <w:rsid w:val="00BF74E9"/>
    <w:rsid w:val="00C06D33"/>
    <w:rsid w:val="00C2354C"/>
    <w:rsid w:val="00C247CB"/>
    <w:rsid w:val="00C300A8"/>
    <w:rsid w:val="00C31336"/>
    <w:rsid w:val="00C32D18"/>
    <w:rsid w:val="00C360BD"/>
    <w:rsid w:val="00C476E1"/>
    <w:rsid w:val="00C52E77"/>
    <w:rsid w:val="00C566B3"/>
    <w:rsid w:val="00C65249"/>
    <w:rsid w:val="00C67B32"/>
    <w:rsid w:val="00C72007"/>
    <w:rsid w:val="00C75C83"/>
    <w:rsid w:val="00C80F5D"/>
    <w:rsid w:val="00C837BA"/>
    <w:rsid w:val="00C90245"/>
    <w:rsid w:val="00C95346"/>
    <w:rsid w:val="00CA3B23"/>
    <w:rsid w:val="00CA62F6"/>
    <w:rsid w:val="00CB0C1D"/>
    <w:rsid w:val="00CC30F2"/>
    <w:rsid w:val="00CC5AA2"/>
    <w:rsid w:val="00CC721A"/>
    <w:rsid w:val="00CD0389"/>
    <w:rsid w:val="00CD0963"/>
    <w:rsid w:val="00CD1A90"/>
    <w:rsid w:val="00CD5A88"/>
    <w:rsid w:val="00CD5C71"/>
    <w:rsid w:val="00CD7083"/>
    <w:rsid w:val="00CE3D42"/>
    <w:rsid w:val="00CE53E6"/>
    <w:rsid w:val="00CE53F7"/>
    <w:rsid w:val="00CE66B6"/>
    <w:rsid w:val="00CF539A"/>
    <w:rsid w:val="00CF6131"/>
    <w:rsid w:val="00D00020"/>
    <w:rsid w:val="00D06EAA"/>
    <w:rsid w:val="00D07859"/>
    <w:rsid w:val="00D15D32"/>
    <w:rsid w:val="00D36733"/>
    <w:rsid w:val="00D471B5"/>
    <w:rsid w:val="00D471C4"/>
    <w:rsid w:val="00D5051A"/>
    <w:rsid w:val="00D571DB"/>
    <w:rsid w:val="00D6774D"/>
    <w:rsid w:val="00D73999"/>
    <w:rsid w:val="00D75191"/>
    <w:rsid w:val="00D76195"/>
    <w:rsid w:val="00D80929"/>
    <w:rsid w:val="00D85254"/>
    <w:rsid w:val="00D92FCF"/>
    <w:rsid w:val="00DA4328"/>
    <w:rsid w:val="00DC1D2F"/>
    <w:rsid w:val="00DC4FFC"/>
    <w:rsid w:val="00DE5F5D"/>
    <w:rsid w:val="00DE6938"/>
    <w:rsid w:val="00DE79F7"/>
    <w:rsid w:val="00DE7A98"/>
    <w:rsid w:val="00DF2F8F"/>
    <w:rsid w:val="00DF6BE4"/>
    <w:rsid w:val="00E137AD"/>
    <w:rsid w:val="00E157BC"/>
    <w:rsid w:val="00E16BAC"/>
    <w:rsid w:val="00E20744"/>
    <w:rsid w:val="00E3496E"/>
    <w:rsid w:val="00E409C9"/>
    <w:rsid w:val="00E414EC"/>
    <w:rsid w:val="00E4514F"/>
    <w:rsid w:val="00E50E4A"/>
    <w:rsid w:val="00E51F56"/>
    <w:rsid w:val="00E56C3F"/>
    <w:rsid w:val="00E57552"/>
    <w:rsid w:val="00E650D0"/>
    <w:rsid w:val="00E76334"/>
    <w:rsid w:val="00E86771"/>
    <w:rsid w:val="00E91F5F"/>
    <w:rsid w:val="00EA350D"/>
    <w:rsid w:val="00EA5560"/>
    <w:rsid w:val="00EB12DD"/>
    <w:rsid w:val="00EB153E"/>
    <w:rsid w:val="00EB1F94"/>
    <w:rsid w:val="00EB3C4A"/>
    <w:rsid w:val="00EB57EB"/>
    <w:rsid w:val="00EC1E00"/>
    <w:rsid w:val="00ED50CF"/>
    <w:rsid w:val="00EE5945"/>
    <w:rsid w:val="00F06A2F"/>
    <w:rsid w:val="00F1152F"/>
    <w:rsid w:val="00F207B3"/>
    <w:rsid w:val="00F51BDD"/>
    <w:rsid w:val="00F5486B"/>
    <w:rsid w:val="00F62BC4"/>
    <w:rsid w:val="00F658E0"/>
    <w:rsid w:val="00F6686D"/>
    <w:rsid w:val="00F70C80"/>
    <w:rsid w:val="00F81783"/>
    <w:rsid w:val="00F859B7"/>
    <w:rsid w:val="00F877B4"/>
    <w:rsid w:val="00FB0924"/>
    <w:rsid w:val="00FB2D67"/>
    <w:rsid w:val="00FB3DBC"/>
    <w:rsid w:val="00FC1C44"/>
    <w:rsid w:val="00FD459D"/>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19977"/>
  <w15:chartTrackingRefBased/>
  <w15:docId w15:val="{62E15262-13DB-42EE-8B8F-EA364A6A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character" w:customStyle="1" w:styleId="ms-sitemapdirectional">
    <w:name w:val="ms-sitemapdirectional"/>
    <w:basedOn w:val="DefaultParagraphFont"/>
    <w:rsid w:val="009D5AA3"/>
  </w:style>
  <w:style w:type="paragraph" w:styleId="TOC2">
    <w:name w:val="toc 2"/>
    <w:basedOn w:val="Normal"/>
    <w:next w:val="Normal"/>
    <w:autoRedefine/>
    <w:uiPriority w:val="39"/>
    <w:rsid w:val="0058134F"/>
    <w:rPr>
      <w:color w:val="0000FF"/>
      <w:u w:val="single"/>
    </w:rPr>
  </w:style>
  <w:style w:type="paragraph" w:styleId="BalloonText">
    <w:name w:val="Balloon Text"/>
    <w:basedOn w:val="Normal"/>
    <w:link w:val="BalloonTextChar"/>
    <w:rsid w:val="00DE6938"/>
    <w:rPr>
      <w:rFonts w:ascii="Segoe UI" w:hAnsi="Segoe UI" w:cs="Segoe UI"/>
      <w:sz w:val="18"/>
      <w:szCs w:val="18"/>
    </w:rPr>
  </w:style>
  <w:style w:type="character" w:customStyle="1" w:styleId="BalloonTextChar">
    <w:name w:val="Balloon Text Char"/>
    <w:link w:val="BalloonText"/>
    <w:rsid w:val="00DE6938"/>
    <w:rPr>
      <w:rFonts w:ascii="Segoe UI" w:hAnsi="Segoe UI" w:cs="Segoe UI"/>
      <w:sz w:val="18"/>
      <w:szCs w:val="18"/>
    </w:rPr>
  </w:style>
  <w:style w:type="character" w:customStyle="1" w:styleId="FooterChar">
    <w:name w:val="Footer Char"/>
    <w:link w:val="Footer"/>
    <w:uiPriority w:val="99"/>
    <w:rsid w:val="00CD7083"/>
    <w:rPr>
      <w:rFonts w:ascii="Verdana" w:hAnsi="Verdana"/>
      <w:sz w:val="24"/>
      <w:szCs w:val="24"/>
    </w:rPr>
  </w:style>
  <w:style w:type="paragraph" w:styleId="Revision">
    <w:name w:val="Revision"/>
    <w:hidden/>
    <w:uiPriority w:val="99"/>
    <w:semiHidden/>
    <w:rsid w:val="00674F66"/>
    <w:rPr>
      <w:rFonts w:ascii="Verdana" w:hAnsi="Verdana"/>
      <w:sz w:val="24"/>
      <w:szCs w:val="24"/>
    </w:rPr>
  </w:style>
  <w:style w:type="character" w:styleId="UnresolvedMention">
    <w:name w:val="Unresolved Mention"/>
    <w:basedOn w:val="DefaultParagraphFont"/>
    <w:uiPriority w:val="99"/>
    <w:semiHidden/>
    <w:unhideWhenUsed/>
    <w:rsid w:val="0000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57565838">
      <w:bodyDiv w:val="1"/>
      <w:marLeft w:val="0"/>
      <w:marRight w:val="0"/>
      <w:marTop w:val="0"/>
      <w:marBottom w:val="0"/>
      <w:divBdr>
        <w:top w:val="none" w:sz="0" w:space="0" w:color="auto"/>
        <w:left w:val="none" w:sz="0" w:space="0" w:color="auto"/>
        <w:bottom w:val="none" w:sz="0" w:space="0" w:color="auto"/>
        <w:right w:val="none" w:sz="0" w:space="0" w:color="auto"/>
      </w:divBdr>
    </w:div>
    <w:div w:id="42148893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11551829">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827BE-3898-444E-B765-C151C5DAD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CE170C7B-26AA-45BE-BA2B-B6C57CE6E510}">
  <ds:schemaRefs>
    <ds:schemaRef ds:uri="http://schemas.openxmlformats.org/officeDocument/2006/bibliography"/>
  </ds:schemaRefs>
</ds:datastoreItem>
</file>

<file path=customXml/itemProps4.xml><?xml version="1.0" encoding="utf-8"?>
<ds:datastoreItem xmlns:ds="http://schemas.openxmlformats.org/officeDocument/2006/customXml" ds:itemID="{F0A7535A-696B-4C28-9CE5-2C624F8F54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6</Pages>
  <Words>647</Words>
  <Characters>3688</Characters>
  <Application>Microsoft Office Word</Application>
  <DocSecurity>2</DocSecurity>
  <Lines>30</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4327</CharactersWithSpaces>
  <SharedDoc>false</SharedDoc>
  <HLinks>
    <vt:vector size="78" baseType="variant">
      <vt:variant>
        <vt:i4>262192</vt:i4>
      </vt:variant>
      <vt:variant>
        <vt:i4>39</vt:i4>
      </vt:variant>
      <vt:variant>
        <vt:i4>0</vt:i4>
      </vt:variant>
      <vt:variant>
        <vt:i4>5</vt:i4>
      </vt:variant>
      <vt:variant>
        <vt:lpwstr/>
      </vt:variant>
      <vt:variant>
        <vt:lpwstr>_top</vt:lpwstr>
      </vt:variant>
      <vt:variant>
        <vt:i4>917532</vt:i4>
      </vt:variant>
      <vt:variant>
        <vt:i4>36</vt:i4>
      </vt:variant>
      <vt:variant>
        <vt:i4>0</vt:i4>
      </vt:variant>
      <vt:variant>
        <vt:i4>5</vt:i4>
      </vt:variant>
      <vt:variant>
        <vt:lpwstr>../../../../AppData/Local/Microsoft/Windows/INetCache/AppData/Local/Microsoft/Windows/INetCache/Content.Outlook/WY47H1SD/CMS-2-017428</vt:lpwstr>
      </vt:variant>
      <vt:variant>
        <vt:lpwstr/>
      </vt:variant>
      <vt:variant>
        <vt:i4>2424887</vt:i4>
      </vt:variant>
      <vt:variant>
        <vt:i4>33</vt:i4>
      </vt:variant>
      <vt:variant>
        <vt:i4>0</vt:i4>
      </vt:variant>
      <vt:variant>
        <vt:i4>5</vt:i4>
      </vt:variant>
      <vt:variant>
        <vt:lpwstr>https://policy.corp.cvscaremark.com/pnp/faces/DocRenderer?documentId=CALL-0049</vt:lpwstr>
      </vt:variant>
      <vt:variant>
        <vt:lpwstr/>
      </vt:variant>
      <vt:variant>
        <vt:i4>262192</vt:i4>
      </vt:variant>
      <vt:variant>
        <vt:i4>30</vt:i4>
      </vt:variant>
      <vt:variant>
        <vt:i4>0</vt:i4>
      </vt:variant>
      <vt:variant>
        <vt:i4>5</vt:i4>
      </vt:variant>
      <vt:variant>
        <vt:lpwstr/>
      </vt:variant>
      <vt:variant>
        <vt:lpwstr>_top</vt:lpwstr>
      </vt:variant>
      <vt:variant>
        <vt:i4>262192</vt:i4>
      </vt:variant>
      <vt:variant>
        <vt:i4>27</vt:i4>
      </vt:variant>
      <vt:variant>
        <vt:i4>0</vt:i4>
      </vt:variant>
      <vt:variant>
        <vt:i4>5</vt:i4>
      </vt:variant>
      <vt:variant>
        <vt:lpwstr/>
      </vt:variant>
      <vt:variant>
        <vt:lpwstr>_top</vt:lpwstr>
      </vt:variant>
      <vt:variant>
        <vt:i4>8323104</vt:i4>
      </vt:variant>
      <vt:variant>
        <vt:i4>24</vt:i4>
      </vt:variant>
      <vt:variant>
        <vt:i4>0</vt:i4>
      </vt:variant>
      <vt:variant>
        <vt:i4>5</vt:i4>
      </vt:variant>
      <vt:variant>
        <vt:lpwstr>../../../../../z174016/AppData/Local/Microsoft/Windows/INetCache/Downloads/CMS-PRD1-058827</vt:lpwstr>
      </vt:variant>
      <vt:variant>
        <vt:lpwstr/>
      </vt:variant>
      <vt:variant>
        <vt:i4>1310799</vt:i4>
      </vt:variant>
      <vt:variant>
        <vt:i4>21</vt:i4>
      </vt:variant>
      <vt:variant>
        <vt:i4>0</vt:i4>
      </vt:variant>
      <vt:variant>
        <vt:i4>5</vt:i4>
      </vt:variant>
      <vt:variant>
        <vt:lpwstr>../../../../../z174016/AppData/Local/Microsoft/Windows/Downloads/CMS-2-004776</vt:lpwstr>
      </vt:variant>
      <vt:variant>
        <vt:lpwstr/>
      </vt:variant>
      <vt:variant>
        <vt:i4>262192</vt:i4>
      </vt:variant>
      <vt:variant>
        <vt:i4>18</vt:i4>
      </vt:variant>
      <vt:variant>
        <vt:i4>0</vt:i4>
      </vt:variant>
      <vt:variant>
        <vt:i4>5</vt:i4>
      </vt:variant>
      <vt:variant>
        <vt:lpwstr/>
      </vt:variant>
      <vt:variant>
        <vt:lpwstr>_top</vt:lpwstr>
      </vt:variant>
      <vt:variant>
        <vt:i4>6094937</vt:i4>
      </vt:variant>
      <vt:variant>
        <vt:i4>15</vt:i4>
      </vt:variant>
      <vt:variant>
        <vt:i4>0</vt:i4>
      </vt:variant>
      <vt:variant>
        <vt:i4>5</vt:i4>
      </vt:variant>
      <vt:variant>
        <vt:lpwstr>../../../../../z174016/AppData/Local/Microsoft/Windows/AppData/Local/Microsoft/Windows/Temporary Internet Files/Content.Outlook/DMPOWVB1/CMS-PRD1-060205</vt:lpwstr>
      </vt:variant>
      <vt:variant>
        <vt:lpwstr/>
      </vt:variant>
      <vt:variant>
        <vt:i4>1638461</vt:i4>
      </vt:variant>
      <vt:variant>
        <vt:i4>11</vt:i4>
      </vt:variant>
      <vt:variant>
        <vt:i4>0</vt:i4>
      </vt:variant>
      <vt:variant>
        <vt:i4>5</vt:i4>
      </vt:variant>
      <vt:variant>
        <vt:lpwstr/>
      </vt:variant>
      <vt:variant>
        <vt:lpwstr>_Toc49847360</vt:lpwstr>
      </vt:variant>
      <vt:variant>
        <vt:i4>1048638</vt:i4>
      </vt:variant>
      <vt:variant>
        <vt:i4>8</vt:i4>
      </vt:variant>
      <vt:variant>
        <vt:i4>0</vt:i4>
      </vt:variant>
      <vt:variant>
        <vt:i4>5</vt:i4>
      </vt:variant>
      <vt:variant>
        <vt:lpwstr/>
      </vt:variant>
      <vt:variant>
        <vt:lpwstr>_Toc49847359</vt:lpwstr>
      </vt:variant>
      <vt:variant>
        <vt:i4>1114174</vt:i4>
      </vt:variant>
      <vt:variant>
        <vt:i4>5</vt:i4>
      </vt:variant>
      <vt:variant>
        <vt:i4>0</vt:i4>
      </vt:variant>
      <vt:variant>
        <vt:i4>5</vt:i4>
      </vt:variant>
      <vt:variant>
        <vt:lpwstr/>
      </vt:variant>
      <vt:variant>
        <vt:lpwstr>_Toc49847358</vt:lpwstr>
      </vt:variant>
      <vt:variant>
        <vt:i4>1966142</vt:i4>
      </vt:variant>
      <vt:variant>
        <vt:i4>2</vt:i4>
      </vt:variant>
      <vt:variant>
        <vt:i4>0</vt:i4>
      </vt:variant>
      <vt:variant>
        <vt:i4>5</vt:i4>
      </vt:variant>
      <vt:variant>
        <vt:lpwstr/>
      </vt:variant>
      <vt:variant>
        <vt:lpwstr>_Toc49847357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2018-03-12T13:56:00Z</cp:lastPrinted>
  <dcterms:created xsi:type="dcterms:W3CDTF">2025-09-08T16:45:00Z</dcterms:created>
  <dcterms:modified xsi:type="dcterms:W3CDTF">2025-09-08T16:45:00Z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0x010100BA6F2B3C1958C64099989C83849CBEF8</vt:lpwstr>
  </property>
  <property fmtid="{D5CDD505-2E9C-101B-9397-08002B2CF9AE}" pid="3" name="MSIP_Label_67599526-06ca-49cc-9fa9-5307800a949a_Enabled">
    <vt:lpwstr>true</vt:lpwstr>
  </property>
  <property fmtid="{D5CDD505-2E9C-101B-9397-08002B2CF9AE}" pid="4" name="MSIP_Label_67599526-06ca-49cc-9fa9-5307800a949a_SetDate">
    <vt:lpwstr>2022-06-10T17:10:35Z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fc2ca977-96c4-4400-8c91-f8bb888cf300</vt:lpwstr>
  </property>
  <property fmtid="{D5CDD505-2E9C-101B-9397-08002B2CF9AE}" pid="9" name="MSIP_Label_67599526-06ca-49cc-9fa9-5307800a949a_ContentBits">
    <vt:lpwstr>0</vt:lpwstr>
  </property>
</Properties>
</file>