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5BE965F2" w:rsidR="00524CDD" w:rsidRPr="009D140D" w:rsidRDefault="008976F4" w:rsidP="001874F5">
      <w:pPr>
        <w:pStyle w:val="Heading1"/>
        <w:rPr>
          <w:rFonts w:ascii="Verdana" w:hAnsi="Verdana"/>
          <w:bCs/>
          <w:color w:val="auto"/>
          <w:sz w:val="36"/>
          <w:szCs w:val="36"/>
        </w:rPr>
      </w:pPr>
      <w:bookmarkStart w:id="0" w:name="_OneSource_Glossary_of"/>
      <w:bookmarkStart w:id="1" w:name="_Customer_Care_Abbreviations,"/>
      <w:bookmarkStart w:id="2" w:name="OLE_LINK15"/>
      <w:bookmarkEnd w:id="0"/>
      <w:bookmarkEnd w:id="1"/>
      <w:r w:rsidRPr="009D140D">
        <w:rPr>
          <w:rFonts w:ascii="Verdana" w:hAnsi="Verdana"/>
          <w:bCs/>
          <w:color w:val="auto"/>
          <w:sz w:val="36"/>
          <w:szCs w:val="36"/>
        </w:rPr>
        <w:t>Customer Care Abbreviati</w:t>
      </w:r>
      <w:r w:rsidR="005D266A" w:rsidRPr="009D140D">
        <w:rPr>
          <w:rFonts w:ascii="Verdana" w:hAnsi="Verdana"/>
          <w:bCs/>
          <w:color w:val="auto"/>
          <w:sz w:val="36"/>
          <w:szCs w:val="36"/>
        </w:rPr>
        <w:t>ons</w:t>
      </w:r>
      <w:r w:rsidR="00CC4BFE" w:rsidRPr="009D140D">
        <w:rPr>
          <w:rFonts w:ascii="Verdana" w:hAnsi="Verdana"/>
          <w:bCs/>
          <w:color w:val="auto"/>
          <w:sz w:val="36"/>
          <w:szCs w:val="36"/>
        </w:rPr>
        <w:t xml:space="preserve">, </w:t>
      </w:r>
      <w:r w:rsidR="005D266A" w:rsidRPr="009D140D">
        <w:rPr>
          <w:rFonts w:ascii="Verdana" w:hAnsi="Verdana"/>
          <w:bCs/>
          <w:color w:val="auto"/>
          <w:sz w:val="36"/>
          <w:szCs w:val="36"/>
        </w:rPr>
        <w:t>Definitions</w:t>
      </w:r>
      <w:r w:rsidR="00CC4BFE" w:rsidRPr="009D140D">
        <w:rPr>
          <w:rFonts w:ascii="Verdana" w:hAnsi="Verdana"/>
          <w:bCs/>
          <w:color w:val="auto"/>
          <w:sz w:val="36"/>
          <w:szCs w:val="36"/>
        </w:rPr>
        <w:t xml:space="preserve"> and Terms</w:t>
      </w:r>
      <w:r w:rsidR="002F06C9" w:rsidRPr="009D140D">
        <w:rPr>
          <w:rFonts w:ascii="Verdana" w:hAnsi="Verdana"/>
          <w:bCs/>
          <w:color w:val="auto"/>
          <w:sz w:val="36"/>
          <w:szCs w:val="36"/>
        </w:rPr>
        <w:t xml:space="preserve"> </w:t>
      </w:r>
      <w:r w:rsidR="00A0107B" w:rsidRPr="009D140D">
        <w:rPr>
          <w:rFonts w:ascii="Verdana" w:hAnsi="Verdana"/>
          <w:bCs/>
          <w:color w:val="auto"/>
          <w:sz w:val="36"/>
          <w:szCs w:val="36"/>
        </w:rPr>
        <w:t>- B</w:t>
      </w:r>
    </w:p>
    <w:bookmarkEnd w:id="2"/>
    <w:p w14:paraId="651F8FD8" w14:textId="72ACB515" w:rsidR="00930A3C" w:rsidRPr="009D140D" w:rsidRDefault="00930A3C" w:rsidP="00F15AAE">
      <w:pPr>
        <w:jc w:val="both"/>
        <w:rPr>
          <w:rFonts w:ascii="Verdana" w:hAnsi="Verdana"/>
          <w:b/>
          <w:color w:val="000000"/>
        </w:rPr>
      </w:pPr>
      <w:r w:rsidRPr="009D140D">
        <w:rPr>
          <w:rFonts w:ascii="Verdana" w:hAnsi="Verdana"/>
          <w:b/>
          <w:color w:val="000000"/>
        </w:rPr>
        <w:t xml:space="preserve">Each Alpha section </w:t>
      </w:r>
      <w:r w:rsidR="00C9521A" w:rsidRPr="009D140D">
        <w:rPr>
          <w:rFonts w:ascii="Verdana" w:hAnsi="Verdana"/>
          <w:b/>
          <w:color w:val="000000"/>
        </w:rPr>
        <w:t>will have</w:t>
      </w:r>
      <w:r w:rsidRPr="009D140D">
        <w:rPr>
          <w:rFonts w:ascii="Verdana" w:hAnsi="Verdana"/>
          <w:b/>
          <w:color w:val="000000"/>
        </w:rPr>
        <w:t xml:space="preserve"> two</w:t>
      </w:r>
      <w:r w:rsidR="00E347BE" w:rsidRPr="009D140D">
        <w:rPr>
          <w:rFonts w:ascii="Verdana" w:hAnsi="Verdana"/>
          <w:b/>
          <w:color w:val="000000"/>
        </w:rPr>
        <w:t xml:space="preserve"> </w:t>
      </w:r>
      <w:r w:rsidR="00AB2929" w:rsidRPr="009D140D">
        <w:rPr>
          <w:rFonts w:ascii="Verdana" w:hAnsi="Verdana"/>
          <w:b/>
          <w:color w:val="000000"/>
        </w:rPr>
        <w:t xml:space="preserve">separate tables:  </w:t>
      </w:r>
    </w:p>
    <w:p w14:paraId="2816E4AE" w14:textId="7B372789" w:rsidR="00930A3C" w:rsidRPr="009D140D" w:rsidRDefault="00930A3C" w:rsidP="00180D96">
      <w:pPr>
        <w:numPr>
          <w:ilvl w:val="0"/>
          <w:numId w:val="118"/>
        </w:numPr>
        <w:jc w:val="both"/>
        <w:rPr>
          <w:rFonts w:ascii="Verdana" w:hAnsi="Verdana"/>
          <w:bCs/>
          <w:color w:val="000000"/>
        </w:rPr>
      </w:pPr>
      <w:r w:rsidRPr="009D140D">
        <w:rPr>
          <w:rFonts w:ascii="Verdana" w:hAnsi="Verdana"/>
          <w:b/>
          <w:color w:val="000000"/>
        </w:rPr>
        <w:t xml:space="preserve"> </w:t>
      </w:r>
      <w:r w:rsidRPr="009D140D">
        <w:rPr>
          <w:rFonts w:ascii="Verdana" w:hAnsi="Verdana"/>
          <w:bCs/>
          <w:color w:val="000000"/>
        </w:rPr>
        <w:t>Abbreviation, Term and Definition</w:t>
      </w:r>
    </w:p>
    <w:p w14:paraId="4093D2D2" w14:textId="1B79583B" w:rsidR="00930A3C" w:rsidRPr="009D140D" w:rsidRDefault="00930A3C" w:rsidP="00180D96">
      <w:pPr>
        <w:numPr>
          <w:ilvl w:val="0"/>
          <w:numId w:val="118"/>
        </w:numPr>
        <w:jc w:val="both"/>
        <w:rPr>
          <w:rFonts w:ascii="Verdana" w:hAnsi="Verdana"/>
          <w:bCs/>
          <w:color w:val="000000"/>
        </w:rPr>
      </w:pPr>
      <w:r w:rsidRPr="009D140D">
        <w:rPr>
          <w:rFonts w:ascii="Verdana" w:hAnsi="Verdana"/>
          <w:bCs/>
          <w:color w:val="000000"/>
        </w:rPr>
        <w:t xml:space="preserve"> Term and Definition </w:t>
      </w:r>
    </w:p>
    <w:p w14:paraId="7A90F651" w14:textId="264679D6" w:rsidR="00930A3C" w:rsidRPr="009D140D" w:rsidRDefault="00930A3C" w:rsidP="00930A3C">
      <w:pPr>
        <w:jc w:val="both"/>
        <w:rPr>
          <w:rFonts w:ascii="Verdana" w:hAnsi="Verdana"/>
          <w:b/>
          <w:color w:val="000000"/>
        </w:rPr>
      </w:pPr>
    </w:p>
    <w:p w14:paraId="78BCDCAF" w14:textId="676AF5D3" w:rsidR="00930A3C" w:rsidRPr="009D140D" w:rsidRDefault="00930A3C" w:rsidP="00930A3C">
      <w:pPr>
        <w:jc w:val="both"/>
        <w:rPr>
          <w:rFonts w:ascii="Verdana" w:hAnsi="Verdana"/>
          <w:b/>
          <w:color w:val="000000"/>
        </w:rPr>
      </w:pPr>
      <w:r w:rsidRPr="009D140D">
        <w:rPr>
          <w:rFonts w:ascii="Verdana" w:hAnsi="Verdana"/>
          <w:b/>
          <w:color w:val="000000"/>
        </w:rPr>
        <w:t xml:space="preserve">Note:  </w:t>
      </w:r>
      <w:r w:rsidRPr="009D140D">
        <w:rPr>
          <w:rFonts w:ascii="Verdana" w:hAnsi="Verdana"/>
          <w:bCs/>
          <w:color w:val="000000"/>
        </w:rPr>
        <w:t xml:space="preserve">Terms </w:t>
      </w:r>
      <w:r w:rsidR="00E96762" w:rsidRPr="009D140D">
        <w:rPr>
          <w:rFonts w:ascii="Verdana" w:hAnsi="Verdana"/>
          <w:bCs/>
          <w:color w:val="000000"/>
        </w:rPr>
        <w:t>are not</w:t>
      </w:r>
      <w:r w:rsidRPr="009D140D">
        <w:rPr>
          <w:rFonts w:ascii="Verdana" w:hAnsi="Verdana"/>
          <w:bCs/>
          <w:color w:val="000000"/>
        </w:rPr>
        <w:t xml:space="preserve"> duplicated in</w:t>
      </w:r>
      <w:r w:rsidR="00AB2929" w:rsidRPr="009D140D">
        <w:rPr>
          <w:rFonts w:ascii="Verdana" w:hAnsi="Verdana"/>
          <w:bCs/>
          <w:color w:val="000000"/>
        </w:rPr>
        <w:t xml:space="preserve"> </w:t>
      </w:r>
      <w:r w:rsidRPr="009D140D">
        <w:rPr>
          <w:rFonts w:ascii="Verdana" w:hAnsi="Verdana"/>
          <w:bCs/>
          <w:color w:val="000000"/>
        </w:rPr>
        <w:t>both lists</w:t>
      </w:r>
      <w:r w:rsidRPr="009D140D">
        <w:rPr>
          <w:rFonts w:ascii="Verdana" w:hAnsi="Verdana"/>
          <w:b/>
          <w:color w:val="000000"/>
        </w:rPr>
        <w:t>.</w:t>
      </w:r>
    </w:p>
    <w:p w14:paraId="13BD45E6" w14:textId="77777777" w:rsidR="00930A3C" w:rsidRPr="009D140D" w:rsidRDefault="00930A3C" w:rsidP="00F15AAE">
      <w:pPr>
        <w:jc w:val="both"/>
        <w:rPr>
          <w:rFonts w:ascii="Verdana" w:hAnsi="Verdana"/>
          <w:b/>
          <w:color w:val="000000"/>
        </w:rPr>
      </w:pPr>
    </w:p>
    <w:p w14:paraId="5C6A83F7" w14:textId="61A8E818" w:rsidR="0090482D" w:rsidRPr="009D140D" w:rsidRDefault="00B66786" w:rsidP="00F15AAE">
      <w:pPr>
        <w:jc w:val="both"/>
        <w:rPr>
          <w:rFonts w:ascii="Verdana" w:hAnsi="Verdana"/>
          <w:b/>
        </w:rPr>
      </w:pPr>
      <w:r w:rsidRPr="009D140D">
        <w:rPr>
          <w:rFonts w:ascii="Verdana" w:hAnsi="Verdana"/>
          <w:b/>
          <w:color w:val="000000"/>
        </w:rPr>
        <w:t>Quicker Search Results</w:t>
      </w:r>
      <w:r w:rsidRPr="00E12314">
        <w:rPr>
          <w:rFonts w:ascii="Verdana" w:hAnsi="Verdana"/>
          <w:b/>
          <w:bCs/>
          <w:color w:val="000000"/>
        </w:rPr>
        <w:t>:</w:t>
      </w:r>
      <w:r w:rsidRPr="009D140D">
        <w:rPr>
          <w:rFonts w:ascii="Verdana" w:hAnsi="Verdana"/>
          <w:b/>
        </w:rPr>
        <w:t xml:space="preserve"> </w:t>
      </w:r>
      <w:r w:rsidR="00E12314">
        <w:rPr>
          <w:rFonts w:ascii="Verdana" w:hAnsi="Verdana"/>
          <w:b/>
        </w:rPr>
        <w:t xml:space="preserve"> </w:t>
      </w:r>
      <w:r w:rsidRPr="009D140D">
        <w:rPr>
          <w:rFonts w:ascii="Verdana" w:hAnsi="Verdana"/>
          <w:b/>
        </w:rPr>
        <w:t xml:space="preserve">Depress Ctrl+F </w:t>
      </w:r>
      <w:r w:rsidRPr="009D140D">
        <w:rPr>
          <w:b/>
        </w:rPr>
        <w:t>→</w:t>
      </w:r>
      <w:r w:rsidRPr="009D140D">
        <w:rPr>
          <w:rFonts w:ascii="Verdana" w:hAnsi="Verdana"/>
          <w:b/>
        </w:rPr>
        <w:t xml:space="preserve"> Type in Keyword </w:t>
      </w:r>
      <w:r w:rsidRPr="009D140D">
        <w:rPr>
          <w:b/>
        </w:rPr>
        <w:t>→</w:t>
      </w:r>
      <w:r w:rsidRPr="009D140D">
        <w:rPr>
          <w:rFonts w:ascii="Verdana" w:hAnsi="Verdana"/>
          <w:b/>
        </w:rPr>
        <w:t xml:space="preserve"> Click Find Next</w:t>
      </w:r>
    </w:p>
    <w:p w14:paraId="7D55850D" w14:textId="77777777" w:rsidR="00F25025" w:rsidRDefault="00F25025" w:rsidP="00F15AAE">
      <w:pPr>
        <w:jc w:val="both"/>
        <w:rPr>
          <w:rFonts w:ascii="Verdana" w:hAnsi="Verdana"/>
          <w:b/>
        </w:rPr>
      </w:pPr>
    </w:p>
    <w:p w14:paraId="632107AA" w14:textId="77777777" w:rsidR="00F25025" w:rsidRPr="0025615F" w:rsidRDefault="00F25025" w:rsidP="00F15AAE">
      <w:pPr>
        <w:jc w:val="right"/>
        <w:rPr>
          <w:rFonts w:ascii="Verdana" w:hAnsi="Verdana"/>
        </w:rPr>
      </w:pPr>
      <w:bookmarkStart w:id="3" w:name="_A_1"/>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5025" w:rsidRPr="0025615F" w14:paraId="1C32DA73" w14:textId="77777777" w:rsidTr="00F25025">
        <w:tc>
          <w:tcPr>
            <w:tcW w:w="5000" w:type="pct"/>
            <w:tcBorders>
              <w:bottom w:val="single" w:sz="4" w:space="0" w:color="auto"/>
            </w:tcBorders>
            <w:shd w:val="clear" w:color="auto" w:fill="C0C0C0"/>
          </w:tcPr>
          <w:p w14:paraId="052FF767" w14:textId="77777777" w:rsidR="00F25025" w:rsidRPr="009E5748" w:rsidRDefault="00F25025" w:rsidP="008D4A43">
            <w:pPr>
              <w:pStyle w:val="Heading2"/>
              <w:spacing w:before="120" w:after="120"/>
              <w:rPr>
                <w:rFonts w:ascii="Verdana" w:hAnsi="Verdana"/>
                <w:i w:val="0"/>
                <w:iCs w:val="0"/>
                <w14:shadow w14:blurRad="50800" w14:dist="38100" w14:dir="2700000" w14:sx="100000" w14:sy="100000" w14:kx="0" w14:ky="0" w14:algn="tl">
                  <w14:srgbClr w14:val="000000">
                    <w14:alpha w14:val="60000"/>
                  </w14:srgbClr>
                </w14:shadow>
              </w:rPr>
            </w:pPr>
            <w:bookmarkStart w:id="4" w:name="_B_1"/>
            <w:bookmarkEnd w:id="4"/>
            <w:r w:rsidRPr="00E96762">
              <w:rPr>
                <w:rFonts w:ascii="Verdana" w:hAnsi="Verdana"/>
                <w:i w:val="0"/>
                <w:iCs w:val="0"/>
              </w:rPr>
              <w:t>B</w:t>
            </w:r>
          </w:p>
        </w:tc>
      </w:tr>
    </w:tbl>
    <w:p w14:paraId="65F331CF" w14:textId="4191B9C8" w:rsidR="00F25025" w:rsidRDefault="00F25025" w:rsidP="008D4A43">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2483"/>
        <w:gridCol w:w="8524"/>
      </w:tblGrid>
      <w:tr w:rsidR="00357199" w:rsidRPr="0025615F" w14:paraId="78EF3177" w14:textId="77777777" w:rsidTr="000F70A5">
        <w:tc>
          <w:tcPr>
            <w:tcW w:w="750" w:type="pct"/>
            <w:shd w:val="clear" w:color="auto" w:fill="D9D9D9" w:themeFill="background1" w:themeFillShade="D9"/>
          </w:tcPr>
          <w:p w14:paraId="59E90255" w14:textId="6A731EFD" w:rsidR="00357199" w:rsidRPr="00357199" w:rsidRDefault="00357199" w:rsidP="002D289F">
            <w:pPr>
              <w:spacing w:before="120" w:after="120"/>
              <w:jc w:val="center"/>
              <w:rPr>
                <w:rFonts w:ascii="Verdana" w:hAnsi="Verdana"/>
                <w:b/>
                <w:color w:val="000000"/>
              </w:rPr>
            </w:pPr>
            <w:r w:rsidRPr="00357199">
              <w:rPr>
                <w:rFonts w:ascii="Verdana" w:hAnsi="Verdana"/>
                <w:b/>
                <w:color w:val="000000"/>
              </w:rPr>
              <w:t>Abbreviation</w:t>
            </w:r>
          </w:p>
        </w:tc>
        <w:tc>
          <w:tcPr>
            <w:tcW w:w="959" w:type="pct"/>
            <w:shd w:val="clear" w:color="auto" w:fill="D9D9D9" w:themeFill="background1" w:themeFillShade="D9"/>
          </w:tcPr>
          <w:p w14:paraId="5B0B6D6A" w14:textId="5D78B955" w:rsidR="00357199" w:rsidRPr="00357199" w:rsidRDefault="00357199" w:rsidP="002D289F">
            <w:pPr>
              <w:spacing w:before="120" w:after="120"/>
              <w:jc w:val="center"/>
              <w:rPr>
                <w:rFonts w:ascii="Verdana" w:hAnsi="Verdana"/>
                <w:b/>
              </w:rPr>
            </w:pPr>
            <w:r w:rsidRPr="00357199">
              <w:rPr>
                <w:rFonts w:ascii="Verdana" w:hAnsi="Verdana"/>
                <w:b/>
              </w:rPr>
              <w:t>Term</w:t>
            </w:r>
          </w:p>
        </w:tc>
        <w:tc>
          <w:tcPr>
            <w:tcW w:w="3291" w:type="pct"/>
            <w:shd w:val="clear" w:color="auto" w:fill="D9D9D9" w:themeFill="background1" w:themeFillShade="D9"/>
          </w:tcPr>
          <w:p w14:paraId="607162FB" w14:textId="7B6AE185" w:rsidR="00357199" w:rsidRPr="00357199" w:rsidRDefault="00357199" w:rsidP="002D289F">
            <w:pPr>
              <w:spacing w:before="120" w:after="120"/>
              <w:jc w:val="center"/>
              <w:rPr>
                <w:rFonts w:ascii="Verdana" w:hAnsi="Verdana"/>
                <w:b/>
              </w:rPr>
            </w:pPr>
            <w:r w:rsidRPr="00357199">
              <w:rPr>
                <w:rFonts w:ascii="Verdana" w:hAnsi="Verdana"/>
                <w:b/>
              </w:rPr>
              <w:t>Definition</w:t>
            </w:r>
          </w:p>
        </w:tc>
      </w:tr>
      <w:tr w:rsidR="009F7199" w:rsidRPr="0025615F" w14:paraId="4CE2711A" w14:textId="77777777" w:rsidTr="000F70A5">
        <w:tc>
          <w:tcPr>
            <w:tcW w:w="750" w:type="pct"/>
          </w:tcPr>
          <w:p w14:paraId="5D6E1944" w14:textId="3641533F"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BA</w:t>
            </w:r>
            <w:r>
              <w:t xml:space="preserve"> </w:t>
            </w:r>
          </w:p>
        </w:tc>
        <w:tc>
          <w:tcPr>
            <w:tcW w:w="959" w:type="pct"/>
          </w:tcPr>
          <w:p w14:paraId="63CC3618" w14:textId="77777777" w:rsidR="00EB26B3" w:rsidRPr="0025615F" w:rsidRDefault="00EB26B3" w:rsidP="002D289F">
            <w:pPr>
              <w:spacing w:before="120" w:after="120"/>
              <w:rPr>
                <w:rFonts w:ascii="Verdana" w:hAnsi="Verdana"/>
              </w:rPr>
            </w:pPr>
            <w:r w:rsidRPr="0025615F">
              <w:rPr>
                <w:rFonts w:ascii="Verdana" w:hAnsi="Verdana"/>
              </w:rPr>
              <w:t>Behavioral</w:t>
            </w:r>
            <w:r>
              <w:rPr>
                <w:rFonts w:ascii="Verdana" w:hAnsi="Verdana"/>
              </w:rPr>
              <w:t xml:space="preserve"> </w:t>
            </w:r>
            <w:r w:rsidRPr="0025615F">
              <w:rPr>
                <w:rFonts w:ascii="Verdana" w:hAnsi="Verdana"/>
              </w:rPr>
              <w:t>Analytics</w:t>
            </w:r>
          </w:p>
        </w:tc>
        <w:tc>
          <w:tcPr>
            <w:tcW w:w="3291" w:type="pct"/>
          </w:tcPr>
          <w:p w14:paraId="2C44223E" w14:textId="511B8779" w:rsidR="00EB26B3" w:rsidRPr="0025615F" w:rsidRDefault="00603F21" w:rsidP="002D289F">
            <w:pPr>
              <w:spacing w:before="120" w:after="120"/>
              <w:rPr>
                <w:rFonts w:ascii="Verdana" w:hAnsi="Verdana"/>
              </w:rPr>
            </w:pPr>
            <w:r>
              <w:rPr>
                <w:rFonts w:ascii="Verdana" w:hAnsi="Verdana"/>
              </w:rPr>
              <w:t>This is the webtool that is used</w:t>
            </w:r>
            <w:r w:rsidR="004517A6">
              <w:rPr>
                <w:rFonts w:ascii="Verdana" w:hAnsi="Verdana"/>
              </w:rPr>
              <w:t xml:space="preserve"> by representatives, supervisors, and management</w:t>
            </w:r>
            <w:r>
              <w:rPr>
                <w:rFonts w:ascii="Verdana" w:hAnsi="Verdana"/>
              </w:rPr>
              <w:t xml:space="preserve"> to analyze calls for quality and training purposes.</w:t>
            </w:r>
          </w:p>
        </w:tc>
      </w:tr>
      <w:tr w:rsidR="009F7199" w:rsidRPr="0025615F" w14:paraId="22FFFB50" w14:textId="77777777" w:rsidTr="000F70A5">
        <w:tc>
          <w:tcPr>
            <w:tcW w:w="750" w:type="pct"/>
          </w:tcPr>
          <w:p w14:paraId="2619BE59" w14:textId="13355CC9" w:rsidR="00EB26B3" w:rsidRPr="0025615F" w:rsidRDefault="002762C2" w:rsidP="002D289F">
            <w:pPr>
              <w:spacing w:before="120" w:after="120"/>
              <w:jc w:val="center"/>
              <w:rPr>
                <w:rFonts w:ascii="Verdana" w:hAnsi="Verdana"/>
                <w:b/>
                <w:color w:val="000000"/>
              </w:rPr>
            </w:pPr>
            <w:r>
              <w:rPr>
                <w:rFonts w:ascii="Verdana" w:hAnsi="Verdana"/>
                <w:b/>
                <w:bCs/>
              </w:rPr>
              <w:t xml:space="preserve"> </w:t>
            </w:r>
            <w:r w:rsidR="00EB26B3" w:rsidRPr="00306D27">
              <w:rPr>
                <w:rFonts w:ascii="Verdana" w:hAnsi="Verdana"/>
                <w:b/>
                <w:bCs/>
              </w:rPr>
              <w:t>BAE</w:t>
            </w:r>
          </w:p>
        </w:tc>
        <w:tc>
          <w:tcPr>
            <w:tcW w:w="959" w:type="pct"/>
          </w:tcPr>
          <w:p w14:paraId="44A8363F" w14:textId="77777777" w:rsidR="00EB26B3" w:rsidRPr="0025615F" w:rsidRDefault="00EB26B3" w:rsidP="002D289F">
            <w:pPr>
              <w:spacing w:before="120" w:after="120"/>
              <w:rPr>
                <w:rFonts w:ascii="Verdana" w:hAnsi="Verdana"/>
              </w:rPr>
            </w:pPr>
            <w:r w:rsidRPr="00364E45">
              <w:rPr>
                <w:rFonts w:ascii="Verdana" w:hAnsi="Verdana"/>
              </w:rPr>
              <w:t>Best Available Evidence</w:t>
            </w:r>
          </w:p>
        </w:tc>
        <w:tc>
          <w:tcPr>
            <w:tcW w:w="3291" w:type="pct"/>
          </w:tcPr>
          <w:p w14:paraId="0435E788" w14:textId="4D268B2A" w:rsidR="00EB26B3" w:rsidRPr="0025615F" w:rsidRDefault="003E3504" w:rsidP="002D289F">
            <w:pPr>
              <w:spacing w:before="120" w:after="120"/>
              <w:rPr>
                <w:rFonts w:ascii="Verdana" w:hAnsi="Verdana"/>
              </w:rPr>
            </w:pPr>
            <w:r>
              <w:rPr>
                <w:rFonts w:ascii="Verdana" w:hAnsi="Verdana"/>
              </w:rPr>
              <w:t>A process used to assist the beneficiary when the Low Income Subsidy, or Extra Help, information is not correct or present in our systems.</w:t>
            </w:r>
            <w:r w:rsidR="00706591">
              <w:rPr>
                <w:rFonts w:ascii="Verdana" w:hAnsi="Verdana"/>
              </w:rPr>
              <w:t xml:space="preserve"> When this occurs, CMS allows certain documentation to be submitted to confirm their eligibility for the Extra Help program.</w:t>
            </w:r>
          </w:p>
        </w:tc>
      </w:tr>
      <w:tr w:rsidR="009F7199" w:rsidRPr="0025615F" w14:paraId="3C34D2B3" w14:textId="77777777" w:rsidTr="000F70A5">
        <w:tc>
          <w:tcPr>
            <w:tcW w:w="750" w:type="pct"/>
          </w:tcPr>
          <w:p w14:paraId="5158FAA9"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w:t>
            </w:r>
            <w:r>
              <w:rPr>
                <w:rFonts w:ascii="Verdana" w:hAnsi="Verdana"/>
                <w:b/>
                <w:color w:val="000000"/>
              </w:rPr>
              <w:t>/</w:t>
            </w:r>
            <w:r w:rsidRPr="0025615F">
              <w:rPr>
                <w:rFonts w:ascii="Verdana" w:hAnsi="Verdana"/>
                <w:b/>
                <w:color w:val="000000"/>
              </w:rPr>
              <w:t>G</w:t>
            </w:r>
          </w:p>
        </w:tc>
        <w:tc>
          <w:tcPr>
            <w:tcW w:w="959" w:type="pct"/>
          </w:tcPr>
          <w:p w14:paraId="5D9513FD" w14:textId="77777777" w:rsidR="00EB26B3" w:rsidRPr="0025615F" w:rsidRDefault="00EB26B3" w:rsidP="002D289F">
            <w:pPr>
              <w:spacing w:before="120" w:after="120"/>
              <w:rPr>
                <w:rFonts w:ascii="Verdana" w:hAnsi="Verdana"/>
              </w:rPr>
            </w:pPr>
            <w:r w:rsidRPr="0025615F">
              <w:rPr>
                <w:rFonts w:ascii="Verdana" w:hAnsi="Verdana"/>
              </w:rPr>
              <w:t>Brand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Generic</w:t>
            </w:r>
          </w:p>
        </w:tc>
        <w:tc>
          <w:tcPr>
            <w:tcW w:w="3291" w:type="pct"/>
          </w:tcPr>
          <w:p w14:paraId="3B2CAEA5" w14:textId="77777777" w:rsidR="00EB26B3" w:rsidRPr="0025615F" w:rsidRDefault="00EB26B3" w:rsidP="002D289F">
            <w:pPr>
              <w:spacing w:before="120" w:after="120"/>
              <w:rPr>
                <w:rFonts w:ascii="Verdana" w:hAnsi="Verdana"/>
              </w:rPr>
            </w:pPr>
            <w:r w:rsidRPr="0025615F">
              <w:rPr>
                <w:rFonts w:ascii="Verdana" w:hAnsi="Verdana"/>
              </w:rPr>
              <w:t>Change</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brand</w:t>
            </w:r>
            <w:r>
              <w:rPr>
                <w:rFonts w:ascii="Verdana" w:hAnsi="Verdana"/>
              </w:rPr>
              <w:t xml:space="preserve"> </w:t>
            </w:r>
            <w:r w:rsidRPr="0025615F">
              <w:rPr>
                <w:rFonts w:ascii="Verdana" w:hAnsi="Verdana"/>
              </w:rPr>
              <w:t>name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equivalent</w:t>
            </w:r>
            <w:r>
              <w:rPr>
                <w:rFonts w:ascii="Verdana" w:hAnsi="Verdana"/>
              </w:rPr>
              <w:t>.</w:t>
            </w:r>
          </w:p>
        </w:tc>
      </w:tr>
      <w:tr w:rsidR="009F7199" w:rsidRPr="0025615F" w14:paraId="76609FE3" w14:textId="77777777" w:rsidTr="000F70A5">
        <w:tc>
          <w:tcPr>
            <w:tcW w:w="750" w:type="pct"/>
          </w:tcPr>
          <w:p w14:paraId="5183DFF0" w14:textId="77777777" w:rsidR="00EB26B3" w:rsidRPr="0025615F" w:rsidRDefault="00EB26B3" w:rsidP="002D289F">
            <w:pPr>
              <w:spacing w:before="120" w:after="120"/>
              <w:jc w:val="center"/>
              <w:rPr>
                <w:rFonts w:ascii="Verdana" w:hAnsi="Verdana" w:cs="Arial"/>
                <w:b/>
                <w:color w:val="000000"/>
              </w:rPr>
            </w:pPr>
            <w:r w:rsidRPr="0025615F">
              <w:rPr>
                <w:rFonts w:ascii="Verdana" w:hAnsi="Verdana" w:cs="Arial"/>
                <w:b/>
                <w:color w:val="000000"/>
              </w:rPr>
              <w:t>B</w:t>
            </w:r>
            <w:r>
              <w:rPr>
                <w:rFonts w:ascii="Verdana" w:hAnsi="Verdana" w:cs="Arial"/>
                <w:b/>
                <w:color w:val="000000"/>
              </w:rPr>
              <w:t>/</w:t>
            </w:r>
            <w:r w:rsidRPr="0025615F">
              <w:rPr>
                <w:rFonts w:ascii="Verdana" w:hAnsi="Verdana" w:cs="Arial"/>
                <w:b/>
                <w:color w:val="000000"/>
              </w:rPr>
              <w:t>O</w:t>
            </w:r>
          </w:p>
        </w:tc>
        <w:tc>
          <w:tcPr>
            <w:tcW w:w="959" w:type="pct"/>
          </w:tcPr>
          <w:p w14:paraId="4B32DBE5" w14:textId="77777777" w:rsidR="00EB26B3" w:rsidRPr="0025615F" w:rsidRDefault="00EB26B3" w:rsidP="002D289F">
            <w:pPr>
              <w:spacing w:before="120" w:after="120"/>
              <w:rPr>
                <w:rFonts w:ascii="Verdana" w:hAnsi="Verdana" w:cs="Arial"/>
              </w:rPr>
            </w:pPr>
            <w:r w:rsidRPr="0025615F">
              <w:rPr>
                <w:rFonts w:ascii="Verdana" w:hAnsi="Verdana" w:cs="Arial"/>
              </w:rPr>
              <w:t>Back</w:t>
            </w:r>
            <w:r>
              <w:rPr>
                <w:rFonts w:ascii="Verdana" w:hAnsi="Verdana" w:cs="Arial"/>
              </w:rPr>
              <w:t xml:space="preserve"> </w:t>
            </w:r>
            <w:r w:rsidRPr="0025615F">
              <w:rPr>
                <w:rFonts w:ascii="Verdana" w:hAnsi="Verdana" w:cs="Arial"/>
              </w:rPr>
              <w:t>Order</w:t>
            </w:r>
          </w:p>
        </w:tc>
        <w:tc>
          <w:tcPr>
            <w:tcW w:w="3291" w:type="pct"/>
          </w:tcPr>
          <w:p w14:paraId="792AB4A2" w14:textId="77777777" w:rsidR="00EB26B3" w:rsidRPr="0025615F" w:rsidRDefault="00EB26B3" w:rsidP="002D289F">
            <w:pPr>
              <w:spacing w:before="120" w:after="120"/>
              <w:rPr>
                <w:rFonts w:ascii="Verdana" w:hAnsi="Verdana" w:cs="Arial"/>
              </w:rPr>
            </w:pPr>
            <w:r w:rsidRPr="0025615F">
              <w:rPr>
                <w:rFonts w:ascii="Verdana" w:hAnsi="Verdana" w:cs="Arial"/>
              </w:rPr>
              <w:t>Unavailability</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from</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manufacturer</w:t>
            </w:r>
            <w:r>
              <w:rPr>
                <w:rFonts w:ascii="Verdana" w:hAnsi="Verdana" w:cs="Arial"/>
              </w:rPr>
              <w:t>.</w:t>
            </w:r>
          </w:p>
        </w:tc>
      </w:tr>
      <w:tr w:rsidR="007F4A29" w:rsidRPr="0025615F" w14:paraId="0957DBAB" w14:textId="77777777" w:rsidTr="000F70A5">
        <w:tc>
          <w:tcPr>
            <w:tcW w:w="750" w:type="pct"/>
          </w:tcPr>
          <w:p w14:paraId="141D1ACD" w14:textId="4EC1440D" w:rsidR="007F4A29" w:rsidRPr="007F4A29" w:rsidRDefault="007F4A29" w:rsidP="002D289F">
            <w:pPr>
              <w:spacing w:before="120" w:after="120"/>
              <w:jc w:val="center"/>
              <w:rPr>
                <w:rFonts w:ascii="Verdana" w:hAnsi="Verdana" w:cs="Arial"/>
                <w:b/>
                <w:color w:val="000000"/>
              </w:rPr>
            </w:pPr>
            <w:r>
              <w:rPr>
                <w:rFonts w:ascii="Verdana" w:hAnsi="Verdana" w:cs="Arial"/>
                <w:b/>
                <w:color w:val="000000"/>
              </w:rPr>
              <w:t>B/U</w:t>
            </w:r>
          </w:p>
        </w:tc>
        <w:tc>
          <w:tcPr>
            <w:tcW w:w="959" w:type="pct"/>
          </w:tcPr>
          <w:p w14:paraId="3B99F540" w14:textId="3295A4AB" w:rsidR="007F4A29" w:rsidRPr="0025615F" w:rsidRDefault="007F4A29" w:rsidP="002D289F">
            <w:pPr>
              <w:spacing w:before="120" w:after="120"/>
              <w:rPr>
                <w:rFonts w:ascii="Verdana" w:hAnsi="Verdana" w:cs="Arial"/>
              </w:rPr>
            </w:pPr>
            <w:r>
              <w:rPr>
                <w:rFonts w:ascii="Verdana" w:hAnsi="Verdana" w:cs="Arial"/>
              </w:rPr>
              <w:t>Bulk Up</w:t>
            </w:r>
          </w:p>
        </w:tc>
        <w:tc>
          <w:tcPr>
            <w:tcW w:w="3291" w:type="pct"/>
          </w:tcPr>
          <w:p w14:paraId="0DF06123" w14:textId="287AC9C1" w:rsidR="007F4A29" w:rsidRDefault="007F4A29" w:rsidP="002D289F">
            <w:pPr>
              <w:spacing w:before="120" w:after="120"/>
              <w:rPr>
                <w:rFonts w:ascii="Verdana" w:hAnsi="Verdana" w:cs="Arial"/>
              </w:rPr>
            </w:pPr>
            <w:r>
              <w:rPr>
                <w:rFonts w:ascii="Verdana" w:hAnsi="Verdana" w:cs="Arial"/>
              </w:rPr>
              <w:t xml:space="preserve">This is an internal courtesy process for when the member expresses that they were expecting a </w:t>
            </w:r>
            <w:r>
              <w:rPr>
                <w:rFonts w:ascii="Verdana" w:hAnsi="Verdana" w:cs="Arial"/>
                <w:b/>
                <w:bCs/>
              </w:rPr>
              <w:t>90</w:t>
            </w:r>
            <w:r>
              <w:rPr>
                <w:rFonts w:ascii="Verdana" w:hAnsi="Verdana" w:cs="Arial"/>
              </w:rPr>
              <w:t xml:space="preserve">-day supply, and the prescription(s) was written for a </w:t>
            </w:r>
            <w:r>
              <w:rPr>
                <w:rFonts w:ascii="Verdana" w:hAnsi="Verdana" w:cs="Arial"/>
                <w:b/>
                <w:bCs/>
              </w:rPr>
              <w:t>30</w:t>
            </w:r>
            <w:r>
              <w:rPr>
                <w:rFonts w:ascii="Verdana" w:hAnsi="Verdana" w:cs="Arial"/>
              </w:rPr>
              <w:t xml:space="preserve">-day supply. The process consolidates a prescription for a medication from a 30-day supply with at least 2 or more refills into </w:t>
            </w:r>
            <w:r w:rsidR="00B9411B">
              <w:rPr>
                <w:rFonts w:ascii="Verdana" w:hAnsi="Verdana" w:cs="Arial"/>
              </w:rPr>
              <w:t>a</w:t>
            </w:r>
            <w:r>
              <w:rPr>
                <w:rFonts w:ascii="Verdana" w:hAnsi="Verdana" w:cs="Arial"/>
              </w:rPr>
              <w:t xml:space="preserve"> 90-day prescription. </w:t>
            </w:r>
          </w:p>
          <w:p w14:paraId="2E2772F1" w14:textId="77777777" w:rsidR="007F4A29" w:rsidRDefault="007F4A29" w:rsidP="002D289F">
            <w:pPr>
              <w:spacing w:before="120" w:after="120"/>
              <w:rPr>
                <w:rFonts w:ascii="Verdana" w:hAnsi="Verdana" w:cs="Arial"/>
              </w:rPr>
            </w:pPr>
          </w:p>
          <w:p w14:paraId="1C627CBB" w14:textId="61672F82" w:rsidR="007F4A29" w:rsidRPr="007F4A29" w:rsidRDefault="007F4A29" w:rsidP="002D289F">
            <w:pPr>
              <w:spacing w:before="120" w:after="120"/>
              <w:rPr>
                <w:rFonts w:ascii="Verdana" w:hAnsi="Verdana" w:cs="Arial"/>
              </w:rPr>
            </w:pPr>
            <w:r>
              <w:rPr>
                <w:noProof/>
              </w:rPr>
              <w:drawing>
                <wp:inline distT="0" distB="0" distL="0" distR="0" wp14:anchorId="5A22AF93" wp14:editId="7FB68B17">
                  <wp:extent cx="257143" cy="228571"/>
                  <wp:effectExtent l="0" t="0" r="0" b="0"/>
                  <wp:docPr id="1317904160" name="Picture 131790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7143" cy="228571"/>
                          </a:xfrm>
                          <a:prstGeom prst="rect">
                            <a:avLst/>
                          </a:prstGeom>
                        </pic:spPr>
                      </pic:pic>
                    </a:graphicData>
                  </a:graphic>
                </wp:inline>
              </w:drawing>
            </w:r>
            <w:r>
              <w:t xml:space="preserve"> </w:t>
            </w:r>
            <w:r>
              <w:rPr>
                <w:rFonts w:ascii="Verdana" w:hAnsi="Verdana" w:cs="Arial"/>
              </w:rPr>
              <w:t xml:space="preserve">Bulk up is internal terminology and should not be used with callers. </w:t>
            </w:r>
          </w:p>
        </w:tc>
      </w:tr>
      <w:tr w:rsidR="009F7199" w:rsidRPr="0025615F" w14:paraId="34D72F27" w14:textId="77777777" w:rsidTr="000F70A5">
        <w:tc>
          <w:tcPr>
            <w:tcW w:w="750" w:type="pct"/>
          </w:tcPr>
          <w:p w14:paraId="1F4C10BD" w14:textId="77777777" w:rsidR="00EB26B3" w:rsidRPr="0025615F" w:rsidRDefault="00EB26B3" w:rsidP="002D289F">
            <w:pPr>
              <w:spacing w:before="120" w:after="120"/>
              <w:jc w:val="center"/>
              <w:rPr>
                <w:rFonts w:ascii="Verdana" w:hAnsi="Verdana"/>
              </w:rPr>
            </w:pPr>
            <w:r w:rsidRPr="0025615F">
              <w:rPr>
                <w:rFonts w:ascii="Verdana" w:hAnsi="Verdana"/>
                <w:b/>
                <w:color w:val="000000"/>
              </w:rPr>
              <w:t>BAD</w:t>
            </w:r>
            <w:r>
              <w:rPr>
                <w:rFonts w:ascii="Verdana" w:hAnsi="Verdana"/>
                <w:b/>
                <w:color w:val="000000"/>
              </w:rPr>
              <w:t xml:space="preserve"> </w:t>
            </w:r>
            <w:r w:rsidRPr="0025615F">
              <w:rPr>
                <w:rFonts w:ascii="Verdana" w:hAnsi="Verdana"/>
                <w:b/>
                <w:color w:val="000000"/>
              </w:rPr>
              <w:t>PYMNT</w:t>
            </w:r>
          </w:p>
        </w:tc>
        <w:tc>
          <w:tcPr>
            <w:tcW w:w="959" w:type="pct"/>
          </w:tcPr>
          <w:p w14:paraId="442AF30F" w14:textId="77777777" w:rsidR="00EB26B3" w:rsidRPr="0025615F" w:rsidRDefault="00EB26B3" w:rsidP="002D289F">
            <w:pPr>
              <w:spacing w:before="120" w:after="120"/>
              <w:rPr>
                <w:rFonts w:ascii="Verdana" w:hAnsi="Verdana"/>
              </w:rPr>
            </w:pPr>
            <w:r w:rsidRPr="0025615F">
              <w:rPr>
                <w:rFonts w:ascii="Verdana" w:hAnsi="Verdana"/>
              </w:rPr>
              <w:t>Before</w:t>
            </w:r>
            <w:r>
              <w:rPr>
                <w:rFonts w:ascii="Verdana" w:hAnsi="Verdana"/>
              </w:rPr>
              <w:t xml:space="preserve"> </w:t>
            </w:r>
            <w:r w:rsidRPr="0025615F">
              <w:rPr>
                <w:rFonts w:ascii="Verdana" w:hAnsi="Verdana"/>
              </w:rPr>
              <w:t>Adjudication</w:t>
            </w:r>
            <w:r>
              <w:rPr>
                <w:rFonts w:ascii="Verdana" w:hAnsi="Verdana"/>
              </w:rPr>
              <w:t xml:space="preserve"> Payment</w:t>
            </w:r>
          </w:p>
        </w:tc>
        <w:tc>
          <w:tcPr>
            <w:tcW w:w="3291" w:type="pct"/>
          </w:tcPr>
          <w:p w14:paraId="3EBB5C78" w14:textId="77777777" w:rsidR="00EB26B3" w:rsidRPr="0025615F" w:rsidRDefault="00EB26B3" w:rsidP="002D289F">
            <w:pPr>
              <w:spacing w:before="120" w:after="120"/>
              <w:rPr>
                <w:rFonts w:ascii="Verdana" w:hAnsi="Verdana"/>
              </w:rPr>
            </w:pPr>
          </w:p>
        </w:tc>
      </w:tr>
      <w:tr w:rsidR="009F7199" w:rsidRPr="0025615F" w14:paraId="43371824" w14:textId="77777777" w:rsidTr="000F70A5">
        <w:tc>
          <w:tcPr>
            <w:tcW w:w="750" w:type="pct"/>
          </w:tcPr>
          <w:p w14:paraId="6A898F08"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BAL</w:t>
            </w:r>
            <w:r>
              <w:rPr>
                <w:rFonts w:ascii="Verdana" w:hAnsi="Verdana"/>
                <w:b/>
                <w:color w:val="000000"/>
              </w:rPr>
              <w:t xml:space="preserve"> </w:t>
            </w:r>
          </w:p>
        </w:tc>
        <w:tc>
          <w:tcPr>
            <w:tcW w:w="959" w:type="pct"/>
          </w:tcPr>
          <w:p w14:paraId="3A410C8F" w14:textId="77777777" w:rsidR="00EB26B3" w:rsidRPr="0025615F" w:rsidRDefault="00EB26B3" w:rsidP="002D289F">
            <w:pPr>
              <w:spacing w:before="120" w:after="120"/>
              <w:rPr>
                <w:rFonts w:ascii="Verdana" w:hAnsi="Verdana" w:cs="Arial"/>
              </w:rPr>
            </w:pPr>
            <w:r w:rsidRPr="0025615F">
              <w:rPr>
                <w:rFonts w:ascii="Verdana" w:hAnsi="Verdana" w:cs="Arial"/>
              </w:rPr>
              <w:t>Balance</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Outstanding</w:t>
            </w:r>
            <w:r>
              <w:rPr>
                <w:rFonts w:ascii="Verdana" w:hAnsi="Verdana" w:cs="Arial"/>
              </w:rPr>
              <w:t xml:space="preserve"> </w:t>
            </w:r>
            <w:r w:rsidRPr="0025615F">
              <w:rPr>
                <w:rFonts w:ascii="Verdana" w:hAnsi="Verdana" w:cs="Arial"/>
              </w:rPr>
              <w:t>Balance</w:t>
            </w:r>
          </w:p>
        </w:tc>
        <w:tc>
          <w:tcPr>
            <w:tcW w:w="3291" w:type="pct"/>
          </w:tcPr>
          <w:p w14:paraId="6C8B9DF1" w14:textId="77777777" w:rsidR="00EB26B3" w:rsidRPr="0025615F" w:rsidRDefault="00EB26B3" w:rsidP="002D289F">
            <w:pPr>
              <w:spacing w:before="120" w:after="120"/>
              <w:rPr>
                <w:rFonts w:ascii="Verdana" w:hAnsi="Verdana" w:cs="Arial"/>
              </w:rPr>
            </w:pPr>
            <w:r w:rsidRPr="0025615F">
              <w:rPr>
                <w:rFonts w:ascii="Verdana" w:hAnsi="Verdana" w:cs="Arial"/>
              </w:rPr>
              <w:t>Amount</w:t>
            </w:r>
            <w:r>
              <w:rPr>
                <w:rFonts w:ascii="Verdana" w:hAnsi="Verdana" w:cs="Arial"/>
              </w:rPr>
              <w:t xml:space="preserve"> </w:t>
            </w:r>
            <w:r w:rsidRPr="0025615F">
              <w:rPr>
                <w:rFonts w:ascii="Verdana" w:hAnsi="Verdana" w:cs="Arial"/>
              </w:rPr>
              <w:t>remaining</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be</w:t>
            </w:r>
            <w:r>
              <w:rPr>
                <w:rFonts w:ascii="Verdana" w:hAnsi="Verdana" w:cs="Arial"/>
              </w:rPr>
              <w:t xml:space="preserve"> </w:t>
            </w:r>
            <w:r w:rsidRPr="0025615F">
              <w:rPr>
                <w:rFonts w:ascii="Verdana" w:hAnsi="Verdana" w:cs="Arial"/>
              </w:rPr>
              <w:t>paid</w:t>
            </w:r>
            <w:r>
              <w:rPr>
                <w:rFonts w:ascii="Verdana" w:hAnsi="Verdana" w:cs="Arial"/>
              </w:rPr>
              <w:t xml:space="preserve"> </w:t>
            </w:r>
            <w:r w:rsidRPr="0025615F">
              <w:rPr>
                <w:rFonts w:ascii="Verdana" w:hAnsi="Verdana" w:cs="Arial"/>
              </w:rPr>
              <w:t>by</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member</w:t>
            </w:r>
            <w:r>
              <w:rPr>
                <w:rFonts w:ascii="Verdana" w:hAnsi="Verdana" w:cs="Arial"/>
              </w:rPr>
              <w:t>.</w:t>
            </w:r>
          </w:p>
        </w:tc>
      </w:tr>
      <w:tr w:rsidR="009F7199" w:rsidRPr="0025615F" w14:paraId="2B63C65B" w14:textId="77777777" w:rsidTr="000F70A5">
        <w:tc>
          <w:tcPr>
            <w:tcW w:w="750" w:type="pct"/>
          </w:tcPr>
          <w:p w14:paraId="2EC055F0"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BBA</w:t>
            </w:r>
            <w:r>
              <w:rPr>
                <w:rFonts w:ascii="Verdana" w:hAnsi="Verdana"/>
                <w:b/>
                <w:color w:val="000000"/>
              </w:rPr>
              <w:t>/</w:t>
            </w:r>
            <w:r w:rsidRPr="0025615F">
              <w:rPr>
                <w:rFonts w:ascii="Verdana" w:hAnsi="Verdana"/>
                <w:b/>
                <w:color w:val="000000"/>
              </w:rPr>
              <w:t>97</w:t>
            </w:r>
          </w:p>
        </w:tc>
        <w:tc>
          <w:tcPr>
            <w:tcW w:w="959" w:type="pct"/>
          </w:tcPr>
          <w:p w14:paraId="23ADB15B" w14:textId="77777777" w:rsidR="00EB26B3" w:rsidRPr="0025615F" w:rsidRDefault="00EB26B3" w:rsidP="002D289F">
            <w:pPr>
              <w:spacing w:before="120" w:after="120"/>
              <w:rPr>
                <w:rFonts w:ascii="Verdana" w:hAnsi="Verdana"/>
              </w:rPr>
            </w:pPr>
            <w:r w:rsidRPr="0025615F">
              <w:rPr>
                <w:rFonts w:ascii="Verdana" w:hAnsi="Verdana"/>
              </w:rPr>
              <w:t>Balanced</w:t>
            </w:r>
            <w:r>
              <w:rPr>
                <w:rFonts w:ascii="Verdana" w:hAnsi="Verdana"/>
              </w:rPr>
              <w:t xml:space="preserve"> </w:t>
            </w:r>
            <w:r w:rsidRPr="0025615F">
              <w:rPr>
                <w:rFonts w:ascii="Verdana" w:hAnsi="Verdana"/>
              </w:rPr>
              <w:t>Budget</w:t>
            </w:r>
            <w:r>
              <w:rPr>
                <w:rFonts w:ascii="Verdana" w:hAnsi="Verdana"/>
              </w:rPr>
              <w:t xml:space="preserve"> </w:t>
            </w:r>
            <w:r w:rsidRPr="0025615F">
              <w:rPr>
                <w:rFonts w:ascii="Verdana" w:hAnsi="Verdana"/>
              </w:rPr>
              <w:t>Act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1997</w:t>
            </w:r>
          </w:p>
        </w:tc>
        <w:tc>
          <w:tcPr>
            <w:tcW w:w="3291" w:type="pct"/>
          </w:tcPr>
          <w:p w14:paraId="5979A961" w14:textId="5FFA1853" w:rsidR="00EB26B3" w:rsidRPr="0025615F" w:rsidRDefault="00EB26B3" w:rsidP="002D289F">
            <w:pPr>
              <w:spacing w:before="120" w:after="120"/>
              <w:rPr>
                <w:rFonts w:ascii="Verdana" w:hAnsi="Verdana"/>
              </w:rPr>
            </w:pPr>
            <w:r w:rsidRPr="0025615F">
              <w:rPr>
                <w:rFonts w:ascii="Verdana" w:hAnsi="Verdana"/>
              </w:rPr>
              <w:t>Federal</w:t>
            </w:r>
            <w:r>
              <w:rPr>
                <w:rFonts w:ascii="Verdana" w:hAnsi="Verdana"/>
              </w:rPr>
              <w:t xml:space="preserve"> </w:t>
            </w:r>
            <w:r w:rsidR="00B9411B" w:rsidRPr="0025615F">
              <w:rPr>
                <w:rFonts w:ascii="Verdana" w:hAnsi="Verdana"/>
              </w:rPr>
              <w:t>legislation</w:t>
            </w:r>
            <w:r>
              <w:rPr>
                <w:rFonts w:ascii="Verdana" w:hAnsi="Verdana"/>
              </w:rPr>
              <w:t xml:space="preserve"> </w:t>
            </w:r>
            <w:r w:rsidRPr="0025615F">
              <w:rPr>
                <w:rFonts w:ascii="Verdana" w:hAnsi="Verdana"/>
              </w:rPr>
              <w:t>requires</w:t>
            </w:r>
            <w:r>
              <w:rPr>
                <w:rFonts w:ascii="Verdana" w:hAnsi="Verdana"/>
              </w:rPr>
              <w:t xml:space="preserve"> </w:t>
            </w:r>
            <w:r w:rsidRPr="0025615F">
              <w:rPr>
                <w:rFonts w:ascii="Verdana" w:hAnsi="Verdana"/>
              </w:rPr>
              <w:t>certain</w:t>
            </w:r>
            <w:r>
              <w:rPr>
                <w:rFonts w:ascii="Verdana" w:hAnsi="Verdana"/>
              </w:rPr>
              <w:t xml:space="preserve"> </w:t>
            </w:r>
            <w:r w:rsidRPr="0025615F">
              <w:rPr>
                <w:rFonts w:ascii="Verdana" w:hAnsi="Verdana"/>
              </w:rPr>
              <w:t>measures</w:t>
            </w:r>
            <w:r>
              <w:rPr>
                <w:rFonts w:ascii="Verdana" w:hAnsi="Verdana"/>
              </w:rPr>
              <w:t xml:space="preserve"> </w:t>
            </w:r>
            <w:r w:rsidR="00FA5A8E" w:rsidRPr="0025615F">
              <w:rPr>
                <w:rFonts w:ascii="Verdana" w:hAnsi="Verdana"/>
              </w:rPr>
              <w:t>to be</w:t>
            </w:r>
            <w:r>
              <w:rPr>
                <w:rFonts w:ascii="Verdana" w:hAnsi="Verdana"/>
              </w:rPr>
              <w:t xml:space="preserve"> </w:t>
            </w:r>
            <w:r w:rsidRPr="0025615F">
              <w:rPr>
                <w:rFonts w:ascii="Verdana" w:hAnsi="Verdana"/>
              </w:rPr>
              <w:t>taken</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government</w:t>
            </w:r>
            <w:r>
              <w:rPr>
                <w:rFonts w:ascii="Verdana" w:hAnsi="Verdana"/>
              </w:rPr>
              <w:t xml:space="preserve"> </w:t>
            </w:r>
            <w:r w:rsidRPr="0025615F">
              <w:rPr>
                <w:rFonts w:ascii="Verdana" w:hAnsi="Verdana"/>
              </w:rPr>
              <w:t>programs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assure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balanced</w:t>
            </w:r>
            <w:r>
              <w:rPr>
                <w:rFonts w:ascii="Verdana" w:hAnsi="Verdana"/>
              </w:rPr>
              <w:t xml:space="preserve"> </w:t>
            </w:r>
            <w:r w:rsidRPr="0025615F">
              <w:rPr>
                <w:rFonts w:ascii="Verdana" w:hAnsi="Verdana"/>
              </w:rPr>
              <w:t>federal</w:t>
            </w:r>
            <w:r>
              <w:rPr>
                <w:rFonts w:ascii="Verdana" w:hAnsi="Verdana"/>
              </w:rPr>
              <w:t xml:space="preserve"> </w:t>
            </w:r>
            <w:r w:rsidRPr="0025615F">
              <w:rPr>
                <w:rFonts w:ascii="Verdana" w:hAnsi="Verdana"/>
              </w:rPr>
              <w:t>budget</w:t>
            </w:r>
            <w:r w:rsidR="00E96762" w:rsidRPr="0025615F">
              <w:rPr>
                <w:rFonts w:ascii="Verdana" w:hAnsi="Verdana"/>
              </w:rPr>
              <w:t>.</w:t>
            </w:r>
            <w:r w:rsidR="00E96762">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BBA</w:t>
            </w:r>
            <w:r>
              <w:rPr>
                <w:rFonts w:ascii="Verdana" w:hAnsi="Verdana"/>
              </w:rPr>
              <w:t xml:space="preserve"> </w:t>
            </w:r>
            <w:r w:rsidRPr="0025615F">
              <w:rPr>
                <w:rFonts w:ascii="Verdana" w:hAnsi="Verdana"/>
              </w:rPr>
              <w:t>1997</w:t>
            </w:r>
            <w:r>
              <w:rPr>
                <w:rFonts w:ascii="Verdana" w:hAnsi="Verdana"/>
              </w:rPr>
              <w:t xml:space="preserve"> co</w:t>
            </w:r>
            <w:r w:rsidRPr="0025615F">
              <w:rPr>
                <w:rFonts w:ascii="Verdana" w:hAnsi="Verdana"/>
              </w:rPr>
              <w:t>ntained</w:t>
            </w:r>
            <w:r>
              <w:rPr>
                <w:rFonts w:ascii="Verdana" w:hAnsi="Verdana"/>
              </w:rPr>
              <w:t xml:space="preserve"> </w:t>
            </w:r>
            <w:r w:rsidRPr="0025615F">
              <w:rPr>
                <w:rFonts w:ascii="Verdana" w:hAnsi="Verdana"/>
              </w:rPr>
              <w:t>significant</w:t>
            </w:r>
            <w:r>
              <w:rPr>
                <w:rFonts w:ascii="Verdana" w:hAnsi="Verdana"/>
              </w:rPr>
              <w:t xml:space="preserve"> </w:t>
            </w:r>
            <w:r w:rsidRPr="0025615F">
              <w:rPr>
                <w:rFonts w:ascii="Verdana" w:hAnsi="Verdana"/>
              </w:rPr>
              <w:t>changes</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Medicare</w:t>
            </w:r>
            <w:r>
              <w:rPr>
                <w:rFonts w:ascii="Verdana" w:hAnsi="Verdana"/>
              </w:rPr>
              <w:t xml:space="preserve"> </w:t>
            </w:r>
            <w:r w:rsidRPr="0025615F">
              <w:rPr>
                <w:rFonts w:ascii="Verdana" w:hAnsi="Verdana"/>
              </w:rPr>
              <w:t>reimbursement,</w:t>
            </w:r>
            <w:r>
              <w:rPr>
                <w:rFonts w:ascii="Verdana" w:hAnsi="Verdana"/>
              </w:rPr>
              <w:t xml:space="preserve"> </w:t>
            </w:r>
            <w:r w:rsidRPr="0025615F">
              <w:rPr>
                <w:rFonts w:ascii="Verdana" w:hAnsi="Verdana"/>
              </w:rPr>
              <w:t>funded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Children’s</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Insurance</w:t>
            </w:r>
            <w:r>
              <w:rPr>
                <w:rFonts w:ascii="Verdana" w:hAnsi="Verdana"/>
              </w:rPr>
              <w:t xml:space="preserve"> </w:t>
            </w:r>
            <w:r w:rsidRPr="0025615F">
              <w:rPr>
                <w:rFonts w:ascii="Verdana" w:hAnsi="Verdana"/>
              </w:rPr>
              <w:t>Program</w:t>
            </w:r>
            <w:r>
              <w:rPr>
                <w:rFonts w:ascii="Verdana" w:hAnsi="Verdana"/>
              </w:rPr>
              <w:t xml:space="preserve"> </w:t>
            </w:r>
            <w:r w:rsidRPr="0025615F">
              <w:rPr>
                <w:rFonts w:ascii="Verdana" w:hAnsi="Verdana"/>
              </w:rPr>
              <w:t>(CHIP),</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allowed</w:t>
            </w:r>
            <w:r>
              <w:rPr>
                <w:rFonts w:ascii="Verdana" w:hAnsi="Verdana"/>
              </w:rPr>
              <w:t xml:space="preserve"> </w:t>
            </w:r>
            <w:r w:rsidRPr="0025615F">
              <w:rPr>
                <w:rFonts w:ascii="Verdana" w:hAnsi="Verdana"/>
              </w:rPr>
              <w:t>provider-sponsored</w:t>
            </w:r>
            <w:r>
              <w:rPr>
                <w:rFonts w:ascii="Verdana" w:hAnsi="Verdana"/>
              </w:rPr>
              <w:t xml:space="preserve"> </w:t>
            </w:r>
            <w:r w:rsidRPr="0025615F">
              <w:rPr>
                <w:rFonts w:ascii="Verdana" w:hAnsi="Verdana"/>
              </w:rPr>
              <w:t>organizations</w:t>
            </w:r>
            <w:r>
              <w:rPr>
                <w:rFonts w:ascii="Verdana" w:hAnsi="Verdana"/>
              </w:rPr>
              <w:t xml:space="preserve"> </w:t>
            </w:r>
            <w:r w:rsidRPr="0025615F">
              <w:rPr>
                <w:rFonts w:ascii="Verdana" w:hAnsi="Verdana"/>
              </w:rPr>
              <w:t>to</w:t>
            </w:r>
            <w:r>
              <w:rPr>
                <w:rFonts w:ascii="Verdana" w:hAnsi="Verdana"/>
              </w:rPr>
              <w:t xml:space="preserve"> </w:t>
            </w:r>
            <w:r w:rsidR="00AA4F51" w:rsidRPr="0025615F">
              <w:rPr>
                <w:rFonts w:ascii="Verdana" w:hAnsi="Verdana"/>
              </w:rPr>
              <w:t>participate in Medicare more easily</w:t>
            </w:r>
            <w:r w:rsidR="00E96762" w:rsidRPr="0025615F">
              <w:rPr>
                <w:rFonts w:ascii="Verdana" w:hAnsi="Verdana"/>
              </w:rPr>
              <w:t>.</w:t>
            </w:r>
            <w:r w:rsidR="00E96762">
              <w:rPr>
                <w:rFonts w:ascii="Verdana" w:hAnsi="Verdana"/>
              </w:rPr>
              <w:t xml:space="preserve"> </w:t>
            </w:r>
          </w:p>
        </w:tc>
      </w:tr>
      <w:tr w:rsidR="009F7199" w:rsidRPr="0025615F" w14:paraId="0657598B" w14:textId="77777777" w:rsidTr="000F70A5">
        <w:tc>
          <w:tcPr>
            <w:tcW w:w="750" w:type="pct"/>
          </w:tcPr>
          <w:p w14:paraId="2DBD5BEA" w14:textId="0A260E7B" w:rsidR="00EB26B3" w:rsidRPr="0025615F" w:rsidRDefault="00EB26B3" w:rsidP="002D289F">
            <w:pPr>
              <w:spacing w:before="120" w:after="120"/>
              <w:jc w:val="center"/>
              <w:rPr>
                <w:rFonts w:ascii="Verdana" w:hAnsi="Verdana"/>
                <w:b/>
                <w:color w:val="000000"/>
              </w:rPr>
            </w:pPr>
            <w:r>
              <w:rPr>
                <w:rFonts w:ascii="Verdana" w:hAnsi="Verdana"/>
                <w:b/>
                <w:color w:val="000000"/>
              </w:rPr>
              <w:t xml:space="preserve">BC </w:t>
            </w:r>
          </w:p>
        </w:tc>
        <w:tc>
          <w:tcPr>
            <w:tcW w:w="959" w:type="pct"/>
          </w:tcPr>
          <w:p w14:paraId="547BE517" w14:textId="77777777" w:rsidR="00EB26B3" w:rsidRPr="0025615F" w:rsidRDefault="00EB26B3" w:rsidP="002D289F">
            <w:pPr>
              <w:spacing w:before="120" w:after="120"/>
              <w:rPr>
                <w:rFonts w:ascii="Verdana" w:hAnsi="Verdana"/>
              </w:rPr>
            </w:pPr>
            <w:r>
              <w:rPr>
                <w:rFonts w:ascii="Verdana" w:hAnsi="Verdana"/>
              </w:rPr>
              <w:t xml:space="preserve">Bar Code </w:t>
            </w:r>
          </w:p>
        </w:tc>
        <w:tc>
          <w:tcPr>
            <w:tcW w:w="3291" w:type="pct"/>
          </w:tcPr>
          <w:p w14:paraId="30108F54" w14:textId="514FF4B9" w:rsidR="00EB26B3" w:rsidRPr="0025615F" w:rsidRDefault="00603F21" w:rsidP="002D289F">
            <w:pPr>
              <w:spacing w:before="120" w:after="120"/>
              <w:rPr>
                <w:rFonts w:ascii="Verdana" w:hAnsi="Verdana"/>
              </w:rPr>
            </w:pPr>
            <w:r>
              <w:rPr>
                <w:rFonts w:ascii="Verdana" w:hAnsi="Verdana"/>
              </w:rPr>
              <w:t>A scannable code used to identify products in a retail setting.</w:t>
            </w:r>
          </w:p>
        </w:tc>
      </w:tr>
      <w:tr w:rsidR="009F7199" w:rsidRPr="0025615F" w14:paraId="0A252991" w14:textId="77777777" w:rsidTr="000F70A5">
        <w:tc>
          <w:tcPr>
            <w:tcW w:w="750" w:type="pct"/>
          </w:tcPr>
          <w:p w14:paraId="3EB81E98"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BCBS</w:t>
            </w:r>
          </w:p>
        </w:tc>
        <w:tc>
          <w:tcPr>
            <w:tcW w:w="959" w:type="pct"/>
          </w:tcPr>
          <w:p w14:paraId="387A7081" w14:textId="77777777" w:rsidR="00EB26B3" w:rsidRPr="0025615F" w:rsidRDefault="00EB26B3" w:rsidP="002D289F">
            <w:pPr>
              <w:spacing w:before="120" w:after="120"/>
              <w:rPr>
                <w:rFonts w:ascii="Verdana" w:hAnsi="Verdana"/>
              </w:rPr>
            </w:pPr>
            <w:r w:rsidRPr="0025615F">
              <w:rPr>
                <w:rFonts w:ascii="Verdana" w:hAnsi="Verdana"/>
              </w:rPr>
              <w:t>Blue</w:t>
            </w:r>
            <w:r>
              <w:rPr>
                <w:rFonts w:ascii="Verdana" w:hAnsi="Verdana"/>
              </w:rPr>
              <w:t xml:space="preserve"> </w:t>
            </w:r>
            <w:r w:rsidRPr="0025615F">
              <w:rPr>
                <w:rFonts w:ascii="Verdana" w:hAnsi="Verdana"/>
              </w:rPr>
              <w:t>Cross</w:t>
            </w:r>
            <w:r>
              <w:rPr>
                <w:rFonts w:ascii="Verdana" w:hAnsi="Verdana"/>
              </w:rPr>
              <w:t xml:space="preserve"> </w:t>
            </w:r>
            <w:r w:rsidRPr="0025615F">
              <w:rPr>
                <w:rFonts w:ascii="Verdana" w:hAnsi="Verdana"/>
              </w:rPr>
              <w:t>Blue</w:t>
            </w:r>
            <w:r>
              <w:rPr>
                <w:rFonts w:ascii="Verdana" w:hAnsi="Verdana"/>
              </w:rPr>
              <w:t xml:space="preserve"> </w:t>
            </w:r>
            <w:r w:rsidRPr="0025615F">
              <w:rPr>
                <w:rFonts w:ascii="Verdana" w:hAnsi="Verdana"/>
              </w:rPr>
              <w:t>Shield</w:t>
            </w:r>
          </w:p>
        </w:tc>
        <w:tc>
          <w:tcPr>
            <w:tcW w:w="3291" w:type="pct"/>
          </w:tcPr>
          <w:p w14:paraId="2737F774" w14:textId="601CCE00" w:rsidR="00EB26B3" w:rsidRDefault="00EB26B3" w:rsidP="002D289F">
            <w:pPr>
              <w:spacing w:before="120" w:after="120"/>
              <w:rPr>
                <w:rFonts w:ascii="Verdana" w:hAnsi="Verdana"/>
              </w:rPr>
            </w:pPr>
            <w:r w:rsidRPr="0025615F">
              <w:rPr>
                <w:rFonts w:ascii="Verdana" w:hAnsi="Verdana"/>
              </w:rPr>
              <w:t>Independent,</w:t>
            </w:r>
            <w:r>
              <w:rPr>
                <w:rFonts w:ascii="Verdana" w:hAnsi="Verdana"/>
              </w:rPr>
              <w:t xml:space="preserve"> </w:t>
            </w:r>
            <w:r w:rsidR="00AA4F51" w:rsidRPr="0025615F">
              <w:rPr>
                <w:rFonts w:ascii="Verdana" w:hAnsi="Verdana"/>
              </w:rPr>
              <w:t>non-profit,</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for-profit</w:t>
            </w:r>
            <w:r>
              <w:rPr>
                <w:rFonts w:ascii="Verdana" w:hAnsi="Verdana"/>
              </w:rPr>
              <w:t xml:space="preserve"> </w:t>
            </w:r>
            <w:r w:rsidRPr="0025615F">
              <w:rPr>
                <w:rFonts w:ascii="Verdana" w:hAnsi="Verdana"/>
              </w:rPr>
              <w:t>membership</w:t>
            </w:r>
            <w:r>
              <w:rPr>
                <w:rFonts w:ascii="Verdana" w:hAnsi="Verdana"/>
              </w:rPr>
              <w:t xml:space="preserve"> </w:t>
            </w:r>
            <w:r w:rsidRPr="0025615F">
              <w:rPr>
                <w:rFonts w:ascii="Verdana" w:hAnsi="Verdana"/>
              </w:rPr>
              <w:t>organization</w:t>
            </w:r>
            <w:r>
              <w:rPr>
                <w:rFonts w:ascii="Verdana" w:hAnsi="Verdana"/>
              </w:rPr>
              <w:t xml:space="preserve"> </w:t>
            </w:r>
            <w:r w:rsidRPr="0025615F">
              <w:rPr>
                <w:rFonts w:ascii="Verdana" w:hAnsi="Verdana"/>
              </w:rPr>
              <w:t>offering</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plans</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pre-pay</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expenses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insured</w:t>
            </w:r>
            <w:r>
              <w:rPr>
                <w:rFonts w:ascii="Verdana" w:hAnsi="Verdana"/>
              </w:rPr>
              <w:t xml:space="preserve"> </w:t>
            </w:r>
            <w:r w:rsidRPr="0025615F">
              <w:rPr>
                <w:rFonts w:ascii="Verdana" w:hAnsi="Verdana"/>
              </w:rPr>
              <w:t>subscribers.</w:t>
            </w:r>
            <w:r>
              <w:rPr>
                <w:rFonts w:ascii="Verdana" w:hAnsi="Verdana"/>
              </w:rPr>
              <w:t xml:space="preserve"> </w:t>
            </w:r>
          </w:p>
          <w:p w14:paraId="4C3AE30C" w14:textId="34E70F72" w:rsidR="00EB26B3" w:rsidRPr="0025615F" w:rsidRDefault="00EB26B3" w:rsidP="002D289F">
            <w:pPr>
              <w:spacing w:before="120" w:after="120"/>
              <w:rPr>
                <w:rFonts w:ascii="Verdana" w:hAnsi="Verdana"/>
              </w:rPr>
            </w:pPr>
            <w:r w:rsidRPr="00967F3C">
              <w:rPr>
                <w:rFonts w:ascii="Verdana" w:hAnsi="Verdana" w:cs="Arial"/>
                <w:bCs/>
                <w:color w:val="000000"/>
              </w:rPr>
              <w:t xml:space="preserve">Blue Cross </w:t>
            </w:r>
            <w:r w:rsidR="00AA4F51" w:rsidRPr="00967F3C">
              <w:rPr>
                <w:rFonts w:ascii="Verdana" w:hAnsi="Verdana" w:cs="Arial"/>
                <w:bCs/>
                <w:color w:val="000000"/>
              </w:rPr>
              <w:t>Plan</w:t>
            </w:r>
            <w:r w:rsidR="00AA4F51" w:rsidRPr="0025615F">
              <w:rPr>
                <w:rFonts w:ascii="Verdana" w:hAnsi="Verdana"/>
                <w:bCs/>
              </w:rPr>
              <w:t xml:space="preserve"> </w:t>
            </w:r>
            <w:r w:rsidR="00AA4F51">
              <w:rPr>
                <w:rFonts w:ascii="Verdana" w:hAnsi="Verdana"/>
                <w:bCs/>
              </w:rPr>
              <w:t>A</w:t>
            </w:r>
            <w:r>
              <w:rPr>
                <w:rFonts w:ascii="Verdana" w:hAnsi="Verdana"/>
              </w:rPr>
              <w:t xml:space="preserve"> </w:t>
            </w:r>
            <w:r w:rsidRPr="0025615F">
              <w:rPr>
                <w:rFonts w:ascii="Verdana" w:hAnsi="Verdana"/>
              </w:rPr>
              <w:t>not-for-profit</w:t>
            </w:r>
            <w:r>
              <w:rPr>
                <w:rFonts w:ascii="Verdana" w:hAnsi="Verdana"/>
              </w:rPr>
              <w:t xml:space="preserve"> co</w:t>
            </w:r>
            <w:r w:rsidRPr="0025615F">
              <w:rPr>
                <w:rFonts w:ascii="Verdana" w:hAnsi="Verdana"/>
              </w:rPr>
              <w:t>rporation</w:t>
            </w:r>
            <w:r>
              <w:rPr>
                <w:rFonts w:ascii="Verdana" w:hAnsi="Verdana"/>
              </w:rPr>
              <w:t xml:space="preserve"> </w:t>
            </w:r>
            <w:r w:rsidRPr="0025615F">
              <w:rPr>
                <w:rFonts w:ascii="Verdana" w:hAnsi="Verdana"/>
              </w:rPr>
              <w:t>operating</w:t>
            </w:r>
            <w:r>
              <w:rPr>
                <w:rFonts w:ascii="Verdana" w:hAnsi="Verdana"/>
              </w:rPr>
              <w:t xml:space="preserve"> </w:t>
            </w:r>
            <w:r w:rsidRPr="0025615F">
              <w:rPr>
                <w:rFonts w:ascii="Verdana" w:hAnsi="Verdana"/>
              </w:rPr>
              <w:t>under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approval</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Blue</w:t>
            </w:r>
            <w:r>
              <w:rPr>
                <w:rFonts w:ascii="Verdana" w:hAnsi="Verdana"/>
              </w:rPr>
              <w:t xml:space="preserve"> </w:t>
            </w:r>
            <w:r w:rsidRPr="0025615F">
              <w:rPr>
                <w:rFonts w:ascii="Verdana" w:hAnsi="Verdana"/>
              </w:rPr>
              <w:t>Cross</w:t>
            </w:r>
            <w:r>
              <w:rPr>
                <w:rFonts w:ascii="Verdana" w:hAnsi="Verdana"/>
              </w:rPr>
              <w:t xml:space="preserve"> </w:t>
            </w:r>
            <w:r w:rsidRPr="0025615F">
              <w:rPr>
                <w:rFonts w:ascii="Verdana" w:hAnsi="Verdana"/>
              </w:rPr>
              <w:t>Blue</w:t>
            </w:r>
            <w:r>
              <w:rPr>
                <w:rFonts w:ascii="Verdana" w:hAnsi="Verdana"/>
              </w:rPr>
              <w:t xml:space="preserve"> </w:t>
            </w:r>
            <w:r w:rsidRPr="0025615F">
              <w:rPr>
                <w:rFonts w:ascii="Verdana" w:hAnsi="Verdana"/>
              </w:rPr>
              <w:t>Shield</w:t>
            </w:r>
            <w:r>
              <w:rPr>
                <w:rFonts w:ascii="Verdana" w:hAnsi="Verdana"/>
              </w:rPr>
              <w:t xml:space="preserve"> </w:t>
            </w:r>
            <w:r w:rsidRPr="0025615F">
              <w:rPr>
                <w:rFonts w:ascii="Verdana" w:hAnsi="Verdana"/>
              </w:rPr>
              <w:t>Association</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administering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w:t>
            </w:r>
            <w:r>
              <w:rPr>
                <w:rFonts w:ascii="Verdana" w:hAnsi="Verdana"/>
              </w:rPr>
              <w:t xml:space="preserve">payment </w:t>
            </w:r>
            <w:r w:rsidRPr="0025615F">
              <w:rPr>
                <w:rFonts w:ascii="Verdana" w:hAnsi="Verdana"/>
              </w:rPr>
              <w:t>program</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purchase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hospital</w:t>
            </w:r>
            <w:r>
              <w:rPr>
                <w:rFonts w:ascii="Verdana" w:hAnsi="Verdana"/>
              </w:rPr>
              <w:t xml:space="preserve"> </w:t>
            </w:r>
            <w:r w:rsidRPr="0025615F">
              <w:rPr>
                <w:rFonts w:ascii="Verdana" w:hAnsi="Verdana"/>
              </w:rPr>
              <w:t>service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limited</w:t>
            </w:r>
            <w:r>
              <w:rPr>
                <w:rFonts w:ascii="Verdana" w:hAnsi="Verdana"/>
              </w:rPr>
              <w:t xml:space="preserve"> </w:t>
            </w:r>
            <w:r w:rsidRPr="0025615F">
              <w:rPr>
                <w:rFonts w:ascii="Verdana" w:hAnsi="Verdana"/>
              </w:rPr>
              <w:t>geographical</w:t>
            </w:r>
            <w:r>
              <w:rPr>
                <w:rFonts w:ascii="Verdana" w:hAnsi="Verdana"/>
              </w:rPr>
              <w:t xml:space="preserve"> </w:t>
            </w:r>
            <w:r w:rsidRPr="0025615F">
              <w:rPr>
                <w:rFonts w:ascii="Verdana" w:hAnsi="Verdana"/>
              </w:rPr>
              <w:t>area.</w:t>
            </w:r>
          </w:p>
        </w:tc>
      </w:tr>
      <w:tr w:rsidR="00845F4C" w:rsidRPr="0025615F" w14:paraId="46D09AED" w14:textId="77777777" w:rsidTr="000F70A5">
        <w:tc>
          <w:tcPr>
            <w:tcW w:w="750" w:type="pct"/>
          </w:tcPr>
          <w:p w14:paraId="60DE8BA9" w14:textId="75C57068" w:rsidR="00845F4C" w:rsidRPr="00E96762" w:rsidRDefault="00845F4C" w:rsidP="002D289F">
            <w:pPr>
              <w:spacing w:before="120" w:after="120"/>
              <w:jc w:val="center"/>
              <w:rPr>
                <w:rFonts w:ascii="Verdana" w:hAnsi="Verdana"/>
                <w:b/>
                <w:bCs/>
                <w:noProof/>
              </w:rPr>
            </w:pPr>
            <w:r w:rsidRPr="00E96762">
              <w:rPr>
                <w:rFonts w:ascii="Verdana" w:hAnsi="Verdana"/>
                <w:b/>
                <w:bCs/>
                <w:noProof/>
              </w:rPr>
              <w:t>BCP</w:t>
            </w:r>
          </w:p>
        </w:tc>
        <w:tc>
          <w:tcPr>
            <w:tcW w:w="959" w:type="pct"/>
          </w:tcPr>
          <w:p w14:paraId="54A0B7EC" w14:textId="651B88A8" w:rsidR="00845F4C" w:rsidRPr="003E65B1" w:rsidRDefault="003E65B1" w:rsidP="002D289F">
            <w:pPr>
              <w:spacing w:before="120" w:after="120"/>
              <w:rPr>
                <w:rFonts w:ascii="Verdana" w:hAnsi="Verdana"/>
                <w:bCs/>
              </w:rPr>
            </w:pPr>
            <w:r>
              <w:rPr>
                <w:rFonts w:ascii="Verdana" w:hAnsi="Verdana"/>
                <w:bCs/>
              </w:rPr>
              <w:t>Breast Cancer Prevention</w:t>
            </w:r>
          </w:p>
        </w:tc>
        <w:tc>
          <w:tcPr>
            <w:tcW w:w="3291" w:type="pct"/>
          </w:tcPr>
          <w:p w14:paraId="34BCB74B" w14:textId="77777777" w:rsidR="00845F4C" w:rsidRPr="000F184C" w:rsidRDefault="00845F4C" w:rsidP="002D289F">
            <w:pPr>
              <w:spacing w:before="120" w:after="120"/>
              <w:rPr>
                <w:rFonts w:ascii="Verdana" w:hAnsi="Verdana"/>
              </w:rPr>
            </w:pPr>
          </w:p>
        </w:tc>
      </w:tr>
      <w:tr w:rsidR="009F7199" w:rsidRPr="0025615F" w14:paraId="78BC90C7" w14:textId="77777777" w:rsidTr="000F70A5">
        <w:tc>
          <w:tcPr>
            <w:tcW w:w="750" w:type="pct"/>
          </w:tcPr>
          <w:p w14:paraId="0EF660E1" w14:textId="49AFA704" w:rsidR="00EB26B3" w:rsidRPr="0025615F" w:rsidRDefault="00EB26B3" w:rsidP="002D289F">
            <w:pPr>
              <w:spacing w:before="120" w:after="120"/>
              <w:jc w:val="center"/>
              <w:rPr>
                <w:rFonts w:ascii="Verdana" w:hAnsi="Verdana"/>
                <w:b/>
                <w:color w:val="000000"/>
              </w:rPr>
            </w:pPr>
            <w:r>
              <w:rPr>
                <w:noProof/>
              </w:rPr>
              <w:t xml:space="preserve"> </w:t>
            </w:r>
            <w:r w:rsidRPr="000F184C">
              <w:rPr>
                <w:rFonts w:ascii="Verdana" w:hAnsi="Verdana"/>
                <w:b/>
                <w:bCs/>
              </w:rPr>
              <w:t>BCRC</w:t>
            </w:r>
          </w:p>
        </w:tc>
        <w:tc>
          <w:tcPr>
            <w:tcW w:w="959" w:type="pct"/>
          </w:tcPr>
          <w:p w14:paraId="1CEF570E" w14:textId="77777777" w:rsidR="00EB26B3" w:rsidRPr="0025615F" w:rsidRDefault="00EB26B3" w:rsidP="002D289F">
            <w:pPr>
              <w:spacing w:before="120" w:after="120"/>
              <w:rPr>
                <w:rFonts w:ascii="Verdana" w:hAnsi="Verdana"/>
              </w:rPr>
            </w:pPr>
            <w:r w:rsidRPr="000F184C">
              <w:rPr>
                <w:rFonts w:ascii="Verdana" w:hAnsi="Verdana"/>
                <w:bCs/>
              </w:rPr>
              <w:t>Benefits Coordination &amp; Recovery Center</w:t>
            </w:r>
          </w:p>
        </w:tc>
        <w:tc>
          <w:tcPr>
            <w:tcW w:w="3291" w:type="pct"/>
          </w:tcPr>
          <w:p w14:paraId="24EB7A39" w14:textId="77777777" w:rsidR="00EB26B3" w:rsidRPr="0025615F" w:rsidRDefault="00EB26B3" w:rsidP="002D289F">
            <w:pPr>
              <w:spacing w:before="120" w:after="120"/>
              <w:rPr>
                <w:rFonts w:ascii="Verdana" w:hAnsi="Verdana"/>
              </w:rPr>
            </w:pPr>
            <w:r w:rsidRPr="000F184C">
              <w:rPr>
                <w:rFonts w:ascii="Verdana" w:hAnsi="Verdana"/>
              </w:rPr>
              <w:t>Third party CMS Coordination of Benefits contractor.</w:t>
            </w:r>
          </w:p>
        </w:tc>
      </w:tr>
      <w:tr w:rsidR="009F7199" w:rsidRPr="0025615F" w14:paraId="273F5CAD" w14:textId="77777777" w:rsidTr="000F70A5">
        <w:tc>
          <w:tcPr>
            <w:tcW w:w="750" w:type="pct"/>
          </w:tcPr>
          <w:p w14:paraId="750B2BB5" w14:textId="77777777" w:rsidR="00EB26B3" w:rsidRPr="00967F3C" w:rsidRDefault="00EB26B3" w:rsidP="002D289F">
            <w:pPr>
              <w:spacing w:before="120" w:after="120"/>
              <w:jc w:val="center"/>
              <w:rPr>
                <w:b/>
                <w:bCs/>
                <w:noProof/>
              </w:rPr>
            </w:pPr>
            <w:r w:rsidRPr="00967F3C">
              <w:rPr>
                <w:rFonts w:ascii="Verdana" w:hAnsi="Verdana"/>
                <w:b/>
                <w:bCs/>
                <w:noProof/>
              </w:rPr>
              <w:t>BCSS</w:t>
            </w:r>
          </w:p>
        </w:tc>
        <w:tc>
          <w:tcPr>
            <w:tcW w:w="959" w:type="pct"/>
          </w:tcPr>
          <w:p w14:paraId="4898C40D" w14:textId="77777777" w:rsidR="00EB26B3" w:rsidRPr="000F184C" w:rsidRDefault="00EB26B3" w:rsidP="002D289F">
            <w:pPr>
              <w:spacing w:before="120" w:after="120"/>
              <w:rPr>
                <w:rFonts w:ascii="Verdana" w:hAnsi="Verdana"/>
                <w:bCs/>
              </w:rPr>
            </w:pPr>
            <w:r>
              <w:rPr>
                <w:rFonts w:ascii="Verdana" w:hAnsi="Verdana"/>
                <w:bCs/>
              </w:rPr>
              <w:t xml:space="preserve">Batch Completion Status Summary Data File </w:t>
            </w:r>
            <w:r>
              <w:rPr>
                <w:rFonts w:ascii="Verdana" w:hAnsi="Verdana"/>
                <w:b/>
                <w:color w:val="000000"/>
              </w:rPr>
              <w:t xml:space="preserve"> </w:t>
            </w:r>
          </w:p>
        </w:tc>
        <w:tc>
          <w:tcPr>
            <w:tcW w:w="3291" w:type="pct"/>
          </w:tcPr>
          <w:p w14:paraId="27A605F5" w14:textId="77777777" w:rsidR="00EB26B3" w:rsidRPr="000F184C" w:rsidRDefault="00EB26B3" w:rsidP="002D289F">
            <w:pPr>
              <w:spacing w:before="120" w:after="120"/>
              <w:rPr>
                <w:rFonts w:ascii="Verdana" w:hAnsi="Verdana"/>
              </w:rPr>
            </w:pPr>
            <w:r>
              <w:rPr>
                <w:rFonts w:ascii="Verdana" w:hAnsi="Verdana"/>
              </w:rPr>
              <w:t xml:space="preserve">Daily file sent by CMS to PDP sponsors in response to PDP initiated enrollment, disenrollment, and maintenance transactions used to communicate transmission statuses and records that have failed due to formatting issues. </w:t>
            </w:r>
          </w:p>
        </w:tc>
      </w:tr>
      <w:tr w:rsidR="00357199" w:rsidRPr="0025615F" w14:paraId="7EA5E800" w14:textId="77777777" w:rsidTr="000F70A5">
        <w:tc>
          <w:tcPr>
            <w:tcW w:w="750" w:type="pct"/>
            <w:vMerge w:val="restart"/>
          </w:tcPr>
          <w:p w14:paraId="1FD12163" w14:textId="392C8534" w:rsidR="00357199" w:rsidRPr="00357199" w:rsidRDefault="009F7199" w:rsidP="002D289F">
            <w:pPr>
              <w:spacing w:before="120" w:after="120"/>
              <w:jc w:val="center"/>
              <w:rPr>
                <w:rFonts w:ascii="Verdana" w:hAnsi="Verdana"/>
                <w:b/>
                <w:bCs/>
                <w:noProof/>
              </w:rPr>
            </w:pPr>
            <w:r>
              <w:rPr>
                <w:rFonts w:ascii="Verdana" w:hAnsi="Verdana"/>
                <w:b/>
                <w:bCs/>
                <w:noProof/>
              </w:rPr>
              <w:t xml:space="preserve"> </w:t>
            </w:r>
            <w:r w:rsidR="00357199" w:rsidRPr="00357199">
              <w:rPr>
                <w:rFonts w:ascii="Verdana" w:hAnsi="Verdana"/>
                <w:b/>
                <w:bCs/>
                <w:noProof/>
              </w:rPr>
              <w:t>BGM</w:t>
            </w:r>
          </w:p>
        </w:tc>
        <w:tc>
          <w:tcPr>
            <w:tcW w:w="959" w:type="pct"/>
          </w:tcPr>
          <w:p w14:paraId="34FA8997" w14:textId="737082BB" w:rsidR="00357199" w:rsidRDefault="00357199" w:rsidP="002D289F">
            <w:pPr>
              <w:spacing w:before="120" w:after="120"/>
              <w:rPr>
                <w:rFonts w:ascii="Verdana" w:hAnsi="Verdana"/>
                <w:bCs/>
              </w:rPr>
            </w:pPr>
            <w:r w:rsidRPr="009F7199">
              <w:rPr>
                <w:rFonts w:ascii="Verdana" w:hAnsi="Verdana"/>
              </w:rPr>
              <w:t>Blood Glucose Meter</w:t>
            </w:r>
          </w:p>
        </w:tc>
        <w:tc>
          <w:tcPr>
            <w:tcW w:w="3291" w:type="pct"/>
          </w:tcPr>
          <w:p w14:paraId="0A7D294B" w14:textId="0F485132" w:rsidR="00357199" w:rsidRDefault="00357199" w:rsidP="002D289F">
            <w:pPr>
              <w:spacing w:before="120" w:after="120"/>
              <w:rPr>
                <w:rFonts w:ascii="Verdana" w:hAnsi="Verdana"/>
              </w:rPr>
            </w:pPr>
            <w:r w:rsidRPr="00357199">
              <w:rPr>
                <w:rFonts w:ascii="Verdana" w:hAnsi="Verdana"/>
              </w:rPr>
              <w:t>A small, portable testing machine used by people with diabetes to check their blood glucose levels. After pricking the skin with a lancet, one places a drop of blood on a test strip in the machine. The meter (or monitor) soon displays the blood glucose level as a number on the meter’s digital display. Also used to monitor hyperglycemia and hypoglycemia</w:t>
            </w:r>
          </w:p>
        </w:tc>
      </w:tr>
      <w:tr w:rsidR="00357199" w:rsidRPr="0025615F" w14:paraId="08122CC8" w14:textId="77777777" w:rsidTr="000F70A5">
        <w:tc>
          <w:tcPr>
            <w:tcW w:w="750" w:type="pct"/>
            <w:vMerge/>
          </w:tcPr>
          <w:p w14:paraId="1F32F7B1" w14:textId="77777777" w:rsidR="00357199" w:rsidRPr="00357199" w:rsidRDefault="00357199" w:rsidP="002D289F">
            <w:pPr>
              <w:spacing w:before="120" w:after="120"/>
              <w:jc w:val="center"/>
              <w:rPr>
                <w:rFonts w:ascii="Verdana" w:hAnsi="Verdana"/>
                <w:b/>
                <w:bCs/>
                <w:noProof/>
              </w:rPr>
            </w:pPr>
          </w:p>
        </w:tc>
        <w:tc>
          <w:tcPr>
            <w:tcW w:w="959" w:type="pct"/>
          </w:tcPr>
          <w:p w14:paraId="0154F455" w14:textId="6A824D62" w:rsidR="00357199" w:rsidRPr="00357199" w:rsidRDefault="00357199" w:rsidP="002D289F">
            <w:pPr>
              <w:spacing w:before="120" w:after="120"/>
              <w:rPr>
                <w:rFonts w:ascii="Verdana" w:hAnsi="Verdana"/>
              </w:rPr>
            </w:pPr>
            <w:r w:rsidRPr="00357199">
              <w:rPr>
                <w:rFonts w:ascii="Verdana" w:hAnsi="Verdana"/>
              </w:rPr>
              <w:t>Blood Glucose Monitoring</w:t>
            </w:r>
          </w:p>
        </w:tc>
        <w:tc>
          <w:tcPr>
            <w:tcW w:w="3291" w:type="pct"/>
          </w:tcPr>
          <w:p w14:paraId="332E08BE" w14:textId="563B6770" w:rsidR="00357199" w:rsidRPr="00357199" w:rsidRDefault="00357199" w:rsidP="008D4A43">
            <w:pPr>
              <w:spacing w:before="120" w:after="120"/>
              <w:rPr>
                <w:rFonts w:ascii="Verdana" w:hAnsi="Verdana"/>
              </w:rPr>
            </w:pPr>
            <w:r w:rsidRPr="00357199">
              <w:rPr>
                <w:rFonts w:ascii="Verdana" w:hAnsi="Verdana"/>
              </w:rPr>
              <w:t>Checking blood glucose level on a regular basis in order to manage diabetes.</w:t>
            </w:r>
          </w:p>
        </w:tc>
      </w:tr>
      <w:tr w:rsidR="009F7199" w:rsidRPr="0025615F" w14:paraId="43890674" w14:textId="77777777" w:rsidTr="000F70A5">
        <w:tc>
          <w:tcPr>
            <w:tcW w:w="750" w:type="pct"/>
          </w:tcPr>
          <w:p w14:paraId="6598FDC9" w14:textId="77777777" w:rsidR="00EB26B3" w:rsidRPr="0025615F" w:rsidRDefault="00EB26B3" w:rsidP="002D289F">
            <w:pPr>
              <w:spacing w:before="120" w:after="120"/>
              <w:jc w:val="center"/>
              <w:rPr>
                <w:rFonts w:ascii="Verdana" w:hAnsi="Verdana"/>
                <w:b/>
                <w:color w:val="000000"/>
              </w:rPr>
            </w:pPr>
            <w:r w:rsidRPr="00306D27">
              <w:rPr>
                <w:rFonts w:ascii="Verdana" w:hAnsi="Verdana"/>
                <w:b/>
                <w:noProof/>
              </w:rPr>
              <w:t>BEQ</w:t>
            </w:r>
          </w:p>
        </w:tc>
        <w:tc>
          <w:tcPr>
            <w:tcW w:w="959" w:type="pct"/>
          </w:tcPr>
          <w:p w14:paraId="394CE4B5" w14:textId="77777777" w:rsidR="00EB26B3" w:rsidRPr="0025615F" w:rsidRDefault="00EB26B3" w:rsidP="002D289F">
            <w:pPr>
              <w:spacing w:before="120" w:after="120"/>
              <w:rPr>
                <w:rFonts w:ascii="Verdana" w:hAnsi="Verdana"/>
              </w:rPr>
            </w:pPr>
            <w:r w:rsidRPr="000F184C">
              <w:rPr>
                <w:rFonts w:ascii="Verdana" w:hAnsi="Verdana"/>
                <w:bCs/>
              </w:rPr>
              <w:t>Beneficiary Eligibility Query</w:t>
            </w:r>
          </w:p>
        </w:tc>
        <w:tc>
          <w:tcPr>
            <w:tcW w:w="3291" w:type="pct"/>
          </w:tcPr>
          <w:p w14:paraId="55EEC1AE" w14:textId="1C7B115E" w:rsidR="00EB26B3" w:rsidRPr="0025615F" w:rsidRDefault="00EB26B3" w:rsidP="002D289F">
            <w:pPr>
              <w:spacing w:before="120" w:after="120"/>
              <w:rPr>
                <w:rFonts w:ascii="Verdana" w:hAnsi="Verdana"/>
              </w:rPr>
            </w:pPr>
            <w:r w:rsidRPr="000F184C">
              <w:rPr>
                <w:rFonts w:ascii="Verdana" w:hAnsi="Verdana"/>
              </w:rPr>
              <w:t>An inquiry, performed by Medicare</w:t>
            </w:r>
            <w:r w:rsidR="00FA5A8E" w:rsidRPr="000F184C">
              <w:rPr>
                <w:rFonts w:ascii="Verdana" w:hAnsi="Verdana"/>
              </w:rPr>
              <w:t>,</w:t>
            </w:r>
            <w:r w:rsidRPr="000F184C">
              <w:rPr>
                <w:rFonts w:ascii="Verdana" w:hAnsi="Verdana"/>
              </w:rPr>
              <w:t xml:space="preserve"> is triggered </w:t>
            </w:r>
            <w:r w:rsidR="00AA4F51">
              <w:rPr>
                <w:rFonts w:ascii="Verdana" w:hAnsi="Verdana"/>
              </w:rPr>
              <w:t xml:space="preserve">due to </w:t>
            </w:r>
            <w:r w:rsidRPr="000F184C">
              <w:rPr>
                <w:rFonts w:ascii="Verdana" w:hAnsi="Verdana"/>
              </w:rPr>
              <w:t>a submitted enrollment by a MED D plan sponsor. </w:t>
            </w:r>
          </w:p>
        </w:tc>
      </w:tr>
      <w:tr w:rsidR="009F7199" w:rsidRPr="0025615F" w14:paraId="283B3C79" w14:textId="77777777" w:rsidTr="000F70A5">
        <w:tc>
          <w:tcPr>
            <w:tcW w:w="750" w:type="pct"/>
          </w:tcPr>
          <w:p w14:paraId="7AC96C99"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BHM</w:t>
            </w:r>
          </w:p>
        </w:tc>
        <w:tc>
          <w:tcPr>
            <w:tcW w:w="959" w:type="pct"/>
          </w:tcPr>
          <w:p w14:paraId="1C582F55" w14:textId="77777777" w:rsidR="00EB26B3" w:rsidRPr="0025615F" w:rsidRDefault="00EB26B3" w:rsidP="002D289F">
            <w:pPr>
              <w:spacing w:before="120" w:after="120"/>
              <w:rPr>
                <w:rFonts w:ascii="Verdana" w:hAnsi="Verdana"/>
              </w:rPr>
            </w:pPr>
            <w:r w:rsidRPr="0025615F">
              <w:rPr>
                <w:rFonts w:ascii="Verdana" w:hAnsi="Verdana"/>
              </w:rPr>
              <w:t>Birmingham</w:t>
            </w:r>
            <w:r>
              <w:rPr>
                <w:rFonts w:ascii="Verdana" w:hAnsi="Verdana"/>
              </w:rPr>
              <w:t xml:space="preserve"> </w:t>
            </w:r>
            <w:r w:rsidRPr="0025615F">
              <w:rPr>
                <w:rFonts w:ascii="Verdana" w:hAnsi="Verdana"/>
              </w:rPr>
              <w:t>Facility</w:t>
            </w:r>
          </w:p>
        </w:tc>
        <w:tc>
          <w:tcPr>
            <w:tcW w:w="3291" w:type="pct"/>
          </w:tcPr>
          <w:p w14:paraId="7E1C8C31" w14:textId="77777777" w:rsidR="00EB26B3" w:rsidRPr="0025615F" w:rsidRDefault="00EB26B3" w:rsidP="002D289F">
            <w:pPr>
              <w:spacing w:before="120" w:after="120"/>
              <w:rPr>
                <w:rFonts w:ascii="Verdana" w:hAnsi="Verdana"/>
              </w:rPr>
            </w:pPr>
            <w:r w:rsidRPr="0025615F">
              <w:rPr>
                <w:rFonts w:ascii="Verdana" w:hAnsi="Verdana"/>
              </w:rPr>
              <w:t>Birmingham</w:t>
            </w:r>
            <w:r>
              <w:rPr>
                <w:rFonts w:ascii="Verdana" w:hAnsi="Verdana"/>
              </w:rPr>
              <w:t xml:space="preserve"> </w:t>
            </w:r>
            <w:r w:rsidRPr="0025615F">
              <w:rPr>
                <w:rFonts w:ascii="Verdana" w:hAnsi="Verdana"/>
              </w:rPr>
              <w:t>Alabama</w:t>
            </w:r>
            <w:r>
              <w:rPr>
                <w:rFonts w:ascii="Verdana" w:hAnsi="Verdana"/>
              </w:rPr>
              <w:t xml:space="preserve"> </w:t>
            </w:r>
            <w:r w:rsidRPr="0025615F">
              <w:rPr>
                <w:rFonts w:ascii="Verdana" w:hAnsi="Verdana"/>
              </w:rPr>
              <w:t>mail</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facility</w:t>
            </w:r>
            <w:r>
              <w:rPr>
                <w:rFonts w:ascii="Verdana" w:hAnsi="Verdana"/>
              </w:rPr>
              <w:t>.</w:t>
            </w:r>
          </w:p>
        </w:tc>
      </w:tr>
      <w:tr w:rsidR="009F7199" w:rsidRPr="0025615F" w14:paraId="017FF03F" w14:textId="77777777" w:rsidTr="000F70A5">
        <w:tc>
          <w:tcPr>
            <w:tcW w:w="750" w:type="pct"/>
          </w:tcPr>
          <w:p w14:paraId="05ACBBAA"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BID</w:t>
            </w:r>
          </w:p>
        </w:tc>
        <w:tc>
          <w:tcPr>
            <w:tcW w:w="959" w:type="pct"/>
          </w:tcPr>
          <w:p w14:paraId="4EA80FB8" w14:textId="77777777" w:rsidR="00EB26B3" w:rsidRPr="0025615F" w:rsidRDefault="00EB26B3" w:rsidP="002D289F">
            <w:pPr>
              <w:spacing w:before="120" w:after="120"/>
              <w:rPr>
                <w:rFonts w:ascii="Verdana" w:hAnsi="Verdana"/>
              </w:rPr>
            </w:pPr>
            <w:r w:rsidRPr="0025615F">
              <w:rPr>
                <w:rFonts w:ascii="Verdana" w:hAnsi="Verdana"/>
              </w:rPr>
              <w:t>Twice</w:t>
            </w:r>
            <w:r>
              <w:rPr>
                <w:rFonts w:ascii="Verdana" w:hAnsi="Verdana"/>
              </w:rPr>
              <w:t xml:space="preserve"> </w:t>
            </w:r>
            <w:r w:rsidRPr="0025615F">
              <w:rPr>
                <w:rFonts w:ascii="Verdana" w:hAnsi="Verdana"/>
              </w:rPr>
              <w:t>Daily</w:t>
            </w:r>
          </w:p>
        </w:tc>
        <w:tc>
          <w:tcPr>
            <w:tcW w:w="3291" w:type="pct"/>
          </w:tcPr>
          <w:p w14:paraId="206FF112" w14:textId="77777777" w:rsidR="00EB26B3" w:rsidRPr="0025615F" w:rsidRDefault="00EB26B3" w:rsidP="002D289F">
            <w:pPr>
              <w:spacing w:before="120" w:after="120"/>
              <w:rPr>
                <w:rFonts w:ascii="Verdana" w:hAnsi="Verdana"/>
              </w:rPr>
            </w:pPr>
            <w:r w:rsidRPr="0025615F">
              <w:rPr>
                <w:rFonts w:ascii="Verdana" w:hAnsi="Verdana"/>
              </w:rPr>
              <w:t>Indicates</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should</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used</w:t>
            </w:r>
            <w:r>
              <w:rPr>
                <w:rFonts w:ascii="Verdana" w:hAnsi="Verdana"/>
              </w:rPr>
              <w:t>/</w:t>
            </w:r>
            <w:r w:rsidRPr="0025615F">
              <w:rPr>
                <w:rFonts w:ascii="Verdana" w:hAnsi="Verdana"/>
              </w:rPr>
              <w:t>taken</w:t>
            </w:r>
            <w:r>
              <w:rPr>
                <w:rFonts w:ascii="Verdana" w:hAnsi="Verdana"/>
              </w:rPr>
              <w:t xml:space="preserve"> </w:t>
            </w:r>
            <w:r w:rsidRPr="0025615F">
              <w:rPr>
                <w:rFonts w:ascii="Verdana" w:hAnsi="Verdana"/>
              </w:rPr>
              <w:t>two</w:t>
            </w:r>
            <w:r>
              <w:rPr>
                <w:rFonts w:ascii="Verdana" w:hAnsi="Verdana"/>
              </w:rPr>
              <w:t xml:space="preserve"> </w:t>
            </w:r>
            <w:r w:rsidRPr="0025615F">
              <w:rPr>
                <w:rFonts w:ascii="Verdana" w:hAnsi="Verdana"/>
              </w:rPr>
              <w:t>times</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day</w:t>
            </w:r>
            <w:r>
              <w:rPr>
                <w:rFonts w:ascii="Verdana" w:hAnsi="Verdana"/>
              </w:rPr>
              <w:t>.</w:t>
            </w:r>
          </w:p>
        </w:tc>
      </w:tr>
      <w:tr w:rsidR="009F7199" w:rsidRPr="0025615F" w14:paraId="7E856873" w14:textId="77777777" w:rsidTr="000F70A5">
        <w:tc>
          <w:tcPr>
            <w:tcW w:w="750" w:type="pct"/>
          </w:tcPr>
          <w:p w14:paraId="670354EB"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BIN</w:t>
            </w:r>
          </w:p>
        </w:tc>
        <w:tc>
          <w:tcPr>
            <w:tcW w:w="959" w:type="pct"/>
          </w:tcPr>
          <w:p w14:paraId="05DD9CDB" w14:textId="77777777" w:rsidR="00EB26B3" w:rsidRPr="0025615F" w:rsidRDefault="00EB26B3" w:rsidP="002D289F">
            <w:pPr>
              <w:spacing w:before="120" w:after="120"/>
              <w:rPr>
                <w:rFonts w:ascii="Verdana" w:hAnsi="Verdana"/>
              </w:rPr>
            </w:pPr>
            <w:r w:rsidRPr="0025615F">
              <w:rPr>
                <w:rFonts w:ascii="Verdana" w:hAnsi="Verdana"/>
              </w:rPr>
              <w:t>Bank</w:t>
            </w:r>
            <w:r>
              <w:rPr>
                <w:rFonts w:ascii="Verdana" w:hAnsi="Verdana"/>
              </w:rPr>
              <w:t xml:space="preserve"> </w:t>
            </w:r>
            <w:r w:rsidRPr="0025615F">
              <w:rPr>
                <w:rFonts w:ascii="Verdana" w:hAnsi="Verdana"/>
              </w:rPr>
              <w:t>Identification</w:t>
            </w:r>
            <w:r>
              <w:rPr>
                <w:rFonts w:ascii="Verdana" w:hAnsi="Verdana"/>
              </w:rPr>
              <w:t xml:space="preserve"> </w:t>
            </w:r>
            <w:r w:rsidRPr="0025615F">
              <w:rPr>
                <w:rFonts w:ascii="Verdana" w:hAnsi="Verdana"/>
              </w:rPr>
              <w:t>Number</w:t>
            </w:r>
          </w:p>
        </w:tc>
        <w:tc>
          <w:tcPr>
            <w:tcW w:w="3291" w:type="pct"/>
          </w:tcPr>
          <w:p w14:paraId="21D73D1A" w14:textId="1DE60DB1" w:rsidR="00EB26B3" w:rsidRPr="0025615F" w:rsidRDefault="00EB26B3" w:rsidP="002D289F">
            <w:pPr>
              <w:spacing w:before="120" w:after="120"/>
              <w:rPr>
                <w:rFonts w:ascii="Verdana" w:hAnsi="Verdana"/>
              </w:rPr>
            </w:pPr>
            <w:r w:rsidRPr="0025615F">
              <w:rPr>
                <w:rFonts w:ascii="Verdana" w:hAnsi="Verdana"/>
                <w:color w:val="000000"/>
              </w:rPr>
              <w:t>Each</w:t>
            </w:r>
            <w:r>
              <w:rPr>
                <w:rFonts w:ascii="Verdana" w:hAnsi="Verdana"/>
                <w:color w:val="000000"/>
              </w:rPr>
              <w:t xml:space="preserve"> </w:t>
            </w:r>
            <w:r w:rsidRPr="0025615F">
              <w:rPr>
                <w:rFonts w:ascii="Verdana" w:hAnsi="Verdana"/>
                <w:color w:val="000000"/>
              </w:rPr>
              <w:t>PBM</w:t>
            </w:r>
            <w:r>
              <w:rPr>
                <w:rFonts w:ascii="Verdana" w:hAnsi="Verdana"/>
                <w:color w:val="000000"/>
              </w:rPr>
              <w:t xml:space="preserve"> </w:t>
            </w:r>
            <w:r w:rsidRPr="0025615F">
              <w:rPr>
                <w:rFonts w:ascii="Verdana" w:hAnsi="Verdana"/>
                <w:color w:val="000000"/>
              </w:rPr>
              <w:t>platform</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its</w:t>
            </w:r>
            <w:r>
              <w:rPr>
                <w:rFonts w:ascii="Verdana" w:hAnsi="Verdana"/>
              </w:rPr>
              <w:t xml:space="preserve"> </w:t>
            </w:r>
            <w:r w:rsidRPr="0025615F">
              <w:rPr>
                <w:rFonts w:ascii="Verdana" w:hAnsi="Verdana"/>
              </w:rPr>
              <w:t>own</w:t>
            </w:r>
            <w:r>
              <w:rPr>
                <w:rFonts w:ascii="Verdana" w:hAnsi="Verdana"/>
              </w:rPr>
              <w:t xml:space="preserve"> </w:t>
            </w:r>
            <w:r w:rsidRPr="0025615F">
              <w:rPr>
                <w:rFonts w:ascii="Verdana" w:hAnsi="Verdana"/>
              </w:rPr>
              <w:t>BIN</w:t>
            </w:r>
            <w:r>
              <w:rPr>
                <w:rFonts w:ascii="Verdana" w:hAnsi="Verdana"/>
              </w:rPr>
              <w:t xml:space="preserve"> </w:t>
            </w:r>
            <w:r w:rsidRPr="0025615F">
              <w:rPr>
                <w:rFonts w:ascii="Verdana" w:hAnsi="Verdana"/>
              </w:rPr>
              <w:t>number.</w:t>
            </w:r>
            <w:r>
              <w:rPr>
                <w:rFonts w:ascii="Verdana" w:hAnsi="Verdana"/>
              </w:rPr>
              <w:t xml:space="preserve"> This is a </w:t>
            </w:r>
            <w:r w:rsidR="002E6108">
              <w:rPr>
                <w:rFonts w:ascii="Verdana" w:hAnsi="Verdana"/>
              </w:rPr>
              <w:t>six-digit</w:t>
            </w:r>
            <w:r>
              <w:rPr>
                <w:rFonts w:ascii="Verdana" w:hAnsi="Verdana"/>
              </w:rPr>
              <w:t xml:space="preserve"> number that tells the computer database at the pharmacy which health insurance provider is to receive the claim for the prescription</w:t>
            </w:r>
            <w:r w:rsidR="00E96762">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switching</w:t>
            </w:r>
            <w:r>
              <w:rPr>
                <w:rFonts w:ascii="Verdana" w:hAnsi="Verdana"/>
              </w:rPr>
              <w:t xml:space="preserve"> </w:t>
            </w:r>
            <w:r w:rsidRPr="0025615F">
              <w:rPr>
                <w:rFonts w:ascii="Verdana" w:hAnsi="Verdana"/>
              </w:rPr>
              <w:t>station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send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transaction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rrect</w:t>
            </w:r>
            <w:r>
              <w:rPr>
                <w:rFonts w:ascii="Verdana" w:hAnsi="Verdana"/>
              </w:rPr>
              <w:t xml:space="preserve"> </w:t>
            </w:r>
            <w:r w:rsidRPr="0025615F">
              <w:rPr>
                <w:rFonts w:ascii="Verdana" w:hAnsi="Verdana"/>
              </w:rPr>
              <w:t>PBM</w:t>
            </w:r>
            <w:r>
              <w:rPr>
                <w:rFonts w:ascii="Verdana" w:hAnsi="Verdana"/>
              </w:rPr>
              <w:t xml:space="preserve"> </w:t>
            </w:r>
            <w:r w:rsidRPr="0025615F">
              <w:rPr>
                <w:rFonts w:ascii="Verdana" w:hAnsi="Verdana"/>
              </w:rPr>
              <w:t>platform.</w:t>
            </w:r>
            <w:r>
              <w:rPr>
                <w:rFonts w:ascii="Verdana" w:hAnsi="Verdana"/>
              </w:rPr>
              <w:t xml:space="preserve"> Our </w:t>
            </w:r>
            <w:r w:rsidRPr="0025615F">
              <w:rPr>
                <w:rFonts w:ascii="Verdana" w:hAnsi="Verdana"/>
              </w:rPr>
              <w:t>BIN</w:t>
            </w:r>
            <w:r>
              <w:rPr>
                <w:rFonts w:ascii="Verdana" w:hAnsi="Verdana"/>
              </w:rPr>
              <w:t xml:space="preserve"> </w:t>
            </w:r>
            <w:r w:rsidRPr="0025615F">
              <w:rPr>
                <w:rFonts w:ascii="Verdana" w:hAnsi="Verdana"/>
              </w:rPr>
              <w:t>numbers</w:t>
            </w:r>
            <w:r>
              <w:rPr>
                <w:rFonts w:ascii="Verdana" w:hAnsi="Verdana"/>
              </w:rPr>
              <w:t xml:space="preserve"> </w:t>
            </w:r>
            <w:r w:rsidRPr="0025615F">
              <w:rPr>
                <w:rFonts w:ascii="Verdana" w:hAnsi="Verdana"/>
              </w:rPr>
              <w:t>are:</w:t>
            </w:r>
            <w:r>
              <w:rPr>
                <w:rFonts w:ascii="Verdana" w:hAnsi="Verdana"/>
              </w:rPr>
              <w:t xml:space="preserve"> </w:t>
            </w:r>
          </w:p>
          <w:p w14:paraId="594FC31E" w14:textId="77777777" w:rsidR="00EB26B3" w:rsidRPr="0025615F" w:rsidRDefault="00EB26B3" w:rsidP="002D289F">
            <w:pPr>
              <w:numPr>
                <w:ilvl w:val="0"/>
                <w:numId w:val="22"/>
              </w:numPr>
              <w:tabs>
                <w:tab w:val="clear" w:pos="1800"/>
                <w:tab w:val="num" w:pos="502"/>
              </w:tabs>
              <w:spacing w:before="120" w:after="120"/>
              <w:ind w:hanging="1720"/>
              <w:rPr>
                <w:rFonts w:ascii="Verdana" w:hAnsi="Verdana"/>
              </w:rPr>
            </w:pPr>
            <w:r w:rsidRPr="0025615F">
              <w:rPr>
                <w:rFonts w:ascii="Verdana" w:hAnsi="Verdana"/>
              </w:rPr>
              <w:t>QL</w:t>
            </w:r>
            <w:r>
              <w:rPr>
                <w:rFonts w:ascii="Verdana" w:hAnsi="Verdana"/>
              </w:rPr>
              <w:t xml:space="preserve"> </w:t>
            </w:r>
            <w:r w:rsidRPr="0025615F">
              <w:rPr>
                <w:rFonts w:ascii="Verdana" w:hAnsi="Verdana" w:cs="Arial"/>
              </w:rPr>
              <w:t>=</w:t>
            </w:r>
            <w:r>
              <w:rPr>
                <w:rFonts w:ascii="Verdana" w:hAnsi="Verdana" w:cs="Arial"/>
              </w:rPr>
              <w:t xml:space="preserve"> </w:t>
            </w:r>
            <w:r w:rsidRPr="0025615F">
              <w:rPr>
                <w:rFonts w:ascii="Verdana" w:hAnsi="Verdana" w:cs="Arial"/>
                <w:color w:val="000000"/>
              </w:rPr>
              <w:t>610029</w:t>
            </w:r>
          </w:p>
          <w:p w14:paraId="63FD4A56" w14:textId="77777777" w:rsidR="00EB26B3" w:rsidRPr="0025615F" w:rsidRDefault="00EB26B3" w:rsidP="002D289F">
            <w:pPr>
              <w:numPr>
                <w:ilvl w:val="0"/>
                <w:numId w:val="22"/>
              </w:numPr>
              <w:tabs>
                <w:tab w:val="clear" w:pos="1800"/>
                <w:tab w:val="num" w:pos="502"/>
              </w:tabs>
              <w:spacing w:before="120" w:after="120"/>
              <w:ind w:hanging="1720"/>
              <w:rPr>
                <w:rFonts w:ascii="Verdana" w:hAnsi="Verdana"/>
                <w:color w:val="000000"/>
              </w:rPr>
            </w:pPr>
            <w:r w:rsidRPr="0025615F">
              <w:rPr>
                <w:rFonts w:ascii="Verdana" w:hAnsi="Verdana"/>
                <w:color w:val="000000"/>
              </w:rPr>
              <w:t>RECAP</w:t>
            </w:r>
            <w:r>
              <w:rPr>
                <w:rFonts w:ascii="Verdana" w:hAnsi="Verdana"/>
                <w:color w:val="000000"/>
              </w:rPr>
              <w:t xml:space="preserve"> </w:t>
            </w:r>
            <w:r w:rsidRPr="0025615F">
              <w:rPr>
                <w:rFonts w:ascii="Verdana" w:hAnsi="Verdana"/>
                <w:color w:val="000000"/>
              </w:rPr>
              <w:t>=</w:t>
            </w:r>
            <w:r>
              <w:rPr>
                <w:rFonts w:ascii="Verdana" w:hAnsi="Verdana"/>
                <w:color w:val="000000"/>
              </w:rPr>
              <w:t xml:space="preserve"> </w:t>
            </w:r>
            <w:r w:rsidRPr="0025615F">
              <w:rPr>
                <w:rFonts w:ascii="Verdana" w:hAnsi="Verdana"/>
                <w:color w:val="000000"/>
              </w:rPr>
              <w:t>610415,</w:t>
            </w:r>
            <w:r>
              <w:rPr>
                <w:rFonts w:ascii="Verdana" w:hAnsi="Verdana"/>
                <w:color w:val="000000"/>
              </w:rPr>
              <w:t xml:space="preserve"> </w:t>
            </w:r>
            <w:r w:rsidRPr="0025615F">
              <w:rPr>
                <w:rFonts w:ascii="Verdana" w:hAnsi="Verdana"/>
                <w:color w:val="000000"/>
              </w:rPr>
              <w:t>FEP</w:t>
            </w:r>
            <w:r>
              <w:rPr>
                <w:rFonts w:ascii="Verdana" w:hAnsi="Verdana"/>
                <w:color w:val="000000"/>
              </w:rPr>
              <w:t xml:space="preserve"> </w:t>
            </w:r>
            <w:r w:rsidRPr="0025615F">
              <w:rPr>
                <w:rFonts w:ascii="Verdana" w:hAnsi="Verdana"/>
                <w:color w:val="000000"/>
              </w:rPr>
              <w:t>BIN</w:t>
            </w:r>
            <w:r>
              <w:rPr>
                <w:rFonts w:ascii="Verdana" w:hAnsi="Verdana"/>
                <w:color w:val="000000"/>
              </w:rPr>
              <w:t xml:space="preserve"> </w:t>
            </w:r>
            <w:r w:rsidRPr="0025615F">
              <w:rPr>
                <w:rFonts w:ascii="Verdana" w:hAnsi="Verdana"/>
                <w:color w:val="000000"/>
              </w:rPr>
              <w:t>=</w:t>
            </w:r>
            <w:r>
              <w:rPr>
                <w:rFonts w:ascii="Verdana" w:hAnsi="Verdana"/>
                <w:color w:val="000000"/>
              </w:rPr>
              <w:t xml:space="preserve"> </w:t>
            </w:r>
            <w:r w:rsidRPr="0025615F">
              <w:rPr>
                <w:rFonts w:ascii="Verdana" w:hAnsi="Verdana"/>
                <w:color w:val="000000"/>
              </w:rPr>
              <w:t>610239</w:t>
            </w:r>
          </w:p>
          <w:p w14:paraId="0719A96D" w14:textId="77777777" w:rsidR="00EB26B3" w:rsidRPr="0025615F" w:rsidRDefault="00EB26B3" w:rsidP="002D289F">
            <w:pPr>
              <w:numPr>
                <w:ilvl w:val="0"/>
                <w:numId w:val="22"/>
              </w:numPr>
              <w:tabs>
                <w:tab w:val="clear" w:pos="1800"/>
                <w:tab w:val="num" w:pos="502"/>
              </w:tabs>
              <w:spacing w:before="120" w:after="120"/>
              <w:ind w:hanging="1720"/>
              <w:rPr>
                <w:rFonts w:ascii="Verdana" w:hAnsi="Verdana"/>
              </w:rPr>
            </w:pPr>
            <w:r w:rsidRPr="0025615F">
              <w:rPr>
                <w:rFonts w:ascii="Verdana" w:hAnsi="Verdana"/>
              </w:rPr>
              <w:t>RxClaim</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004336</w:t>
            </w:r>
          </w:p>
        </w:tc>
      </w:tr>
      <w:tr w:rsidR="009F7199" w:rsidRPr="0025615F" w14:paraId="285EC58A" w14:textId="77777777" w:rsidTr="000F70A5">
        <w:tc>
          <w:tcPr>
            <w:tcW w:w="750" w:type="pct"/>
          </w:tcPr>
          <w:p w14:paraId="26E39146" w14:textId="3A05F652" w:rsidR="00EB26B3" w:rsidRPr="0025615F" w:rsidRDefault="002762C2" w:rsidP="002D289F">
            <w:pPr>
              <w:spacing w:before="120" w:after="120"/>
              <w:jc w:val="center"/>
              <w:rPr>
                <w:rFonts w:ascii="Verdana" w:hAnsi="Verdana"/>
                <w:b/>
                <w:color w:val="000000"/>
              </w:rPr>
            </w:pPr>
            <w:r>
              <w:rPr>
                <w:rFonts w:ascii="Verdana" w:hAnsi="Verdana"/>
                <w:b/>
                <w:color w:val="000000"/>
              </w:rPr>
              <w:t xml:space="preserve"> </w:t>
            </w:r>
            <w:r w:rsidR="00EB26B3">
              <w:rPr>
                <w:rFonts w:ascii="Verdana" w:hAnsi="Verdana"/>
                <w:b/>
                <w:color w:val="000000"/>
              </w:rPr>
              <w:t xml:space="preserve">BIPA </w:t>
            </w:r>
          </w:p>
        </w:tc>
        <w:tc>
          <w:tcPr>
            <w:tcW w:w="959" w:type="pct"/>
          </w:tcPr>
          <w:p w14:paraId="0348E51A" w14:textId="77777777" w:rsidR="00EB26B3" w:rsidRPr="0025615F" w:rsidRDefault="00EB26B3" w:rsidP="002D289F">
            <w:pPr>
              <w:spacing w:before="120" w:after="120"/>
              <w:rPr>
                <w:rFonts w:ascii="Verdana" w:hAnsi="Verdana"/>
              </w:rPr>
            </w:pPr>
            <w:r>
              <w:rPr>
                <w:rFonts w:ascii="Verdana" w:hAnsi="Verdana"/>
              </w:rPr>
              <w:t xml:space="preserve">Benefits Improvement &amp; Protection Act of 2000 </w:t>
            </w:r>
            <w:r>
              <w:rPr>
                <w:rFonts w:ascii="Verdana" w:hAnsi="Verdana"/>
                <w:b/>
                <w:color w:val="000000"/>
              </w:rPr>
              <w:t xml:space="preserve"> </w:t>
            </w:r>
          </w:p>
        </w:tc>
        <w:tc>
          <w:tcPr>
            <w:tcW w:w="3291" w:type="pct"/>
          </w:tcPr>
          <w:p w14:paraId="1E89D28A" w14:textId="0B201B75" w:rsidR="00EB26B3" w:rsidRPr="002E6108" w:rsidRDefault="002E6108" w:rsidP="002D289F">
            <w:pPr>
              <w:spacing w:before="120" w:after="120"/>
              <w:rPr>
                <w:rFonts w:ascii="Verdana" w:hAnsi="Verdana"/>
              </w:rPr>
            </w:pPr>
            <w:r w:rsidRPr="002762C2">
              <w:rPr>
                <w:rFonts w:ascii="Verdana" w:hAnsi="Verdana" w:cs="Arial"/>
                <w:color w:val="333333"/>
                <w:shd w:val="clear" w:color="auto" w:fill="FFFFFF"/>
              </w:rPr>
              <w:t>A federal law enacted by U.S. Congress that, among other provisions, restored an estimated $11.5 billion over five years to hospitals under </w:t>
            </w:r>
            <w:r w:rsidRPr="002762C2">
              <w:rPr>
                <w:rFonts w:ascii="Verdana" w:hAnsi="Verdana" w:cs="Arial"/>
                <w:color w:val="000000" w:themeColor="text1"/>
                <w:bdr w:val="none" w:sz="0" w:space="0" w:color="auto" w:frame="1"/>
                <w:shd w:val="clear" w:color="auto" w:fill="FFFFFF"/>
              </w:rPr>
              <w:t>Medicare</w:t>
            </w:r>
            <w:r w:rsidRPr="002762C2">
              <w:rPr>
                <w:rFonts w:ascii="Verdana" w:hAnsi="Verdana" w:cs="Arial"/>
                <w:color w:val="333333"/>
                <w:shd w:val="clear" w:color="auto" w:fill="FFFFFF"/>
              </w:rPr>
              <w:t>, </w:t>
            </w:r>
            <w:r w:rsidRPr="002762C2">
              <w:rPr>
                <w:rFonts w:ascii="Verdana" w:hAnsi="Verdana" w:cs="Arial"/>
                <w:color w:val="000000" w:themeColor="text1"/>
                <w:bdr w:val="none" w:sz="0" w:space="0" w:color="auto" w:frame="1"/>
                <w:shd w:val="clear" w:color="auto" w:fill="FFFFFF"/>
              </w:rPr>
              <w:t>Medicaid</w:t>
            </w:r>
            <w:r w:rsidRPr="002762C2">
              <w:rPr>
                <w:rFonts w:ascii="Verdana" w:hAnsi="Verdana" w:cs="Arial"/>
                <w:color w:val="333333"/>
                <w:shd w:val="clear" w:color="auto" w:fill="FFFFFF"/>
              </w:rPr>
              <w:t>, and other federal and state health care programs.</w:t>
            </w:r>
          </w:p>
        </w:tc>
      </w:tr>
      <w:tr w:rsidR="009F7199" w:rsidRPr="0025615F" w14:paraId="781170FA" w14:textId="77777777" w:rsidTr="000F70A5">
        <w:tc>
          <w:tcPr>
            <w:tcW w:w="750" w:type="pct"/>
          </w:tcPr>
          <w:p w14:paraId="56CCFB99"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BKDN</w:t>
            </w:r>
          </w:p>
        </w:tc>
        <w:tc>
          <w:tcPr>
            <w:tcW w:w="959" w:type="pct"/>
          </w:tcPr>
          <w:p w14:paraId="10DD0CD4" w14:textId="77777777" w:rsidR="00EB26B3" w:rsidRPr="0025615F" w:rsidRDefault="00EB26B3" w:rsidP="002D289F">
            <w:pPr>
              <w:spacing w:before="120" w:after="120"/>
              <w:rPr>
                <w:rFonts w:ascii="Verdana" w:hAnsi="Verdana"/>
              </w:rPr>
            </w:pPr>
            <w:r w:rsidRPr="0025615F">
              <w:rPr>
                <w:rFonts w:ascii="Verdana" w:hAnsi="Verdana"/>
              </w:rPr>
              <w:t>Blind</w:t>
            </w:r>
            <w:r>
              <w:rPr>
                <w:rFonts w:ascii="Verdana" w:hAnsi="Verdana"/>
              </w:rPr>
              <w:t xml:space="preserve"> </w:t>
            </w:r>
            <w:r w:rsidRPr="0025615F">
              <w:rPr>
                <w:rFonts w:ascii="Verdana" w:hAnsi="Verdana"/>
              </w:rPr>
              <w:t>Key</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Name</w:t>
            </w:r>
          </w:p>
        </w:tc>
        <w:tc>
          <w:tcPr>
            <w:tcW w:w="3291" w:type="pct"/>
          </w:tcPr>
          <w:p w14:paraId="0B41D83E" w14:textId="16328843" w:rsidR="00EB26B3" w:rsidRPr="0025615F" w:rsidRDefault="00EB26B3" w:rsidP="002D289F">
            <w:pPr>
              <w:spacing w:before="120" w:after="120"/>
              <w:rPr>
                <w:rFonts w:ascii="Verdana" w:hAnsi="Verdana"/>
              </w:rPr>
            </w:pPr>
            <w:r w:rsidRPr="0025615F">
              <w:rPr>
                <w:rFonts w:ascii="Verdana" w:hAnsi="Verdana"/>
              </w:rPr>
              <w:t>Functionality</w:t>
            </w:r>
            <w:r>
              <w:rPr>
                <w:rFonts w:ascii="Verdana" w:hAnsi="Verdana"/>
              </w:rPr>
              <w:t xml:space="preserve"> </w:t>
            </w:r>
            <w:r w:rsidRPr="0025615F">
              <w:rPr>
                <w:rFonts w:ascii="Verdana" w:hAnsi="Verdana"/>
              </w:rPr>
              <w:t>which</w:t>
            </w:r>
            <w:r>
              <w:rPr>
                <w:rFonts w:ascii="Verdana" w:hAnsi="Verdana"/>
              </w:rPr>
              <w:t xml:space="preserve"> </w:t>
            </w:r>
            <w:r w:rsidR="0068162D" w:rsidRPr="0025615F">
              <w:rPr>
                <w:rFonts w:ascii="Verdana" w:hAnsi="Verdana"/>
              </w:rPr>
              <w:t>requires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user</w:t>
            </w:r>
            <w:r>
              <w:rPr>
                <w:rFonts w:ascii="Verdana" w:hAnsi="Verdana"/>
              </w:rPr>
              <w:t xml:space="preserve"> </w:t>
            </w:r>
            <w:r w:rsidRPr="0025615F">
              <w:rPr>
                <w:rFonts w:ascii="Verdana" w:hAnsi="Verdana"/>
              </w:rPr>
              <w:t>(if</w:t>
            </w:r>
            <w:r>
              <w:rPr>
                <w:rFonts w:ascii="Verdana" w:hAnsi="Verdana"/>
              </w:rPr>
              <w:t xml:space="preserve"> </w:t>
            </w:r>
            <w:r w:rsidRPr="0025615F">
              <w:rPr>
                <w:rFonts w:ascii="Verdana" w:hAnsi="Verdana"/>
              </w:rPr>
              <w:t>selected)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re-enter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name</w:t>
            </w:r>
            <w:r w:rsidR="00E96762" w:rsidRPr="0025615F">
              <w:rPr>
                <w:rFonts w:ascii="Verdana" w:hAnsi="Verdana"/>
              </w:rPr>
              <w:t>.</w:t>
            </w:r>
            <w:r w:rsidR="00E96762">
              <w:t xml:space="preserve"> </w:t>
            </w:r>
          </w:p>
        </w:tc>
      </w:tr>
      <w:tr w:rsidR="009F7199" w:rsidRPr="0025615F" w14:paraId="1F3DB0DE" w14:textId="77777777" w:rsidTr="000F70A5">
        <w:tc>
          <w:tcPr>
            <w:tcW w:w="750" w:type="pct"/>
          </w:tcPr>
          <w:p w14:paraId="50281856" w14:textId="77777777" w:rsidR="00EB26B3" w:rsidRPr="0025615F" w:rsidRDefault="00EB26B3" w:rsidP="002D289F">
            <w:pPr>
              <w:spacing w:before="120" w:after="120"/>
              <w:jc w:val="center"/>
              <w:rPr>
                <w:rFonts w:ascii="Verdana" w:hAnsi="Verdana"/>
                <w:b/>
                <w:color w:val="000000"/>
              </w:rPr>
            </w:pPr>
            <w:r w:rsidRPr="0025615F">
              <w:rPr>
                <w:rFonts w:ascii="Verdana" w:hAnsi="Verdana"/>
                <w:b/>
                <w:color w:val="000000"/>
              </w:rPr>
              <w:t>BKPN</w:t>
            </w:r>
          </w:p>
        </w:tc>
        <w:tc>
          <w:tcPr>
            <w:tcW w:w="959" w:type="pct"/>
          </w:tcPr>
          <w:p w14:paraId="2D3A7C47" w14:textId="77777777" w:rsidR="00EB26B3" w:rsidRPr="0025615F" w:rsidRDefault="00EB26B3" w:rsidP="002D289F">
            <w:pPr>
              <w:spacing w:before="120" w:after="120"/>
              <w:rPr>
                <w:rFonts w:ascii="Verdana" w:hAnsi="Verdana"/>
              </w:rPr>
            </w:pPr>
            <w:r w:rsidRPr="0025615F">
              <w:rPr>
                <w:rFonts w:ascii="Verdana" w:hAnsi="Verdana"/>
              </w:rPr>
              <w:t>Blind</w:t>
            </w:r>
            <w:r>
              <w:rPr>
                <w:rFonts w:ascii="Verdana" w:hAnsi="Verdana"/>
              </w:rPr>
              <w:t xml:space="preserve"> </w:t>
            </w:r>
            <w:r w:rsidRPr="0025615F">
              <w:rPr>
                <w:rFonts w:ascii="Verdana" w:hAnsi="Verdana"/>
              </w:rPr>
              <w:t>Key</w:t>
            </w:r>
            <w:r>
              <w:rPr>
                <w:rFonts w:ascii="Verdana" w:hAnsi="Verdana"/>
              </w:rPr>
              <w:t xml:space="preserve"> </w:t>
            </w:r>
            <w:r w:rsidRPr="0025615F">
              <w:rPr>
                <w:rFonts w:ascii="Verdana" w:hAnsi="Verdana"/>
              </w:rPr>
              <w:t>Patient</w:t>
            </w:r>
            <w:r>
              <w:rPr>
                <w:rFonts w:ascii="Verdana" w:hAnsi="Verdana"/>
              </w:rPr>
              <w:t xml:space="preserve"> </w:t>
            </w:r>
            <w:r w:rsidRPr="0025615F">
              <w:rPr>
                <w:rFonts w:ascii="Verdana" w:hAnsi="Verdana"/>
              </w:rPr>
              <w:t>Name</w:t>
            </w:r>
          </w:p>
        </w:tc>
        <w:tc>
          <w:tcPr>
            <w:tcW w:w="3291" w:type="pct"/>
          </w:tcPr>
          <w:p w14:paraId="37BE6BE3" w14:textId="4713489E" w:rsidR="00EB26B3" w:rsidRPr="0025615F" w:rsidRDefault="00EB26B3" w:rsidP="002D289F">
            <w:pPr>
              <w:spacing w:before="120" w:after="120"/>
              <w:rPr>
                <w:rFonts w:ascii="Verdana" w:hAnsi="Verdana"/>
              </w:rPr>
            </w:pPr>
            <w:r w:rsidRPr="0025615F">
              <w:rPr>
                <w:rFonts w:ascii="Verdana" w:hAnsi="Verdana"/>
              </w:rPr>
              <w:t>Functionality</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requires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user</w:t>
            </w:r>
            <w:r>
              <w:rPr>
                <w:rFonts w:ascii="Verdana" w:hAnsi="Verdana"/>
              </w:rPr>
              <w:t xml:space="preserve"> </w:t>
            </w:r>
            <w:r w:rsidRPr="0025615F">
              <w:rPr>
                <w:rFonts w:ascii="Verdana" w:hAnsi="Verdana"/>
              </w:rPr>
              <w:t>(if</w:t>
            </w:r>
            <w:r>
              <w:rPr>
                <w:rFonts w:ascii="Verdana" w:hAnsi="Verdana"/>
              </w:rPr>
              <w:t xml:space="preserve"> </w:t>
            </w:r>
            <w:r w:rsidRPr="0025615F">
              <w:rPr>
                <w:rFonts w:ascii="Verdana" w:hAnsi="Verdana"/>
              </w:rPr>
              <w:t>selected)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re-enter</w:t>
            </w:r>
            <w:r>
              <w:rPr>
                <w:rFonts w:ascii="Verdana" w:hAnsi="Verdana"/>
              </w:rPr>
              <w:t xml:space="preserve"> </w:t>
            </w:r>
            <w:r w:rsidRPr="0025615F">
              <w:rPr>
                <w:rFonts w:ascii="Verdana" w:hAnsi="Verdana"/>
              </w:rPr>
              <w:t>the</w:t>
            </w:r>
            <w:r>
              <w:rPr>
                <w:rFonts w:ascii="Verdana" w:hAnsi="Verdana"/>
              </w:rPr>
              <w:t xml:space="preserve"> </w:t>
            </w:r>
            <w:r w:rsidR="009F7199" w:rsidRPr="0025615F">
              <w:rPr>
                <w:rFonts w:ascii="Verdana" w:hAnsi="Verdana"/>
              </w:rPr>
              <w:t>member’s</w:t>
            </w:r>
            <w:r>
              <w:rPr>
                <w:rFonts w:ascii="Verdana" w:hAnsi="Verdana"/>
              </w:rPr>
              <w:t xml:space="preserve"> </w:t>
            </w:r>
            <w:r w:rsidRPr="0025615F">
              <w:rPr>
                <w:rFonts w:ascii="Verdana" w:hAnsi="Verdana"/>
              </w:rPr>
              <w:t>name</w:t>
            </w:r>
            <w:r w:rsidR="00E96762" w:rsidRPr="0025615F">
              <w:rPr>
                <w:rFonts w:ascii="Verdana" w:hAnsi="Verdana"/>
              </w:rPr>
              <w:t>.</w:t>
            </w:r>
            <w:r w:rsidR="00E96762">
              <w:t xml:space="preserve"> </w:t>
            </w:r>
          </w:p>
        </w:tc>
      </w:tr>
      <w:tr w:rsidR="009F7199" w:rsidRPr="0025615F" w14:paraId="2179A00B" w14:textId="77777777" w:rsidTr="000F70A5">
        <w:tc>
          <w:tcPr>
            <w:tcW w:w="750" w:type="pct"/>
          </w:tcPr>
          <w:p w14:paraId="1CB7007A" w14:textId="77777777" w:rsidR="00EB26B3" w:rsidRPr="0025615F" w:rsidRDefault="00EB26B3" w:rsidP="002D289F">
            <w:pPr>
              <w:spacing w:before="120" w:after="120"/>
              <w:jc w:val="center"/>
              <w:rPr>
                <w:rFonts w:ascii="Verdana" w:hAnsi="Verdana"/>
                <w:b/>
                <w:color w:val="000000"/>
              </w:rPr>
            </w:pPr>
            <w:r w:rsidRPr="000F184C">
              <w:rPr>
                <w:rFonts w:ascii="Verdana" w:hAnsi="Verdana"/>
                <w:b/>
              </w:rPr>
              <w:t>BLA</w:t>
            </w:r>
          </w:p>
        </w:tc>
        <w:tc>
          <w:tcPr>
            <w:tcW w:w="959" w:type="pct"/>
          </w:tcPr>
          <w:p w14:paraId="339A1B44" w14:textId="77777777" w:rsidR="00EB26B3" w:rsidRPr="0025615F" w:rsidRDefault="00EB26B3" w:rsidP="002D289F">
            <w:pPr>
              <w:spacing w:before="120" w:after="120"/>
              <w:rPr>
                <w:rFonts w:ascii="Verdana" w:hAnsi="Verdana"/>
              </w:rPr>
            </w:pPr>
            <w:r w:rsidRPr="000F184C">
              <w:rPr>
                <w:rFonts w:ascii="Verdana" w:hAnsi="Verdana"/>
              </w:rPr>
              <w:t>Biologic License Application</w:t>
            </w:r>
          </w:p>
        </w:tc>
        <w:tc>
          <w:tcPr>
            <w:tcW w:w="3291" w:type="pct"/>
          </w:tcPr>
          <w:p w14:paraId="3A14DC77" w14:textId="77777777" w:rsidR="00EB26B3" w:rsidRPr="000F184C" w:rsidRDefault="00EB26B3" w:rsidP="002D289F">
            <w:pPr>
              <w:spacing w:before="120" w:after="120"/>
              <w:rPr>
                <w:rFonts w:ascii="Verdana" w:hAnsi="Verdana"/>
              </w:rPr>
            </w:pPr>
            <w:r w:rsidRPr="000F184C">
              <w:rPr>
                <w:rFonts w:ascii="Verdana" w:hAnsi="Verdana"/>
              </w:rPr>
              <w:t>Biological products are approved for marketing under the provisions of the Public Health Service (PHS) Act.</w:t>
            </w:r>
          </w:p>
          <w:p w14:paraId="4D5A9620" w14:textId="77777777" w:rsidR="00EB26B3" w:rsidRPr="000F184C" w:rsidRDefault="00EB26B3" w:rsidP="002D289F">
            <w:pPr>
              <w:numPr>
                <w:ilvl w:val="0"/>
                <w:numId w:val="75"/>
              </w:numPr>
              <w:spacing w:before="120" w:after="120"/>
              <w:ind w:left="426"/>
              <w:rPr>
                <w:rFonts w:ascii="Verdana" w:hAnsi="Verdana"/>
              </w:rPr>
            </w:pPr>
            <w:r w:rsidRPr="000F184C">
              <w:rPr>
                <w:rFonts w:ascii="Verdana" w:hAnsi="Verdana"/>
              </w:rPr>
              <w:t>The Act requires a firm who manufactures a biologic for sale in interstate commerce to hold a license for the product.</w:t>
            </w:r>
          </w:p>
          <w:p w14:paraId="273E1BC0" w14:textId="64061DA0" w:rsidR="00EB26B3" w:rsidRPr="000F184C" w:rsidRDefault="00EB26B3" w:rsidP="002D289F">
            <w:pPr>
              <w:spacing w:before="120" w:after="120"/>
              <w:rPr>
                <w:rFonts w:ascii="Verdana" w:hAnsi="Verdana"/>
              </w:rPr>
            </w:pPr>
            <w:r w:rsidRPr="000F184C">
              <w:rPr>
                <w:rFonts w:ascii="Verdana" w:hAnsi="Verdana"/>
              </w:rPr>
              <w:t xml:space="preserve">A biologics license application is a submission that contains specific information on the manufacturing processes, chemistry, pharmacology, clinical </w:t>
            </w:r>
            <w:r w:rsidR="00E96762" w:rsidRPr="000F184C">
              <w:rPr>
                <w:rFonts w:ascii="Verdana" w:hAnsi="Verdana"/>
              </w:rPr>
              <w:t>pharmacology,</w:t>
            </w:r>
            <w:r w:rsidRPr="000F184C">
              <w:rPr>
                <w:rFonts w:ascii="Verdana" w:hAnsi="Verdana"/>
              </w:rPr>
              <w:t xml:space="preserve"> and the medical effects of the biologic product.</w:t>
            </w:r>
          </w:p>
          <w:p w14:paraId="14BB4B3A" w14:textId="08BCEB58" w:rsidR="00EB26B3" w:rsidRDefault="00EB26B3" w:rsidP="002D289F">
            <w:pPr>
              <w:numPr>
                <w:ilvl w:val="0"/>
                <w:numId w:val="76"/>
              </w:numPr>
              <w:spacing w:before="120" w:after="120"/>
              <w:ind w:left="516"/>
              <w:rPr>
                <w:rFonts w:ascii="Verdana" w:hAnsi="Verdana"/>
              </w:rPr>
            </w:pPr>
            <w:r w:rsidRPr="000F184C">
              <w:rPr>
                <w:rFonts w:ascii="Verdana" w:hAnsi="Verdana"/>
              </w:rPr>
              <w:t xml:space="preserve">If the information provided meets FDA requirements, the application is </w:t>
            </w:r>
            <w:r w:rsidR="002E6108" w:rsidRPr="000F184C">
              <w:rPr>
                <w:rFonts w:ascii="Verdana" w:hAnsi="Verdana"/>
              </w:rPr>
              <w:t>approved,</w:t>
            </w:r>
            <w:r w:rsidRPr="000F184C">
              <w:rPr>
                <w:rFonts w:ascii="Verdana" w:hAnsi="Verdana"/>
              </w:rPr>
              <w:t xml:space="preserve"> and a license is issued allowing the firm to market the product.</w:t>
            </w:r>
          </w:p>
          <w:p w14:paraId="7041A591" w14:textId="77777777" w:rsidR="00EB26B3" w:rsidRPr="0025615F" w:rsidRDefault="00EB26B3" w:rsidP="002D289F">
            <w:pPr>
              <w:spacing w:before="120" w:after="120"/>
              <w:rPr>
                <w:rFonts w:ascii="Verdana" w:hAnsi="Verdana"/>
              </w:rPr>
            </w:pPr>
            <w:r>
              <w:rPr>
                <w:rFonts w:ascii="Verdana" w:hAnsi="Verdana"/>
              </w:rPr>
              <w:t>Brand name medication</w:t>
            </w:r>
          </w:p>
        </w:tc>
      </w:tr>
      <w:tr w:rsidR="009F7199" w:rsidRPr="0025615F" w14:paraId="048D2CD3" w14:textId="77777777" w:rsidTr="000F70A5">
        <w:tc>
          <w:tcPr>
            <w:tcW w:w="750" w:type="pct"/>
          </w:tcPr>
          <w:p w14:paraId="71A6F02B" w14:textId="77777777" w:rsidR="00EB26B3" w:rsidRPr="0025615F" w:rsidRDefault="00EB26B3" w:rsidP="002D289F">
            <w:pPr>
              <w:spacing w:before="120" w:after="120"/>
              <w:jc w:val="center"/>
              <w:rPr>
                <w:rFonts w:ascii="Verdana" w:hAnsi="Verdana" w:cs="Arial"/>
                <w:b/>
                <w:color w:val="000000"/>
              </w:rPr>
            </w:pPr>
            <w:r w:rsidRPr="0025615F">
              <w:rPr>
                <w:rFonts w:ascii="Verdana" w:hAnsi="Verdana" w:cs="Arial"/>
                <w:b/>
                <w:color w:val="000000"/>
              </w:rPr>
              <w:t>BND</w:t>
            </w:r>
          </w:p>
        </w:tc>
        <w:tc>
          <w:tcPr>
            <w:tcW w:w="959" w:type="pct"/>
          </w:tcPr>
          <w:p w14:paraId="2C588E45" w14:textId="77777777" w:rsidR="00EB26B3" w:rsidRPr="0025615F" w:rsidRDefault="00EB26B3" w:rsidP="002D289F">
            <w:pPr>
              <w:spacing w:before="120" w:after="120"/>
              <w:rPr>
                <w:rFonts w:ascii="Verdana" w:hAnsi="Verdana" w:cs="Verdana"/>
              </w:rPr>
            </w:pPr>
            <w:r w:rsidRPr="0025615F">
              <w:rPr>
                <w:rFonts w:ascii="Verdana" w:hAnsi="Verdana" w:cs="Arial"/>
              </w:rPr>
              <w:t>Brand</w:t>
            </w:r>
          </w:p>
        </w:tc>
        <w:tc>
          <w:tcPr>
            <w:tcW w:w="3291" w:type="pct"/>
          </w:tcPr>
          <w:p w14:paraId="5782CAFE" w14:textId="7220123A" w:rsidR="00D74A26" w:rsidRPr="0025615F" w:rsidRDefault="00D74A26" w:rsidP="002D289F">
            <w:pPr>
              <w:spacing w:before="120" w:after="120"/>
              <w:rPr>
                <w:rFonts w:ascii="Verdana" w:hAnsi="Verdana" w:cs="Arial"/>
              </w:rPr>
            </w:pPr>
            <w:r>
              <w:rPr>
                <w:rFonts w:ascii="Verdana" w:hAnsi="Verdana" w:cs="Arial"/>
              </w:rPr>
              <w:t>“</w:t>
            </w:r>
            <w:r w:rsidRPr="0025615F">
              <w:rPr>
                <w:rFonts w:ascii="Verdana" w:hAnsi="Verdana" w:cs="Arial"/>
              </w:rPr>
              <w:t>Brand</w:t>
            </w:r>
            <w:r>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marketed</w:t>
            </w:r>
            <w:r>
              <w:rPr>
                <w:rFonts w:ascii="Verdana" w:hAnsi="Verdana" w:cs="Arial"/>
              </w:rPr>
              <w:t xml:space="preserve"> </w:t>
            </w:r>
            <w:r w:rsidRPr="0025615F">
              <w:rPr>
                <w:rFonts w:ascii="Verdana" w:hAnsi="Verdana" w:cs="Arial"/>
              </w:rPr>
              <w:t>under</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proprietary,</w:t>
            </w:r>
            <w:r>
              <w:rPr>
                <w:rFonts w:ascii="Verdana" w:hAnsi="Verdana" w:cs="Arial"/>
              </w:rPr>
              <w:t xml:space="preserve"> </w:t>
            </w:r>
            <w:r w:rsidRPr="0025615F">
              <w:rPr>
                <w:rFonts w:ascii="Verdana" w:hAnsi="Verdana" w:cs="Arial"/>
              </w:rPr>
              <w:t>trademark-protected</w:t>
            </w:r>
            <w:r>
              <w:rPr>
                <w:rFonts w:ascii="Verdana" w:hAnsi="Verdana" w:cs="Arial"/>
              </w:rPr>
              <w:t xml:space="preserve"> </w:t>
            </w:r>
            <w:r w:rsidRPr="0025615F">
              <w:rPr>
                <w:rFonts w:ascii="Verdana" w:hAnsi="Verdana" w:cs="Arial"/>
              </w:rPr>
              <w:t>name</w:t>
            </w:r>
            <w:r w:rsidR="00E96762" w:rsidRPr="0025615F">
              <w:rPr>
                <w:rFonts w:ascii="Verdana" w:hAnsi="Verdana" w:cs="Arial"/>
              </w:rPr>
              <w:t>.</w:t>
            </w:r>
            <w:r w:rsidR="00E96762">
              <w:rPr>
                <w:rFonts w:ascii="Verdana" w:hAnsi="Verdana" w:cs="Arial"/>
              </w:rPr>
              <w:t xml:space="preserve"> </w:t>
            </w:r>
            <w:r w:rsidRPr="0025615F">
              <w:rPr>
                <w:rFonts w:ascii="Verdana" w:hAnsi="Verdana" w:cs="Arial"/>
              </w:rPr>
              <w:t>While</w:t>
            </w:r>
            <w:r>
              <w:rPr>
                <w:rFonts w:ascii="Verdana" w:hAnsi="Verdana" w:cs="Arial"/>
              </w:rPr>
              <w:t xml:space="preserve"> </w:t>
            </w:r>
            <w:r w:rsidRPr="0025615F">
              <w:rPr>
                <w:rFonts w:ascii="Verdana" w:hAnsi="Verdana" w:cs="Arial"/>
              </w:rPr>
              <w:t>under</w:t>
            </w:r>
            <w:r>
              <w:rPr>
                <w:rFonts w:ascii="Verdana" w:hAnsi="Verdana" w:cs="Arial"/>
              </w:rPr>
              <w:t xml:space="preserve"> </w:t>
            </w:r>
            <w:r w:rsidRPr="0025615F">
              <w:rPr>
                <w:rFonts w:ascii="Verdana" w:hAnsi="Verdana" w:cs="Arial"/>
              </w:rPr>
              <w:t>patent</w:t>
            </w:r>
            <w:r>
              <w:rPr>
                <w:rFonts w:ascii="Verdana" w:hAnsi="Verdana" w:cs="Arial"/>
              </w:rPr>
              <w:t xml:space="preserve"> </w:t>
            </w:r>
            <w:r w:rsidRPr="0025615F">
              <w:rPr>
                <w:rFonts w:ascii="Verdana" w:hAnsi="Verdana" w:cs="Arial"/>
              </w:rPr>
              <w:t>by</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Food</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Administration</w:t>
            </w:r>
            <w:r>
              <w:rPr>
                <w:rFonts w:ascii="Verdana" w:hAnsi="Verdana" w:cs="Arial"/>
              </w:rPr>
              <w:t xml:space="preserve"> </w:t>
            </w:r>
            <w:r w:rsidRPr="0025615F">
              <w:rPr>
                <w:rFonts w:ascii="Verdana" w:hAnsi="Verdana" w:cs="Arial"/>
              </w:rPr>
              <w:t>(FDA),</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medication</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only</w:t>
            </w:r>
            <w:r>
              <w:rPr>
                <w:rFonts w:ascii="Verdana" w:hAnsi="Verdana" w:cs="Arial"/>
              </w:rPr>
              <w:t xml:space="preserve"> </w:t>
            </w:r>
            <w:r w:rsidRPr="0025615F">
              <w:rPr>
                <w:rFonts w:ascii="Verdana" w:hAnsi="Verdana" w:cs="Arial"/>
              </w:rPr>
              <w:t>version</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available</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dispensing</w:t>
            </w:r>
            <w:r w:rsidR="00E96762" w:rsidRPr="0025615F">
              <w:rPr>
                <w:rFonts w:ascii="Verdana" w:hAnsi="Verdana" w:cs="Arial"/>
              </w:rPr>
              <w:t>.</w:t>
            </w:r>
            <w:r w:rsidR="00E96762">
              <w:rPr>
                <w:rFonts w:ascii="Verdana" w:hAnsi="Verdana" w:cs="Arial"/>
              </w:rPr>
              <w:t xml:space="preserve"> </w:t>
            </w:r>
            <w:r w:rsidRPr="0025615F">
              <w:rPr>
                <w:rFonts w:ascii="Verdana" w:hAnsi="Verdana" w:cs="Arial"/>
              </w:rPr>
              <w:t>Once</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patent</w:t>
            </w:r>
            <w:r>
              <w:rPr>
                <w:rFonts w:ascii="Verdana" w:hAnsi="Verdana" w:cs="Arial"/>
              </w:rPr>
              <w:t xml:space="preserve"> </w:t>
            </w:r>
            <w:r w:rsidRPr="0025615F">
              <w:rPr>
                <w:rFonts w:ascii="Verdana" w:hAnsi="Verdana" w:cs="Arial"/>
              </w:rPr>
              <w:t>on</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medication</w:t>
            </w:r>
            <w:r>
              <w:rPr>
                <w:rFonts w:ascii="Verdana" w:hAnsi="Verdana" w:cs="Arial"/>
              </w:rPr>
              <w:t xml:space="preserve"> </w:t>
            </w:r>
            <w:r w:rsidRPr="0025615F">
              <w:rPr>
                <w:rFonts w:ascii="Verdana" w:hAnsi="Verdana" w:cs="Arial"/>
              </w:rPr>
              <w:t>expires</w:t>
            </w:r>
            <w:r>
              <w:rPr>
                <w:rFonts w:ascii="Verdana" w:hAnsi="Verdana" w:cs="Arial"/>
              </w:rPr>
              <w:t xml:space="preserve"> </w:t>
            </w:r>
            <w:r w:rsidRPr="0025615F">
              <w:rPr>
                <w:rFonts w:ascii="Verdana" w:hAnsi="Verdana" w:cs="Arial"/>
              </w:rPr>
              <w:t>other</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manufactures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free</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market</w:t>
            </w:r>
            <w:r>
              <w:rPr>
                <w:rFonts w:ascii="Verdana" w:hAnsi="Verdana" w:cs="Arial"/>
              </w:rPr>
              <w:t xml:space="preserve"> “</w:t>
            </w:r>
            <w:r w:rsidRPr="0025615F">
              <w:rPr>
                <w:rFonts w:ascii="Verdana" w:hAnsi="Verdana" w:cs="Arial"/>
              </w:rPr>
              <w:t>generic</w:t>
            </w:r>
            <w:r>
              <w:rPr>
                <w:rFonts w:ascii="Verdana" w:hAnsi="Verdana" w:cs="Arial"/>
              </w:rPr>
              <w:t xml:space="preserve">” </w:t>
            </w:r>
            <w:r w:rsidRPr="0025615F">
              <w:rPr>
                <w:rFonts w:ascii="Verdana" w:hAnsi="Verdana" w:cs="Arial"/>
              </w:rPr>
              <w:t>versions</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drug</w:t>
            </w:r>
            <w:r w:rsidR="00E96762" w:rsidRPr="0025615F">
              <w:rPr>
                <w:rFonts w:ascii="Verdana" w:hAnsi="Verdana" w:cs="Arial"/>
              </w:rPr>
              <w:t>.</w:t>
            </w:r>
            <w:r w:rsidR="00E96762">
              <w:rPr>
                <w:rFonts w:ascii="Verdana" w:hAnsi="Verdana" w:cs="Arial"/>
              </w:rPr>
              <w:t xml:space="preserve"> </w:t>
            </w:r>
            <w:r w:rsidRPr="0025615F">
              <w:rPr>
                <w:rFonts w:ascii="Verdana" w:hAnsi="Verdana"/>
              </w:rPr>
              <w:t>Most</w:t>
            </w:r>
            <w:r>
              <w:rPr>
                <w:rFonts w:ascii="Verdana" w:hAnsi="Verdana"/>
              </w:rPr>
              <w:t xml:space="preserve"> </w:t>
            </w:r>
            <w:r w:rsidRPr="0025615F">
              <w:rPr>
                <w:rFonts w:ascii="Verdana" w:hAnsi="Verdana"/>
              </w:rPr>
              <w:t>patents</w:t>
            </w:r>
            <w:r>
              <w:rPr>
                <w:rFonts w:ascii="Verdana" w:hAnsi="Verdana"/>
              </w:rPr>
              <w:t xml:space="preserve"> </w:t>
            </w:r>
            <w:r w:rsidRPr="0025615F">
              <w:rPr>
                <w:rFonts w:ascii="Verdana" w:hAnsi="Verdana"/>
              </w:rPr>
              <w:t>expire</w:t>
            </w:r>
            <w:r>
              <w:rPr>
                <w:rFonts w:ascii="Verdana" w:hAnsi="Verdana"/>
              </w:rPr>
              <w:t xml:space="preserve"> </w:t>
            </w:r>
            <w:r w:rsidRPr="0025615F">
              <w:rPr>
                <w:rFonts w:ascii="Verdana" w:hAnsi="Verdana"/>
              </w:rPr>
              <w:t>after</w:t>
            </w:r>
            <w:r>
              <w:rPr>
                <w:rFonts w:ascii="Verdana" w:hAnsi="Verdana"/>
              </w:rPr>
              <w:t xml:space="preserve"> </w:t>
            </w:r>
            <w:r w:rsidRPr="0025615F">
              <w:rPr>
                <w:rFonts w:ascii="Verdana" w:hAnsi="Verdana"/>
              </w:rPr>
              <w:t>20</w:t>
            </w:r>
            <w:r>
              <w:rPr>
                <w:rFonts w:ascii="Verdana" w:hAnsi="Verdana"/>
              </w:rPr>
              <w:t xml:space="preserve"> </w:t>
            </w:r>
            <w:r w:rsidRPr="0025615F">
              <w:rPr>
                <w:rFonts w:ascii="Verdana" w:hAnsi="Verdana"/>
              </w:rPr>
              <w:t>years.</w:t>
            </w:r>
            <w:r>
              <w:rPr>
                <w:rFonts w:ascii="Verdana" w:hAnsi="Verdana"/>
              </w:rPr>
              <w:t xml:space="preserve"> </w:t>
            </w:r>
            <w:r w:rsidRPr="0025615F">
              <w:rPr>
                <w:rFonts w:ascii="Verdana" w:hAnsi="Verdana"/>
              </w:rPr>
              <w:t>However,</w:t>
            </w:r>
            <w:r>
              <w:rPr>
                <w:rFonts w:ascii="Verdana" w:hAnsi="Verdana"/>
              </w:rPr>
              <w:t xml:space="preserve"> </w:t>
            </w:r>
            <w:r w:rsidRPr="0025615F">
              <w:rPr>
                <w:rFonts w:ascii="Verdana" w:hAnsi="Verdana"/>
              </w:rPr>
              <w:t>many</w:t>
            </w:r>
            <w:r>
              <w:rPr>
                <w:rFonts w:ascii="Verdana" w:hAnsi="Verdana"/>
              </w:rPr>
              <w:t xml:space="preserve"> </w:t>
            </w:r>
            <w:r w:rsidRPr="0025615F">
              <w:rPr>
                <w:rFonts w:ascii="Verdana" w:hAnsi="Verdana"/>
              </w:rPr>
              <w:t>factors</w:t>
            </w:r>
            <w:r>
              <w:rPr>
                <w:rFonts w:ascii="Verdana" w:hAnsi="Verdana"/>
              </w:rPr>
              <w:t xml:space="preserve"> </w:t>
            </w:r>
            <w:r w:rsidRPr="0025615F">
              <w:rPr>
                <w:rFonts w:ascii="Verdana" w:hAnsi="Verdana"/>
              </w:rPr>
              <w:t>can</w:t>
            </w:r>
            <w:r>
              <w:rPr>
                <w:rFonts w:ascii="Verdana" w:hAnsi="Verdana"/>
              </w:rPr>
              <w:t xml:space="preserve"> </w:t>
            </w:r>
            <w:r w:rsidRPr="0025615F">
              <w:rPr>
                <w:rFonts w:ascii="Verdana" w:hAnsi="Verdana"/>
              </w:rPr>
              <w:t>affect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duration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patent</w:t>
            </w:r>
            <w:r w:rsidR="00E96762" w:rsidRPr="0025615F">
              <w:rPr>
                <w:rFonts w:ascii="Verdana" w:hAnsi="Verdana"/>
              </w:rPr>
              <w:t>.</w:t>
            </w:r>
            <w:r w:rsidR="00E96762">
              <w:rPr>
                <w:rFonts w:ascii="Verdana" w:hAnsi="Verdana"/>
                <w:color w:val="FF0000"/>
              </w:rPr>
              <w:t xml:space="preserve"> </w:t>
            </w:r>
            <w:r w:rsidRPr="0025615F">
              <w:rPr>
                <w:rFonts w:ascii="Verdana" w:hAnsi="Verdana" w:cs="Arial"/>
              </w:rPr>
              <w:t>Generally</w:t>
            </w:r>
            <w:r>
              <w:rPr>
                <w:rFonts w:ascii="Verdana" w:hAnsi="Verdana" w:cs="Arial"/>
              </w:rPr>
              <w:t xml:space="preserve"> </w:t>
            </w:r>
            <w:r w:rsidRPr="0025615F">
              <w:rPr>
                <w:rFonts w:ascii="Verdana" w:hAnsi="Verdana" w:cs="Arial"/>
              </w:rPr>
              <w:t>speaking,</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priced</w:t>
            </w:r>
            <w:r>
              <w:rPr>
                <w:rFonts w:ascii="Verdana" w:hAnsi="Verdana" w:cs="Arial"/>
              </w:rPr>
              <w:t xml:space="preserve"> </w:t>
            </w:r>
            <w:r w:rsidRPr="0025615F">
              <w:rPr>
                <w:rFonts w:ascii="Verdana" w:hAnsi="Verdana" w:cs="Arial"/>
              </w:rPr>
              <w:t>higher</w:t>
            </w:r>
            <w:r>
              <w:rPr>
                <w:rFonts w:ascii="Verdana" w:hAnsi="Verdana" w:cs="Arial"/>
              </w:rPr>
              <w:t xml:space="preserve"> </w:t>
            </w:r>
            <w:r w:rsidRPr="0025615F">
              <w:rPr>
                <w:rFonts w:ascii="Verdana" w:hAnsi="Verdana" w:cs="Arial"/>
              </w:rPr>
              <w:t>than</w:t>
            </w:r>
            <w:r>
              <w:rPr>
                <w:rFonts w:ascii="Verdana" w:hAnsi="Verdana" w:cs="Arial"/>
              </w:rPr>
              <w:t xml:space="preserve"> </w:t>
            </w:r>
            <w:r w:rsidRPr="0025615F">
              <w:rPr>
                <w:rFonts w:ascii="Verdana" w:hAnsi="Verdana" w:cs="Arial"/>
              </w:rPr>
              <w:t>generic</w:t>
            </w:r>
            <w:r>
              <w:rPr>
                <w:rFonts w:ascii="Verdana" w:hAnsi="Verdana" w:cs="Arial"/>
              </w:rPr>
              <w:t xml:space="preserve"> </w:t>
            </w:r>
            <w:r w:rsidRPr="0025615F">
              <w:rPr>
                <w:rFonts w:ascii="Verdana" w:hAnsi="Verdana" w:cs="Arial"/>
              </w:rPr>
              <w:t>medications.</w:t>
            </w:r>
          </w:p>
          <w:p w14:paraId="4FB24405" w14:textId="77777777" w:rsidR="00D74A26" w:rsidRPr="0025615F" w:rsidRDefault="00D74A26" w:rsidP="002D289F">
            <w:pPr>
              <w:spacing w:before="120" w:after="120"/>
              <w:rPr>
                <w:rFonts w:ascii="Verdana" w:hAnsi="Verdana" w:cs="Arial"/>
              </w:rPr>
            </w:pPr>
          </w:p>
          <w:p w14:paraId="04E8542E" w14:textId="77777777" w:rsidR="00D74A26" w:rsidRDefault="00D74A26" w:rsidP="002D289F">
            <w:pPr>
              <w:spacing w:before="120" w:after="120"/>
              <w:rPr>
                <w:rFonts w:ascii="Verdana" w:hAnsi="Verdana" w:cs="Arial"/>
              </w:rPr>
            </w:pPr>
            <w:r>
              <w:rPr>
                <w:rFonts w:ascii="Verdana" w:hAnsi="Verdana" w:cs="Arial"/>
              </w:rPr>
              <w:t xml:space="preserve">We administer </w:t>
            </w:r>
            <w:r w:rsidRPr="0025615F">
              <w:rPr>
                <w:rFonts w:ascii="Verdana" w:hAnsi="Verdana" w:cs="Arial"/>
              </w:rPr>
              <w:t>a</w:t>
            </w:r>
            <w:r>
              <w:rPr>
                <w:rFonts w:ascii="Verdana" w:hAnsi="Verdana" w:cs="Arial"/>
              </w:rPr>
              <w:t xml:space="preserve"> </w:t>
            </w:r>
            <w:r w:rsidRPr="0025615F">
              <w:rPr>
                <w:rFonts w:ascii="Verdana" w:hAnsi="Verdana" w:cs="Arial"/>
              </w:rPr>
              <w:t>wide</w:t>
            </w:r>
            <w:r>
              <w:rPr>
                <w:rFonts w:ascii="Verdana" w:hAnsi="Verdana" w:cs="Arial"/>
              </w:rPr>
              <w:t xml:space="preserve"> </w:t>
            </w:r>
            <w:r w:rsidRPr="0025615F">
              <w:rPr>
                <w:rFonts w:ascii="Verdana" w:hAnsi="Verdana" w:cs="Arial"/>
              </w:rPr>
              <w:t>variety</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benefit</w:t>
            </w:r>
            <w:r>
              <w:rPr>
                <w:rFonts w:ascii="Verdana" w:hAnsi="Verdana" w:cs="Arial"/>
              </w:rPr>
              <w:t xml:space="preserve"> </w:t>
            </w:r>
            <w:r w:rsidRPr="0025615F">
              <w:rPr>
                <w:rFonts w:ascii="Verdana" w:hAnsi="Verdana" w:cs="Arial"/>
              </w:rPr>
              <w:t>plans,</w:t>
            </w:r>
            <w:r>
              <w:rPr>
                <w:rFonts w:ascii="Verdana" w:hAnsi="Verdana" w:cs="Arial"/>
              </w:rPr>
              <w:t xml:space="preserve"> </w:t>
            </w:r>
            <w:r w:rsidRPr="0025615F">
              <w:rPr>
                <w:rFonts w:ascii="Verdana" w:hAnsi="Verdana" w:cs="Arial"/>
              </w:rPr>
              <w:t>each</w:t>
            </w:r>
            <w:r>
              <w:rPr>
                <w:rFonts w:ascii="Verdana" w:hAnsi="Verdana" w:cs="Arial"/>
              </w:rPr>
              <w:t xml:space="preserve"> </w:t>
            </w:r>
            <w:r w:rsidRPr="0025615F">
              <w:rPr>
                <w:rFonts w:ascii="Verdana" w:hAnsi="Verdana" w:cs="Arial"/>
              </w:rPr>
              <w:t>with</w:t>
            </w:r>
            <w:r>
              <w:rPr>
                <w:rFonts w:ascii="Verdana" w:hAnsi="Verdana" w:cs="Arial"/>
              </w:rPr>
              <w:t xml:space="preserve"> </w:t>
            </w:r>
            <w:r w:rsidRPr="0025615F">
              <w:rPr>
                <w:rFonts w:ascii="Verdana" w:hAnsi="Verdana" w:cs="Arial"/>
              </w:rPr>
              <w:t>different</w:t>
            </w:r>
            <w:r>
              <w:rPr>
                <w:rFonts w:ascii="Verdana" w:hAnsi="Verdana" w:cs="Arial"/>
              </w:rPr>
              <w:t xml:space="preserve"> co</w:t>
            </w:r>
            <w:r w:rsidRPr="0025615F">
              <w:rPr>
                <w:rFonts w:ascii="Verdana" w:hAnsi="Verdana" w:cs="Arial"/>
              </w:rPr>
              <w:t>-</w:t>
            </w:r>
            <w:r>
              <w:rPr>
                <w:rFonts w:ascii="Verdana" w:hAnsi="Verdana" w:cs="Arial"/>
              </w:rPr>
              <w:t xml:space="preserve">payment </w:t>
            </w:r>
            <w:r w:rsidRPr="0025615F">
              <w:rPr>
                <w:rFonts w:ascii="Verdana" w:hAnsi="Verdana" w:cs="Arial"/>
              </w:rPr>
              <w:t>amounts</w:t>
            </w:r>
            <w:r>
              <w:rPr>
                <w:rFonts w:ascii="Verdana" w:hAnsi="Verdana" w:cs="Arial"/>
              </w:rPr>
              <w:t xml:space="preserve"> </w:t>
            </w:r>
            <w:r w:rsidRPr="0025615F">
              <w:rPr>
                <w:rFonts w:ascii="Verdana" w:hAnsi="Verdana" w:cs="Arial"/>
              </w:rPr>
              <w:t>depending</w:t>
            </w:r>
            <w:r>
              <w:rPr>
                <w:rFonts w:ascii="Verdana" w:hAnsi="Verdana" w:cs="Arial"/>
              </w:rPr>
              <w:t xml:space="preserve"> </w:t>
            </w:r>
            <w:r w:rsidRPr="0025615F">
              <w:rPr>
                <w:rFonts w:ascii="Verdana" w:hAnsi="Verdana" w:cs="Arial"/>
              </w:rPr>
              <w:t>on</w:t>
            </w:r>
            <w:r>
              <w:rPr>
                <w:rFonts w:ascii="Verdana" w:hAnsi="Verdana" w:cs="Arial"/>
              </w:rPr>
              <w:t xml:space="preserve"> </w:t>
            </w:r>
            <w:r w:rsidRPr="0025615F">
              <w:rPr>
                <w:rFonts w:ascii="Verdana" w:hAnsi="Verdana" w:cs="Arial"/>
              </w:rPr>
              <w:t>whether</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generic</w:t>
            </w:r>
            <w:r>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dispensed,</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because</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usually</w:t>
            </w:r>
            <w:r>
              <w:rPr>
                <w:rFonts w:ascii="Verdana" w:hAnsi="Verdana" w:cs="Arial"/>
              </w:rPr>
              <w:t xml:space="preserve"> </w:t>
            </w:r>
            <w:r w:rsidRPr="0025615F">
              <w:rPr>
                <w:rFonts w:ascii="Verdana" w:hAnsi="Verdana" w:cs="Arial"/>
              </w:rPr>
              <w:t>priced</w:t>
            </w:r>
            <w:r>
              <w:rPr>
                <w:rFonts w:ascii="Verdana" w:hAnsi="Verdana" w:cs="Arial"/>
              </w:rPr>
              <w:t xml:space="preserve"> </w:t>
            </w:r>
            <w:r w:rsidRPr="0025615F">
              <w:rPr>
                <w:rFonts w:ascii="Verdana" w:hAnsi="Verdana" w:cs="Arial"/>
              </w:rPr>
              <w:t>higher</w:t>
            </w:r>
            <w:r>
              <w:rPr>
                <w:rFonts w:ascii="Verdana" w:hAnsi="Verdana" w:cs="Arial"/>
              </w:rPr>
              <w:t xml:space="preserve"> </w:t>
            </w:r>
            <w:r w:rsidRPr="0025615F">
              <w:rPr>
                <w:rFonts w:ascii="Verdana" w:hAnsi="Verdana" w:cs="Arial"/>
              </w:rPr>
              <w:t>than</w:t>
            </w:r>
            <w:r>
              <w:rPr>
                <w:rFonts w:ascii="Verdana" w:hAnsi="Verdana" w:cs="Arial"/>
              </w:rPr>
              <w:t xml:space="preserve"> </w:t>
            </w:r>
            <w:r w:rsidRPr="0025615F">
              <w:rPr>
                <w:rFonts w:ascii="Verdana" w:hAnsi="Verdana" w:cs="Arial"/>
              </w:rPr>
              <w:t>generic</w:t>
            </w:r>
            <w:r>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the</w:t>
            </w:r>
            <w:r>
              <w:rPr>
                <w:rFonts w:ascii="Verdana" w:hAnsi="Verdana" w:cs="Arial"/>
              </w:rPr>
              <w:t xml:space="preserve"> co</w:t>
            </w:r>
            <w:r w:rsidRPr="0025615F">
              <w:rPr>
                <w:rFonts w:ascii="Verdana" w:hAnsi="Verdana" w:cs="Arial"/>
              </w:rPr>
              <w:t>-</w:t>
            </w:r>
            <w:r>
              <w:rPr>
                <w:rFonts w:ascii="Verdana" w:hAnsi="Verdana" w:cs="Arial"/>
              </w:rPr>
              <w:t xml:space="preserve">payment </w:t>
            </w:r>
            <w:r w:rsidRPr="0025615F">
              <w:rPr>
                <w:rFonts w:ascii="Verdana" w:hAnsi="Verdana" w:cs="Arial"/>
              </w:rPr>
              <w:t>for</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usually</w:t>
            </w:r>
            <w:r>
              <w:rPr>
                <w:rFonts w:ascii="Verdana" w:hAnsi="Verdana" w:cs="Arial"/>
              </w:rPr>
              <w:t xml:space="preserve"> </w:t>
            </w:r>
            <w:r w:rsidRPr="0025615F">
              <w:rPr>
                <w:rFonts w:ascii="Verdana" w:hAnsi="Verdana" w:cs="Arial"/>
              </w:rPr>
              <w:t>higher</w:t>
            </w:r>
            <w:r>
              <w:rPr>
                <w:rFonts w:ascii="Verdana" w:hAnsi="Verdana" w:cs="Arial"/>
              </w:rPr>
              <w:t xml:space="preserve"> </w:t>
            </w:r>
            <w:r w:rsidRPr="0025615F">
              <w:rPr>
                <w:rFonts w:ascii="Verdana" w:hAnsi="Verdana" w:cs="Arial"/>
              </w:rPr>
              <w:t>than</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generic</w:t>
            </w:r>
            <w:r>
              <w:rPr>
                <w:rFonts w:ascii="Verdana" w:hAnsi="Verdana" w:cs="Arial"/>
              </w:rPr>
              <w:t xml:space="preserve"> </w:t>
            </w:r>
            <w:r w:rsidRPr="0025615F">
              <w:rPr>
                <w:rFonts w:ascii="Verdana" w:hAnsi="Verdana" w:cs="Arial"/>
              </w:rPr>
              <w:t>medications.</w:t>
            </w:r>
          </w:p>
          <w:p w14:paraId="5FF20C73" w14:textId="77777777" w:rsidR="00D74A26" w:rsidRPr="0025615F" w:rsidRDefault="00D74A26" w:rsidP="002D289F">
            <w:pPr>
              <w:spacing w:before="120" w:after="120"/>
              <w:rPr>
                <w:rFonts w:ascii="Verdana" w:hAnsi="Verdana" w:cs="Arial"/>
              </w:rPr>
            </w:pPr>
          </w:p>
          <w:p w14:paraId="5C56AF3A" w14:textId="116A1788" w:rsidR="00EB26B3" w:rsidRPr="0025615F" w:rsidRDefault="00D74A26" w:rsidP="002D289F">
            <w:pPr>
              <w:spacing w:before="120" w:after="120"/>
              <w:rPr>
                <w:rFonts w:ascii="Verdana" w:hAnsi="Verdana" w:cs="Verdana"/>
              </w:rPr>
            </w:pPr>
            <w:r w:rsidRPr="0025615F">
              <w:rPr>
                <w:rFonts w:ascii="Verdana" w:hAnsi="Verdana" w:cs="Arial"/>
              </w:rPr>
              <w:t>Additionally,</w:t>
            </w:r>
            <w:r>
              <w:rPr>
                <w:rFonts w:ascii="Verdana" w:hAnsi="Verdana" w:cs="Arial"/>
              </w:rPr>
              <w:t xml:space="preserve"> </w:t>
            </w:r>
            <w:r w:rsidRPr="0025615F">
              <w:rPr>
                <w:rFonts w:ascii="Verdana" w:hAnsi="Verdana" w:cs="Arial"/>
              </w:rPr>
              <w:t>some</w:t>
            </w:r>
            <w:r>
              <w:rPr>
                <w:rFonts w:ascii="Verdana" w:hAnsi="Verdana" w:cs="Arial"/>
              </w:rPr>
              <w:t xml:space="preserve"> </w:t>
            </w:r>
            <w:r w:rsidRPr="0025615F">
              <w:rPr>
                <w:rFonts w:ascii="Verdana" w:hAnsi="Verdana" w:cs="Arial"/>
              </w:rPr>
              <w:t>benefit</w:t>
            </w:r>
            <w:r>
              <w:rPr>
                <w:rFonts w:ascii="Verdana" w:hAnsi="Verdana" w:cs="Arial"/>
              </w:rPr>
              <w:t xml:space="preserve"> </w:t>
            </w:r>
            <w:r w:rsidRPr="0025615F">
              <w:rPr>
                <w:rFonts w:ascii="Verdana" w:hAnsi="Verdana" w:cs="Arial"/>
              </w:rPr>
              <w:t>plans</w:t>
            </w:r>
            <w:r>
              <w:rPr>
                <w:rFonts w:ascii="Verdana" w:hAnsi="Verdana" w:cs="Arial"/>
              </w:rPr>
              <w:t xml:space="preserve"> </w:t>
            </w:r>
            <w:r w:rsidRPr="0025615F">
              <w:rPr>
                <w:rFonts w:ascii="Verdana" w:hAnsi="Verdana" w:cs="Arial"/>
              </w:rPr>
              <w:t>have</w:t>
            </w:r>
            <w:r>
              <w:rPr>
                <w:rFonts w:ascii="Verdana" w:hAnsi="Verdana" w:cs="Arial"/>
              </w:rPr>
              <w:t xml:space="preserve"> “</w:t>
            </w:r>
            <w:r w:rsidRPr="0025615F">
              <w:rPr>
                <w:rFonts w:ascii="Verdana" w:hAnsi="Verdana" w:cs="Arial"/>
              </w:rPr>
              <w:t>mandatory</w:t>
            </w:r>
            <w:r>
              <w:rPr>
                <w:rFonts w:ascii="Verdana" w:hAnsi="Verdana" w:cs="Arial"/>
              </w:rPr>
              <w:t xml:space="preserve"> </w:t>
            </w:r>
            <w:r w:rsidRPr="0025615F">
              <w:rPr>
                <w:rFonts w:ascii="Verdana" w:hAnsi="Verdana" w:cs="Arial"/>
              </w:rPr>
              <w:t>generic</w:t>
            </w:r>
            <w:r>
              <w:rPr>
                <w:rFonts w:ascii="Verdana" w:hAnsi="Verdana" w:cs="Arial"/>
              </w:rPr>
              <w:t xml:space="preserve">” </w:t>
            </w:r>
            <w:r w:rsidRPr="0025615F">
              <w:rPr>
                <w:rFonts w:ascii="Verdana" w:hAnsi="Verdana" w:cs="Arial"/>
              </w:rPr>
              <w:t>restrictions</w:t>
            </w:r>
            <w:r w:rsidR="00E96762" w:rsidRPr="0025615F">
              <w:rPr>
                <w:rFonts w:ascii="Verdana" w:hAnsi="Verdana" w:cs="Arial"/>
              </w:rPr>
              <w:t>.</w:t>
            </w:r>
            <w:r w:rsidR="00E96762">
              <w:rPr>
                <w:rFonts w:ascii="Verdana" w:hAnsi="Verdana" w:cs="Arial"/>
              </w:rPr>
              <w:t xml:space="preserve"> </w:t>
            </w:r>
            <w:r w:rsidRPr="0025615F">
              <w:rPr>
                <w:rFonts w:ascii="Verdana" w:hAnsi="Verdana" w:cs="Arial"/>
              </w:rPr>
              <w:t>This</w:t>
            </w:r>
            <w:r>
              <w:rPr>
                <w:rFonts w:ascii="Verdana" w:hAnsi="Verdana" w:cs="Arial"/>
              </w:rPr>
              <w:t xml:space="preserve"> </w:t>
            </w:r>
            <w:r w:rsidRPr="0025615F">
              <w:rPr>
                <w:rFonts w:ascii="Verdana" w:hAnsi="Verdana" w:cs="Arial"/>
              </w:rPr>
              <w:t>means</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either</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client</w:t>
            </w:r>
            <w:r>
              <w:rPr>
                <w:rFonts w:ascii="Verdana" w:hAnsi="Verdana" w:cs="Arial"/>
              </w:rPr>
              <w:t xml:space="preserve"> </w:t>
            </w:r>
            <w:r w:rsidRPr="0025615F">
              <w:rPr>
                <w:rFonts w:ascii="Verdana" w:hAnsi="Verdana" w:cs="Arial"/>
              </w:rPr>
              <w:t>will</w:t>
            </w:r>
            <w:r>
              <w:rPr>
                <w:rFonts w:ascii="Verdana" w:hAnsi="Verdana" w:cs="Arial"/>
              </w:rPr>
              <w:t xml:space="preserve"> </w:t>
            </w:r>
            <w:r w:rsidRPr="0025615F">
              <w:rPr>
                <w:rFonts w:ascii="Verdana" w:hAnsi="Verdana" w:cs="Arial"/>
              </w:rPr>
              <w:t>not</w:t>
            </w:r>
            <w:r>
              <w:rPr>
                <w:rFonts w:ascii="Verdana" w:hAnsi="Verdana" w:cs="Arial"/>
              </w:rPr>
              <w:t xml:space="preserve"> </w:t>
            </w:r>
            <w:r w:rsidRPr="0025615F">
              <w:rPr>
                <w:rFonts w:ascii="Verdana" w:hAnsi="Verdana" w:cs="Arial"/>
              </w:rPr>
              <w:t>pay</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medication</w:t>
            </w:r>
            <w:r>
              <w:rPr>
                <w:rFonts w:ascii="Verdana" w:hAnsi="Verdana" w:cs="Arial"/>
              </w:rPr>
              <w:t xml:space="preserve"> </w:t>
            </w:r>
            <w:r w:rsidRPr="0025615F">
              <w:rPr>
                <w:rFonts w:ascii="Verdana" w:hAnsi="Verdana" w:cs="Arial"/>
              </w:rPr>
              <w:t>if</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generic</w:t>
            </w:r>
            <w:r>
              <w:rPr>
                <w:rFonts w:ascii="Verdana" w:hAnsi="Verdana" w:cs="Arial"/>
              </w:rPr>
              <w:t xml:space="preserve"> </w:t>
            </w:r>
            <w:r w:rsidRPr="0025615F">
              <w:rPr>
                <w:rFonts w:ascii="Verdana" w:hAnsi="Verdana" w:cs="Arial"/>
              </w:rPr>
              <w:t>medication</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available,</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w:t>
            </w:r>
            <w:r>
              <w:rPr>
                <w:rFonts w:ascii="Verdana" w:hAnsi="Verdana" w:cs="Arial"/>
              </w:rPr>
              <w:t xml:space="preserve"> </w:t>
            </w:r>
            <w:r w:rsidRPr="0025615F">
              <w:rPr>
                <w:rFonts w:ascii="Verdana" w:hAnsi="Verdana" w:cs="Arial"/>
              </w:rPr>
              <w:t>will</w:t>
            </w:r>
            <w:r>
              <w:rPr>
                <w:rFonts w:ascii="Verdana" w:hAnsi="Verdana" w:cs="Arial"/>
              </w:rPr>
              <w:t xml:space="preserve"> </w:t>
            </w:r>
            <w:r w:rsidRPr="0025615F">
              <w:rPr>
                <w:rFonts w:ascii="Verdana" w:hAnsi="Verdana" w:cs="Arial"/>
              </w:rPr>
              <w:t>pay</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higher</w:t>
            </w:r>
            <w:r>
              <w:rPr>
                <w:rFonts w:ascii="Verdana" w:hAnsi="Verdana" w:cs="Arial"/>
              </w:rPr>
              <w:t xml:space="preserve"> co</w:t>
            </w:r>
            <w:r w:rsidRPr="0025615F">
              <w:rPr>
                <w:rFonts w:ascii="Verdana" w:hAnsi="Verdana" w:cs="Arial"/>
              </w:rPr>
              <w:t>-</w:t>
            </w:r>
            <w:r>
              <w:rPr>
                <w:rFonts w:ascii="Verdana" w:hAnsi="Verdana" w:cs="Arial"/>
              </w:rPr>
              <w:t xml:space="preserve">payment </w:t>
            </w:r>
            <w:r w:rsidRPr="0025615F">
              <w:rPr>
                <w:rFonts w:ascii="Verdana" w:hAnsi="Verdana" w:cs="Arial"/>
              </w:rPr>
              <w:t>for</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drugs.</w:t>
            </w:r>
          </w:p>
        </w:tc>
      </w:tr>
      <w:tr w:rsidR="009F7199" w:rsidRPr="0025615F" w14:paraId="28363DE2" w14:textId="77777777" w:rsidTr="000F70A5">
        <w:tc>
          <w:tcPr>
            <w:tcW w:w="750" w:type="pct"/>
          </w:tcPr>
          <w:p w14:paraId="1A631FCE" w14:textId="7BFEF6ED" w:rsidR="009F7199" w:rsidRPr="009F7199" w:rsidRDefault="009F7199" w:rsidP="002D289F">
            <w:pPr>
              <w:spacing w:before="120" w:after="120"/>
              <w:jc w:val="center"/>
              <w:rPr>
                <w:rFonts w:ascii="Verdana" w:hAnsi="Verdana" w:cs="Arial"/>
                <w:bCs/>
                <w:color w:val="000000"/>
              </w:rPr>
            </w:pPr>
            <w:r>
              <w:rPr>
                <w:rFonts w:ascii="Verdana" w:hAnsi="Verdana" w:cs="Arial"/>
                <w:b/>
                <w:color w:val="000000"/>
              </w:rPr>
              <w:t xml:space="preserve"> BNDD</w:t>
            </w:r>
          </w:p>
        </w:tc>
        <w:tc>
          <w:tcPr>
            <w:tcW w:w="959" w:type="pct"/>
          </w:tcPr>
          <w:p w14:paraId="67C7E232" w14:textId="42096B72" w:rsidR="009F7199" w:rsidRPr="0025615F" w:rsidRDefault="009F7199" w:rsidP="002D289F">
            <w:pPr>
              <w:spacing w:before="120" w:after="120"/>
              <w:rPr>
                <w:rFonts w:ascii="Verdana" w:hAnsi="Verdana" w:cs="Arial"/>
              </w:rPr>
            </w:pPr>
            <w:r w:rsidRPr="00233067">
              <w:rPr>
                <w:rFonts w:ascii="Verdana" w:hAnsi="Verdana"/>
                <w:bCs/>
              </w:rPr>
              <w:t>Bureau of Narcotics and Dangerous Drugs</w:t>
            </w:r>
          </w:p>
        </w:tc>
        <w:tc>
          <w:tcPr>
            <w:tcW w:w="3291" w:type="pct"/>
          </w:tcPr>
          <w:p w14:paraId="7A3D997D" w14:textId="77777777" w:rsidR="009F7199" w:rsidRDefault="009F7199" w:rsidP="002D289F">
            <w:pPr>
              <w:spacing w:before="120" w:after="120"/>
              <w:rPr>
                <w:rFonts w:ascii="Verdana" w:hAnsi="Verdana" w:cs="Arial"/>
              </w:rPr>
            </w:pPr>
          </w:p>
        </w:tc>
      </w:tr>
      <w:tr w:rsidR="009F7199" w:rsidRPr="0025615F" w14:paraId="4F39E35A" w14:textId="77777777" w:rsidTr="000F70A5">
        <w:tc>
          <w:tcPr>
            <w:tcW w:w="750" w:type="pct"/>
          </w:tcPr>
          <w:p w14:paraId="36FD4B95" w14:textId="6B09CC7B" w:rsidR="00EB26B3" w:rsidRPr="0025615F" w:rsidRDefault="002762C2" w:rsidP="002D289F">
            <w:pPr>
              <w:spacing w:before="120" w:after="120"/>
              <w:jc w:val="center"/>
              <w:rPr>
                <w:rFonts w:ascii="Verdana" w:hAnsi="Verdana" w:cs="Arial"/>
                <w:b/>
                <w:color w:val="000000"/>
              </w:rPr>
            </w:pPr>
            <w:r>
              <w:rPr>
                <w:rFonts w:ascii="Verdana" w:hAnsi="Verdana" w:cs="Arial"/>
                <w:b/>
                <w:color w:val="000000"/>
              </w:rPr>
              <w:t xml:space="preserve"> </w:t>
            </w:r>
            <w:r w:rsidR="00EB26B3" w:rsidRPr="0025615F">
              <w:rPr>
                <w:rFonts w:ascii="Verdana" w:hAnsi="Verdana" w:cs="Arial"/>
                <w:b/>
                <w:color w:val="000000"/>
              </w:rPr>
              <w:t>BO</w:t>
            </w:r>
          </w:p>
        </w:tc>
        <w:tc>
          <w:tcPr>
            <w:tcW w:w="959" w:type="pct"/>
          </w:tcPr>
          <w:p w14:paraId="2E495E0F" w14:textId="77777777" w:rsidR="00EB26B3" w:rsidRPr="0025615F" w:rsidRDefault="00EB26B3" w:rsidP="002D289F">
            <w:pPr>
              <w:spacing w:before="120" w:after="120"/>
              <w:rPr>
                <w:rFonts w:ascii="Verdana" w:hAnsi="Verdana" w:cs="Arial"/>
              </w:rPr>
            </w:pPr>
            <w:r w:rsidRPr="0025615F">
              <w:rPr>
                <w:rFonts w:ascii="Verdana" w:hAnsi="Verdana" w:cs="Arial"/>
              </w:rPr>
              <w:t>Benefits</w:t>
            </w:r>
            <w:r>
              <w:rPr>
                <w:rFonts w:ascii="Verdana" w:hAnsi="Verdana" w:cs="Arial"/>
              </w:rPr>
              <w:t xml:space="preserve"> </w:t>
            </w:r>
            <w:r w:rsidRPr="0025615F">
              <w:rPr>
                <w:rFonts w:ascii="Verdana" w:hAnsi="Verdana" w:cs="Arial"/>
              </w:rPr>
              <w:t>Office</w:t>
            </w:r>
          </w:p>
        </w:tc>
        <w:tc>
          <w:tcPr>
            <w:tcW w:w="3291" w:type="pct"/>
          </w:tcPr>
          <w:p w14:paraId="4FAA3180" w14:textId="062A5185" w:rsidR="00EB26B3" w:rsidRPr="002E6108" w:rsidRDefault="002E6108" w:rsidP="002D289F">
            <w:pPr>
              <w:spacing w:before="120" w:after="120"/>
              <w:rPr>
                <w:rFonts w:ascii="Verdana" w:hAnsi="Verdana" w:cs="Arial"/>
              </w:rPr>
            </w:pPr>
            <w:r w:rsidRPr="002A683B">
              <w:rPr>
                <w:rFonts w:ascii="Verdana" w:hAnsi="Verdana" w:cs="Helvetica"/>
                <w:color w:val="444444"/>
              </w:rPr>
              <w:t>Administers the members’ comprehensive benefits programs, including medical, life and dental insurance as well as the long-term disability and retirement programs</w:t>
            </w:r>
            <w:r w:rsidR="00E96762" w:rsidRPr="002A683B">
              <w:rPr>
                <w:rFonts w:ascii="Verdana" w:hAnsi="Verdana" w:cs="Helvetica"/>
                <w:color w:val="444444"/>
              </w:rPr>
              <w:t xml:space="preserve">. </w:t>
            </w:r>
            <w:r w:rsidRPr="002A683B">
              <w:rPr>
                <w:rFonts w:ascii="Verdana" w:hAnsi="Verdana" w:cs="Helvetica"/>
                <w:color w:val="444444"/>
              </w:rPr>
              <w:t xml:space="preserve">This is usually through an employer. </w:t>
            </w:r>
          </w:p>
        </w:tc>
      </w:tr>
      <w:tr w:rsidR="00EE2231" w:rsidRPr="0025615F" w14:paraId="3F0EEE2E" w14:textId="77777777" w:rsidTr="000F70A5">
        <w:tc>
          <w:tcPr>
            <w:tcW w:w="750" w:type="pct"/>
          </w:tcPr>
          <w:p w14:paraId="5E3645A6" w14:textId="4F23B2F5" w:rsidR="000E2062" w:rsidRDefault="000F70A5" w:rsidP="002D289F">
            <w:pPr>
              <w:spacing w:before="120" w:after="120"/>
              <w:jc w:val="center"/>
              <w:rPr>
                <w:rFonts w:ascii="Verdana" w:hAnsi="Verdana" w:cs="Arial"/>
                <w:b/>
                <w:color w:val="000000"/>
              </w:rPr>
            </w:pPr>
            <w:r>
              <w:rPr>
                <w:rFonts w:ascii="Verdana" w:hAnsi="Verdana" w:cs="Arial"/>
                <w:noProof/>
              </w:rPr>
              <w:drawing>
                <wp:inline distT="0" distB="0" distL="0" distR="0" wp14:anchorId="27954A6E" wp14:editId="2555273E">
                  <wp:extent cx="304762" cy="304762"/>
                  <wp:effectExtent l="0" t="0" r="635" b="635"/>
                  <wp:docPr id="89356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71329" name="Picture 593171329"/>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E2062" w:rsidRPr="000E2062">
              <w:rPr>
                <w:rFonts w:ascii="Verdana" w:hAnsi="Verdana" w:cs="Arial"/>
                <w:b/>
                <w:color w:val="000000"/>
              </w:rPr>
              <w:t>BOPIS</w:t>
            </w:r>
          </w:p>
        </w:tc>
        <w:tc>
          <w:tcPr>
            <w:tcW w:w="959" w:type="pct"/>
          </w:tcPr>
          <w:p w14:paraId="631AD5EE" w14:textId="115982D7" w:rsidR="000E2062" w:rsidRPr="0025615F" w:rsidRDefault="00C640C1" w:rsidP="002D289F">
            <w:pPr>
              <w:spacing w:before="120" w:after="120"/>
              <w:rPr>
                <w:rFonts w:ascii="Verdana" w:hAnsi="Verdana" w:cs="Arial"/>
              </w:rPr>
            </w:pPr>
            <w:r w:rsidRPr="00C640C1">
              <w:rPr>
                <w:rFonts w:ascii="Verdana" w:hAnsi="Verdana" w:cs="Arial"/>
              </w:rPr>
              <w:t>Buy Online, Pick Up In-Store</w:t>
            </w:r>
          </w:p>
        </w:tc>
        <w:tc>
          <w:tcPr>
            <w:tcW w:w="3291" w:type="pct"/>
          </w:tcPr>
          <w:p w14:paraId="178E097E" w14:textId="36F3497B" w:rsidR="000E2062" w:rsidRPr="002A683B" w:rsidRDefault="00DF3F54" w:rsidP="002D289F">
            <w:pPr>
              <w:spacing w:before="120" w:after="120"/>
              <w:rPr>
                <w:rFonts w:ascii="Verdana" w:hAnsi="Verdana" w:cs="Helvetica"/>
                <w:color w:val="444444"/>
              </w:rPr>
            </w:pPr>
            <w:r>
              <w:rPr>
                <w:rFonts w:ascii="Verdana" w:hAnsi="Verdana" w:cs="Helvetica"/>
                <w:color w:val="444444"/>
              </w:rPr>
              <w:t>The process where</w:t>
            </w:r>
            <w:r w:rsidRPr="00DF3F54">
              <w:rPr>
                <w:rFonts w:ascii="Verdana" w:hAnsi="Verdana" w:cs="Helvetica"/>
                <w:color w:val="444444"/>
              </w:rPr>
              <w:t xml:space="preserve"> customers can shop for products online (on a website or app) and then collect their purchase at a physical store location</w:t>
            </w:r>
            <w:r>
              <w:rPr>
                <w:rFonts w:ascii="Verdana" w:hAnsi="Verdana" w:cs="Helvetica"/>
                <w:color w:val="444444"/>
              </w:rPr>
              <w:t>.</w:t>
            </w:r>
          </w:p>
        </w:tc>
      </w:tr>
      <w:tr w:rsidR="009F7199" w:rsidRPr="0025615F" w14:paraId="693ECDBA" w14:textId="77777777" w:rsidTr="000F70A5">
        <w:tc>
          <w:tcPr>
            <w:tcW w:w="750" w:type="pct"/>
          </w:tcPr>
          <w:p w14:paraId="7AD3C417" w14:textId="6CFD085D" w:rsidR="00EB26B3" w:rsidRPr="0025615F" w:rsidRDefault="002762C2" w:rsidP="002D289F">
            <w:pPr>
              <w:spacing w:before="120" w:after="120"/>
              <w:jc w:val="center"/>
              <w:rPr>
                <w:rFonts w:ascii="Verdana" w:hAnsi="Verdana" w:cs="Arial"/>
                <w:b/>
                <w:color w:val="000000"/>
              </w:rPr>
            </w:pPr>
            <w:r>
              <w:rPr>
                <w:rFonts w:ascii="Verdana" w:hAnsi="Verdana" w:cs="Arial"/>
                <w:b/>
                <w:color w:val="000000"/>
              </w:rPr>
              <w:t xml:space="preserve"> </w:t>
            </w:r>
            <w:r w:rsidR="00EB26B3">
              <w:rPr>
                <w:rFonts w:ascii="Verdana" w:hAnsi="Verdana" w:cs="Arial"/>
                <w:b/>
                <w:color w:val="000000"/>
              </w:rPr>
              <w:t xml:space="preserve">BPO </w:t>
            </w:r>
          </w:p>
        </w:tc>
        <w:tc>
          <w:tcPr>
            <w:tcW w:w="959" w:type="pct"/>
          </w:tcPr>
          <w:p w14:paraId="2916A2BD" w14:textId="77777777" w:rsidR="00EB26B3" w:rsidRPr="00E76C94" w:rsidRDefault="00EB26B3" w:rsidP="002D289F">
            <w:pPr>
              <w:spacing w:before="120" w:after="120"/>
              <w:rPr>
                <w:rFonts w:ascii="Verdana" w:hAnsi="Verdana" w:cs="Arial"/>
                <w:bCs/>
                <w:color w:val="000000"/>
              </w:rPr>
            </w:pPr>
            <w:r w:rsidRPr="00E76C94">
              <w:rPr>
                <w:rFonts w:ascii="Verdana" w:hAnsi="Verdana" w:cs="Arial"/>
                <w:bCs/>
                <w:color w:val="000000"/>
              </w:rPr>
              <w:t xml:space="preserve">Business Process Owner </w:t>
            </w:r>
          </w:p>
        </w:tc>
        <w:tc>
          <w:tcPr>
            <w:tcW w:w="3291" w:type="pct"/>
          </w:tcPr>
          <w:p w14:paraId="646DF437" w14:textId="1044EF1E" w:rsidR="00EB26B3" w:rsidRPr="002E6108" w:rsidRDefault="002E6108" w:rsidP="002D289F">
            <w:pPr>
              <w:tabs>
                <w:tab w:val="left" w:pos="3186"/>
              </w:tabs>
              <w:spacing w:before="120" w:after="120"/>
              <w:rPr>
                <w:rFonts w:ascii="Verdana" w:hAnsi="Verdana"/>
                <w:bCs/>
              </w:rPr>
            </w:pPr>
            <w:r w:rsidRPr="002A683B">
              <w:rPr>
                <w:rFonts w:ascii="Verdana" w:hAnsi="Verdana" w:cs="Arial"/>
                <w:color w:val="202124"/>
                <w:shd w:val="clear" w:color="auto" w:fill="FFFFFF"/>
              </w:rPr>
              <w:t>Individual(s) responsible for the development, maintenance, and enhancement of a specific process within the Business System</w:t>
            </w:r>
          </w:p>
        </w:tc>
      </w:tr>
      <w:tr w:rsidR="009F7199" w:rsidRPr="0025615F" w14:paraId="4803449D" w14:textId="77777777" w:rsidTr="000F70A5">
        <w:tc>
          <w:tcPr>
            <w:tcW w:w="750" w:type="pct"/>
          </w:tcPr>
          <w:p w14:paraId="3B550BEC" w14:textId="337FC496" w:rsidR="00D74A26" w:rsidRPr="0025615F" w:rsidRDefault="00603F21" w:rsidP="002D289F">
            <w:pPr>
              <w:spacing w:before="120" w:after="120"/>
              <w:jc w:val="center"/>
              <w:rPr>
                <w:rFonts w:ascii="Verdana" w:hAnsi="Verdana" w:cs="Arial"/>
                <w:b/>
                <w:color w:val="000000"/>
              </w:rPr>
            </w:pPr>
            <w:r>
              <w:rPr>
                <w:rFonts w:ascii="Verdana" w:hAnsi="Verdana" w:cs="Arial"/>
                <w:b/>
                <w:color w:val="000000"/>
              </w:rPr>
              <w:t>BRC</w:t>
            </w:r>
          </w:p>
        </w:tc>
        <w:tc>
          <w:tcPr>
            <w:tcW w:w="959" w:type="pct"/>
          </w:tcPr>
          <w:p w14:paraId="48B727F6" w14:textId="4D69965E" w:rsidR="00D74A26" w:rsidRPr="00967F3C" w:rsidRDefault="00603F21" w:rsidP="002D289F">
            <w:pPr>
              <w:spacing w:before="120" w:after="120"/>
              <w:rPr>
                <w:rFonts w:ascii="Verdana" w:hAnsi="Verdana" w:cs="Arial"/>
                <w:bCs/>
              </w:rPr>
            </w:pPr>
            <w:r>
              <w:rPr>
                <w:rFonts w:ascii="Verdana" w:hAnsi="Verdana" w:cs="Arial"/>
                <w:bCs/>
              </w:rPr>
              <w:t>Billing Report Code</w:t>
            </w:r>
          </w:p>
        </w:tc>
        <w:tc>
          <w:tcPr>
            <w:tcW w:w="3291" w:type="pct"/>
          </w:tcPr>
          <w:p w14:paraId="3584F04B" w14:textId="55F77BC3" w:rsidR="00D74A26" w:rsidRPr="0025615F" w:rsidRDefault="00603F21" w:rsidP="002D289F">
            <w:pPr>
              <w:spacing w:before="120" w:after="120"/>
              <w:rPr>
                <w:rFonts w:ascii="Verdana" w:hAnsi="Verdana" w:cs="Arial"/>
              </w:rPr>
            </w:pPr>
            <w:r>
              <w:rPr>
                <w:rFonts w:ascii="Verdana" w:hAnsi="Verdana" w:cs="Arial"/>
                <w:color w:val="202124"/>
                <w:shd w:val="clear" w:color="auto" w:fill="FFFFFF"/>
              </w:rPr>
              <w:t>Best Practices for Proper Reimbursement.</w:t>
            </w:r>
          </w:p>
        </w:tc>
      </w:tr>
      <w:tr w:rsidR="005D09A1" w:rsidRPr="0025615F" w14:paraId="3772F5F3" w14:textId="77777777" w:rsidTr="000F70A5">
        <w:tc>
          <w:tcPr>
            <w:tcW w:w="750" w:type="pct"/>
          </w:tcPr>
          <w:p w14:paraId="2C19CC90" w14:textId="139EF409" w:rsidR="005D09A1" w:rsidRDefault="005D09A1" w:rsidP="002D289F">
            <w:pPr>
              <w:spacing w:before="120" w:after="120"/>
              <w:jc w:val="center"/>
              <w:rPr>
                <w:rFonts w:ascii="Verdana" w:hAnsi="Verdana" w:cs="Arial"/>
                <w:b/>
                <w:color w:val="000000"/>
              </w:rPr>
            </w:pPr>
            <w:r>
              <w:rPr>
                <w:rFonts w:ascii="Verdana" w:hAnsi="Verdana" w:cs="Arial"/>
                <w:b/>
                <w:color w:val="000000"/>
              </w:rPr>
              <w:t>BVS</w:t>
            </w:r>
          </w:p>
        </w:tc>
        <w:tc>
          <w:tcPr>
            <w:tcW w:w="959" w:type="pct"/>
          </w:tcPr>
          <w:p w14:paraId="74C97611" w14:textId="2E48AE04" w:rsidR="005D09A1" w:rsidRDefault="005D09A1" w:rsidP="002D289F">
            <w:pPr>
              <w:spacing w:before="120" w:after="120"/>
              <w:rPr>
                <w:rFonts w:ascii="Verdana" w:hAnsi="Verdana" w:cs="Arial"/>
                <w:bCs/>
              </w:rPr>
            </w:pPr>
            <w:r>
              <w:rPr>
                <w:rFonts w:ascii="Verdana" w:hAnsi="Verdana" w:cs="Arial"/>
                <w:bCs/>
              </w:rPr>
              <w:t xml:space="preserve">Benefit </w:t>
            </w:r>
            <w:r w:rsidR="00E67903">
              <w:rPr>
                <w:rFonts w:ascii="Verdana" w:hAnsi="Verdana" w:cs="Arial"/>
                <w:bCs/>
              </w:rPr>
              <w:t xml:space="preserve">Verification Specialist </w:t>
            </w:r>
          </w:p>
        </w:tc>
        <w:tc>
          <w:tcPr>
            <w:tcW w:w="3291" w:type="pct"/>
          </w:tcPr>
          <w:p w14:paraId="6FC36E7F" w14:textId="079F76D0" w:rsidR="005D09A1" w:rsidRDefault="00B25A46" w:rsidP="002D289F">
            <w:pPr>
              <w:spacing w:before="120" w:after="120"/>
              <w:rPr>
                <w:rFonts w:ascii="Verdana" w:hAnsi="Verdana" w:cs="Arial"/>
                <w:color w:val="202124"/>
                <w:shd w:val="clear" w:color="auto" w:fill="FFFFFF"/>
              </w:rPr>
            </w:pPr>
            <w:r>
              <w:rPr>
                <w:rFonts w:ascii="Verdana" w:hAnsi="Verdana"/>
              </w:rPr>
              <w:t xml:space="preserve">The Benefit Verification Specialist is one who calls at the request of the physician, Member or Drug Assistance Program verifying the </w:t>
            </w:r>
            <w:r w:rsidR="00FA5A8E">
              <w:rPr>
                <w:rFonts w:ascii="Verdana" w:hAnsi="Verdana"/>
              </w:rPr>
              <w:t>members’</w:t>
            </w:r>
            <w:r>
              <w:rPr>
                <w:rFonts w:ascii="Verdana" w:hAnsi="Verdana"/>
              </w:rPr>
              <w:t xml:space="preserve"> benefits</w:t>
            </w:r>
            <w:r w:rsidR="003376C2">
              <w:rPr>
                <w:rFonts w:ascii="Verdana" w:hAnsi="Verdana"/>
              </w:rPr>
              <w:t>.</w:t>
            </w:r>
          </w:p>
        </w:tc>
      </w:tr>
      <w:tr w:rsidR="009F7199" w:rsidRPr="0025615F" w14:paraId="7703D64A" w14:textId="77777777" w:rsidTr="000F70A5">
        <w:tc>
          <w:tcPr>
            <w:tcW w:w="750" w:type="pct"/>
          </w:tcPr>
          <w:p w14:paraId="1822B83E" w14:textId="77777777" w:rsidR="00D74A26" w:rsidRPr="0025615F" w:rsidRDefault="00D74A26" w:rsidP="002D289F">
            <w:pPr>
              <w:spacing w:before="120" w:after="120"/>
              <w:jc w:val="center"/>
              <w:rPr>
                <w:rFonts w:ascii="Verdana" w:hAnsi="Verdana" w:cs="Arial"/>
                <w:b/>
                <w:color w:val="000000"/>
              </w:rPr>
            </w:pPr>
            <w:r w:rsidRPr="0025615F">
              <w:rPr>
                <w:rFonts w:ascii="Verdana" w:hAnsi="Verdana" w:cs="Arial"/>
                <w:b/>
                <w:color w:val="000000"/>
              </w:rPr>
              <w:t>BSY</w:t>
            </w:r>
          </w:p>
        </w:tc>
        <w:tc>
          <w:tcPr>
            <w:tcW w:w="959" w:type="pct"/>
          </w:tcPr>
          <w:p w14:paraId="0702EC55" w14:textId="77777777" w:rsidR="00D74A26" w:rsidRPr="0025615F" w:rsidRDefault="00D74A26" w:rsidP="002D289F">
            <w:pPr>
              <w:spacing w:before="120" w:after="120"/>
              <w:rPr>
                <w:rFonts w:ascii="Verdana" w:hAnsi="Verdana" w:cs="Arial"/>
              </w:rPr>
            </w:pPr>
            <w:r w:rsidRPr="0025615F">
              <w:rPr>
                <w:rFonts w:ascii="Verdana" w:hAnsi="Verdana" w:cs="Arial"/>
              </w:rPr>
              <w:t>Line</w:t>
            </w:r>
            <w:r>
              <w:rPr>
                <w:rFonts w:ascii="Verdana" w:hAnsi="Verdana" w:cs="Arial"/>
              </w:rPr>
              <w:t xml:space="preserve"> </w:t>
            </w:r>
            <w:r w:rsidRPr="0025615F">
              <w:rPr>
                <w:rFonts w:ascii="Verdana" w:hAnsi="Verdana" w:cs="Arial"/>
              </w:rPr>
              <w:t>Busy</w:t>
            </w:r>
          </w:p>
        </w:tc>
        <w:tc>
          <w:tcPr>
            <w:tcW w:w="3291" w:type="pct"/>
          </w:tcPr>
          <w:p w14:paraId="16312923" w14:textId="0FCFA62C" w:rsidR="00D74A26" w:rsidRPr="0025615F" w:rsidRDefault="00D74A26" w:rsidP="002D289F">
            <w:pPr>
              <w:spacing w:before="120" w:after="120"/>
              <w:rPr>
                <w:rFonts w:ascii="Verdana" w:hAnsi="Verdana" w:cs="Arial"/>
              </w:rPr>
            </w:pPr>
            <w:r w:rsidRPr="0025615F">
              <w:rPr>
                <w:rFonts w:ascii="Verdana" w:hAnsi="Verdana" w:cs="Arial"/>
              </w:rPr>
              <w:t>A</w:t>
            </w:r>
            <w:r>
              <w:rPr>
                <w:rFonts w:ascii="Verdana" w:hAnsi="Verdana" w:cs="Arial"/>
              </w:rPr>
              <w:t xml:space="preserve"> </w:t>
            </w:r>
            <w:r w:rsidRPr="0025615F">
              <w:rPr>
                <w:rFonts w:ascii="Verdana" w:hAnsi="Verdana" w:cs="Arial"/>
              </w:rPr>
              <w:t>call</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cannot</w:t>
            </w:r>
            <w:r>
              <w:rPr>
                <w:rFonts w:ascii="Verdana" w:hAnsi="Verdana" w:cs="Arial"/>
              </w:rPr>
              <w:t xml:space="preserve"> </w:t>
            </w:r>
            <w:r w:rsidRPr="0025615F">
              <w:rPr>
                <w:rFonts w:ascii="Verdana" w:hAnsi="Verdana" w:cs="Arial"/>
              </w:rPr>
              <w:t>be</w:t>
            </w:r>
            <w:r>
              <w:rPr>
                <w:rFonts w:ascii="Verdana" w:hAnsi="Verdana" w:cs="Arial"/>
              </w:rPr>
              <w:t xml:space="preserve"> co</w:t>
            </w:r>
            <w:r w:rsidRPr="0025615F">
              <w:rPr>
                <w:rFonts w:ascii="Verdana" w:hAnsi="Verdana" w:cs="Arial"/>
              </w:rPr>
              <w:t>mpleted</w:t>
            </w:r>
            <w:r>
              <w:rPr>
                <w:rFonts w:ascii="Verdana" w:hAnsi="Verdana" w:cs="Arial"/>
              </w:rPr>
              <w:t xml:space="preserve"> </w:t>
            </w:r>
            <w:r w:rsidR="00FA5A8E" w:rsidRPr="0025615F">
              <w:rPr>
                <w:rFonts w:ascii="Verdana" w:hAnsi="Verdana" w:cs="Arial"/>
              </w:rPr>
              <w:t>due to</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phone</w:t>
            </w:r>
            <w:r>
              <w:rPr>
                <w:rFonts w:ascii="Verdana" w:hAnsi="Verdana" w:cs="Arial"/>
              </w:rPr>
              <w:t xml:space="preserve"> </w:t>
            </w:r>
            <w:r w:rsidRPr="0025615F">
              <w:rPr>
                <w:rFonts w:ascii="Verdana" w:hAnsi="Verdana" w:cs="Arial"/>
              </w:rPr>
              <w:t>line</w:t>
            </w:r>
            <w:r>
              <w:rPr>
                <w:rFonts w:ascii="Verdana" w:hAnsi="Verdana" w:cs="Arial"/>
              </w:rPr>
              <w:t xml:space="preserve"> </w:t>
            </w:r>
            <w:r w:rsidRPr="0025615F">
              <w:rPr>
                <w:rFonts w:ascii="Verdana" w:hAnsi="Verdana" w:cs="Arial"/>
              </w:rPr>
              <w:t>being</w:t>
            </w:r>
            <w:r>
              <w:rPr>
                <w:rFonts w:ascii="Verdana" w:hAnsi="Verdana" w:cs="Arial"/>
              </w:rPr>
              <w:t xml:space="preserve"> </w:t>
            </w:r>
            <w:r w:rsidRPr="0025615F">
              <w:rPr>
                <w:rFonts w:ascii="Verdana" w:hAnsi="Verdana" w:cs="Arial"/>
              </w:rPr>
              <w:t>busy</w:t>
            </w:r>
            <w:r>
              <w:rPr>
                <w:rFonts w:ascii="Verdana" w:hAnsi="Verdana" w:cs="Arial"/>
              </w:rPr>
              <w:t>.</w:t>
            </w:r>
          </w:p>
        </w:tc>
      </w:tr>
    </w:tbl>
    <w:p w14:paraId="00628CC5" w14:textId="77777777" w:rsidR="00AB2929" w:rsidRDefault="00AB2929" w:rsidP="008D4A43">
      <w:pPr>
        <w:spacing w:before="120" w:after="120"/>
      </w:pPr>
    </w:p>
    <w:p w14:paraId="5FBF1B7C" w14:textId="77777777" w:rsidR="00AB2929" w:rsidRDefault="00AB2929" w:rsidP="008D4A43">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9233"/>
      </w:tblGrid>
      <w:tr w:rsidR="004B37FD" w:rsidRPr="0025615F" w14:paraId="64C62B54" w14:textId="77777777" w:rsidTr="00E73ECA">
        <w:tc>
          <w:tcPr>
            <w:tcW w:w="1435" w:type="pct"/>
            <w:shd w:val="clear" w:color="auto" w:fill="D9D9D9" w:themeFill="background1" w:themeFillShade="D9"/>
          </w:tcPr>
          <w:p w14:paraId="720F9F7E" w14:textId="0954D7E4" w:rsidR="004B37FD" w:rsidRPr="004B37FD" w:rsidRDefault="004B37FD" w:rsidP="002D289F">
            <w:pPr>
              <w:spacing w:before="120" w:after="120"/>
              <w:jc w:val="center"/>
              <w:rPr>
                <w:rFonts w:ascii="Verdana" w:hAnsi="Verdana"/>
                <w:b/>
                <w:color w:val="000000"/>
              </w:rPr>
            </w:pPr>
            <w:r>
              <w:rPr>
                <w:rFonts w:ascii="Verdana" w:hAnsi="Verdana"/>
                <w:b/>
                <w:color w:val="000000"/>
              </w:rPr>
              <w:t>Term</w:t>
            </w:r>
          </w:p>
        </w:tc>
        <w:tc>
          <w:tcPr>
            <w:tcW w:w="3565" w:type="pct"/>
            <w:shd w:val="clear" w:color="auto" w:fill="D9D9D9" w:themeFill="background1" w:themeFillShade="D9"/>
          </w:tcPr>
          <w:p w14:paraId="5C6689ED" w14:textId="5280565C" w:rsidR="004B37FD" w:rsidRPr="004B37FD" w:rsidRDefault="004B37FD" w:rsidP="002D289F">
            <w:pPr>
              <w:spacing w:before="120" w:after="120"/>
              <w:jc w:val="center"/>
              <w:rPr>
                <w:rFonts w:ascii="Verdana" w:hAnsi="Verdana" w:cs="Arial"/>
                <w:b/>
                <w:bCs/>
              </w:rPr>
            </w:pPr>
            <w:r w:rsidRPr="004B37FD">
              <w:rPr>
                <w:rFonts w:ascii="Verdana" w:hAnsi="Verdana" w:cs="Arial"/>
                <w:b/>
                <w:bCs/>
              </w:rPr>
              <w:t>Definition</w:t>
            </w:r>
          </w:p>
        </w:tc>
      </w:tr>
      <w:tr w:rsidR="00EB26B3" w:rsidRPr="0025615F" w14:paraId="32BAADC8" w14:textId="77777777" w:rsidTr="00E73ECA">
        <w:tc>
          <w:tcPr>
            <w:tcW w:w="1435" w:type="pct"/>
          </w:tcPr>
          <w:p w14:paraId="5E90F0AB" w14:textId="77777777" w:rsidR="00EB26B3" w:rsidRPr="00EB26B3" w:rsidDel="009B63E4" w:rsidRDefault="00EB26B3" w:rsidP="002D289F">
            <w:pPr>
              <w:spacing w:before="120" w:after="120"/>
              <w:rPr>
                <w:rFonts w:ascii="Verdana" w:hAnsi="Verdana" w:cs="Arial"/>
                <w:bCs/>
              </w:rPr>
            </w:pPr>
            <w:r w:rsidRPr="00EB26B3">
              <w:rPr>
                <w:rFonts w:ascii="Verdana" w:hAnsi="Verdana"/>
                <w:bCs/>
                <w:color w:val="000000"/>
              </w:rPr>
              <w:t>Baggie</w:t>
            </w:r>
          </w:p>
        </w:tc>
        <w:tc>
          <w:tcPr>
            <w:tcW w:w="3565" w:type="pct"/>
          </w:tcPr>
          <w:p w14:paraId="796DABAE" w14:textId="753E17C8" w:rsidR="00EB26B3" w:rsidRDefault="00EB26B3" w:rsidP="002D289F">
            <w:pPr>
              <w:spacing w:before="120" w:after="120"/>
              <w:rPr>
                <w:rFonts w:ascii="Verdana" w:hAnsi="Verdana" w:cs="Arial"/>
              </w:rPr>
            </w:pPr>
            <w:r w:rsidRPr="0025615F">
              <w:rPr>
                <w:rFonts w:ascii="Verdana" w:hAnsi="Verdana" w:cs="Arial"/>
              </w:rPr>
              <w:t>Mail-order</w:t>
            </w:r>
            <w:r>
              <w:rPr>
                <w:rFonts w:ascii="Verdana" w:hAnsi="Verdana" w:cs="Arial"/>
              </w:rPr>
              <w:t xml:space="preserve"> </w:t>
            </w:r>
            <w:r w:rsidRPr="0025615F">
              <w:rPr>
                <w:rFonts w:ascii="Verdana" w:hAnsi="Verdana" w:cs="Arial"/>
              </w:rPr>
              <w:t>prescriptions</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prescription</w:t>
            </w:r>
            <w:r>
              <w:rPr>
                <w:rFonts w:ascii="Verdana" w:hAnsi="Verdana" w:cs="Arial"/>
              </w:rPr>
              <w:t xml:space="preserve"> </w:t>
            </w:r>
            <w:r w:rsidRPr="0025615F">
              <w:rPr>
                <w:rFonts w:ascii="Verdana" w:hAnsi="Verdana" w:cs="Arial"/>
              </w:rPr>
              <w:t>refills</w:t>
            </w:r>
            <w:r>
              <w:rPr>
                <w:rFonts w:ascii="Verdana" w:hAnsi="Verdana" w:cs="Arial"/>
              </w:rPr>
              <w:t xml:space="preserve"> </w:t>
            </w:r>
            <w:r w:rsidRPr="0025615F">
              <w:rPr>
                <w:rFonts w:ascii="Verdana" w:hAnsi="Verdana" w:cs="Arial"/>
              </w:rPr>
              <w:t>mailed</w:t>
            </w:r>
            <w:r>
              <w:rPr>
                <w:rFonts w:ascii="Verdana" w:hAnsi="Verdana" w:cs="Arial"/>
              </w:rPr>
              <w:t xml:space="preserve"> </w:t>
            </w:r>
            <w:r w:rsidRPr="0025615F">
              <w:rPr>
                <w:rFonts w:ascii="Verdana" w:hAnsi="Verdana" w:cs="Arial"/>
              </w:rPr>
              <w:t>to</w:t>
            </w:r>
            <w:r>
              <w:rPr>
                <w:rFonts w:ascii="Verdana" w:hAnsi="Verdana" w:cs="Arial"/>
              </w:rPr>
              <w:t xml:space="preserve"> our </w:t>
            </w:r>
            <w:r w:rsidRPr="0025615F">
              <w:rPr>
                <w:rFonts w:ascii="Verdana" w:hAnsi="Verdana" w:cs="Arial"/>
              </w:rPr>
              <w:t>pharmacies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opened</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separated</w:t>
            </w:r>
            <w:r>
              <w:rPr>
                <w:rFonts w:ascii="Verdana" w:hAnsi="Verdana" w:cs="Arial"/>
              </w:rPr>
              <w:t xml:space="preserve"> </w:t>
            </w:r>
            <w:r w:rsidRPr="0025615F">
              <w:rPr>
                <w:rFonts w:ascii="Verdana" w:hAnsi="Verdana" w:cs="Arial"/>
              </w:rPr>
              <w:t>into</w:t>
            </w:r>
            <w:r>
              <w:rPr>
                <w:rFonts w:ascii="Verdana" w:hAnsi="Verdana" w:cs="Arial"/>
              </w:rPr>
              <w:t xml:space="preserve"> </w:t>
            </w:r>
            <w:r w:rsidRPr="0025615F">
              <w:rPr>
                <w:rFonts w:ascii="Verdana" w:hAnsi="Verdana" w:cs="Arial"/>
              </w:rPr>
              <w:t>zip-lock</w:t>
            </w:r>
            <w:r>
              <w:rPr>
                <w:rFonts w:ascii="Verdana" w:hAnsi="Verdana" w:cs="Arial"/>
              </w:rPr>
              <w:t xml:space="preserve"> </w:t>
            </w:r>
            <w:r w:rsidRPr="0025615F">
              <w:rPr>
                <w:rFonts w:ascii="Verdana" w:hAnsi="Verdana" w:cs="Arial"/>
              </w:rPr>
              <w:t>bags</w:t>
            </w:r>
            <w:r>
              <w:rPr>
                <w:rFonts w:ascii="Verdana" w:hAnsi="Verdana" w:cs="Arial"/>
              </w:rPr>
              <w:t xml:space="preserve"> </w:t>
            </w:r>
            <w:r w:rsidRPr="0025615F">
              <w:rPr>
                <w:rFonts w:ascii="Verdana" w:hAnsi="Verdana" w:cs="Arial"/>
              </w:rPr>
              <w:t>before</w:t>
            </w:r>
            <w:r>
              <w:rPr>
                <w:rFonts w:ascii="Verdana" w:hAnsi="Verdana" w:cs="Arial"/>
              </w:rPr>
              <w:t xml:space="preserve"> </w:t>
            </w:r>
            <w:r w:rsidRPr="0025615F">
              <w:rPr>
                <w:rFonts w:ascii="Verdana" w:hAnsi="Verdana" w:cs="Arial"/>
              </w:rPr>
              <w:t>being</w:t>
            </w:r>
            <w:r>
              <w:rPr>
                <w:rFonts w:ascii="Verdana" w:hAnsi="Verdana" w:cs="Arial"/>
              </w:rPr>
              <w:t xml:space="preserve"> </w:t>
            </w:r>
            <w:r w:rsidRPr="0025615F">
              <w:rPr>
                <w:rFonts w:ascii="Verdana" w:hAnsi="Verdana" w:cs="Arial"/>
              </w:rPr>
              <w:t>forwarded</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translation</w:t>
            </w:r>
            <w:r>
              <w:rPr>
                <w:rFonts w:ascii="Verdana" w:hAnsi="Verdana" w:cs="Arial"/>
              </w:rPr>
              <w:t xml:space="preserve"> </w:t>
            </w:r>
            <w:r w:rsidRPr="0025615F">
              <w:rPr>
                <w:rFonts w:ascii="Verdana" w:hAnsi="Verdana" w:cs="Arial"/>
              </w:rPr>
              <w:t>team</w:t>
            </w:r>
            <w:r w:rsidR="00E96762" w:rsidRPr="0025615F">
              <w:rPr>
                <w:rFonts w:ascii="Verdana" w:hAnsi="Verdana" w:cs="Arial"/>
              </w:rPr>
              <w:t>.</w:t>
            </w:r>
            <w:r w:rsidR="00E96762">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baggie</w:t>
            </w:r>
            <w:r>
              <w:rPr>
                <w:rFonts w:ascii="Verdana" w:hAnsi="Verdana" w:cs="Arial"/>
              </w:rPr>
              <w:t xml:space="preserve"> </w:t>
            </w:r>
            <w:r w:rsidRPr="0025615F">
              <w:rPr>
                <w:rFonts w:ascii="Verdana" w:hAnsi="Verdana" w:cs="Arial"/>
              </w:rPr>
              <w:t>includes</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order</w:t>
            </w:r>
            <w:r>
              <w:rPr>
                <w:rFonts w:ascii="Verdana" w:hAnsi="Verdana" w:cs="Arial"/>
              </w:rPr>
              <w:t xml:space="preserve"> </w:t>
            </w:r>
            <w:r w:rsidRPr="0025615F">
              <w:rPr>
                <w:rFonts w:ascii="Verdana" w:hAnsi="Verdana" w:cs="Arial"/>
              </w:rPr>
              <w:t>form,</w:t>
            </w:r>
            <w:r>
              <w:rPr>
                <w:rFonts w:ascii="Verdana" w:hAnsi="Verdana" w:cs="Arial"/>
              </w:rPr>
              <w:t xml:space="preserve"> </w:t>
            </w:r>
            <w:r w:rsidRPr="0025615F">
              <w:rPr>
                <w:rFonts w:ascii="Verdana" w:hAnsi="Verdana" w:cs="Arial"/>
              </w:rPr>
              <w:t>original</w:t>
            </w:r>
            <w:r>
              <w:rPr>
                <w:rFonts w:ascii="Verdana" w:hAnsi="Verdana" w:cs="Arial"/>
              </w:rPr>
              <w:t xml:space="preserve"> </w:t>
            </w:r>
            <w:r w:rsidRPr="0025615F">
              <w:rPr>
                <w:rFonts w:ascii="Verdana" w:hAnsi="Verdana" w:cs="Arial"/>
              </w:rPr>
              <w:t>prescription</w:t>
            </w:r>
            <w:r>
              <w:rPr>
                <w:rFonts w:ascii="Verdana" w:hAnsi="Verdana" w:cs="Arial"/>
              </w:rPr>
              <w:t xml:space="preserve"> </w:t>
            </w:r>
            <w:r w:rsidRPr="0025615F">
              <w:rPr>
                <w:rFonts w:ascii="Verdana" w:hAnsi="Verdana" w:cs="Arial"/>
              </w:rPr>
              <w:t>(an</w:t>
            </w:r>
            <w:r>
              <w:rPr>
                <w:rFonts w:ascii="Verdana" w:hAnsi="Verdana" w:cs="Arial"/>
              </w:rPr>
              <w:t xml:space="preserve"> </w:t>
            </w:r>
            <w:r w:rsidRPr="0025615F">
              <w:rPr>
                <w:rFonts w:ascii="Verdana" w:hAnsi="Verdana" w:cs="Arial"/>
              </w:rPr>
              <w:t>original</w:t>
            </w:r>
            <w:r>
              <w:rPr>
                <w:rFonts w:ascii="Verdana" w:hAnsi="Verdana" w:cs="Arial"/>
              </w:rPr>
              <w:t xml:space="preserve"> </w:t>
            </w:r>
            <w:r w:rsidRPr="0025615F">
              <w:rPr>
                <w:rFonts w:ascii="Verdana" w:hAnsi="Verdana" w:cs="Arial"/>
              </w:rPr>
              <w:t>prescription</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not</w:t>
            </w:r>
            <w:r>
              <w:rPr>
                <w:rFonts w:ascii="Verdana" w:hAnsi="Verdana" w:cs="Arial"/>
              </w:rPr>
              <w:t xml:space="preserve"> </w:t>
            </w:r>
            <w:r w:rsidRPr="0025615F">
              <w:rPr>
                <w:rFonts w:ascii="Verdana" w:hAnsi="Verdana" w:cs="Arial"/>
              </w:rPr>
              <w:t>needed</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refills),</w:t>
            </w:r>
            <w:r>
              <w:rPr>
                <w:rFonts w:ascii="Verdana" w:hAnsi="Verdana" w:cs="Arial"/>
              </w:rPr>
              <w:t xml:space="preserve"> </w:t>
            </w:r>
            <w:r w:rsidRPr="0025615F">
              <w:rPr>
                <w:rFonts w:ascii="Verdana" w:hAnsi="Verdana" w:cs="Arial"/>
              </w:rPr>
              <w:t>and</w:t>
            </w:r>
            <w:r>
              <w:rPr>
                <w:rFonts w:ascii="Verdana" w:hAnsi="Verdana" w:cs="Arial"/>
              </w:rPr>
              <w:t xml:space="preserve"> payment</w:t>
            </w:r>
            <w:r w:rsidR="00E96762" w:rsidRPr="0025615F">
              <w:rPr>
                <w:rFonts w:ascii="Verdana" w:hAnsi="Verdana" w:cs="Arial"/>
              </w:rPr>
              <w:t>.</w:t>
            </w:r>
            <w:r w:rsidR="00E96762">
              <w:rPr>
                <w:rFonts w:ascii="Verdana" w:hAnsi="Verdana" w:cs="Arial"/>
              </w:rPr>
              <w:t xml:space="preserve"> </w:t>
            </w:r>
            <w:r w:rsidRPr="0025615F">
              <w:rPr>
                <w:rFonts w:ascii="Verdana" w:hAnsi="Verdana" w:cs="Arial"/>
              </w:rPr>
              <w:t>Baggies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bar-</w:t>
            </w:r>
            <w:r>
              <w:rPr>
                <w:rFonts w:ascii="Verdana" w:hAnsi="Verdana" w:cs="Arial"/>
              </w:rPr>
              <w:t>co</w:t>
            </w:r>
            <w:r w:rsidRPr="0025615F">
              <w:rPr>
                <w:rFonts w:ascii="Verdana" w:hAnsi="Verdana" w:cs="Arial"/>
              </w:rPr>
              <w:t>ded</w:t>
            </w:r>
            <w:r>
              <w:rPr>
                <w:rFonts w:ascii="Verdana" w:hAnsi="Verdana" w:cs="Arial"/>
              </w:rPr>
              <w:t xml:space="preserve"> </w:t>
            </w:r>
            <w:r w:rsidRPr="0025615F">
              <w:rPr>
                <w:rFonts w:ascii="Verdana" w:hAnsi="Verdana" w:cs="Arial"/>
              </w:rPr>
              <w:t>so</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if</w:t>
            </w:r>
            <w:r>
              <w:rPr>
                <w:rFonts w:ascii="Verdana" w:hAnsi="Verdana" w:cs="Arial"/>
              </w:rPr>
              <w:t xml:space="preserve"> </w:t>
            </w:r>
            <w:r w:rsidRPr="0025615F">
              <w:rPr>
                <w:rFonts w:ascii="Verdana" w:hAnsi="Verdana" w:cs="Arial"/>
              </w:rPr>
              <w:t>an</w:t>
            </w:r>
            <w:r>
              <w:rPr>
                <w:rFonts w:ascii="Verdana" w:hAnsi="Verdana" w:cs="Arial"/>
              </w:rPr>
              <w:t xml:space="preserve"> </w:t>
            </w:r>
            <w:r w:rsidRPr="0025615F">
              <w:rPr>
                <w:rFonts w:ascii="Verdana" w:hAnsi="Verdana" w:cs="Arial"/>
              </w:rPr>
              <w:t>order</w:t>
            </w:r>
            <w:r>
              <w:rPr>
                <w:rFonts w:ascii="Verdana" w:hAnsi="Verdana" w:cs="Arial"/>
              </w:rPr>
              <w:t xml:space="preserve"> </w:t>
            </w:r>
            <w:r w:rsidR="0057615C" w:rsidRPr="0025615F">
              <w:rPr>
                <w:rFonts w:ascii="Verdana" w:hAnsi="Verdana" w:cs="Arial"/>
              </w:rPr>
              <w:t>must</w:t>
            </w:r>
            <w:r>
              <w:rPr>
                <w:rFonts w:ascii="Verdana" w:hAnsi="Verdana" w:cs="Arial"/>
              </w:rPr>
              <w:t xml:space="preserve"> </w:t>
            </w:r>
            <w:r w:rsidRPr="0025615F">
              <w:rPr>
                <w:rFonts w:ascii="Verdana" w:hAnsi="Verdana" w:cs="Arial"/>
              </w:rPr>
              <w:t>be</w:t>
            </w:r>
            <w:r>
              <w:rPr>
                <w:rFonts w:ascii="Verdana" w:hAnsi="Verdana" w:cs="Arial"/>
              </w:rPr>
              <w:t xml:space="preserve"> </w:t>
            </w:r>
            <w:r w:rsidRPr="0025615F">
              <w:rPr>
                <w:rFonts w:ascii="Verdana" w:hAnsi="Verdana" w:cs="Arial"/>
              </w:rPr>
              <w:t>intercepted</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mid-processing,</w:t>
            </w:r>
            <w:r>
              <w:rPr>
                <w:rFonts w:ascii="Verdana" w:hAnsi="Verdana" w:cs="Arial"/>
              </w:rPr>
              <w:t xml:space="preserve"> </w:t>
            </w:r>
            <w:r w:rsidRPr="0025615F">
              <w:rPr>
                <w:rFonts w:ascii="Verdana" w:hAnsi="Verdana" w:cs="Arial"/>
              </w:rPr>
              <w:t>its</w:t>
            </w:r>
            <w:r>
              <w:rPr>
                <w:rFonts w:ascii="Verdana" w:hAnsi="Verdana" w:cs="Arial"/>
              </w:rPr>
              <w:t xml:space="preserve"> </w:t>
            </w:r>
            <w:r w:rsidRPr="0025615F">
              <w:rPr>
                <w:rFonts w:ascii="Verdana" w:hAnsi="Verdana" w:cs="Arial"/>
              </w:rPr>
              <w:t>bar</w:t>
            </w:r>
            <w:r>
              <w:rPr>
                <w:rFonts w:ascii="Verdana" w:hAnsi="Verdana" w:cs="Arial"/>
              </w:rPr>
              <w:t>co</w:t>
            </w:r>
            <w:r w:rsidRPr="0025615F">
              <w:rPr>
                <w:rFonts w:ascii="Verdana" w:hAnsi="Verdana" w:cs="Arial"/>
              </w:rPr>
              <w:t>de</w:t>
            </w:r>
            <w:r>
              <w:rPr>
                <w:rFonts w:ascii="Verdana" w:hAnsi="Verdana" w:cs="Arial"/>
              </w:rPr>
              <w:t xml:space="preserve"> </w:t>
            </w:r>
            <w:r w:rsidRPr="0025615F">
              <w:rPr>
                <w:rFonts w:ascii="Verdana" w:hAnsi="Verdana" w:cs="Arial"/>
              </w:rPr>
              <w:t>number</w:t>
            </w:r>
            <w:r>
              <w:rPr>
                <w:rFonts w:ascii="Verdana" w:hAnsi="Verdana" w:cs="Arial"/>
              </w:rPr>
              <w:t xml:space="preserve"> </w:t>
            </w:r>
            <w:r w:rsidRPr="0025615F">
              <w:rPr>
                <w:rFonts w:ascii="Verdana" w:hAnsi="Verdana" w:cs="Arial"/>
              </w:rPr>
              <w:t>can</w:t>
            </w:r>
            <w:r>
              <w:rPr>
                <w:rFonts w:ascii="Verdana" w:hAnsi="Verdana" w:cs="Arial"/>
              </w:rPr>
              <w:t xml:space="preserve"> </w:t>
            </w:r>
            <w:r w:rsidRPr="0025615F">
              <w:rPr>
                <w:rFonts w:ascii="Verdana" w:hAnsi="Verdana" w:cs="Arial"/>
              </w:rPr>
              <w:t>track</w:t>
            </w:r>
            <w:r>
              <w:rPr>
                <w:rFonts w:ascii="Verdana" w:hAnsi="Verdana" w:cs="Arial"/>
              </w:rPr>
              <w:t xml:space="preserve"> </w:t>
            </w:r>
            <w:r w:rsidRPr="0025615F">
              <w:rPr>
                <w:rFonts w:ascii="Verdana" w:hAnsi="Verdana" w:cs="Arial"/>
              </w:rPr>
              <w:t>it.</w:t>
            </w:r>
          </w:p>
          <w:p w14:paraId="7F603110" w14:textId="77777777" w:rsidR="00EB26B3" w:rsidRDefault="00EB26B3" w:rsidP="002D289F">
            <w:pPr>
              <w:spacing w:before="120" w:after="120"/>
              <w:rPr>
                <w:rFonts w:ascii="Verdana" w:hAnsi="Verdana" w:cs="Arial"/>
              </w:rPr>
            </w:pPr>
          </w:p>
          <w:p w14:paraId="4BB9D203" w14:textId="4CE66D5D" w:rsidR="00EB26B3" w:rsidRPr="0025615F" w:rsidRDefault="00EB26B3" w:rsidP="002D289F">
            <w:pPr>
              <w:spacing w:before="120" w:after="120"/>
              <w:rPr>
                <w:rFonts w:ascii="Verdana" w:hAnsi="Verdana" w:cs="Arial"/>
              </w:rPr>
            </w:pPr>
            <w:r w:rsidRPr="00AC2211">
              <w:rPr>
                <w:rFonts w:ascii="Verdana" w:hAnsi="Verdana" w:cs="Arial"/>
              </w:rPr>
              <w:t>Baggie orders can be identified by viewing the Verify Order screen. If the Baggie Number field is populated, then the order is a Baggie order.</w:t>
            </w:r>
            <w:r>
              <w:rPr>
                <w:rFonts w:ascii="Verdana" w:hAnsi="Verdana" w:cs="Arial"/>
              </w:rPr>
              <w:t xml:space="preserve"> </w:t>
            </w:r>
          </w:p>
        </w:tc>
      </w:tr>
      <w:tr w:rsidR="00EB26B3" w:rsidRPr="0025615F" w14:paraId="5DEF7C5D" w14:textId="77777777" w:rsidTr="00E73ECA">
        <w:tc>
          <w:tcPr>
            <w:tcW w:w="1435" w:type="pct"/>
          </w:tcPr>
          <w:p w14:paraId="1A7F067A" w14:textId="77777777" w:rsidR="00EB26B3" w:rsidRPr="00EB26B3" w:rsidDel="009B63E4" w:rsidRDefault="00EB26B3" w:rsidP="002D289F">
            <w:pPr>
              <w:spacing w:before="120" w:after="120"/>
              <w:rPr>
                <w:rFonts w:ascii="Verdana" w:hAnsi="Verdana" w:cs="Arial"/>
                <w:bCs/>
              </w:rPr>
            </w:pPr>
            <w:r w:rsidRPr="00EB26B3">
              <w:rPr>
                <w:rFonts w:ascii="Verdana" w:hAnsi="Verdana"/>
                <w:bCs/>
                <w:color w:val="000000"/>
              </w:rPr>
              <w:t>Batch Pull</w:t>
            </w:r>
          </w:p>
        </w:tc>
        <w:tc>
          <w:tcPr>
            <w:tcW w:w="3565" w:type="pct"/>
          </w:tcPr>
          <w:p w14:paraId="16284885" w14:textId="1589ABCC" w:rsidR="00EB26B3" w:rsidRDefault="00EB26B3" w:rsidP="002D289F">
            <w:pPr>
              <w:spacing w:before="120" w:after="120"/>
              <w:rPr>
                <w:rFonts w:ascii="Verdana" w:hAnsi="Verdana" w:cs="Arial"/>
              </w:rPr>
            </w:pPr>
            <w:r w:rsidRPr="0025615F">
              <w:rPr>
                <w:rFonts w:ascii="Verdana" w:hAnsi="Verdana" w:cs="Arial"/>
              </w:rPr>
              <w:t>Original</w:t>
            </w:r>
            <w:r>
              <w:rPr>
                <w:rFonts w:ascii="Verdana" w:hAnsi="Verdana" w:cs="Arial"/>
              </w:rPr>
              <w:t xml:space="preserve"> </w:t>
            </w:r>
            <w:r w:rsidRPr="0025615F">
              <w:rPr>
                <w:rFonts w:ascii="Verdana" w:hAnsi="Verdana" w:cs="Arial"/>
              </w:rPr>
              <w:t>prescription</w:t>
            </w:r>
            <w:r>
              <w:rPr>
                <w:rFonts w:ascii="Verdana" w:hAnsi="Verdana" w:cs="Arial"/>
              </w:rPr>
              <w:t xml:space="preserve"> </w:t>
            </w:r>
            <w:r w:rsidRPr="0025615F">
              <w:rPr>
                <w:rFonts w:ascii="Verdana" w:hAnsi="Verdana" w:cs="Arial"/>
              </w:rPr>
              <w:t>received</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dispensed</w:t>
            </w:r>
            <w:r>
              <w:rPr>
                <w:rFonts w:ascii="Verdana" w:hAnsi="Verdana" w:cs="Arial"/>
              </w:rPr>
              <w:t xml:space="preserve"> </w:t>
            </w:r>
            <w:r w:rsidRPr="0025615F">
              <w:rPr>
                <w:rFonts w:ascii="Verdana" w:hAnsi="Verdana" w:cs="Arial"/>
              </w:rPr>
              <w:t>by</w:t>
            </w:r>
            <w:r>
              <w:rPr>
                <w:rFonts w:ascii="Verdana" w:hAnsi="Verdana" w:cs="Arial"/>
              </w:rPr>
              <w:t xml:space="preserve"> our </w:t>
            </w:r>
            <w:r w:rsidRPr="0025615F">
              <w:rPr>
                <w:rFonts w:ascii="Verdana" w:hAnsi="Verdana" w:cs="Arial"/>
              </w:rPr>
              <w:t>mail</w:t>
            </w:r>
            <w:r>
              <w:rPr>
                <w:rFonts w:ascii="Verdana" w:hAnsi="Verdana" w:cs="Arial"/>
              </w:rPr>
              <w:t xml:space="preserve"> </w:t>
            </w:r>
            <w:r w:rsidRPr="0025615F">
              <w:rPr>
                <w:rFonts w:ascii="Verdana" w:hAnsi="Verdana" w:cs="Arial"/>
              </w:rPr>
              <w:t>order</w:t>
            </w:r>
            <w:r>
              <w:rPr>
                <w:rFonts w:ascii="Verdana" w:hAnsi="Verdana" w:cs="Arial"/>
              </w:rPr>
              <w:t xml:space="preserve"> </w:t>
            </w:r>
            <w:r w:rsidRPr="0025615F">
              <w:rPr>
                <w:rFonts w:ascii="Verdana" w:hAnsi="Verdana" w:cs="Arial"/>
              </w:rPr>
              <w:t>pharmacies</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filed</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batches</w:t>
            </w:r>
            <w:r w:rsidR="00E96762" w:rsidRPr="0025615F">
              <w:rPr>
                <w:rFonts w:ascii="Verdana" w:hAnsi="Verdana" w:cs="Arial"/>
              </w:rPr>
              <w:t>.</w:t>
            </w:r>
            <w:r w:rsidR="00E96762">
              <w:rPr>
                <w:rFonts w:ascii="Verdana" w:hAnsi="Verdana" w:cs="Arial"/>
              </w:rPr>
              <w:t xml:space="preserve"> </w:t>
            </w:r>
          </w:p>
          <w:p w14:paraId="2272D3C2" w14:textId="77777777" w:rsidR="00EB26B3" w:rsidRDefault="00EB26B3" w:rsidP="002D289F">
            <w:pPr>
              <w:spacing w:before="120" w:after="120"/>
              <w:rPr>
                <w:rFonts w:ascii="Verdana" w:hAnsi="Verdana" w:cs="Arial"/>
              </w:rPr>
            </w:pPr>
          </w:p>
          <w:p w14:paraId="2A329138" w14:textId="42255031" w:rsidR="00EB26B3" w:rsidRDefault="00EB26B3" w:rsidP="002D289F">
            <w:pPr>
              <w:spacing w:before="120" w:after="120"/>
              <w:rPr>
                <w:rFonts w:ascii="Verdana" w:hAnsi="Verdana" w:cs="Arial"/>
              </w:rPr>
            </w:pPr>
            <w:r w:rsidRPr="0025615F">
              <w:rPr>
                <w:rFonts w:ascii="Verdana" w:hAnsi="Verdana" w:cs="Arial"/>
              </w:rPr>
              <w:t>If,</w:t>
            </w:r>
            <w:r>
              <w:rPr>
                <w:rFonts w:ascii="Verdana" w:hAnsi="Verdana" w:cs="Arial"/>
              </w:rPr>
              <w:t xml:space="preserve"> </w:t>
            </w:r>
            <w:r w:rsidRPr="0025615F">
              <w:rPr>
                <w:rFonts w:ascii="Verdana" w:hAnsi="Verdana" w:cs="Arial"/>
              </w:rPr>
              <w:t>after</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medications</w:t>
            </w:r>
            <w:r>
              <w:rPr>
                <w:rFonts w:ascii="Verdana" w:hAnsi="Verdana" w:cs="Arial"/>
              </w:rPr>
              <w:t xml:space="preserve"> </w:t>
            </w:r>
            <w:r w:rsidRPr="0025615F">
              <w:rPr>
                <w:rFonts w:ascii="Verdana" w:hAnsi="Verdana" w:cs="Arial"/>
              </w:rPr>
              <w:t>have</w:t>
            </w:r>
            <w:r>
              <w:rPr>
                <w:rFonts w:ascii="Verdana" w:hAnsi="Verdana" w:cs="Arial"/>
              </w:rPr>
              <w:t xml:space="preserve"> </w:t>
            </w:r>
            <w:r w:rsidRPr="0025615F">
              <w:rPr>
                <w:rFonts w:ascii="Verdana" w:hAnsi="Verdana" w:cs="Arial"/>
              </w:rPr>
              <w:t>been</w:t>
            </w:r>
            <w:r>
              <w:rPr>
                <w:rFonts w:ascii="Verdana" w:hAnsi="Verdana" w:cs="Arial"/>
              </w:rPr>
              <w:t xml:space="preserve"> </w:t>
            </w:r>
            <w:r w:rsidRPr="0025615F">
              <w:rPr>
                <w:rFonts w:ascii="Verdana" w:hAnsi="Verdana" w:cs="Arial"/>
              </w:rPr>
              <w:t>received</w:t>
            </w:r>
            <w:r>
              <w:rPr>
                <w:rFonts w:ascii="Verdana" w:hAnsi="Verdana" w:cs="Arial"/>
              </w:rPr>
              <w:t xml:space="preserve"> </w:t>
            </w:r>
            <w:r w:rsidRPr="0025615F">
              <w:rPr>
                <w:rFonts w:ascii="Verdana" w:hAnsi="Verdana" w:cs="Arial"/>
              </w:rPr>
              <w:t>by</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plan</w:t>
            </w:r>
            <w:r>
              <w:rPr>
                <w:rFonts w:ascii="Verdana" w:hAnsi="Verdana" w:cs="Arial"/>
              </w:rPr>
              <w:t xml:space="preserve"> </w:t>
            </w:r>
            <w:r w:rsidRPr="0025615F">
              <w:rPr>
                <w:rFonts w:ascii="Verdana" w:hAnsi="Verdana" w:cs="Arial"/>
              </w:rPr>
              <w:t>member,</w:t>
            </w:r>
            <w:r>
              <w:rPr>
                <w:rFonts w:ascii="Verdana" w:hAnsi="Verdana" w:cs="Arial"/>
              </w:rPr>
              <w:t xml:space="preserve"> </w:t>
            </w:r>
            <w:r w:rsidRPr="0025615F">
              <w:rPr>
                <w:rFonts w:ascii="Verdana" w:hAnsi="Verdana" w:cs="Arial"/>
              </w:rPr>
              <w:t>it</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necessary</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review</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prescription</w:t>
            </w:r>
            <w:r>
              <w:rPr>
                <w:rFonts w:ascii="Verdana" w:hAnsi="Verdana" w:cs="Arial"/>
              </w:rPr>
              <w:t xml:space="preserve"> </w:t>
            </w:r>
            <w:r w:rsidRPr="0025615F">
              <w:rPr>
                <w:rFonts w:ascii="Verdana" w:hAnsi="Verdana" w:cs="Arial"/>
              </w:rPr>
              <w:t>because</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questions</w:t>
            </w:r>
            <w:r>
              <w:rPr>
                <w:rFonts w:ascii="Verdana" w:hAnsi="Verdana" w:cs="Arial"/>
              </w:rPr>
              <w:t xml:space="preserve"> </w:t>
            </w:r>
            <w:r w:rsidRPr="0025615F">
              <w:rPr>
                <w:rFonts w:ascii="Verdana" w:hAnsi="Verdana" w:cs="Arial"/>
              </w:rPr>
              <w:t>regarding</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medication</w:t>
            </w:r>
            <w:r>
              <w:rPr>
                <w:rFonts w:ascii="Verdana" w:hAnsi="Verdana" w:cs="Arial"/>
              </w:rPr>
              <w:t xml:space="preserve"> </w:t>
            </w:r>
            <w:r w:rsidRPr="0025615F">
              <w:rPr>
                <w:rFonts w:ascii="Verdana" w:hAnsi="Verdana" w:cs="Arial"/>
              </w:rPr>
              <w:t>dispensed,</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quantity,</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strength,</w:t>
            </w:r>
            <w:r>
              <w:rPr>
                <w:rFonts w:ascii="Verdana" w:hAnsi="Verdana" w:cs="Arial"/>
              </w:rPr>
              <w:t xml:space="preserve"> </w:t>
            </w:r>
            <w:r w:rsidR="00E96762" w:rsidRPr="0025615F">
              <w:rPr>
                <w:rFonts w:ascii="Verdana" w:hAnsi="Verdana" w:cs="Arial"/>
              </w:rPr>
              <w:t>or</w:t>
            </w:r>
            <w:r>
              <w:rPr>
                <w:rFonts w:ascii="Verdana" w:hAnsi="Verdana" w:cs="Arial"/>
              </w:rPr>
              <w:t xml:space="preserve"> </w:t>
            </w:r>
            <w:r w:rsidRPr="0025615F">
              <w:rPr>
                <w:rFonts w:ascii="Verdana" w:hAnsi="Verdana" w:cs="Arial"/>
              </w:rPr>
              <w:t>directions,</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batch</w:t>
            </w:r>
            <w:r>
              <w:rPr>
                <w:rFonts w:ascii="Verdana" w:hAnsi="Verdana" w:cs="Arial"/>
              </w:rPr>
              <w:t xml:space="preserve"> </w:t>
            </w:r>
            <w:r w:rsidRPr="0025615F">
              <w:rPr>
                <w:rFonts w:ascii="Verdana" w:hAnsi="Verdana" w:cs="Arial"/>
              </w:rPr>
              <w:t>pull</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requested</w:t>
            </w:r>
            <w:r w:rsidR="00E96762" w:rsidRPr="0025615F">
              <w:rPr>
                <w:rFonts w:ascii="Verdana" w:hAnsi="Verdana" w:cs="Arial"/>
              </w:rPr>
              <w:t>.</w:t>
            </w:r>
            <w:r w:rsidR="00E96762">
              <w:rPr>
                <w:rFonts w:ascii="Verdana" w:hAnsi="Verdana" w:cs="Arial"/>
              </w:rPr>
              <w:t xml:space="preserve"> </w:t>
            </w:r>
          </w:p>
          <w:p w14:paraId="70F9DFB7" w14:textId="77777777" w:rsidR="00EB26B3" w:rsidRDefault="00EB26B3" w:rsidP="002D289F">
            <w:pPr>
              <w:spacing w:before="120" w:after="120"/>
              <w:rPr>
                <w:rFonts w:ascii="Verdana" w:hAnsi="Verdana" w:cs="Arial"/>
              </w:rPr>
            </w:pPr>
          </w:p>
          <w:p w14:paraId="07AB9E95" w14:textId="7F519166" w:rsidR="00EB26B3" w:rsidRPr="0025615F" w:rsidRDefault="00B9411B" w:rsidP="002D289F">
            <w:pPr>
              <w:spacing w:before="120" w:after="120"/>
              <w:rPr>
                <w:rFonts w:ascii="Verdana" w:hAnsi="Verdana"/>
              </w:rPr>
            </w:pPr>
            <w:r w:rsidRPr="0025615F">
              <w:rPr>
                <w:rFonts w:ascii="Verdana" w:hAnsi="Verdana" w:cs="Arial"/>
              </w:rPr>
              <w:t>A pharmacist will then examine the original prescription</w:t>
            </w:r>
            <w:r w:rsidR="00EB26B3">
              <w:rPr>
                <w:rFonts w:ascii="Verdana" w:hAnsi="Verdana" w:cs="Arial"/>
              </w:rPr>
              <w:t xml:space="preserve"> </w:t>
            </w:r>
            <w:r w:rsidR="00EB26B3" w:rsidRPr="0025615F">
              <w:rPr>
                <w:rFonts w:ascii="Verdana" w:hAnsi="Verdana" w:cs="Arial"/>
              </w:rPr>
              <w:t>to</w:t>
            </w:r>
            <w:r w:rsidR="00EB26B3">
              <w:rPr>
                <w:rFonts w:ascii="Verdana" w:hAnsi="Verdana" w:cs="Arial"/>
              </w:rPr>
              <w:t xml:space="preserve"> co</w:t>
            </w:r>
            <w:r w:rsidR="00EB26B3" w:rsidRPr="0025615F">
              <w:rPr>
                <w:rFonts w:ascii="Verdana" w:hAnsi="Verdana" w:cs="Arial"/>
              </w:rPr>
              <w:t>mpare</w:t>
            </w:r>
            <w:r w:rsidR="00EB26B3">
              <w:rPr>
                <w:rFonts w:ascii="Verdana" w:hAnsi="Verdana" w:cs="Arial"/>
              </w:rPr>
              <w:t xml:space="preserve"> </w:t>
            </w:r>
            <w:r w:rsidR="00EB26B3" w:rsidRPr="0025615F">
              <w:rPr>
                <w:rFonts w:ascii="Verdana" w:hAnsi="Verdana" w:cs="Arial"/>
              </w:rPr>
              <w:t>the</w:t>
            </w:r>
            <w:r w:rsidR="00EB26B3">
              <w:rPr>
                <w:rFonts w:ascii="Verdana" w:hAnsi="Verdana" w:cs="Arial"/>
              </w:rPr>
              <w:t xml:space="preserve"> </w:t>
            </w:r>
            <w:r w:rsidR="00EB26B3" w:rsidRPr="0025615F">
              <w:rPr>
                <w:rFonts w:ascii="Verdana" w:hAnsi="Verdana" w:cs="Arial"/>
              </w:rPr>
              <w:t>prescription</w:t>
            </w:r>
            <w:r w:rsidR="00EB26B3">
              <w:rPr>
                <w:rFonts w:ascii="Verdana" w:hAnsi="Verdana" w:cs="Arial"/>
              </w:rPr>
              <w:t xml:space="preserve"> </w:t>
            </w:r>
            <w:r w:rsidR="00EB26B3" w:rsidRPr="0025615F">
              <w:rPr>
                <w:rFonts w:ascii="Verdana" w:hAnsi="Verdana" w:cs="Arial"/>
              </w:rPr>
              <w:t>against</w:t>
            </w:r>
            <w:r w:rsidR="00EB26B3">
              <w:rPr>
                <w:rFonts w:ascii="Verdana" w:hAnsi="Verdana" w:cs="Arial"/>
              </w:rPr>
              <w:t xml:space="preserve"> </w:t>
            </w:r>
            <w:r w:rsidR="00EB26B3" w:rsidRPr="0025615F">
              <w:rPr>
                <w:rFonts w:ascii="Verdana" w:hAnsi="Verdana" w:cs="Arial"/>
              </w:rPr>
              <w:t>what</w:t>
            </w:r>
            <w:r w:rsidR="00EB26B3">
              <w:rPr>
                <w:rFonts w:ascii="Verdana" w:hAnsi="Verdana" w:cs="Arial"/>
              </w:rPr>
              <w:t xml:space="preserve"> </w:t>
            </w:r>
            <w:r w:rsidR="00EB26B3" w:rsidRPr="0025615F">
              <w:rPr>
                <w:rFonts w:ascii="Verdana" w:hAnsi="Verdana" w:cs="Arial"/>
              </w:rPr>
              <w:t>was</w:t>
            </w:r>
            <w:r w:rsidR="00EB26B3">
              <w:rPr>
                <w:rFonts w:ascii="Verdana" w:hAnsi="Verdana" w:cs="Arial"/>
              </w:rPr>
              <w:t xml:space="preserve"> </w:t>
            </w:r>
            <w:r w:rsidR="00EB26B3" w:rsidRPr="0025615F">
              <w:rPr>
                <w:rFonts w:ascii="Verdana" w:hAnsi="Verdana" w:cs="Arial"/>
              </w:rPr>
              <w:t>actually</w:t>
            </w:r>
            <w:r w:rsidR="00EB26B3">
              <w:rPr>
                <w:rFonts w:ascii="Verdana" w:hAnsi="Verdana" w:cs="Arial"/>
              </w:rPr>
              <w:t xml:space="preserve"> </w:t>
            </w:r>
            <w:r w:rsidR="00EB26B3" w:rsidRPr="0025615F">
              <w:rPr>
                <w:rFonts w:ascii="Verdana" w:hAnsi="Verdana" w:cs="Arial"/>
              </w:rPr>
              <w:t>dispensed.</w:t>
            </w:r>
          </w:p>
        </w:tc>
      </w:tr>
      <w:tr w:rsidR="00EB26B3" w:rsidRPr="0025615F" w14:paraId="5F652469" w14:textId="77777777" w:rsidTr="00E73ECA">
        <w:tc>
          <w:tcPr>
            <w:tcW w:w="1435" w:type="pct"/>
          </w:tcPr>
          <w:p w14:paraId="0E24D33D" w14:textId="77777777" w:rsidR="00EB26B3" w:rsidRPr="00967F3C" w:rsidRDefault="00EB26B3" w:rsidP="002D289F">
            <w:pPr>
              <w:spacing w:before="120" w:after="120"/>
              <w:rPr>
                <w:rFonts w:ascii="Verdana" w:hAnsi="Verdana"/>
              </w:rPr>
            </w:pPr>
            <w:r w:rsidRPr="00967F3C">
              <w:rPr>
                <w:rFonts w:ascii="Verdana" w:hAnsi="Verdana"/>
              </w:rPr>
              <w:t>Benchmark</w:t>
            </w:r>
          </w:p>
        </w:tc>
        <w:tc>
          <w:tcPr>
            <w:tcW w:w="3565" w:type="pct"/>
          </w:tcPr>
          <w:p w14:paraId="6A80846C" w14:textId="51BDB897" w:rsidR="00EB26B3" w:rsidRPr="0025615F" w:rsidRDefault="00EB26B3" w:rsidP="002D289F">
            <w:pPr>
              <w:spacing w:before="120" w:after="120"/>
              <w:rPr>
                <w:rFonts w:ascii="Verdana" w:hAnsi="Verdana"/>
              </w:rPr>
            </w:pPr>
            <w:r w:rsidRPr="000F184C">
              <w:rPr>
                <w:rFonts w:ascii="Verdana" w:hAnsi="Verdana"/>
              </w:rPr>
              <w:t>The maximum regional premium amount that Medicare will subsidize in its entirety.</w:t>
            </w:r>
          </w:p>
        </w:tc>
      </w:tr>
      <w:tr w:rsidR="00EB26B3" w:rsidRPr="0025615F" w14:paraId="2755697A" w14:textId="77777777" w:rsidTr="00E73ECA">
        <w:tc>
          <w:tcPr>
            <w:tcW w:w="1435" w:type="pct"/>
          </w:tcPr>
          <w:p w14:paraId="218A7064" w14:textId="77777777" w:rsidR="00EB26B3" w:rsidRPr="00967F3C" w:rsidDel="00CB719F" w:rsidRDefault="00EB26B3" w:rsidP="002D289F">
            <w:pPr>
              <w:spacing w:before="120" w:after="120"/>
              <w:rPr>
                <w:rFonts w:ascii="Verdana" w:hAnsi="Verdana"/>
              </w:rPr>
            </w:pPr>
            <w:r w:rsidRPr="00967F3C">
              <w:rPr>
                <w:rFonts w:ascii="Verdana" w:hAnsi="Verdana"/>
                <w:color w:val="000000"/>
              </w:rPr>
              <w:t>Benchmarking</w:t>
            </w:r>
          </w:p>
        </w:tc>
        <w:tc>
          <w:tcPr>
            <w:tcW w:w="3565" w:type="pct"/>
          </w:tcPr>
          <w:p w14:paraId="2F533CEF" w14:textId="41ED9018" w:rsidR="00EB26B3" w:rsidRPr="0025615F" w:rsidRDefault="00EB26B3" w:rsidP="002D289F">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reported</w:t>
            </w:r>
            <w:r>
              <w:rPr>
                <w:rFonts w:ascii="Verdana" w:hAnsi="Verdana"/>
              </w:rPr>
              <w:t xml:space="preserve"> </w:t>
            </w:r>
            <w:r w:rsidRPr="0025615F">
              <w:rPr>
                <w:rFonts w:ascii="Verdana" w:hAnsi="Verdana"/>
              </w:rPr>
              <w:t>measure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products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organization</w:t>
            </w:r>
            <w:r>
              <w:rPr>
                <w:rFonts w:ascii="Verdana" w:hAnsi="Verdana"/>
              </w:rPr>
              <w:t xml:space="preserve"> </w:t>
            </w:r>
            <w:r w:rsidRPr="0025615F">
              <w:rPr>
                <w:rFonts w:ascii="Verdana" w:hAnsi="Verdana"/>
              </w:rPr>
              <w:t>for</w:t>
            </w:r>
            <w:r>
              <w:rPr>
                <w:rFonts w:ascii="Verdana" w:hAnsi="Verdana"/>
              </w:rPr>
              <w:t xml:space="preserve"> co</w:t>
            </w:r>
            <w:r w:rsidRPr="0025615F">
              <w:rPr>
                <w:rFonts w:ascii="Verdana" w:hAnsi="Verdana"/>
              </w:rPr>
              <w:t>mparison</w:t>
            </w:r>
            <w:r>
              <w:rPr>
                <w:rFonts w:ascii="Verdana" w:hAnsi="Verdana"/>
              </w:rPr>
              <w:t xml:space="preserve"> </w:t>
            </w:r>
            <w:r w:rsidRPr="0025615F">
              <w:rPr>
                <w:rFonts w:ascii="Verdana" w:hAnsi="Verdana"/>
              </w:rPr>
              <w:t>against</w:t>
            </w:r>
            <w:r>
              <w:rPr>
                <w:rFonts w:ascii="Verdana" w:hAnsi="Verdana"/>
              </w:rPr>
              <w:t xml:space="preserve"> </w:t>
            </w:r>
            <w:r w:rsidRPr="0025615F">
              <w:rPr>
                <w:rFonts w:ascii="Verdana" w:hAnsi="Verdana"/>
              </w:rPr>
              <w:t>industry</w:t>
            </w:r>
            <w:r>
              <w:rPr>
                <w:rFonts w:ascii="Verdana" w:hAnsi="Verdana"/>
              </w:rPr>
              <w:t xml:space="preserve"> </w:t>
            </w:r>
            <w:r w:rsidRPr="0025615F">
              <w:rPr>
                <w:rFonts w:ascii="Verdana" w:hAnsi="Verdana"/>
              </w:rPr>
              <w:t>standards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average.</w:t>
            </w:r>
          </w:p>
        </w:tc>
      </w:tr>
      <w:tr w:rsidR="00EB26B3" w:rsidRPr="0025615F" w14:paraId="73A3A3A9" w14:textId="77777777" w:rsidTr="00E73ECA">
        <w:tc>
          <w:tcPr>
            <w:tcW w:w="1435" w:type="pct"/>
          </w:tcPr>
          <w:p w14:paraId="5AF76D98" w14:textId="338DCC52" w:rsidR="00EB26B3" w:rsidRPr="00EB26B3" w:rsidRDefault="00EB26B3" w:rsidP="002D289F">
            <w:pPr>
              <w:spacing w:before="120" w:after="120"/>
              <w:rPr>
                <w:rFonts w:ascii="Verdana" w:hAnsi="Verdana"/>
                <w:bCs/>
              </w:rPr>
            </w:pPr>
            <w:r w:rsidRPr="00EB26B3">
              <w:rPr>
                <w:rFonts w:ascii="Verdana" w:hAnsi="Verdana"/>
                <w:bCs/>
                <w:color w:val="000000"/>
              </w:rPr>
              <w:t>Beneficiary</w:t>
            </w:r>
            <w:r w:rsidRPr="00EB26B3">
              <w:rPr>
                <w:rFonts w:ascii="Verdana" w:hAnsi="Verdana"/>
                <w:bCs/>
              </w:rPr>
              <w:t xml:space="preserve"> </w:t>
            </w:r>
          </w:p>
        </w:tc>
        <w:tc>
          <w:tcPr>
            <w:tcW w:w="3565" w:type="pct"/>
          </w:tcPr>
          <w:p w14:paraId="6134393B" w14:textId="39932A73" w:rsidR="00EB26B3" w:rsidRDefault="00EB26B3" w:rsidP="002D289F">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b/>
              </w:rPr>
              <w:t>primary</w:t>
            </w:r>
            <w:r>
              <w:rPr>
                <w:rFonts w:ascii="Verdana" w:hAnsi="Verdana"/>
              </w:rPr>
              <w:t xml:space="preserve"> </w:t>
            </w:r>
            <w:r w:rsidRPr="0025615F">
              <w:rPr>
                <w:rFonts w:ascii="Verdana" w:hAnsi="Verdana"/>
              </w:rPr>
              <w:t>person</w:t>
            </w:r>
            <w:r>
              <w:rPr>
                <w:rFonts w:ascii="Verdana" w:hAnsi="Verdana"/>
              </w:rPr>
              <w:t xml:space="preserve"> </w:t>
            </w:r>
            <w:r w:rsidRPr="0025615F">
              <w:rPr>
                <w:rFonts w:ascii="Verdana" w:hAnsi="Verdana"/>
              </w:rPr>
              <w:t>receiving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benefits</w:t>
            </w:r>
            <w:r>
              <w:rPr>
                <w:rFonts w:ascii="Verdana" w:hAnsi="Verdana"/>
              </w:rPr>
              <w:t xml:space="preserve"> co</w:t>
            </w:r>
            <w:r w:rsidRPr="0025615F">
              <w:rPr>
                <w:rFonts w:ascii="Verdana" w:hAnsi="Verdana"/>
              </w:rPr>
              <w:t>verage</w:t>
            </w:r>
            <w:r w:rsidR="002762C2">
              <w:rPr>
                <w:rFonts w:ascii="Verdana" w:hAnsi="Verdana"/>
              </w:rPr>
              <w:t xml:space="preserve"> (Plan Member, Cardholder, Insured). </w:t>
            </w:r>
          </w:p>
          <w:p w14:paraId="6EF697CA" w14:textId="77777777" w:rsidR="002762C2" w:rsidRPr="0025615F" w:rsidRDefault="002762C2" w:rsidP="002D289F">
            <w:pPr>
              <w:spacing w:before="120" w:after="120"/>
              <w:rPr>
                <w:rFonts w:ascii="Verdana" w:hAnsi="Verdana"/>
              </w:rPr>
            </w:pPr>
          </w:p>
          <w:p w14:paraId="15DDA8DB" w14:textId="13E8B576" w:rsidR="00EB26B3" w:rsidRPr="0025615F" w:rsidRDefault="00EB26B3" w:rsidP="002D289F">
            <w:pPr>
              <w:spacing w:before="120" w:after="120"/>
              <w:rPr>
                <w:rFonts w:ascii="Verdana" w:hAnsi="Verdana"/>
              </w:rPr>
            </w:pPr>
            <w:r w:rsidRPr="00102D43">
              <w:rPr>
                <w:rFonts w:ascii="Verdana" w:hAnsi="Verdana"/>
                <w:b/>
              </w:rPr>
              <w:t>Med D</w:t>
            </w:r>
            <w:r w:rsidRPr="008D4A43">
              <w:rPr>
                <w:rFonts w:ascii="Verdana" w:hAnsi="Verdana"/>
                <w:b/>
                <w:bCs/>
              </w:rPr>
              <w: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person</w:t>
            </w:r>
            <w:r>
              <w:rPr>
                <w:rFonts w:ascii="Verdana" w:hAnsi="Verdana"/>
              </w:rPr>
              <w:t xml:space="preserve"> </w:t>
            </w:r>
            <w:r w:rsidRPr="0025615F">
              <w:rPr>
                <w:rFonts w:ascii="Verdana" w:hAnsi="Verdana"/>
              </w:rPr>
              <w:t>who</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enrolled</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Part</w:t>
            </w:r>
            <w:r>
              <w:rPr>
                <w:rFonts w:ascii="Verdana" w:hAnsi="Verdana"/>
              </w:rPr>
              <w:t xml:space="preserve"> </w:t>
            </w:r>
            <w:r w:rsidRPr="0025615F">
              <w:rPr>
                <w:rFonts w:ascii="Verdana" w:hAnsi="Verdana"/>
              </w:rPr>
              <w:t>D</w:t>
            </w:r>
            <w:r>
              <w:rPr>
                <w:rFonts w:ascii="Verdana" w:hAnsi="Verdana"/>
              </w:rPr>
              <w:t xml:space="preserve"> </w:t>
            </w:r>
            <w:r w:rsidRPr="0025615F">
              <w:rPr>
                <w:rFonts w:ascii="Verdana" w:hAnsi="Verdana"/>
              </w:rPr>
              <w:t>plan</w:t>
            </w:r>
            <w:r w:rsidR="00E96762" w:rsidRPr="0025615F">
              <w:rPr>
                <w:rFonts w:ascii="Verdana" w:hAnsi="Verdana"/>
              </w:rPr>
              <w:t>.</w:t>
            </w:r>
            <w:r w:rsidR="00E96762">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qualify</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Part</w:t>
            </w:r>
            <w:r>
              <w:rPr>
                <w:rFonts w:ascii="Verdana" w:hAnsi="Verdana"/>
              </w:rPr>
              <w:t xml:space="preserve"> </w:t>
            </w:r>
            <w:r w:rsidRPr="0025615F">
              <w:rPr>
                <w:rFonts w:ascii="Verdana" w:hAnsi="Verdana"/>
              </w:rPr>
              <w:t>D,</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entitled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Medicare</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under</w:t>
            </w:r>
            <w:r>
              <w:rPr>
                <w:rFonts w:ascii="Verdana" w:hAnsi="Verdana"/>
              </w:rPr>
              <w:t xml:space="preserve"> </w:t>
            </w:r>
            <w:r w:rsidRPr="0025615F">
              <w:rPr>
                <w:rFonts w:ascii="Verdana" w:hAnsi="Verdana"/>
              </w:rPr>
              <w:t>Part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enrolled</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Medicare</w:t>
            </w:r>
            <w:r>
              <w:rPr>
                <w:rFonts w:ascii="Verdana" w:hAnsi="Verdana"/>
              </w:rPr>
              <w:t xml:space="preserve"> </w:t>
            </w:r>
            <w:r w:rsidRPr="0025615F">
              <w:rPr>
                <w:rFonts w:ascii="Verdana" w:hAnsi="Verdana"/>
              </w:rPr>
              <w:t>Part</w:t>
            </w:r>
            <w:r>
              <w:rPr>
                <w:rFonts w:ascii="Verdana" w:hAnsi="Verdana"/>
              </w:rPr>
              <w:t xml:space="preserve"> </w:t>
            </w:r>
            <w:r w:rsidRPr="0025615F">
              <w:rPr>
                <w:rFonts w:ascii="Verdana" w:hAnsi="Verdana"/>
              </w:rPr>
              <w:t>B.</w:t>
            </w:r>
          </w:p>
        </w:tc>
      </w:tr>
      <w:tr w:rsidR="00EB26B3" w:rsidRPr="0025615F" w14:paraId="15191029" w14:textId="77777777" w:rsidTr="00E73ECA">
        <w:tc>
          <w:tcPr>
            <w:tcW w:w="1435" w:type="pct"/>
          </w:tcPr>
          <w:p w14:paraId="5E25D8EB" w14:textId="77777777" w:rsidR="00EB26B3" w:rsidRPr="00EB26B3" w:rsidDel="009B63E4" w:rsidRDefault="00EB26B3" w:rsidP="002D289F">
            <w:pPr>
              <w:spacing w:before="120" w:after="120"/>
              <w:rPr>
                <w:rFonts w:ascii="Verdana" w:hAnsi="Verdana" w:cs="Arial"/>
                <w:bCs/>
              </w:rPr>
            </w:pPr>
            <w:r w:rsidRPr="00EB26B3">
              <w:rPr>
                <w:rFonts w:ascii="Verdana" w:hAnsi="Verdana"/>
                <w:bCs/>
                <w:color w:val="000000"/>
              </w:rPr>
              <w:t>Benefit Amount</w:t>
            </w:r>
          </w:p>
        </w:tc>
        <w:tc>
          <w:tcPr>
            <w:tcW w:w="3565" w:type="pct"/>
          </w:tcPr>
          <w:p w14:paraId="25F7237C" w14:textId="2896F2CE" w:rsidR="00EB26B3" w:rsidRPr="0025615F" w:rsidRDefault="00EB26B3" w:rsidP="002D289F">
            <w:pPr>
              <w:spacing w:before="120" w:after="120"/>
              <w:rPr>
                <w:rFonts w:ascii="Verdana" w:hAnsi="Verdana"/>
              </w:rPr>
            </w:pPr>
            <w:r w:rsidRPr="0025615F">
              <w:rPr>
                <w:rFonts w:ascii="Verdana" w:hAnsi="Verdana" w:cs="Arial"/>
              </w:rPr>
              <w:t>Amount</w:t>
            </w:r>
            <w:r>
              <w:rPr>
                <w:rFonts w:ascii="Verdana" w:hAnsi="Verdana" w:cs="Arial"/>
              </w:rPr>
              <w:t xml:space="preserve"> </w:t>
            </w:r>
            <w:r w:rsidRPr="0025615F">
              <w:rPr>
                <w:rFonts w:ascii="Verdana" w:hAnsi="Verdana" w:cs="Arial"/>
              </w:rPr>
              <w:t>paid</w:t>
            </w:r>
            <w:r>
              <w:rPr>
                <w:rFonts w:ascii="Verdana" w:hAnsi="Verdana" w:cs="Arial"/>
              </w:rPr>
              <w:t xml:space="preserve"> </w:t>
            </w:r>
            <w:r w:rsidRPr="0025615F">
              <w:rPr>
                <w:rFonts w:ascii="Verdana" w:hAnsi="Verdana" w:cs="Arial"/>
              </w:rPr>
              <w:t>by</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benefit</w:t>
            </w:r>
            <w:r>
              <w:rPr>
                <w:rFonts w:ascii="Verdana" w:hAnsi="Verdana" w:cs="Arial"/>
              </w:rPr>
              <w:t xml:space="preserve"> </w:t>
            </w:r>
            <w:r w:rsidRPr="0025615F">
              <w:rPr>
                <w:rFonts w:ascii="Verdana" w:hAnsi="Verdana" w:cs="Arial"/>
              </w:rPr>
              <w:t>provider</w:t>
            </w:r>
            <w:r>
              <w:rPr>
                <w:rFonts w:ascii="Verdana" w:hAnsi="Verdana" w:cs="Arial"/>
              </w:rPr>
              <w:t xml:space="preserve"> </w:t>
            </w:r>
            <w:r w:rsidRPr="0025615F">
              <w:rPr>
                <w:rFonts w:ascii="Verdana" w:hAnsi="Verdana" w:cs="Arial"/>
              </w:rPr>
              <w:t>(after</w:t>
            </w:r>
            <w:r>
              <w:rPr>
                <w:rFonts w:ascii="Verdana" w:hAnsi="Verdana" w:cs="Arial"/>
              </w:rPr>
              <w:t xml:space="preserve"> co</w:t>
            </w:r>
            <w:r w:rsidRPr="0025615F">
              <w:rPr>
                <w:rFonts w:ascii="Verdana" w:hAnsi="Verdana" w:cs="Arial"/>
              </w:rPr>
              <w:t>-</w:t>
            </w:r>
            <w:r>
              <w:rPr>
                <w:rFonts w:ascii="Verdana" w:hAnsi="Verdana" w:cs="Arial"/>
              </w:rPr>
              <w:t>payment</w:t>
            </w:r>
            <w:r w:rsidRPr="0025615F">
              <w:rPr>
                <w:rFonts w:ascii="Verdana" w:hAnsi="Verdana" w:cs="Arial"/>
              </w:rPr>
              <w:t>s</w:t>
            </w:r>
            <w:r>
              <w:rPr>
                <w:rFonts w:ascii="Verdana" w:hAnsi="Verdana" w:cs="Arial"/>
              </w:rPr>
              <w:t xml:space="preserve"> </w:t>
            </w:r>
            <w:r w:rsidRPr="0025615F">
              <w:rPr>
                <w:rFonts w:ascii="Verdana" w:hAnsi="Verdana" w:cs="Arial"/>
              </w:rPr>
              <w:t>and</w:t>
            </w:r>
            <w:r>
              <w:rPr>
                <w:rFonts w:ascii="Verdana" w:hAnsi="Verdana" w:cs="Arial"/>
              </w:rPr>
              <w:t>/</w:t>
            </w:r>
            <w:r w:rsidRPr="0025615F">
              <w:rPr>
                <w:rFonts w:ascii="Verdana" w:hAnsi="Verdana" w:cs="Arial"/>
              </w:rPr>
              <w:t>or</w:t>
            </w:r>
            <w:r>
              <w:rPr>
                <w:rFonts w:ascii="Verdana" w:hAnsi="Verdana" w:cs="Arial"/>
              </w:rPr>
              <w:t xml:space="preserve"> </w:t>
            </w:r>
            <w:r w:rsidRPr="0025615F">
              <w:rPr>
                <w:rFonts w:ascii="Verdana" w:hAnsi="Verdana" w:cs="Arial"/>
              </w:rPr>
              <w:t>deductibles</w:t>
            </w:r>
            <w:r>
              <w:rPr>
                <w:rFonts w:ascii="Verdana" w:hAnsi="Verdana" w:cs="Arial"/>
              </w:rPr>
              <w:t xml:space="preserve"> </w:t>
            </w:r>
            <w:r w:rsidRPr="0025615F">
              <w:rPr>
                <w:rFonts w:ascii="Verdana" w:hAnsi="Verdana" w:cs="Arial"/>
              </w:rPr>
              <w:t>have</w:t>
            </w:r>
            <w:r>
              <w:rPr>
                <w:rFonts w:ascii="Verdana" w:hAnsi="Verdana" w:cs="Arial"/>
              </w:rPr>
              <w:t xml:space="preserve"> </w:t>
            </w:r>
            <w:r w:rsidRPr="0025615F">
              <w:rPr>
                <w:rFonts w:ascii="Verdana" w:hAnsi="Verdana" w:cs="Arial"/>
              </w:rPr>
              <w:t>been</w:t>
            </w:r>
            <w:r>
              <w:rPr>
                <w:rFonts w:ascii="Verdana" w:hAnsi="Verdana" w:cs="Arial"/>
              </w:rPr>
              <w:t xml:space="preserve"> </w:t>
            </w:r>
            <w:r w:rsidRPr="0025615F">
              <w:rPr>
                <w:rFonts w:ascii="Verdana" w:hAnsi="Verdana" w:cs="Arial"/>
              </w:rPr>
              <w:t>met),</w:t>
            </w:r>
            <w:r>
              <w:rPr>
                <w:rFonts w:ascii="Verdana" w:hAnsi="Verdana" w:cs="Arial"/>
              </w:rPr>
              <w:t xml:space="preserve"> </w:t>
            </w:r>
            <w:r w:rsidRPr="0025615F">
              <w:rPr>
                <w:rFonts w:ascii="Verdana" w:hAnsi="Verdana" w:cs="Arial"/>
              </w:rPr>
              <w:t>toward</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claim</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has</w:t>
            </w:r>
            <w:r>
              <w:rPr>
                <w:rFonts w:ascii="Verdana" w:hAnsi="Verdana" w:cs="Arial"/>
              </w:rPr>
              <w:t xml:space="preserve"> </w:t>
            </w:r>
            <w:r w:rsidRPr="0025615F">
              <w:rPr>
                <w:rFonts w:ascii="Verdana" w:hAnsi="Verdana" w:cs="Arial"/>
              </w:rPr>
              <w:t>been,</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will</w:t>
            </w:r>
            <w:r>
              <w:rPr>
                <w:rFonts w:ascii="Verdana" w:hAnsi="Verdana" w:cs="Arial"/>
              </w:rPr>
              <w:t xml:space="preserve"> </w:t>
            </w:r>
            <w:r w:rsidRPr="0025615F">
              <w:rPr>
                <w:rFonts w:ascii="Verdana" w:hAnsi="Verdana" w:cs="Arial"/>
              </w:rPr>
              <w:t>be,</w:t>
            </w:r>
            <w:r>
              <w:rPr>
                <w:rFonts w:ascii="Verdana" w:hAnsi="Verdana" w:cs="Arial"/>
              </w:rPr>
              <w:t xml:space="preserve"> </w:t>
            </w:r>
            <w:r w:rsidRPr="0025615F">
              <w:rPr>
                <w:rFonts w:ascii="Verdana" w:hAnsi="Verdana" w:cs="Arial"/>
              </w:rPr>
              <w:t>submitted</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reimbursement</w:t>
            </w:r>
            <w:r>
              <w:rPr>
                <w:rFonts w:ascii="Verdana" w:hAnsi="Verdana"/>
              </w:rPr>
              <w:t>.</w:t>
            </w:r>
          </w:p>
        </w:tc>
      </w:tr>
      <w:tr w:rsidR="00EE2231" w:rsidRPr="0025615F" w14:paraId="1ABA6DBC" w14:textId="77777777" w:rsidTr="00E73ECA">
        <w:tc>
          <w:tcPr>
            <w:tcW w:w="1435" w:type="pct"/>
          </w:tcPr>
          <w:p w14:paraId="252DC7AA" w14:textId="19BA9B95" w:rsidR="00AB3053" w:rsidRPr="00EB26B3" w:rsidRDefault="00E73ECA" w:rsidP="002D289F">
            <w:pPr>
              <w:spacing w:before="120" w:after="120"/>
              <w:rPr>
                <w:rFonts w:ascii="Verdana" w:hAnsi="Verdana"/>
                <w:bCs/>
                <w:color w:val="000000"/>
              </w:rPr>
            </w:pPr>
            <w:r>
              <w:rPr>
                <w:rFonts w:ascii="Verdana" w:hAnsi="Verdana" w:cs="Arial"/>
                <w:noProof/>
              </w:rPr>
              <w:drawing>
                <wp:inline distT="0" distB="0" distL="0" distR="0" wp14:anchorId="26EF594E" wp14:editId="4741C553">
                  <wp:extent cx="304762" cy="304762"/>
                  <wp:effectExtent l="0" t="0" r="635" b="635"/>
                  <wp:docPr id="181139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71329" name="Picture 593171329"/>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B3053" w:rsidRPr="00EB26B3">
              <w:rPr>
                <w:rFonts w:ascii="Verdana" w:hAnsi="Verdana"/>
                <w:bCs/>
                <w:color w:val="000000"/>
              </w:rPr>
              <w:t xml:space="preserve">Benefit </w:t>
            </w:r>
            <w:r w:rsidR="00AB3053">
              <w:rPr>
                <w:rFonts w:ascii="Verdana" w:hAnsi="Verdana"/>
                <w:bCs/>
                <w:color w:val="000000"/>
              </w:rPr>
              <w:t>Cap</w:t>
            </w:r>
          </w:p>
        </w:tc>
        <w:tc>
          <w:tcPr>
            <w:tcW w:w="3565" w:type="pct"/>
          </w:tcPr>
          <w:p w14:paraId="01CB9BD6" w14:textId="77777777" w:rsidR="00EE2231" w:rsidRPr="00EE2231" w:rsidRDefault="00613E81" w:rsidP="00EE2231">
            <w:pPr>
              <w:rPr>
                <w:rFonts w:ascii="Verdana" w:hAnsi="Verdana" w:cs="Arial"/>
              </w:rPr>
            </w:pPr>
            <w:r>
              <w:rPr>
                <w:rFonts w:ascii="Verdana" w:hAnsi="Verdana" w:cs="Arial"/>
              </w:rPr>
              <w:t xml:space="preserve">Also known as the </w:t>
            </w:r>
            <w:r w:rsidRPr="00613E81">
              <w:rPr>
                <w:rFonts w:ascii="Verdana" w:hAnsi="Verdana" w:cs="Arial"/>
              </w:rPr>
              <w:t>Maximum Allowable Benefit (MAB)</w:t>
            </w:r>
            <w:r>
              <w:rPr>
                <w:rFonts w:ascii="Verdana" w:hAnsi="Verdana" w:cs="Arial"/>
              </w:rPr>
              <w:t>.</w:t>
            </w:r>
            <w:r w:rsidR="00EE2231">
              <w:rPr>
                <w:rFonts w:ascii="Verdana" w:hAnsi="Verdana" w:cs="Arial"/>
              </w:rPr>
              <w:br/>
            </w:r>
            <w:r w:rsidR="00EE2231">
              <w:rPr>
                <w:rFonts w:ascii="Verdana" w:hAnsi="Verdana" w:cs="Arial"/>
              </w:rPr>
              <w:br/>
            </w:r>
            <w:r w:rsidR="00EE2231" w:rsidRPr="00EE2231">
              <w:rPr>
                <w:rFonts w:ascii="Verdana" w:hAnsi="Verdana" w:cs="Arial"/>
              </w:rPr>
              <w:t>Monetary. The maximum amount that will be covered, during a specified time frame, under a member's plan design. The total dollar amount a client or plan sponsor will spend on prescriptions. Once the MAB has been reached, the member must pay all prescription costs. What the member will pay after MAB depends on their plan set up.</w:t>
            </w:r>
          </w:p>
          <w:p w14:paraId="7B2615DD" w14:textId="77777777" w:rsidR="00EE2231" w:rsidRPr="00EE2231" w:rsidRDefault="00EE2231" w:rsidP="00EE2231">
            <w:pPr>
              <w:spacing w:before="120" w:after="120"/>
              <w:rPr>
                <w:rFonts w:ascii="Verdana" w:hAnsi="Verdana" w:cs="Arial"/>
              </w:rPr>
            </w:pPr>
            <w:r w:rsidRPr="00EE2231">
              <w:rPr>
                <w:rFonts w:ascii="Verdana" w:hAnsi="Verdana" w:cs="Arial"/>
              </w:rPr>
              <w:t> </w:t>
            </w:r>
          </w:p>
          <w:p w14:paraId="7F21B72B" w14:textId="77777777" w:rsidR="00EE2231" w:rsidRPr="00EE2231" w:rsidRDefault="00EE2231" w:rsidP="00EE2231">
            <w:pPr>
              <w:spacing w:before="120" w:after="120"/>
              <w:rPr>
                <w:rFonts w:ascii="Verdana" w:hAnsi="Verdana" w:cs="Arial"/>
              </w:rPr>
            </w:pPr>
            <w:r w:rsidRPr="00EE2231">
              <w:rPr>
                <w:rFonts w:ascii="Verdana" w:hAnsi="Verdana" w:cs="Arial"/>
              </w:rPr>
              <w:t>MAB usually starts over every 12 months or beginning of the new plan benefit year. MAB can also apply to specific medication, such as fertility drugs. In these cases, MAB usually applies to those specific medications. Not all plans have a MAB.</w:t>
            </w:r>
          </w:p>
          <w:p w14:paraId="68518724" w14:textId="4B7CF584" w:rsidR="00AB3053" w:rsidRPr="0025615F" w:rsidRDefault="00AB3053" w:rsidP="002D289F">
            <w:pPr>
              <w:spacing w:before="120" w:after="120"/>
              <w:rPr>
                <w:rFonts w:ascii="Verdana" w:hAnsi="Verdana" w:cs="Arial"/>
              </w:rPr>
            </w:pPr>
          </w:p>
        </w:tc>
      </w:tr>
      <w:tr w:rsidR="00EB26B3" w:rsidRPr="0025615F" w14:paraId="2B2F5B2E" w14:textId="77777777" w:rsidTr="00E73ECA">
        <w:tc>
          <w:tcPr>
            <w:tcW w:w="1435" w:type="pct"/>
          </w:tcPr>
          <w:p w14:paraId="3F24EED0" w14:textId="767E1CCE" w:rsidR="00EB26B3" w:rsidRPr="00EB26B3" w:rsidRDefault="00EB26B3" w:rsidP="002D289F">
            <w:pPr>
              <w:spacing w:before="120" w:after="120"/>
              <w:rPr>
                <w:rFonts w:ascii="Verdana" w:hAnsi="Verdana"/>
                <w:bCs/>
              </w:rPr>
            </w:pPr>
            <w:r w:rsidRPr="00EB26B3">
              <w:rPr>
                <w:rFonts w:ascii="Verdana" w:hAnsi="Verdana"/>
                <w:bCs/>
                <w:color w:val="000000"/>
              </w:rPr>
              <w:t>Benefit Maximum Program</w:t>
            </w:r>
            <w:r w:rsidRPr="00EB26B3">
              <w:rPr>
                <w:rFonts w:ascii="Verdana" w:hAnsi="Verdana"/>
                <w:bCs/>
              </w:rPr>
              <w:t xml:space="preserve"> </w:t>
            </w:r>
          </w:p>
        </w:tc>
        <w:tc>
          <w:tcPr>
            <w:tcW w:w="3565" w:type="pct"/>
          </w:tcPr>
          <w:p w14:paraId="6BC978E2" w14:textId="47EF0675" w:rsidR="00EB26B3" w:rsidRPr="0025615F" w:rsidRDefault="00EB26B3" w:rsidP="002D289F">
            <w:pPr>
              <w:spacing w:before="120" w:after="120"/>
              <w:rPr>
                <w:rFonts w:ascii="Verdana" w:hAnsi="Verdana"/>
              </w:rPr>
            </w:pPr>
            <w:r w:rsidRPr="0025615F">
              <w:rPr>
                <w:rFonts w:ascii="Verdana" w:hAnsi="Verdana"/>
              </w:rPr>
              <w:t>MajoRx</w:t>
            </w:r>
            <w:r>
              <w:rPr>
                <w:rFonts w:ascii="Verdana" w:hAnsi="Verdana"/>
              </w:rPr>
              <w:t xml:space="preserve"> </w:t>
            </w:r>
            <w:r w:rsidRPr="0025615F">
              <w:rPr>
                <w:rFonts w:ascii="Verdana" w:hAnsi="Verdana"/>
              </w:rPr>
              <w:t>Program The</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sponsor</w:t>
            </w:r>
            <w:r>
              <w:rPr>
                <w:rFonts w:ascii="Verdana" w:hAnsi="Verdana"/>
              </w:rPr>
              <w:t xml:space="preserve"> </w:t>
            </w:r>
            <w:r w:rsidRPr="0025615F">
              <w:rPr>
                <w:rFonts w:ascii="Verdana" w:hAnsi="Verdana"/>
              </w:rPr>
              <w:t>pays</w:t>
            </w:r>
            <w:r>
              <w:rPr>
                <w:rFonts w:ascii="Verdana" w:hAnsi="Verdana"/>
              </w:rPr>
              <w:t xml:space="preserve"> </w:t>
            </w:r>
            <w:r w:rsidRPr="0025615F">
              <w:rPr>
                <w:rFonts w:ascii="Verdana" w:hAnsi="Verdana"/>
              </w:rPr>
              <w:t>each</w:t>
            </w:r>
            <w:r>
              <w:rPr>
                <w:rFonts w:ascii="Verdana" w:hAnsi="Verdana"/>
              </w:rPr>
              <w:t xml:space="preserve"> </w:t>
            </w:r>
            <w:r w:rsidRPr="0025615F">
              <w:rPr>
                <w:rFonts w:ascii="Verdana" w:hAnsi="Verdana"/>
              </w:rPr>
              <w:t>accumulation</w:t>
            </w:r>
            <w:r>
              <w:rPr>
                <w:rFonts w:ascii="Verdana" w:hAnsi="Verdana"/>
              </w:rPr>
              <w:t xml:space="preserve"> </w:t>
            </w:r>
            <w:r w:rsidRPr="0025615F">
              <w:rPr>
                <w:rFonts w:ascii="Verdana" w:hAnsi="Verdana"/>
              </w:rPr>
              <w:t>period</w:t>
            </w:r>
            <w:r>
              <w:rPr>
                <w:rFonts w:ascii="Verdana" w:hAnsi="Verdana"/>
              </w:rPr>
              <w:t xml:space="preserve"> </w:t>
            </w:r>
            <w:r w:rsidRPr="0025615F">
              <w:rPr>
                <w:rFonts w:ascii="Verdana" w:hAnsi="Verdana"/>
              </w:rPr>
              <w:t>before</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cease</w:t>
            </w:r>
            <w:r w:rsidR="00E96762" w:rsidRPr="0025615F">
              <w:rPr>
                <w:rFonts w:ascii="Verdana" w:hAnsi="Verdana"/>
              </w:rPr>
              <w:t>.</w:t>
            </w:r>
            <w:r w:rsidR="00E96762">
              <w:rPr>
                <w:rFonts w:ascii="Verdana" w:hAnsi="Verdana"/>
              </w:rPr>
              <w:t xml:space="preserve"> </w:t>
            </w:r>
            <w:r w:rsidRPr="0025615F">
              <w:rPr>
                <w:rFonts w:ascii="Verdana" w:hAnsi="Verdana"/>
              </w:rPr>
              <w:t>Predetermined</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benefit</w:t>
            </w:r>
            <w:r>
              <w:rPr>
                <w:rFonts w:ascii="Verdana" w:hAnsi="Verdana"/>
              </w:rPr>
              <w:t xml:space="preserve"> payment </w:t>
            </w:r>
            <w:r w:rsidRPr="0025615F">
              <w:rPr>
                <w:rFonts w:ascii="Verdana" w:hAnsi="Verdana"/>
              </w:rPr>
              <w:t>level</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beyond</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no</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available</w:t>
            </w:r>
            <w:r w:rsidR="00E96762" w:rsidRPr="0025615F">
              <w:rPr>
                <w:rFonts w:ascii="Verdana" w:hAnsi="Verdana"/>
              </w:rPr>
              <w:t>.</w:t>
            </w:r>
            <w:r w:rsidR="00E96762">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limitation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generally</w:t>
            </w:r>
            <w:r>
              <w:rPr>
                <w:rFonts w:ascii="Verdana" w:hAnsi="Verdana"/>
              </w:rPr>
              <w:t xml:space="preserve"> </w:t>
            </w:r>
            <w:r w:rsidRPr="0025615F">
              <w:rPr>
                <w:rFonts w:ascii="Verdana" w:hAnsi="Verdana"/>
              </w:rPr>
              <w:t>established</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one</w:t>
            </w:r>
            <w:r>
              <w:rPr>
                <w:rFonts w:ascii="Verdana" w:hAnsi="Verdana"/>
              </w:rPr>
              <w:t xml:space="preserve"> </w:t>
            </w:r>
            <w:r w:rsidRPr="0025615F">
              <w:rPr>
                <w:rFonts w:ascii="Verdana" w:hAnsi="Verdana"/>
              </w:rPr>
              <w:t>year,</w:t>
            </w:r>
            <w:r>
              <w:rPr>
                <w:rFonts w:ascii="Verdana" w:hAnsi="Verdana"/>
              </w:rPr>
              <w:t xml:space="preserve"> </w:t>
            </w:r>
            <w:r w:rsidRPr="0025615F">
              <w:rPr>
                <w:rFonts w:ascii="Verdana" w:hAnsi="Verdana"/>
              </w:rPr>
              <w:t>(12)</w:t>
            </w:r>
            <w:r>
              <w:rPr>
                <w:rFonts w:ascii="Verdana" w:hAnsi="Verdana"/>
              </w:rPr>
              <w:t xml:space="preserve"> </w:t>
            </w:r>
            <w:r w:rsidRPr="0025615F">
              <w:rPr>
                <w:rFonts w:ascii="Verdana" w:hAnsi="Verdana"/>
              </w:rPr>
              <w:t>calendar</w:t>
            </w:r>
            <w:r>
              <w:rPr>
                <w:rFonts w:ascii="Verdana" w:hAnsi="Verdana"/>
              </w:rPr>
              <w:t xml:space="preserve"> </w:t>
            </w:r>
            <w:r w:rsidRPr="0025615F">
              <w:rPr>
                <w:rFonts w:ascii="Verdana" w:hAnsi="Verdana"/>
              </w:rPr>
              <w:t>month</w:t>
            </w:r>
            <w:r>
              <w:rPr>
                <w:rFonts w:ascii="Verdana" w:hAnsi="Verdana"/>
              </w:rPr>
              <w:t xml:space="preserve"> </w:t>
            </w:r>
            <w:r w:rsidRPr="0025615F">
              <w:rPr>
                <w:rFonts w:ascii="Verdana" w:hAnsi="Verdana"/>
              </w:rPr>
              <w:t>basis.</w:t>
            </w:r>
            <w:r>
              <w:rPr>
                <w:rFonts w:ascii="Verdana" w:hAnsi="Verdana"/>
              </w:rPr>
              <w:t xml:space="preserve"> </w:t>
            </w:r>
          </w:p>
        </w:tc>
      </w:tr>
      <w:tr w:rsidR="00EB26B3" w:rsidRPr="0025615F" w14:paraId="33003FE3" w14:textId="77777777" w:rsidTr="00E73ECA">
        <w:tc>
          <w:tcPr>
            <w:tcW w:w="1435" w:type="pct"/>
          </w:tcPr>
          <w:p w14:paraId="5D5F72B3" w14:textId="77777777" w:rsidR="00EB26B3" w:rsidRPr="0025615F" w:rsidRDefault="00EB26B3" w:rsidP="002D289F">
            <w:pPr>
              <w:spacing w:before="120" w:after="120"/>
              <w:rPr>
                <w:rFonts w:ascii="Verdana" w:hAnsi="Verdana"/>
              </w:rPr>
            </w:pPr>
            <w:r>
              <w:rPr>
                <w:rFonts w:ascii="Verdana" w:hAnsi="Verdana"/>
              </w:rPr>
              <w:t xml:space="preserve">Benefit Period </w:t>
            </w:r>
          </w:p>
        </w:tc>
        <w:tc>
          <w:tcPr>
            <w:tcW w:w="3565" w:type="pct"/>
          </w:tcPr>
          <w:p w14:paraId="31C022B5" w14:textId="11DE8A05" w:rsidR="00EB26B3" w:rsidRPr="0025615F" w:rsidRDefault="00EB26B3" w:rsidP="002D289F">
            <w:pPr>
              <w:spacing w:before="120" w:after="120"/>
              <w:rPr>
                <w:rFonts w:ascii="Verdana" w:hAnsi="Verdana"/>
              </w:rPr>
            </w:pPr>
            <w:r>
              <w:rPr>
                <w:rFonts w:ascii="Verdana" w:hAnsi="Verdana"/>
              </w:rPr>
              <w:t>The length of time during which benefits are paid. Typically, 12 months, however quarterly limitations and rollover can apply.</w:t>
            </w:r>
          </w:p>
        </w:tc>
      </w:tr>
      <w:tr w:rsidR="00EB26B3" w:rsidRPr="0025615F" w14:paraId="1B9E6B91" w14:textId="77777777" w:rsidTr="00E73ECA">
        <w:tc>
          <w:tcPr>
            <w:tcW w:w="1435" w:type="pct"/>
          </w:tcPr>
          <w:p w14:paraId="29A84A1A" w14:textId="77777777" w:rsidR="00EB26B3" w:rsidRPr="00967F3C" w:rsidRDefault="00EB26B3" w:rsidP="002D289F">
            <w:pPr>
              <w:spacing w:before="120" w:after="120"/>
              <w:rPr>
                <w:rFonts w:ascii="Verdana" w:hAnsi="Verdana"/>
                <w:bCs/>
                <w:color w:val="000000"/>
              </w:rPr>
            </w:pPr>
            <w:r w:rsidRPr="00967F3C">
              <w:rPr>
                <w:rFonts w:ascii="Verdana" w:hAnsi="Verdana"/>
                <w:bCs/>
                <w:color w:val="000000"/>
              </w:rPr>
              <w:t>Billed Amount</w:t>
            </w:r>
          </w:p>
        </w:tc>
        <w:tc>
          <w:tcPr>
            <w:tcW w:w="3565" w:type="pct"/>
          </w:tcPr>
          <w:p w14:paraId="11A254DD" w14:textId="202AEB7A" w:rsidR="00EB26B3" w:rsidRPr="0025615F" w:rsidDel="009B63E4" w:rsidRDefault="00EB26B3" w:rsidP="002D289F">
            <w:pPr>
              <w:spacing w:before="120" w:after="120"/>
              <w:rPr>
                <w:rFonts w:ascii="Verdana" w:hAnsi="Verdana" w:cs="Arial"/>
              </w:rPr>
            </w:pPr>
            <w:r>
              <w:rPr>
                <w:rFonts w:ascii="Verdana" w:hAnsi="Verdana" w:cs="Arial"/>
              </w:rPr>
              <w:t>Co</w:t>
            </w:r>
            <w:r w:rsidRPr="0025615F">
              <w:rPr>
                <w:rFonts w:ascii="Verdana" w:hAnsi="Verdana" w:cs="Arial"/>
              </w:rPr>
              <w:t>st</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prescription</w:t>
            </w:r>
            <w:r>
              <w:rPr>
                <w:rFonts w:ascii="Verdana" w:hAnsi="Verdana" w:cs="Arial"/>
              </w:rPr>
              <w:t xml:space="preserve"> </w:t>
            </w:r>
            <w:r w:rsidRPr="0025615F">
              <w:rPr>
                <w:rFonts w:ascii="Verdana" w:hAnsi="Verdana" w:cs="Arial"/>
              </w:rPr>
              <w:t>claim</w:t>
            </w:r>
            <w:r>
              <w:rPr>
                <w:rFonts w:ascii="Verdana" w:hAnsi="Verdana" w:cs="Arial"/>
              </w:rPr>
              <w:t xml:space="preserve"> </w:t>
            </w:r>
            <w:r w:rsidRPr="0025615F">
              <w:rPr>
                <w:rFonts w:ascii="Verdana" w:hAnsi="Verdana" w:cs="Arial"/>
              </w:rPr>
              <w:t>at</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retail</w:t>
            </w:r>
            <w:r>
              <w:rPr>
                <w:rFonts w:ascii="Verdana" w:hAnsi="Verdana" w:cs="Arial"/>
              </w:rPr>
              <w:t xml:space="preserve"> </w:t>
            </w:r>
            <w:r w:rsidRPr="0025615F">
              <w:rPr>
                <w:rFonts w:ascii="Verdana" w:hAnsi="Verdana" w:cs="Arial"/>
              </w:rPr>
              <w:t>pharmacy</w:t>
            </w:r>
            <w:r>
              <w:rPr>
                <w:rFonts w:ascii="Verdana" w:hAnsi="Verdana" w:cs="Arial"/>
              </w:rPr>
              <w:t xml:space="preserve"> </w:t>
            </w:r>
            <w:r w:rsidRPr="0025615F">
              <w:rPr>
                <w:rFonts w:ascii="Verdana" w:hAnsi="Verdana" w:cs="Arial"/>
              </w:rPr>
              <w:t>(POS</w:t>
            </w:r>
            <w:r>
              <w:rPr>
                <w:rFonts w:ascii="Verdana" w:hAnsi="Verdana" w:cs="Arial"/>
              </w:rPr>
              <w:t xml:space="preserve"> </w:t>
            </w:r>
            <w:r w:rsidRPr="0025615F">
              <w:rPr>
                <w:rFonts w:ascii="Verdana" w:hAnsi="Verdana" w:cs="Arial"/>
              </w:rPr>
              <w:t>Point-of-Sale)</w:t>
            </w:r>
            <w:r w:rsidR="00E96762" w:rsidRPr="0025615F">
              <w:rPr>
                <w:rFonts w:ascii="Verdana" w:hAnsi="Verdana" w:cs="Arial"/>
              </w:rPr>
              <w:t>.</w:t>
            </w:r>
            <w:r w:rsidR="00E96762">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billed</w:t>
            </w:r>
            <w:r>
              <w:rPr>
                <w:rFonts w:ascii="Verdana" w:hAnsi="Verdana" w:cs="Arial"/>
              </w:rPr>
              <w:t xml:space="preserve"> </w:t>
            </w:r>
            <w:r w:rsidRPr="0025615F">
              <w:rPr>
                <w:rFonts w:ascii="Verdana" w:hAnsi="Verdana" w:cs="Arial"/>
              </w:rPr>
              <w:t>amount</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sometimes</w:t>
            </w:r>
            <w:r>
              <w:rPr>
                <w:rFonts w:ascii="Verdana" w:hAnsi="Verdana" w:cs="Arial"/>
              </w:rPr>
              <w:t xml:space="preserve"> </w:t>
            </w:r>
            <w:r w:rsidRPr="0025615F">
              <w:rPr>
                <w:rFonts w:ascii="Verdana" w:hAnsi="Verdana" w:cs="Arial"/>
              </w:rPr>
              <w:t>referred</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submitted</w:t>
            </w:r>
            <w:r>
              <w:rPr>
                <w:rFonts w:ascii="Verdana" w:hAnsi="Verdana" w:cs="Arial"/>
              </w:rPr>
              <w:t xml:space="preserve"> </w:t>
            </w:r>
            <w:r w:rsidRPr="0025615F">
              <w:rPr>
                <w:rFonts w:ascii="Verdana" w:hAnsi="Verdana" w:cs="Arial"/>
              </w:rPr>
              <w:t>amount</w:t>
            </w:r>
            <w:r>
              <w:rPr>
                <w:rFonts w:ascii="Verdana" w:hAnsi="Verdana" w:cs="Arial"/>
              </w:rPr>
              <w:t>.</w:t>
            </w:r>
          </w:p>
        </w:tc>
      </w:tr>
      <w:tr w:rsidR="00EB26B3" w:rsidRPr="0025615F" w14:paraId="4FB49C4E" w14:textId="77777777" w:rsidTr="00E73ECA">
        <w:tc>
          <w:tcPr>
            <w:tcW w:w="1435" w:type="pct"/>
          </w:tcPr>
          <w:p w14:paraId="0FFE382A" w14:textId="77777777" w:rsidR="00EB26B3" w:rsidRPr="00967F3C" w:rsidRDefault="00EB26B3" w:rsidP="002D289F">
            <w:pPr>
              <w:spacing w:before="120" w:after="120"/>
              <w:rPr>
                <w:rFonts w:ascii="Verdana" w:hAnsi="Verdana"/>
                <w:bCs/>
                <w:color w:val="000000"/>
              </w:rPr>
            </w:pPr>
            <w:r w:rsidRPr="00967F3C">
              <w:rPr>
                <w:rFonts w:ascii="Verdana" w:hAnsi="Verdana"/>
                <w:bCs/>
                <w:color w:val="000000"/>
              </w:rPr>
              <w:t>Billed to Carrier Group Number</w:t>
            </w:r>
          </w:p>
        </w:tc>
        <w:tc>
          <w:tcPr>
            <w:tcW w:w="3565" w:type="pct"/>
          </w:tcPr>
          <w:p w14:paraId="4BCE9846" w14:textId="0C3A44C7" w:rsidR="00EB26B3" w:rsidRPr="0025615F" w:rsidDel="009B63E4" w:rsidRDefault="00EB26B3" w:rsidP="002D289F">
            <w:pPr>
              <w:pStyle w:val="BodyLevel1"/>
              <w:spacing w:before="120" w:after="120"/>
              <w:ind w:left="0"/>
              <w:rPr>
                <w:rFonts w:ascii="Verdana" w:hAnsi="Verdana"/>
                <w:sz w:val="24"/>
                <w:szCs w:val="24"/>
              </w:rPr>
            </w:pPr>
            <w:r w:rsidRPr="0025615F">
              <w:rPr>
                <w:rFonts w:ascii="Verdana" w:hAnsi="Verdana"/>
                <w:sz w:val="24"/>
                <w:szCs w:val="24"/>
              </w:rPr>
              <w:t>Carrier</w:t>
            </w:r>
            <w:r>
              <w:rPr>
                <w:rFonts w:ascii="Verdana" w:hAnsi="Verdana"/>
                <w:sz w:val="24"/>
                <w:szCs w:val="24"/>
              </w:rPr>
              <w:t>/</w:t>
            </w:r>
            <w:r w:rsidRPr="0025615F">
              <w:rPr>
                <w:rFonts w:ascii="Verdana" w:hAnsi="Verdana"/>
                <w:sz w:val="24"/>
                <w:szCs w:val="24"/>
              </w:rPr>
              <w:t>Group</w:t>
            </w:r>
            <w:r>
              <w:rPr>
                <w:rFonts w:ascii="Verdana" w:hAnsi="Verdana"/>
                <w:sz w:val="24"/>
                <w:szCs w:val="24"/>
              </w:rPr>
              <w:t xml:space="preserve"> </w:t>
            </w:r>
            <w:r w:rsidRPr="0025615F">
              <w:rPr>
                <w:rFonts w:ascii="Verdana" w:hAnsi="Verdana"/>
                <w:sz w:val="24"/>
                <w:szCs w:val="24"/>
              </w:rPr>
              <w:t>number</w:t>
            </w:r>
            <w:r>
              <w:rPr>
                <w:rFonts w:ascii="Verdana" w:hAnsi="Verdana"/>
                <w:sz w:val="24"/>
                <w:szCs w:val="24"/>
              </w:rPr>
              <w:t xml:space="preserve"> </w:t>
            </w:r>
            <w:r w:rsidRPr="0025615F">
              <w:rPr>
                <w:rFonts w:ascii="Verdana" w:hAnsi="Verdana"/>
                <w:sz w:val="24"/>
                <w:szCs w:val="24"/>
              </w:rPr>
              <w:t>used</w:t>
            </w:r>
            <w:r>
              <w:rPr>
                <w:rFonts w:ascii="Verdana" w:hAnsi="Verdana"/>
                <w:sz w:val="24"/>
                <w:szCs w:val="24"/>
              </w:rPr>
              <w:t xml:space="preserve"> </w:t>
            </w:r>
            <w:r w:rsidRPr="0025615F">
              <w:rPr>
                <w:rFonts w:ascii="Verdana" w:hAnsi="Verdana"/>
                <w:sz w:val="24"/>
                <w:szCs w:val="24"/>
              </w:rPr>
              <w:t>to</w:t>
            </w:r>
            <w:r>
              <w:rPr>
                <w:rFonts w:ascii="Verdana" w:hAnsi="Verdana"/>
                <w:sz w:val="24"/>
                <w:szCs w:val="24"/>
              </w:rPr>
              <w:t xml:space="preserve"> </w:t>
            </w:r>
            <w:r w:rsidRPr="0025615F">
              <w:rPr>
                <w:rFonts w:ascii="Verdana" w:hAnsi="Verdana"/>
                <w:sz w:val="24"/>
                <w:szCs w:val="24"/>
              </w:rPr>
              <w:t>determine</w:t>
            </w:r>
            <w:r>
              <w:rPr>
                <w:rFonts w:ascii="Verdana" w:hAnsi="Verdana"/>
                <w:sz w:val="24"/>
                <w:szCs w:val="24"/>
              </w:rPr>
              <w:t xml:space="preserve"> </w:t>
            </w:r>
            <w:r w:rsidRPr="0025615F">
              <w:rPr>
                <w:rFonts w:ascii="Verdana" w:hAnsi="Verdana"/>
                <w:sz w:val="24"/>
                <w:szCs w:val="24"/>
              </w:rPr>
              <w:t>the</w:t>
            </w:r>
            <w:r>
              <w:rPr>
                <w:rFonts w:ascii="Verdana" w:hAnsi="Verdana"/>
                <w:sz w:val="24"/>
                <w:szCs w:val="24"/>
              </w:rPr>
              <w:t xml:space="preserve"> </w:t>
            </w:r>
            <w:r w:rsidRPr="0025615F">
              <w:rPr>
                <w:rFonts w:ascii="Verdana" w:hAnsi="Verdana"/>
                <w:sz w:val="24"/>
                <w:szCs w:val="24"/>
              </w:rPr>
              <w:t>plan</w:t>
            </w:r>
            <w:r>
              <w:rPr>
                <w:rFonts w:ascii="Verdana" w:hAnsi="Verdana"/>
                <w:sz w:val="24"/>
                <w:szCs w:val="24"/>
              </w:rPr>
              <w:t xml:space="preserve"> </w:t>
            </w:r>
            <w:r w:rsidRPr="0025615F">
              <w:rPr>
                <w:rFonts w:ascii="Verdana" w:hAnsi="Verdana"/>
                <w:sz w:val="24"/>
                <w:szCs w:val="24"/>
              </w:rPr>
              <w:t>sponsor</w:t>
            </w:r>
            <w:r>
              <w:rPr>
                <w:rFonts w:ascii="Verdana" w:hAnsi="Verdana"/>
                <w:sz w:val="24"/>
                <w:szCs w:val="24"/>
              </w:rPr>
              <w:t xml:space="preserve"> </w:t>
            </w:r>
            <w:r w:rsidRPr="0025615F">
              <w:rPr>
                <w:rFonts w:ascii="Verdana" w:hAnsi="Verdana"/>
                <w:sz w:val="24"/>
                <w:szCs w:val="24"/>
              </w:rPr>
              <w:t>to</w:t>
            </w:r>
            <w:r>
              <w:rPr>
                <w:rFonts w:ascii="Verdana" w:hAnsi="Verdana"/>
                <w:sz w:val="24"/>
                <w:szCs w:val="24"/>
              </w:rPr>
              <w:t xml:space="preserve"> </w:t>
            </w:r>
            <w:r w:rsidRPr="0025615F">
              <w:rPr>
                <w:rFonts w:ascii="Verdana" w:hAnsi="Verdana"/>
                <w:sz w:val="24"/>
                <w:szCs w:val="24"/>
              </w:rPr>
              <w:t>be</w:t>
            </w:r>
            <w:r>
              <w:rPr>
                <w:rFonts w:ascii="Verdana" w:hAnsi="Verdana"/>
                <w:sz w:val="24"/>
                <w:szCs w:val="24"/>
              </w:rPr>
              <w:t xml:space="preserve"> </w:t>
            </w:r>
            <w:r w:rsidRPr="0025615F">
              <w:rPr>
                <w:rFonts w:ascii="Verdana" w:hAnsi="Verdana"/>
                <w:sz w:val="24"/>
                <w:szCs w:val="24"/>
              </w:rPr>
              <w:t>billed</w:t>
            </w:r>
            <w:r>
              <w:rPr>
                <w:rFonts w:ascii="Verdana" w:hAnsi="Verdana"/>
                <w:sz w:val="24"/>
                <w:szCs w:val="24"/>
              </w:rPr>
              <w:t xml:space="preserve"> </w:t>
            </w:r>
            <w:r w:rsidRPr="0025615F">
              <w:rPr>
                <w:rFonts w:ascii="Verdana" w:hAnsi="Verdana"/>
                <w:sz w:val="24"/>
                <w:szCs w:val="24"/>
              </w:rPr>
              <w:t>for</w:t>
            </w:r>
            <w:r>
              <w:rPr>
                <w:rFonts w:ascii="Verdana" w:hAnsi="Verdana"/>
                <w:sz w:val="24"/>
                <w:szCs w:val="24"/>
              </w:rPr>
              <w:t xml:space="preserve"> </w:t>
            </w:r>
            <w:r w:rsidRPr="0025615F">
              <w:rPr>
                <w:rFonts w:ascii="Verdana" w:hAnsi="Verdana"/>
                <w:sz w:val="24"/>
                <w:szCs w:val="24"/>
              </w:rPr>
              <w:t>the</w:t>
            </w:r>
            <w:r>
              <w:rPr>
                <w:rFonts w:ascii="Verdana" w:hAnsi="Verdana"/>
                <w:sz w:val="24"/>
                <w:szCs w:val="24"/>
              </w:rPr>
              <w:t xml:space="preserve"> </w:t>
            </w:r>
            <w:r w:rsidRPr="0025615F">
              <w:rPr>
                <w:rFonts w:ascii="Verdana" w:hAnsi="Verdana"/>
                <w:sz w:val="24"/>
                <w:szCs w:val="24"/>
              </w:rPr>
              <w:t>clai</w:t>
            </w:r>
            <w:r>
              <w:rPr>
                <w:rFonts w:ascii="Verdana" w:hAnsi="Verdana"/>
                <w:sz w:val="24"/>
                <w:szCs w:val="24"/>
              </w:rPr>
              <w:t>m</w:t>
            </w:r>
            <w:r w:rsidRPr="0025615F">
              <w:rPr>
                <w:rFonts w:ascii="Verdana" w:hAnsi="Verdana"/>
                <w:sz w:val="24"/>
                <w:szCs w:val="24"/>
              </w:rPr>
              <w:t>.</w:t>
            </w:r>
            <w:r>
              <w:rPr>
                <w:rFonts w:ascii="Verdana" w:hAnsi="Verdana"/>
                <w:sz w:val="24"/>
                <w:szCs w:val="24"/>
              </w:rPr>
              <w:t xml:space="preserve"> </w:t>
            </w:r>
          </w:p>
        </w:tc>
      </w:tr>
      <w:tr w:rsidR="00EB26B3" w:rsidRPr="0025615F" w14:paraId="5C22BD9A" w14:textId="77777777" w:rsidTr="00E73ECA">
        <w:tc>
          <w:tcPr>
            <w:tcW w:w="1435" w:type="pct"/>
          </w:tcPr>
          <w:p w14:paraId="69B5F406" w14:textId="77777777" w:rsidR="00EB26B3" w:rsidRPr="00967F3C" w:rsidRDefault="00EB26B3" w:rsidP="002D289F">
            <w:pPr>
              <w:spacing w:before="120" w:after="120"/>
              <w:rPr>
                <w:rFonts w:ascii="Verdana" w:hAnsi="Verdana" w:cs="Arial"/>
                <w:bCs/>
                <w:color w:val="000000"/>
              </w:rPr>
            </w:pPr>
            <w:r w:rsidRPr="00967F3C">
              <w:rPr>
                <w:rFonts w:ascii="Verdana" w:hAnsi="Verdana"/>
                <w:bCs/>
                <w:color w:val="000000"/>
              </w:rPr>
              <w:t>Billing Reporting Code or Group/Plan Number</w:t>
            </w:r>
          </w:p>
        </w:tc>
        <w:tc>
          <w:tcPr>
            <w:tcW w:w="3565" w:type="pct"/>
          </w:tcPr>
          <w:p w14:paraId="5CD46B3C" w14:textId="4EF9CD3C" w:rsidR="00EB26B3" w:rsidRPr="0025615F" w:rsidRDefault="00EB26B3" w:rsidP="002D289F">
            <w:pPr>
              <w:spacing w:before="120" w:after="120"/>
              <w:rPr>
                <w:rFonts w:ascii="Verdana" w:hAnsi="Verdana" w:cs="Arial"/>
              </w:rPr>
            </w:pPr>
            <w:r w:rsidRPr="0025615F">
              <w:rPr>
                <w:rFonts w:ascii="Verdana" w:hAnsi="Verdana"/>
              </w:rPr>
              <w:t>Many</w:t>
            </w:r>
            <w:r>
              <w:rPr>
                <w:rFonts w:ascii="Verdana" w:hAnsi="Verdana"/>
              </w:rPr>
              <w:t xml:space="preserve"> </w:t>
            </w:r>
            <w:r w:rsidRPr="0025615F">
              <w:rPr>
                <w:rFonts w:ascii="Verdana" w:hAnsi="Verdana"/>
              </w:rPr>
              <w:t>clients</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“sub-groups”</w:t>
            </w:r>
            <w:r>
              <w:rPr>
                <w:rFonts w:ascii="Verdana" w:hAnsi="Verdana"/>
              </w:rPr>
              <w:t xml:space="preserve"> </w:t>
            </w:r>
            <w:r w:rsidRPr="0025615F">
              <w:rPr>
                <w:rFonts w:ascii="Verdana" w:hAnsi="Verdana"/>
              </w:rPr>
              <w:t>within</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plan</w:t>
            </w:r>
            <w:r w:rsidR="00E96762" w:rsidRPr="0025615F">
              <w:rPr>
                <w:rFonts w:ascii="Verdana" w:hAnsi="Verdana"/>
              </w:rPr>
              <w:t>.</w:t>
            </w:r>
            <w:r w:rsidR="00E96762">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“Billing</w:t>
            </w:r>
            <w:r>
              <w:rPr>
                <w:rFonts w:ascii="Verdana" w:hAnsi="Verdana"/>
              </w:rPr>
              <w:t>/</w:t>
            </w:r>
            <w:r w:rsidRPr="0025615F">
              <w:rPr>
                <w:rFonts w:ascii="Verdana" w:hAnsi="Verdana"/>
              </w:rPr>
              <w:t>Reporting</w:t>
            </w:r>
            <w:r>
              <w:rPr>
                <w:rFonts w:ascii="Verdana" w:hAnsi="Verdana"/>
              </w:rPr>
              <w:t xml:space="preserve"> Co</w:t>
            </w:r>
            <w:r w:rsidRPr="0025615F">
              <w:rPr>
                <w:rFonts w:ascii="Verdana" w:hAnsi="Verdana"/>
              </w:rPr>
              <w:t>de</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Group</w:t>
            </w:r>
            <w:r>
              <w:rPr>
                <w:rFonts w:ascii="Verdana" w:hAnsi="Verdana"/>
              </w:rPr>
              <w:t>/</w:t>
            </w:r>
            <w:r w:rsidRPr="0025615F">
              <w:rPr>
                <w:rFonts w:ascii="Verdana" w:hAnsi="Verdana"/>
              </w:rPr>
              <w:t>Plan</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w:t>
            </w:r>
            <w:r>
              <w:rPr>
                <w:rFonts w:ascii="Verdana" w:hAnsi="Verdana"/>
              </w:rPr>
              <w:t xml:space="preserve"> co</w:t>
            </w:r>
            <w:r w:rsidRPr="0025615F">
              <w:rPr>
                <w:rFonts w:ascii="Verdana" w:hAnsi="Verdana"/>
              </w:rPr>
              <w:t>de</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“sort”</w:t>
            </w:r>
            <w:r>
              <w:rPr>
                <w:rFonts w:ascii="Verdana" w:hAnsi="Verdana"/>
              </w:rPr>
              <w:t xml:space="preserve"> </w:t>
            </w:r>
            <w:r w:rsidRPr="0025615F">
              <w:rPr>
                <w:rFonts w:ascii="Verdana" w:hAnsi="Verdana"/>
              </w:rPr>
              <w:t>prescriptions</w:t>
            </w:r>
            <w:r>
              <w:rPr>
                <w:rFonts w:ascii="Verdana" w:hAnsi="Verdana"/>
              </w:rPr>
              <w:t xml:space="preserve"> </w:t>
            </w:r>
            <w:r w:rsidRPr="0025615F">
              <w:rPr>
                <w:rFonts w:ascii="Verdana" w:hAnsi="Verdana"/>
              </w:rPr>
              <w:t>into</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proper</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unting</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w:t>
            </w:r>
            <w:r w:rsidRPr="0025615F">
              <w:rPr>
                <w:rFonts w:ascii="Verdana" w:hAnsi="Verdana"/>
              </w:rPr>
              <w:t>reporting</w:t>
            </w:r>
            <w:r>
              <w:rPr>
                <w:rFonts w:ascii="Verdana" w:hAnsi="Verdana"/>
              </w:rPr>
              <w:t xml:space="preserve"> </w:t>
            </w:r>
            <w:r w:rsidRPr="0025615F">
              <w:rPr>
                <w:rFonts w:ascii="Verdana" w:hAnsi="Verdana"/>
              </w:rPr>
              <w:t>category,</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determined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client</w:t>
            </w:r>
            <w:r w:rsidR="00E96762" w:rsidRPr="0025615F">
              <w:rPr>
                <w:rFonts w:ascii="Verdana" w:hAnsi="Verdana"/>
              </w:rPr>
              <w:t>.</w:t>
            </w:r>
            <w:r w:rsidR="00E96762">
              <w:rPr>
                <w:rFonts w:ascii="Verdana" w:hAnsi="Verdana"/>
              </w:rPr>
              <w:t xml:space="preserve"> </w:t>
            </w:r>
            <w:r w:rsidRPr="0025615F">
              <w:rPr>
                <w:rFonts w:ascii="Verdana" w:hAnsi="Verdana"/>
              </w:rPr>
              <w:t>Billing</w:t>
            </w:r>
            <w:r>
              <w:rPr>
                <w:rFonts w:ascii="Verdana" w:hAnsi="Verdana"/>
              </w:rPr>
              <w:t>/</w:t>
            </w:r>
            <w:r w:rsidRPr="0025615F">
              <w:rPr>
                <w:rFonts w:ascii="Verdana" w:hAnsi="Verdana"/>
              </w:rPr>
              <w:t>Reporting</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Group</w:t>
            </w:r>
            <w:r>
              <w:rPr>
                <w:rFonts w:ascii="Verdana" w:hAnsi="Verdana"/>
              </w:rPr>
              <w:t>/</w:t>
            </w:r>
            <w:r w:rsidRPr="0025615F">
              <w:rPr>
                <w:rFonts w:ascii="Verdana" w:hAnsi="Verdana"/>
              </w:rPr>
              <w:t>Plan</w:t>
            </w:r>
            <w:r>
              <w:rPr>
                <w:rFonts w:ascii="Verdana" w:hAnsi="Verdana"/>
              </w:rPr>
              <w:t xml:space="preserve"> Co</w:t>
            </w:r>
            <w:r w:rsidRPr="0025615F">
              <w:rPr>
                <w:rFonts w:ascii="Verdana" w:hAnsi="Verdana"/>
              </w:rPr>
              <w:t>des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associated</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specific</w:t>
            </w:r>
            <w:r>
              <w:rPr>
                <w:rFonts w:ascii="Verdana" w:hAnsi="Verdana"/>
              </w:rPr>
              <w:t xml:space="preserve"> </w:t>
            </w:r>
            <w:r w:rsidRPr="0025615F">
              <w:rPr>
                <w:rFonts w:ascii="Verdana" w:hAnsi="Verdana"/>
              </w:rPr>
              <w:t>identification</w:t>
            </w:r>
            <w:r>
              <w:rPr>
                <w:rFonts w:ascii="Verdana" w:hAnsi="Verdana"/>
              </w:rPr>
              <w:t xml:space="preserve"> </w:t>
            </w:r>
            <w:r w:rsidR="00E96762" w:rsidRPr="0025615F">
              <w:rPr>
                <w:rFonts w:ascii="Verdana" w:hAnsi="Verdana"/>
              </w:rPr>
              <w:t>number and</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change</w:t>
            </w:r>
            <w:r>
              <w:rPr>
                <w:rFonts w:ascii="Verdana" w:hAnsi="Verdana"/>
              </w:rPr>
              <w:t xml:space="preserve"> </w:t>
            </w:r>
            <w:r w:rsidRPr="0025615F">
              <w:rPr>
                <w:rFonts w:ascii="Verdana" w:hAnsi="Verdana"/>
              </w:rPr>
              <w:t>should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individual</w:t>
            </w:r>
            <w:r>
              <w:rPr>
                <w:rFonts w:ascii="Verdana" w:hAnsi="Verdana"/>
              </w:rPr>
              <w:t xml:space="preserve"> </w:t>
            </w:r>
            <w:r w:rsidRPr="0025615F">
              <w:rPr>
                <w:rFonts w:ascii="Verdana" w:hAnsi="Verdana"/>
              </w:rPr>
              <w:t>change</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internal</w:t>
            </w:r>
            <w:r>
              <w:rPr>
                <w:rFonts w:ascii="Verdana" w:hAnsi="Verdana"/>
              </w:rPr>
              <w:t xml:space="preserve"> </w:t>
            </w:r>
            <w:r w:rsidRPr="0025615F">
              <w:rPr>
                <w:rFonts w:ascii="Verdana" w:hAnsi="Verdana"/>
              </w:rPr>
              <w:t>status</w:t>
            </w:r>
            <w:r>
              <w:rPr>
                <w:rFonts w:ascii="Verdana" w:hAnsi="Verdana"/>
              </w:rPr>
              <w:t xml:space="preserve"> </w:t>
            </w:r>
            <w:r w:rsidRPr="0025615F">
              <w:rPr>
                <w:rFonts w:ascii="Verdana" w:hAnsi="Verdana"/>
              </w:rPr>
              <w:t>within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client’s</w:t>
            </w:r>
            <w:r>
              <w:rPr>
                <w:rFonts w:ascii="Verdana" w:hAnsi="Verdana"/>
              </w:rPr>
              <w:t xml:space="preserve"> </w:t>
            </w:r>
            <w:r w:rsidRPr="0025615F">
              <w:rPr>
                <w:rFonts w:ascii="Verdana" w:hAnsi="Verdana"/>
              </w:rPr>
              <w:t>organization.</w:t>
            </w:r>
          </w:p>
        </w:tc>
      </w:tr>
      <w:tr w:rsidR="00EB26B3" w:rsidRPr="0025615F" w14:paraId="7AC6229C" w14:textId="77777777" w:rsidTr="00E73ECA">
        <w:tc>
          <w:tcPr>
            <w:tcW w:w="1435" w:type="pct"/>
          </w:tcPr>
          <w:p w14:paraId="71B89B27" w14:textId="77777777" w:rsidR="00EB26B3" w:rsidRPr="00967F3C" w:rsidRDefault="00EB26B3" w:rsidP="002D289F">
            <w:pPr>
              <w:spacing w:before="120" w:after="120"/>
              <w:rPr>
                <w:rFonts w:ascii="Verdana" w:hAnsi="Verdana"/>
                <w:bCs/>
                <w:color w:val="000000"/>
              </w:rPr>
            </w:pPr>
            <w:r w:rsidRPr="00967F3C">
              <w:rPr>
                <w:rFonts w:ascii="Verdana" w:hAnsi="Verdana"/>
                <w:bCs/>
                <w:color w:val="000000"/>
              </w:rPr>
              <w:t>Bioavailability</w:t>
            </w:r>
          </w:p>
        </w:tc>
        <w:tc>
          <w:tcPr>
            <w:tcW w:w="3565" w:type="pct"/>
          </w:tcPr>
          <w:p w14:paraId="71EF0CAC" w14:textId="505EC4F6" w:rsidR="00EB26B3" w:rsidRPr="0025615F" w:rsidDel="009B63E4" w:rsidRDefault="00EB26B3" w:rsidP="002D289F">
            <w:pPr>
              <w:tabs>
                <w:tab w:val="left" w:pos="3186"/>
              </w:tabs>
              <w:spacing w:before="120" w:after="120"/>
              <w:rPr>
                <w:rFonts w:ascii="Verdana" w:hAnsi="Verdana"/>
                <w:bCs/>
              </w:rPr>
            </w:pPr>
            <w:r w:rsidRPr="0025615F">
              <w:rPr>
                <w:rFonts w:ascii="Verdana" w:hAnsi="Verdana"/>
                <w:bCs/>
              </w:rPr>
              <w:t>Rate</w:t>
            </w:r>
            <w:r>
              <w:rPr>
                <w:rFonts w:ascii="Verdana" w:hAnsi="Verdana"/>
                <w:bCs/>
              </w:rPr>
              <w:t xml:space="preserve"> </w:t>
            </w:r>
            <w:r w:rsidRPr="0025615F">
              <w:rPr>
                <w:rFonts w:ascii="Verdana" w:hAnsi="Verdana"/>
                <w:bCs/>
              </w:rPr>
              <w:t>and</w:t>
            </w:r>
            <w:r>
              <w:rPr>
                <w:rFonts w:ascii="Verdana" w:hAnsi="Verdana"/>
                <w:bCs/>
              </w:rPr>
              <w:t xml:space="preserve"> </w:t>
            </w:r>
            <w:r w:rsidRPr="0025615F">
              <w:rPr>
                <w:rFonts w:ascii="Verdana" w:hAnsi="Verdana"/>
                <w:bCs/>
              </w:rPr>
              <w:t>extent</w:t>
            </w:r>
            <w:r>
              <w:rPr>
                <w:rFonts w:ascii="Verdana" w:hAnsi="Verdana"/>
                <w:bCs/>
              </w:rPr>
              <w:t xml:space="preserve"> </w:t>
            </w:r>
            <w:r w:rsidRPr="0025615F">
              <w:rPr>
                <w:rFonts w:ascii="Verdana" w:hAnsi="Verdana"/>
                <w:bCs/>
              </w:rPr>
              <w:t>of</w:t>
            </w:r>
            <w:r>
              <w:rPr>
                <w:rFonts w:ascii="Verdana" w:hAnsi="Verdana"/>
                <w:bCs/>
              </w:rPr>
              <w:t xml:space="preserve"> </w:t>
            </w:r>
            <w:r w:rsidRPr="0025615F">
              <w:rPr>
                <w:rFonts w:ascii="Verdana" w:hAnsi="Verdana"/>
                <w:bCs/>
              </w:rPr>
              <w:t>a</w:t>
            </w:r>
            <w:r>
              <w:rPr>
                <w:rFonts w:ascii="Verdana" w:hAnsi="Verdana"/>
                <w:bCs/>
              </w:rPr>
              <w:t xml:space="preserve"> </w:t>
            </w:r>
            <w:r w:rsidRPr="0025615F">
              <w:rPr>
                <w:rFonts w:ascii="Verdana" w:hAnsi="Verdana"/>
                <w:bCs/>
              </w:rPr>
              <w:t>drug’s</w:t>
            </w:r>
            <w:r>
              <w:rPr>
                <w:rFonts w:ascii="Verdana" w:hAnsi="Verdana"/>
                <w:bCs/>
              </w:rPr>
              <w:t xml:space="preserve"> </w:t>
            </w:r>
            <w:r w:rsidRPr="0025615F">
              <w:rPr>
                <w:rFonts w:ascii="Verdana" w:hAnsi="Verdana"/>
                <w:bCs/>
              </w:rPr>
              <w:t>absorption</w:t>
            </w:r>
            <w:r>
              <w:rPr>
                <w:rFonts w:ascii="Verdana" w:hAnsi="Verdana"/>
                <w:bCs/>
              </w:rPr>
              <w:t xml:space="preserve"> </w:t>
            </w:r>
            <w:r w:rsidRPr="0025615F">
              <w:rPr>
                <w:rFonts w:ascii="Verdana" w:hAnsi="Verdana"/>
                <w:bCs/>
              </w:rPr>
              <w:t>in</w:t>
            </w:r>
            <w:r>
              <w:rPr>
                <w:rFonts w:ascii="Verdana" w:hAnsi="Verdana"/>
                <w:bCs/>
              </w:rPr>
              <w:t xml:space="preserve"> </w:t>
            </w:r>
            <w:r w:rsidRPr="0025615F">
              <w:rPr>
                <w:rFonts w:ascii="Verdana" w:hAnsi="Verdana"/>
                <w:bCs/>
              </w:rPr>
              <w:t>the</w:t>
            </w:r>
            <w:r>
              <w:rPr>
                <w:rFonts w:ascii="Verdana" w:hAnsi="Verdana"/>
                <w:bCs/>
              </w:rPr>
              <w:t xml:space="preserve"> </w:t>
            </w:r>
            <w:r w:rsidRPr="0025615F">
              <w:rPr>
                <w:rFonts w:ascii="Verdana" w:hAnsi="Verdana"/>
                <w:bCs/>
              </w:rPr>
              <w:t>body</w:t>
            </w:r>
            <w:r>
              <w:rPr>
                <w:rFonts w:ascii="Verdana" w:hAnsi="Verdana"/>
                <w:bCs/>
              </w:rPr>
              <w:t>.</w:t>
            </w:r>
          </w:p>
        </w:tc>
      </w:tr>
      <w:tr w:rsidR="00EB26B3" w:rsidRPr="0025615F" w14:paraId="140B0DFB" w14:textId="77777777" w:rsidTr="00E73ECA">
        <w:tc>
          <w:tcPr>
            <w:tcW w:w="1435" w:type="pct"/>
          </w:tcPr>
          <w:p w14:paraId="66110EFC" w14:textId="77777777" w:rsidR="00EB26B3" w:rsidRPr="00967F3C" w:rsidRDefault="00EB26B3" w:rsidP="002D289F">
            <w:pPr>
              <w:spacing w:before="120" w:after="120"/>
              <w:rPr>
                <w:rFonts w:ascii="Verdana" w:hAnsi="Verdana"/>
                <w:bCs/>
                <w:color w:val="000000"/>
              </w:rPr>
            </w:pPr>
            <w:r w:rsidRPr="00967F3C">
              <w:rPr>
                <w:rFonts w:ascii="Verdana" w:hAnsi="Verdana"/>
                <w:bCs/>
                <w:color w:val="000000"/>
              </w:rPr>
              <w:t>Bioequivalent Drugs</w:t>
            </w:r>
          </w:p>
        </w:tc>
        <w:tc>
          <w:tcPr>
            <w:tcW w:w="3565" w:type="pct"/>
          </w:tcPr>
          <w:p w14:paraId="3049A350" w14:textId="22592149" w:rsidR="00EB26B3" w:rsidRPr="0025615F" w:rsidDel="009B63E4" w:rsidRDefault="00EB26B3" w:rsidP="002D289F">
            <w:pPr>
              <w:tabs>
                <w:tab w:val="left" w:pos="3186"/>
              </w:tabs>
              <w:spacing w:before="120" w:after="120"/>
              <w:rPr>
                <w:rFonts w:ascii="Verdana" w:hAnsi="Verdana"/>
                <w:bCs/>
              </w:rPr>
            </w:pPr>
            <w:r w:rsidRPr="0025615F">
              <w:rPr>
                <w:rFonts w:ascii="Verdana" w:hAnsi="Verdana"/>
                <w:bCs/>
              </w:rPr>
              <w:t>Drugs</w:t>
            </w:r>
            <w:r>
              <w:rPr>
                <w:rFonts w:ascii="Verdana" w:hAnsi="Verdana"/>
                <w:bCs/>
              </w:rPr>
              <w:t xml:space="preserve"> </w:t>
            </w:r>
            <w:r w:rsidRPr="0025615F">
              <w:rPr>
                <w:rFonts w:ascii="Verdana" w:hAnsi="Verdana"/>
                <w:bCs/>
              </w:rPr>
              <w:t>that</w:t>
            </w:r>
            <w:r>
              <w:rPr>
                <w:rFonts w:ascii="Verdana" w:hAnsi="Verdana"/>
                <w:bCs/>
              </w:rPr>
              <w:t xml:space="preserve"> </w:t>
            </w:r>
            <w:r w:rsidRPr="0025615F">
              <w:rPr>
                <w:rFonts w:ascii="Verdana" w:hAnsi="Verdana"/>
                <w:bCs/>
              </w:rPr>
              <w:t>have</w:t>
            </w:r>
            <w:r>
              <w:rPr>
                <w:rFonts w:ascii="Verdana" w:hAnsi="Verdana"/>
                <w:bCs/>
              </w:rPr>
              <w:t xml:space="preserve"> </w:t>
            </w:r>
            <w:r w:rsidRPr="0025615F">
              <w:rPr>
                <w:rFonts w:ascii="Verdana" w:hAnsi="Verdana"/>
                <w:bCs/>
              </w:rPr>
              <w:t>the</w:t>
            </w:r>
            <w:r>
              <w:rPr>
                <w:rFonts w:ascii="Verdana" w:hAnsi="Verdana"/>
                <w:bCs/>
              </w:rPr>
              <w:t xml:space="preserve"> </w:t>
            </w:r>
            <w:r w:rsidRPr="0025615F">
              <w:rPr>
                <w:rFonts w:ascii="Verdana" w:hAnsi="Verdana"/>
                <w:bCs/>
              </w:rPr>
              <w:t>same</w:t>
            </w:r>
            <w:r>
              <w:rPr>
                <w:rFonts w:ascii="Verdana" w:hAnsi="Verdana"/>
                <w:bCs/>
              </w:rPr>
              <w:t xml:space="preserve"> </w:t>
            </w:r>
            <w:r w:rsidRPr="0025615F">
              <w:rPr>
                <w:rFonts w:ascii="Verdana" w:hAnsi="Verdana"/>
                <w:bCs/>
              </w:rPr>
              <w:t>active</w:t>
            </w:r>
            <w:r>
              <w:rPr>
                <w:rFonts w:ascii="Verdana" w:hAnsi="Verdana"/>
                <w:bCs/>
              </w:rPr>
              <w:t xml:space="preserve"> </w:t>
            </w:r>
            <w:r w:rsidRPr="0025615F">
              <w:rPr>
                <w:rFonts w:ascii="Verdana" w:hAnsi="Verdana"/>
                <w:bCs/>
              </w:rPr>
              <w:t>ingredients,</w:t>
            </w:r>
            <w:r>
              <w:rPr>
                <w:rFonts w:ascii="Verdana" w:hAnsi="Verdana"/>
                <w:bCs/>
              </w:rPr>
              <w:t xml:space="preserve"> </w:t>
            </w:r>
            <w:r w:rsidRPr="0025615F">
              <w:rPr>
                <w:rFonts w:ascii="Verdana" w:hAnsi="Verdana"/>
                <w:bCs/>
              </w:rPr>
              <w:t>strength</w:t>
            </w:r>
            <w:r>
              <w:rPr>
                <w:rFonts w:ascii="Verdana" w:hAnsi="Verdana"/>
                <w:bCs/>
              </w:rPr>
              <w:t xml:space="preserve"> </w:t>
            </w:r>
            <w:r w:rsidRPr="0025615F">
              <w:rPr>
                <w:rFonts w:ascii="Verdana" w:hAnsi="Verdana"/>
                <w:bCs/>
              </w:rPr>
              <w:t>and</w:t>
            </w:r>
            <w:r>
              <w:rPr>
                <w:rFonts w:ascii="Verdana" w:hAnsi="Verdana"/>
                <w:bCs/>
              </w:rPr>
              <w:t xml:space="preserve"> </w:t>
            </w:r>
            <w:r w:rsidRPr="0025615F">
              <w:rPr>
                <w:rFonts w:ascii="Verdana" w:hAnsi="Verdana"/>
                <w:bCs/>
              </w:rPr>
              <w:t>dosage</w:t>
            </w:r>
            <w:r>
              <w:rPr>
                <w:rFonts w:ascii="Verdana" w:hAnsi="Verdana"/>
                <w:bCs/>
              </w:rPr>
              <w:t xml:space="preserve"> </w:t>
            </w:r>
            <w:r w:rsidRPr="0025615F">
              <w:rPr>
                <w:rFonts w:ascii="Verdana" w:hAnsi="Verdana"/>
                <w:bCs/>
              </w:rPr>
              <w:t>form</w:t>
            </w:r>
            <w:r>
              <w:rPr>
                <w:rFonts w:ascii="Verdana" w:hAnsi="Verdana"/>
                <w:bCs/>
              </w:rPr>
              <w:t xml:space="preserve"> </w:t>
            </w:r>
            <w:r w:rsidRPr="0025615F">
              <w:rPr>
                <w:rFonts w:ascii="Verdana" w:hAnsi="Verdana"/>
                <w:bCs/>
              </w:rPr>
              <w:t>as</w:t>
            </w:r>
            <w:r>
              <w:rPr>
                <w:rFonts w:ascii="Verdana" w:hAnsi="Verdana"/>
                <w:bCs/>
              </w:rPr>
              <w:t xml:space="preserve"> </w:t>
            </w:r>
            <w:r w:rsidRPr="0025615F">
              <w:rPr>
                <w:rFonts w:ascii="Verdana" w:hAnsi="Verdana"/>
                <w:bCs/>
              </w:rPr>
              <w:t>proven</w:t>
            </w:r>
            <w:r>
              <w:rPr>
                <w:rFonts w:ascii="Verdana" w:hAnsi="Verdana"/>
                <w:bCs/>
              </w:rPr>
              <w:t xml:space="preserve"> </w:t>
            </w:r>
            <w:r w:rsidRPr="0025615F">
              <w:rPr>
                <w:rFonts w:ascii="Verdana" w:hAnsi="Verdana"/>
                <w:bCs/>
              </w:rPr>
              <w:t>in</w:t>
            </w:r>
            <w:r>
              <w:rPr>
                <w:rFonts w:ascii="Verdana" w:hAnsi="Verdana"/>
                <w:bCs/>
              </w:rPr>
              <w:t xml:space="preserve"> </w:t>
            </w:r>
            <w:r w:rsidRPr="0025615F">
              <w:rPr>
                <w:rFonts w:ascii="Verdana" w:hAnsi="Verdana"/>
                <w:bCs/>
              </w:rPr>
              <w:t>studies</w:t>
            </w:r>
            <w:r>
              <w:rPr>
                <w:rFonts w:ascii="Verdana" w:hAnsi="Verdana"/>
                <w:bCs/>
              </w:rPr>
              <w:t xml:space="preserve"> </w:t>
            </w:r>
            <w:r w:rsidRPr="0025615F">
              <w:rPr>
                <w:rFonts w:ascii="Verdana" w:hAnsi="Verdana"/>
                <w:bCs/>
              </w:rPr>
              <w:t>submitted</w:t>
            </w:r>
            <w:r>
              <w:rPr>
                <w:rFonts w:ascii="Verdana" w:hAnsi="Verdana"/>
                <w:bCs/>
              </w:rPr>
              <w:t xml:space="preserve"> </w:t>
            </w:r>
            <w:r w:rsidRPr="0025615F">
              <w:rPr>
                <w:rFonts w:ascii="Verdana" w:hAnsi="Verdana"/>
                <w:bCs/>
              </w:rPr>
              <w:t>to</w:t>
            </w:r>
            <w:r>
              <w:rPr>
                <w:rFonts w:ascii="Verdana" w:hAnsi="Verdana"/>
                <w:bCs/>
              </w:rPr>
              <w:t xml:space="preserve"> </w:t>
            </w:r>
            <w:r w:rsidRPr="0025615F">
              <w:rPr>
                <w:rFonts w:ascii="Verdana" w:hAnsi="Verdana"/>
                <w:bCs/>
              </w:rPr>
              <w:t>the</w:t>
            </w:r>
            <w:r>
              <w:rPr>
                <w:rFonts w:ascii="Verdana" w:hAnsi="Verdana"/>
                <w:bCs/>
              </w:rPr>
              <w:t xml:space="preserve"> </w:t>
            </w:r>
            <w:r w:rsidRPr="0025615F">
              <w:rPr>
                <w:rFonts w:ascii="Verdana" w:hAnsi="Verdana"/>
                <w:bCs/>
              </w:rPr>
              <w:t>U.S.</w:t>
            </w:r>
            <w:r>
              <w:rPr>
                <w:rFonts w:ascii="Verdana" w:hAnsi="Verdana"/>
                <w:bCs/>
              </w:rPr>
              <w:t xml:space="preserve"> </w:t>
            </w:r>
            <w:r w:rsidRPr="0025615F">
              <w:rPr>
                <w:rFonts w:ascii="Verdana" w:hAnsi="Verdana"/>
                <w:bCs/>
              </w:rPr>
              <w:t>Food</w:t>
            </w:r>
            <w:r>
              <w:rPr>
                <w:rFonts w:ascii="Verdana" w:hAnsi="Verdana"/>
                <w:bCs/>
              </w:rPr>
              <w:t xml:space="preserve"> </w:t>
            </w:r>
            <w:r w:rsidRPr="0025615F">
              <w:rPr>
                <w:rFonts w:ascii="Verdana" w:hAnsi="Verdana"/>
                <w:bCs/>
              </w:rPr>
              <w:t>and</w:t>
            </w:r>
            <w:r>
              <w:rPr>
                <w:rFonts w:ascii="Verdana" w:hAnsi="Verdana"/>
                <w:bCs/>
              </w:rPr>
              <w:t xml:space="preserve"> </w:t>
            </w:r>
            <w:r w:rsidRPr="0025615F">
              <w:rPr>
                <w:rFonts w:ascii="Verdana" w:hAnsi="Verdana"/>
                <w:bCs/>
              </w:rPr>
              <w:t>Drug</w:t>
            </w:r>
            <w:r>
              <w:rPr>
                <w:rFonts w:ascii="Verdana" w:hAnsi="Verdana"/>
                <w:bCs/>
              </w:rPr>
              <w:t xml:space="preserve"> </w:t>
            </w:r>
            <w:r w:rsidRPr="0025615F">
              <w:rPr>
                <w:rFonts w:ascii="Verdana" w:hAnsi="Verdana"/>
                <w:bCs/>
              </w:rPr>
              <w:t>Administration</w:t>
            </w:r>
            <w:r>
              <w:rPr>
                <w:rFonts w:ascii="Verdana" w:hAnsi="Verdana"/>
                <w:bCs/>
              </w:rPr>
              <w:t xml:space="preserve"> </w:t>
            </w:r>
            <w:r w:rsidRPr="0025615F">
              <w:rPr>
                <w:rFonts w:ascii="Verdana" w:hAnsi="Verdana"/>
                <w:bCs/>
              </w:rPr>
              <w:t>(FDA).</w:t>
            </w:r>
          </w:p>
        </w:tc>
      </w:tr>
      <w:tr w:rsidR="00EB26B3" w:rsidRPr="0025615F" w14:paraId="6C35BAC4" w14:textId="77777777" w:rsidTr="00E73ECA">
        <w:tc>
          <w:tcPr>
            <w:tcW w:w="1435" w:type="pct"/>
          </w:tcPr>
          <w:p w14:paraId="29F24951" w14:textId="2A7D41FC" w:rsidR="00EB26B3" w:rsidRPr="00967F3C" w:rsidRDefault="00EB26B3" w:rsidP="002D289F">
            <w:pPr>
              <w:spacing w:before="120" w:after="120"/>
              <w:rPr>
                <w:rFonts w:ascii="Verdana" w:hAnsi="Verdana"/>
                <w:bCs/>
                <w:color w:val="000000"/>
              </w:rPr>
            </w:pPr>
            <w:r w:rsidRPr="00967F3C">
              <w:rPr>
                <w:rFonts w:ascii="Verdana" w:hAnsi="Verdana"/>
                <w:bCs/>
                <w:color w:val="000000"/>
              </w:rPr>
              <w:t>Biological Equivalent Drugs</w:t>
            </w:r>
          </w:p>
        </w:tc>
        <w:tc>
          <w:tcPr>
            <w:tcW w:w="3565" w:type="pct"/>
          </w:tcPr>
          <w:p w14:paraId="4EF370A8" w14:textId="77777777" w:rsidR="00EB26B3" w:rsidRPr="0025615F" w:rsidRDefault="00EB26B3" w:rsidP="002D289F">
            <w:pPr>
              <w:tabs>
                <w:tab w:val="left" w:pos="3186"/>
              </w:tabs>
              <w:spacing w:before="120" w:after="120"/>
              <w:rPr>
                <w:rFonts w:ascii="Verdana" w:hAnsi="Verdana"/>
              </w:rPr>
            </w:pPr>
            <w:r w:rsidRPr="0025615F">
              <w:rPr>
                <w:rFonts w:ascii="Verdana" w:hAnsi="Verdana"/>
                <w:bCs/>
              </w:rPr>
              <w:t>Same</w:t>
            </w:r>
            <w:r>
              <w:rPr>
                <w:rFonts w:ascii="Verdana" w:hAnsi="Verdana"/>
                <w:bCs/>
              </w:rPr>
              <w:t xml:space="preserve"> </w:t>
            </w:r>
            <w:r w:rsidRPr="0025615F">
              <w:rPr>
                <w:rFonts w:ascii="Verdana" w:hAnsi="Verdana"/>
                <w:bCs/>
              </w:rPr>
              <w:t>as</w:t>
            </w:r>
            <w:r>
              <w:rPr>
                <w:rFonts w:ascii="Verdana" w:hAnsi="Verdana"/>
                <w:bCs/>
              </w:rPr>
              <w:t xml:space="preserve"> </w:t>
            </w:r>
            <w:r w:rsidRPr="0025615F">
              <w:rPr>
                <w:rFonts w:ascii="Verdana" w:hAnsi="Verdana"/>
                <w:bCs/>
              </w:rPr>
              <w:t>Bioequivalent</w:t>
            </w:r>
            <w:r>
              <w:rPr>
                <w:rFonts w:ascii="Verdana" w:hAnsi="Verdana"/>
                <w:bCs/>
              </w:rPr>
              <w:t xml:space="preserve"> </w:t>
            </w:r>
            <w:r w:rsidRPr="0025615F">
              <w:rPr>
                <w:rFonts w:ascii="Verdana" w:hAnsi="Verdana"/>
                <w:bCs/>
              </w:rPr>
              <w:t>Drugs</w:t>
            </w:r>
            <w:r>
              <w:rPr>
                <w:rFonts w:ascii="Verdana" w:hAnsi="Verdana"/>
                <w:bCs/>
              </w:rPr>
              <w:t>.</w:t>
            </w:r>
          </w:p>
        </w:tc>
      </w:tr>
      <w:tr w:rsidR="00EB26B3" w:rsidRPr="0025615F" w14:paraId="0BF22924" w14:textId="77777777" w:rsidTr="00E73ECA">
        <w:tc>
          <w:tcPr>
            <w:tcW w:w="1435" w:type="pct"/>
          </w:tcPr>
          <w:p w14:paraId="7F945E69" w14:textId="77777777" w:rsidR="00EB26B3" w:rsidRPr="000F184C" w:rsidRDefault="00EB26B3" w:rsidP="002D289F">
            <w:pPr>
              <w:spacing w:before="120" w:after="120"/>
              <w:rPr>
                <w:rFonts w:ascii="Verdana" w:hAnsi="Verdana"/>
              </w:rPr>
            </w:pPr>
            <w:r>
              <w:rPr>
                <w:rFonts w:ascii="Verdana" w:hAnsi="Verdana"/>
              </w:rPr>
              <w:t xml:space="preserve">Blanket Override </w:t>
            </w:r>
          </w:p>
        </w:tc>
        <w:tc>
          <w:tcPr>
            <w:tcW w:w="3565" w:type="pct"/>
          </w:tcPr>
          <w:p w14:paraId="79F6CBB7" w14:textId="77777777" w:rsidR="00EB26B3" w:rsidRPr="000F184C" w:rsidRDefault="00EB26B3" w:rsidP="002D289F">
            <w:pPr>
              <w:spacing w:before="120" w:after="120"/>
              <w:rPr>
                <w:rFonts w:ascii="Verdana" w:hAnsi="Verdana"/>
              </w:rPr>
            </w:pPr>
            <w:r>
              <w:rPr>
                <w:rFonts w:ascii="Verdana" w:hAnsi="Verdana"/>
              </w:rPr>
              <w:t xml:space="preserve">A PBO that overrides all GPI’s (medications). </w:t>
            </w:r>
          </w:p>
        </w:tc>
      </w:tr>
      <w:tr w:rsidR="00EE2231" w:rsidRPr="0025615F" w14:paraId="4E57DE52" w14:textId="77777777" w:rsidTr="00E73ECA">
        <w:tc>
          <w:tcPr>
            <w:tcW w:w="1435" w:type="pct"/>
          </w:tcPr>
          <w:p w14:paraId="07819670" w14:textId="2F648D84" w:rsidR="00C40AF8" w:rsidRDefault="00E73ECA" w:rsidP="002D289F">
            <w:pPr>
              <w:spacing w:before="120" w:after="120"/>
              <w:rPr>
                <w:rFonts w:ascii="Verdana" w:hAnsi="Verdana"/>
              </w:rPr>
            </w:pPr>
            <w:r>
              <w:rPr>
                <w:rFonts w:ascii="Verdana" w:hAnsi="Verdana" w:cs="Arial"/>
                <w:noProof/>
              </w:rPr>
              <w:drawing>
                <wp:inline distT="0" distB="0" distL="0" distR="0" wp14:anchorId="3F95D639" wp14:editId="7248174E">
                  <wp:extent cx="304762" cy="304762"/>
                  <wp:effectExtent l="0" t="0" r="635" b="635"/>
                  <wp:docPr id="3461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71329" name="Picture 593171329"/>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8136B">
              <w:rPr>
                <w:rFonts w:ascii="Verdana" w:hAnsi="Verdana"/>
              </w:rPr>
              <w:t>B</w:t>
            </w:r>
            <w:r w:rsidR="0058136B" w:rsidRPr="0058136B">
              <w:rPr>
                <w:rFonts w:ascii="Verdana" w:hAnsi="Verdana"/>
              </w:rPr>
              <w:t xml:space="preserve">lister </w:t>
            </w:r>
            <w:r w:rsidR="00BA7C55">
              <w:rPr>
                <w:rFonts w:ascii="Verdana" w:hAnsi="Verdana"/>
              </w:rPr>
              <w:t>P</w:t>
            </w:r>
            <w:r w:rsidR="0058136B" w:rsidRPr="0058136B">
              <w:rPr>
                <w:rFonts w:ascii="Verdana" w:hAnsi="Verdana"/>
              </w:rPr>
              <w:t>ac</w:t>
            </w:r>
            <w:r w:rsidR="0058136B">
              <w:rPr>
                <w:rFonts w:ascii="Verdana" w:hAnsi="Verdana"/>
              </w:rPr>
              <w:t>k</w:t>
            </w:r>
          </w:p>
        </w:tc>
        <w:tc>
          <w:tcPr>
            <w:tcW w:w="3565" w:type="pct"/>
          </w:tcPr>
          <w:p w14:paraId="1174F140" w14:textId="53E1AC2D" w:rsidR="00C40AF8" w:rsidRDefault="00B9411B" w:rsidP="00A63437">
            <w:pPr>
              <w:spacing w:before="120" w:after="120"/>
              <w:rPr>
                <w:rFonts w:ascii="Verdana" w:hAnsi="Verdana"/>
              </w:rPr>
            </w:pPr>
            <w:r>
              <w:rPr>
                <w:rFonts w:ascii="Verdana" w:hAnsi="Verdana"/>
              </w:rPr>
              <w:t>P</w:t>
            </w:r>
            <w:r w:rsidRPr="00A63437">
              <w:rPr>
                <w:rFonts w:ascii="Verdana" w:hAnsi="Verdana"/>
              </w:rPr>
              <w:t>ackaging</w:t>
            </w:r>
            <w:r w:rsidR="00A63437" w:rsidRPr="00A63437">
              <w:rPr>
                <w:rFonts w:ascii="Verdana" w:hAnsi="Verdana"/>
              </w:rPr>
              <w:t xml:space="preserve"> consists of a pre-formed plastic pocket, typically made from plastic, which is used to hold small pharmaceutical</w:t>
            </w:r>
            <w:r w:rsidR="00A63437">
              <w:rPr>
                <w:rFonts w:ascii="Verdana" w:hAnsi="Verdana"/>
              </w:rPr>
              <w:t xml:space="preserve"> medications</w:t>
            </w:r>
            <w:r w:rsidR="00A63437" w:rsidRPr="00A63437">
              <w:rPr>
                <w:rFonts w:ascii="Verdana" w:hAnsi="Verdana"/>
              </w:rPr>
              <w:t xml:space="preserve">. The blister is usually covered with a backing made of paper, foil, or plastic, providing protection. </w:t>
            </w:r>
          </w:p>
        </w:tc>
      </w:tr>
      <w:tr w:rsidR="00EB26B3" w:rsidRPr="0025615F" w14:paraId="4A7FFD7F" w14:textId="77777777" w:rsidTr="00E73ECA">
        <w:tc>
          <w:tcPr>
            <w:tcW w:w="1435" w:type="pct"/>
          </w:tcPr>
          <w:p w14:paraId="4E556050"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 xml:space="preserve">Blue Note </w:t>
            </w:r>
          </w:p>
        </w:tc>
        <w:tc>
          <w:tcPr>
            <w:tcW w:w="3565" w:type="pct"/>
          </w:tcPr>
          <w:p w14:paraId="3C5CADB0" w14:textId="1B211C31" w:rsidR="00EB26B3" w:rsidRPr="0025615F" w:rsidRDefault="00EB26B3" w:rsidP="002D289F">
            <w:pPr>
              <w:spacing w:before="120" w:after="120"/>
              <w:rPr>
                <w:rFonts w:ascii="Verdana" w:hAnsi="Verdana"/>
              </w:rPr>
            </w:pPr>
            <w:r>
              <w:rPr>
                <w:rFonts w:ascii="Verdana" w:hAnsi="Verdana"/>
              </w:rPr>
              <w:t xml:space="preserve">The act of noting specific points or actions taken on a </w:t>
            </w:r>
            <w:r w:rsidR="0057615C">
              <w:rPr>
                <w:rFonts w:ascii="Verdana" w:hAnsi="Verdana"/>
              </w:rPr>
              <w:t>subscriber’s</w:t>
            </w:r>
            <w:r>
              <w:rPr>
                <w:rFonts w:ascii="Verdana" w:hAnsi="Verdana"/>
              </w:rPr>
              <w:t xml:space="preserve"> profile to assist with quality control. This is an internal memo/note keeping system, built into MedFORCE (similar to a digital Post-It) which processors may use to reference or notate what has been done to the document. </w:t>
            </w:r>
          </w:p>
        </w:tc>
      </w:tr>
      <w:tr w:rsidR="00EB26B3" w:rsidRPr="0025615F" w14:paraId="5C8741E1" w14:textId="77777777" w:rsidTr="00E73ECA">
        <w:tc>
          <w:tcPr>
            <w:tcW w:w="1435" w:type="pct"/>
          </w:tcPr>
          <w:p w14:paraId="719BBD2B"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Blue Shield Plan</w:t>
            </w:r>
          </w:p>
        </w:tc>
        <w:tc>
          <w:tcPr>
            <w:tcW w:w="3565" w:type="pct"/>
          </w:tcPr>
          <w:p w14:paraId="0462C75F" w14:textId="31D814A2" w:rsidR="00EB26B3" w:rsidRPr="0025615F" w:rsidDel="009B63E4" w:rsidRDefault="00EB26B3" w:rsidP="002D289F">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not-for-profit</w:t>
            </w:r>
            <w:r>
              <w:rPr>
                <w:rFonts w:ascii="Verdana" w:hAnsi="Verdana"/>
              </w:rPr>
              <w:t xml:space="preserve"> co</w:t>
            </w:r>
            <w:r w:rsidRPr="0025615F">
              <w:rPr>
                <w:rFonts w:ascii="Verdana" w:hAnsi="Verdana"/>
              </w:rPr>
              <w:t>rporation</w:t>
            </w:r>
            <w:r>
              <w:rPr>
                <w:rFonts w:ascii="Verdana" w:hAnsi="Verdana"/>
              </w:rPr>
              <w:t xml:space="preserve"> </w:t>
            </w:r>
            <w:r w:rsidRPr="0025615F">
              <w:rPr>
                <w:rFonts w:ascii="Verdana" w:hAnsi="Verdana"/>
              </w:rPr>
              <w:t>sponsored</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w:t>
            </w:r>
            <w:r w:rsidRPr="0025615F">
              <w:rPr>
                <w:rFonts w:ascii="Verdana" w:hAnsi="Verdana"/>
              </w:rPr>
              <w:t>approved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society</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administer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voluntary</w:t>
            </w:r>
            <w:r>
              <w:rPr>
                <w:rFonts w:ascii="Verdana" w:hAnsi="Verdana"/>
              </w:rPr>
              <w:t xml:space="preserve"> </w:t>
            </w:r>
            <w:r w:rsidRPr="0025615F">
              <w:rPr>
                <w:rFonts w:ascii="Verdana" w:hAnsi="Verdana"/>
              </w:rPr>
              <w:t>pre</w:t>
            </w:r>
            <w:r>
              <w:rPr>
                <w:rFonts w:ascii="Verdana" w:hAnsi="Verdana"/>
              </w:rPr>
              <w:t xml:space="preserve">payment </w:t>
            </w:r>
            <w:r w:rsidRPr="0025615F">
              <w:rPr>
                <w:rFonts w:ascii="Verdana" w:hAnsi="Verdana"/>
              </w:rPr>
              <w:t>medical-surgical</w:t>
            </w:r>
            <w:r>
              <w:rPr>
                <w:rFonts w:ascii="Verdana" w:hAnsi="Verdana"/>
              </w:rPr>
              <w:t xml:space="preserve"> </w:t>
            </w:r>
            <w:r w:rsidRPr="0025615F">
              <w:rPr>
                <w:rFonts w:ascii="Verdana" w:hAnsi="Verdana"/>
              </w:rPr>
              <w:t>program</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limited</w:t>
            </w:r>
            <w:r>
              <w:rPr>
                <w:rFonts w:ascii="Verdana" w:hAnsi="Verdana"/>
              </w:rPr>
              <w:t xml:space="preserve"> </w:t>
            </w:r>
            <w:r w:rsidRPr="0025615F">
              <w:rPr>
                <w:rFonts w:ascii="Verdana" w:hAnsi="Verdana"/>
              </w:rPr>
              <w:t>geographical</w:t>
            </w:r>
            <w:r>
              <w:rPr>
                <w:rFonts w:ascii="Verdana" w:hAnsi="Verdana"/>
              </w:rPr>
              <w:t xml:space="preserve"> </w:t>
            </w:r>
            <w:r w:rsidRPr="0025615F">
              <w:rPr>
                <w:rFonts w:ascii="Verdana" w:hAnsi="Verdana"/>
              </w:rPr>
              <w:t>area</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operating</w:t>
            </w:r>
            <w:r>
              <w:rPr>
                <w:rFonts w:ascii="Verdana" w:hAnsi="Verdana"/>
              </w:rPr>
              <w:t xml:space="preserve"> </w:t>
            </w:r>
            <w:r w:rsidRPr="0025615F">
              <w:rPr>
                <w:rFonts w:ascii="Verdana" w:hAnsi="Verdana"/>
              </w:rPr>
              <w:t>under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membership</w:t>
            </w:r>
            <w:r>
              <w:rPr>
                <w:rFonts w:ascii="Verdana" w:hAnsi="Verdana"/>
              </w:rPr>
              <w:t xml:space="preserve"> </w:t>
            </w:r>
            <w:r w:rsidRPr="0025615F">
              <w:rPr>
                <w:rFonts w:ascii="Verdana" w:hAnsi="Verdana"/>
              </w:rPr>
              <w:t>standards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Blue</w:t>
            </w:r>
            <w:r>
              <w:rPr>
                <w:rFonts w:ascii="Verdana" w:hAnsi="Verdana"/>
              </w:rPr>
              <w:t xml:space="preserve"> </w:t>
            </w:r>
            <w:r w:rsidRPr="0025615F">
              <w:rPr>
                <w:rFonts w:ascii="Verdana" w:hAnsi="Verdana"/>
              </w:rPr>
              <w:t>Cross</w:t>
            </w:r>
            <w:r>
              <w:rPr>
                <w:rFonts w:ascii="Verdana" w:hAnsi="Verdana"/>
              </w:rPr>
              <w:t xml:space="preserve"> </w:t>
            </w:r>
            <w:r w:rsidRPr="0025615F">
              <w:rPr>
                <w:rFonts w:ascii="Verdana" w:hAnsi="Verdana"/>
              </w:rPr>
              <w:t>Blue</w:t>
            </w:r>
            <w:r>
              <w:rPr>
                <w:rFonts w:ascii="Verdana" w:hAnsi="Verdana"/>
              </w:rPr>
              <w:t xml:space="preserve"> </w:t>
            </w:r>
            <w:r w:rsidRPr="0025615F">
              <w:rPr>
                <w:rFonts w:ascii="Verdana" w:hAnsi="Verdana"/>
              </w:rPr>
              <w:t>Shield</w:t>
            </w:r>
            <w:r>
              <w:rPr>
                <w:rFonts w:ascii="Verdana" w:hAnsi="Verdana"/>
              </w:rPr>
              <w:t xml:space="preserve"> </w:t>
            </w:r>
            <w:r w:rsidRPr="0025615F">
              <w:rPr>
                <w:rFonts w:ascii="Verdana" w:hAnsi="Verdana"/>
              </w:rPr>
              <w:t>Association.</w:t>
            </w:r>
            <w:r>
              <w:rPr>
                <w:rFonts w:ascii="Verdana" w:hAnsi="Verdana"/>
              </w:rPr>
              <w:t xml:space="preserve"> </w:t>
            </w:r>
          </w:p>
        </w:tc>
      </w:tr>
      <w:tr w:rsidR="00EB26B3" w:rsidRPr="0025615F" w14:paraId="11DE4909" w14:textId="77777777" w:rsidTr="00E73ECA">
        <w:tc>
          <w:tcPr>
            <w:tcW w:w="1435" w:type="pct"/>
          </w:tcPr>
          <w:p w14:paraId="679FB475"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BMS Drug</w:t>
            </w:r>
          </w:p>
          <w:p w14:paraId="74DADD31" w14:textId="77777777" w:rsidR="00EB26B3" w:rsidRPr="00967F3C" w:rsidRDefault="00EB26B3" w:rsidP="002D289F">
            <w:pPr>
              <w:spacing w:before="120" w:after="120"/>
              <w:rPr>
                <w:rFonts w:ascii="Verdana" w:hAnsi="Verdana" w:cs="Arial"/>
                <w:bCs/>
                <w:color w:val="000000"/>
              </w:rPr>
            </w:pPr>
            <w:r w:rsidRPr="00967F3C">
              <w:rPr>
                <w:bCs/>
              </w:rPr>
              <w:t xml:space="preserve"> </w:t>
            </w:r>
          </w:p>
        </w:tc>
        <w:tc>
          <w:tcPr>
            <w:tcW w:w="3565" w:type="pct"/>
          </w:tcPr>
          <w:p w14:paraId="2F9568B2" w14:textId="076EACDC" w:rsidR="00EB26B3" w:rsidRPr="0025615F" w:rsidRDefault="00EB26B3" w:rsidP="002D289F">
            <w:pPr>
              <w:spacing w:before="120" w:after="120"/>
              <w:rPr>
                <w:rFonts w:ascii="Verdana" w:hAnsi="Verdana" w:cs="Arial"/>
              </w:rPr>
            </w:pPr>
            <w:r w:rsidRPr="0025615F">
              <w:rPr>
                <w:rFonts w:ascii="Verdana" w:hAnsi="Verdana" w:cs="Arial"/>
              </w:rPr>
              <w:t>Brand</w:t>
            </w:r>
            <w:r>
              <w:rPr>
                <w:rFonts w:ascii="Verdana" w:hAnsi="Verdana" w:cs="Arial"/>
              </w:rPr>
              <w:t xml:space="preserve"> </w:t>
            </w:r>
            <w:r w:rsidRPr="0025615F">
              <w:rPr>
                <w:rFonts w:ascii="Verdana" w:hAnsi="Verdana" w:cs="Arial"/>
              </w:rPr>
              <w:t>Multi-Source</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marketed</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sold</w:t>
            </w:r>
            <w:r>
              <w:rPr>
                <w:rFonts w:ascii="Verdana" w:hAnsi="Verdana" w:cs="Arial"/>
              </w:rPr>
              <w:t xml:space="preserve"> </w:t>
            </w:r>
            <w:r w:rsidRPr="0025615F">
              <w:rPr>
                <w:rFonts w:ascii="Verdana" w:hAnsi="Verdana" w:cs="Arial"/>
              </w:rPr>
              <w:t>by</w:t>
            </w:r>
            <w:r>
              <w:rPr>
                <w:rFonts w:ascii="Verdana" w:hAnsi="Verdana" w:cs="Arial"/>
              </w:rPr>
              <w:t xml:space="preserve"> </w:t>
            </w:r>
            <w:r w:rsidRPr="0025615F">
              <w:rPr>
                <w:rFonts w:ascii="Verdana" w:hAnsi="Verdana" w:cs="Arial"/>
              </w:rPr>
              <w:t>more</w:t>
            </w:r>
            <w:r>
              <w:rPr>
                <w:rFonts w:ascii="Verdana" w:hAnsi="Verdana" w:cs="Arial"/>
              </w:rPr>
              <w:t xml:space="preserve"> </w:t>
            </w:r>
            <w:r w:rsidRPr="0025615F">
              <w:rPr>
                <w:rFonts w:ascii="Verdana" w:hAnsi="Verdana" w:cs="Arial"/>
              </w:rPr>
              <w:t>than</w:t>
            </w:r>
            <w:r>
              <w:rPr>
                <w:rFonts w:ascii="Verdana" w:hAnsi="Verdana" w:cs="Arial"/>
              </w:rPr>
              <w:t xml:space="preserve"> </w:t>
            </w:r>
            <w:r w:rsidRPr="0025615F">
              <w:rPr>
                <w:rFonts w:ascii="Verdana" w:hAnsi="Verdana" w:cs="Arial"/>
              </w:rPr>
              <w:t>one</w:t>
            </w:r>
            <w:r>
              <w:rPr>
                <w:rFonts w:ascii="Verdana" w:hAnsi="Verdana" w:cs="Arial"/>
              </w:rPr>
              <w:t xml:space="preserve"> </w:t>
            </w:r>
            <w:r w:rsidRPr="0025615F">
              <w:rPr>
                <w:rFonts w:ascii="Verdana" w:hAnsi="Verdana" w:cs="Arial"/>
              </w:rPr>
              <w:t>manufacturer</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labeler.</w:t>
            </w:r>
            <w:r>
              <w:rPr>
                <w:rFonts w:ascii="Verdana" w:hAnsi="Verdana" w:cs="Arial"/>
              </w:rPr>
              <w:t xml:space="preserve"> We </w:t>
            </w:r>
            <w:r w:rsidRPr="0025615F">
              <w:rPr>
                <w:rFonts w:ascii="Verdana" w:hAnsi="Verdana" w:cs="Arial"/>
              </w:rPr>
              <w:t>also</w:t>
            </w:r>
            <w:r>
              <w:rPr>
                <w:rFonts w:ascii="Verdana" w:hAnsi="Verdana" w:cs="Arial"/>
              </w:rPr>
              <w:t xml:space="preserve"> classify </w:t>
            </w:r>
            <w:r w:rsidRPr="0025615F">
              <w:rPr>
                <w:rFonts w:ascii="Verdana" w:hAnsi="Verdana" w:cs="Arial"/>
              </w:rPr>
              <w:t>Generic</w:t>
            </w:r>
            <w:r>
              <w:rPr>
                <w:rFonts w:ascii="Verdana" w:hAnsi="Verdana" w:cs="Arial"/>
              </w:rPr>
              <w:t xml:space="preserve"> </w:t>
            </w:r>
            <w:r w:rsidRPr="0025615F">
              <w:rPr>
                <w:rFonts w:ascii="Verdana" w:hAnsi="Verdana" w:cs="Arial"/>
              </w:rPr>
              <w:t>products</w:t>
            </w:r>
            <w:r>
              <w:rPr>
                <w:rFonts w:ascii="Verdana" w:hAnsi="Verdana" w:cs="Arial"/>
              </w:rPr>
              <w:t xml:space="preserve"> </w:t>
            </w:r>
            <w:r w:rsidRPr="0025615F">
              <w:rPr>
                <w:rFonts w:ascii="Verdana" w:hAnsi="Verdana" w:cs="Arial"/>
              </w:rPr>
              <w:t>as</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multi-source</w:t>
            </w:r>
            <w:r>
              <w:rPr>
                <w:rFonts w:ascii="Verdana" w:hAnsi="Verdana" w:cs="Arial"/>
              </w:rPr>
              <w:t xml:space="preserve"> </w:t>
            </w:r>
            <w:r w:rsidRPr="0025615F">
              <w:rPr>
                <w:rFonts w:ascii="Verdana" w:hAnsi="Verdana" w:cs="Arial"/>
              </w:rPr>
              <w:t>if</w:t>
            </w:r>
            <w:r>
              <w:rPr>
                <w:rFonts w:ascii="Verdana" w:hAnsi="Verdana" w:cs="Arial"/>
              </w:rPr>
              <w:t xml:space="preserve"> </w:t>
            </w:r>
            <w:r w:rsidRPr="0025615F">
              <w:rPr>
                <w:rFonts w:ascii="Verdana" w:hAnsi="Verdana" w:cs="Arial"/>
              </w:rPr>
              <w:t>they</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similar</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price</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equivalent</w:t>
            </w:r>
            <w:r w:rsidR="00E96762" w:rsidRPr="0025615F">
              <w:rPr>
                <w:rFonts w:ascii="Verdana" w:hAnsi="Verdana" w:cs="Arial"/>
              </w:rPr>
              <w:t>.</w:t>
            </w:r>
            <w:r w:rsidR="00E96762">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Brand</w:t>
            </w:r>
            <w:r>
              <w:rPr>
                <w:rFonts w:ascii="Verdana" w:hAnsi="Verdana" w:cs="Arial"/>
              </w:rPr>
              <w:t xml:space="preserve"> </w:t>
            </w:r>
            <w:r w:rsidRPr="0025615F">
              <w:rPr>
                <w:rFonts w:ascii="Verdana" w:hAnsi="Verdana" w:cs="Arial"/>
              </w:rPr>
              <w:t>Multi-Source</w:t>
            </w:r>
            <w:r>
              <w:rPr>
                <w:rFonts w:ascii="Verdana" w:hAnsi="Verdana" w:cs="Arial"/>
              </w:rPr>
              <w:t xml:space="preserve"> </w:t>
            </w:r>
            <w:r w:rsidRPr="0025615F">
              <w:rPr>
                <w:rFonts w:ascii="Verdana" w:hAnsi="Verdana" w:cs="Arial"/>
              </w:rPr>
              <w:t>drug</w:t>
            </w:r>
            <w:r>
              <w:rPr>
                <w:rFonts w:ascii="Verdana" w:hAnsi="Verdana" w:cs="Arial"/>
              </w:rPr>
              <w:t xml:space="preserve"> </w:t>
            </w:r>
            <w:r w:rsidRPr="0025615F">
              <w:rPr>
                <w:rFonts w:ascii="Verdana" w:hAnsi="Verdana" w:cs="Arial"/>
              </w:rPr>
              <w:t>may</w:t>
            </w:r>
            <w:r>
              <w:rPr>
                <w:rFonts w:ascii="Verdana" w:hAnsi="Verdana" w:cs="Arial"/>
              </w:rPr>
              <w:t xml:space="preserve"> </w:t>
            </w:r>
            <w:r w:rsidRPr="0025615F">
              <w:rPr>
                <w:rFonts w:ascii="Verdana" w:hAnsi="Verdana" w:cs="Arial"/>
              </w:rPr>
              <w:t>or</w:t>
            </w:r>
            <w:r>
              <w:rPr>
                <w:rFonts w:ascii="Verdana" w:hAnsi="Verdana" w:cs="Arial"/>
              </w:rPr>
              <w:t xml:space="preserve"> </w:t>
            </w:r>
            <w:r w:rsidRPr="0025615F">
              <w:rPr>
                <w:rFonts w:ascii="Verdana" w:hAnsi="Verdana" w:cs="Arial"/>
              </w:rPr>
              <w:t>may</w:t>
            </w:r>
            <w:r>
              <w:rPr>
                <w:rFonts w:ascii="Verdana" w:hAnsi="Verdana" w:cs="Arial"/>
              </w:rPr>
              <w:t xml:space="preserve"> </w:t>
            </w:r>
            <w:r w:rsidRPr="0025615F">
              <w:rPr>
                <w:rFonts w:ascii="Verdana" w:hAnsi="Verdana" w:cs="Arial"/>
              </w:rPr>
              <w:t>not</w:t>
            </w:r>
            <w:r>
              <w:rPr>
                <w:rFonts w:ascii="Verdana" w:hAnsi="Verdana" w:cs="Arial"/>
              </w:rPr>
              <w:t xml:space="preserve"> </w:t>
            </w:r>
            <w:r w:rsidRPr="0025615F">
              <w:rPr>
                <w:rFonts w:ascii="Verdana" w:hAnsi="Verdana" w:cs="Arial"/>
              </w:rPr>
              <w:t>have</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Generic</w:t>
            </w:r>
            <w:r>
              <w:rPr>
                <w:rFonts w:ascii="Verdana" w:hAnsi="Verdana" w:cs="Arial"/>
              </w:rPr>
              <w:t xml:space="preserve"> </w:t>
            </w:r>
            <w:r w:rsidRPr="0025615F">
              <w:rPr>
                <w:rFonts w:ascii="Verdana" w:hAnsi="Verdana" w:cs="Arial"/>
              </w:rPr>
              <w:t>equivalent.</w:t>
            </w:r>
          </w:p>
        </w:tc>
      </w:tr>
      <w:tr w:rsidR="00EB26B3" w:rsidRPr="0025615F" w14:paraId="65237535" w14:textId="77777777" w:rsidTr="00E73ECA">
        <w:tc>
          <w:tcPr>
            <w:tcW w:w="1435" w:type="pct"/>
          </w:tcPr>
          <w:p w14:paraId="7D962AB3" w14:textId="77777777" w:rsidR="00EB26B3" w:rsidRPr="00E76C94" w:rsidRDefault="00EB26B3" w:rsidP="002D289F">
            <w:pPr>
              <w:spacing w:before="120" w:after="120"/>
              <w:rPr>
                <w:rFonts w:ascii="Verdana" w:hAnsi="Verdana" w:cs="Arial"/>
                <w:bCs/>
                <w:color w:val="000000"/>
              </w:rPr>
            </w:pPr>
            <w:r w:rsidRPr="00E76C94">
              <w:rPr>
                <w:rFonts w:ascii="Verdana" w:hAnsi="Verdana" w:cs="Arial"/>
                <w:bCs/>
                <w:color w:val="000000"/>
              </w:rPr>
              <w:t>Branded Generics</w:t>
            </w:r>
          </w:p>
        </w:tc>
        <w:tc>
          <w:tcPr>
            <w:tcW w:w="3565" w:type="pct"/>
          </w:tcPr>
          <w:p w14:paraId="04F11D8D" w14:textId="214E7600" w:rsidR="00EB26B3" w:rsidRDefault="00EB26B3" w:rsidP="002D289F">
            <w:pPr>
              <w:tabs>
                <w:tab w:val="left" w:pos="3186"/>
              </w:tabs>
              <w:spacing w:before="120" w:after="120"/>
              <w:rPr>
                <w:rFonts w:ascii="Verdana" w:hAnsi="Verdana"/>
                <w:bCs/>
              </w:rPr>
            </w:pPr>
            <w:r w:rsidRPr="0025615F">
              <w:rPr>
                <w:rFonts w:ascii="Verdana" w:hAnsi="Verdana"/>
                <w:bCs/>
              </w:rPr>
              <w:t>A</w:t>
            </w:r>
            <w:r>
              <w:rPr>
                <w:rFonts w:ascii="Verdana" w:hAnsi="Verdana"/>
                <w:bCs/>
              </w:rPr>
              <w:t xml:space="preserve"> </w:t>
            </w:r>
            <w:r w:rsidRPr="0025615F">
              <w:rPr>
                <w:rFonts w:ascii="Verdana" w:hAnsi="Verdana"/>
                <w:bCs/>
              </w:rPr>
              <w:t>trademarked</w:t>
            </w:r>
            <w:r>
              <w:rPr>
                <w:rFonts w:ascii="Verdana" w:hAnsi="Verdana"/>
                <w:bCs/>
              </w:rPr>
              <w:t xml:space="preserve"> </w:t>
            </w:r>
            <w:r w:rsidRPr="0025615F">
              <w:rPr>
                <w:rFonts w:ascii="Verdana" w:hAnsi="Verdana"/>
                <w:bCs/>
              </w:rPr>
              <w:t>generic</w:t>
            </w:r>
            <w:r w:rsidR="00E96762" w:rsidRPr="0025615F">
              <w:rPr>
                <w:rFonts w:ascii="Verdana" w:hAnsi="Verdana"/>
                <w:bCs/>
              </w:rPr>
              <w:t>.</w:t>
            </w:r>
            <w:r w:rsidR="00E96762">
              <w:rPr>
                <w:rFonts w:ascii="Verdana" w:hAnsi="Verdana"/>
                <w:bCs/>
              </w:rPr>
              <w:t xml:space="preserve"> </w:t>
            </w:r>
            <w:r w:rsidRPr="0025615F">
              <w:rPr>
                <w:rFonts w:ascii="Verdana" w:hAnsi="Verdana"/>
                <w:bCs/>
              </w:rPr>
              <w:t>Multi-source</w:t>
            </w:r>
            <w:r>
              <w:rPr>
                <w:rFonts w:ascii="Verdana" w:hAnsi="Verdana"/>
                <w:bCs/>
              </w:rPr>
              <w:t xml:space="preserve"> </w:t>
            </w:r>
            <w:r w:rsidRPr="0025615F">
              <w:rPr>
                <w:rFonts w:ascii="Verdana" w:hAnsi="Verdana"/>
                <w:bCs/>
              </w:rPr>
              <w:t>product</w:t>
            </w:r>
            <w:r>
              <w:rPr>
                <w:rFonts w:ascii="Verdana" w:hAnsi="Verdana"/>
                <w:bCs/>
              </w:rPr>
              <w:t xml:space="preserve"> </w:t>
            </w:r>
            <w:r w:rsidRPr="0025615F">
              <w:rPr>
                <w:rFonts w:ascii="Verdana" w:hAnsi="Verdana"/>
                <w:bCs/>
              </w:rPr>
              <w:t>marketed</w:t>
            </w:r>
            <w:r>
              <w:rPr>
                <w:rFonts w:ascii="Verdana" w:hAnsi="Verdana"/>
                <w:bCs/>
              </w:rPr>
              <w:t xml:space="preserve"> </w:t>
            </w:r>
            <w:r w:rsidRPr="0025615F">
              <w:rPr>
                <w:rFonts w:ascii="Verdana" w:hAnsi="Verdana"/>
                <w:bCs/>
              </w:rPr>
              <w:t>under</w:t>
            </w:r>
            <w:r>
              <w:rPr>
                <w:rFonts w:ascii="Verdana" w:hAnsi="Verdana"/>
                <w:bCs/>
              </w:rPr>
              <w:t xml:space="preserve"> </w:t>
            </w:r>
            <w:r w:rsidRPr="0025615F">
              <w:rPr>
                <w:rFonts w:ascii="Verdana" w:hAnsi="Verdana"/>
                <w:bCs/>
              </w:rPr>
              <w:t>a</w:t>
            </w:r>
            <w:r>
              <w:rPr>
                <w:rFonts w:ascii="Verdana" w:hAnsi="Verdana"/>
                <w:bCs/>
              </w:rPr>
              <w:t xml:space="preserve"> </w:t>
            </w:r>
            <w:r w:rsidRPr="0025615F">
              <w:rPr>
                <w:rFonts w:ascii="Verdana" w:hAnsi="Verdana"/>
                <w:bCs/>
              </w:rPr>
              <w:t>trade</w:t>
            </w:r>
            <w:r>
              <w:rPr>
                <w:rFonts w:ascii="Verdana" w:hAnsi="Verdana"/>
                <w:bCs/>
              </w:rPr>
              <w:t xml:space="preserve"> </w:t>
            </w:r>
            <w:r w:rsidRPr="0025615F">
              <w:rPr>
                <w:rFonts w:ascii="Verdana" w:hAnsi="Verdana"/>
                <w:bCs/>
              </w:rPr>
              <w:t>name:</w:t>
            </w:r>
            <w:r>
              <w:rPr>
                <w:rFonts w:ascii="Verdana" w:hAnsi="Verdana"/>
                <w:bCs/>
              </w:rPr>
              <w:t xml:space="preserve">  T</w:t>
            </w:r>
            <w:r w:rsidRPr="0025615F">
              <w:rPr>
                <w:rFonts w:ascii="Verdana" w:hAnsi="Verdana"/>
                <w:bCs/>
              </w:rPr>
              <w:t>rade</w:t>
            </w:r>
            <w:r>
              <w:rPr>
                <w:rFonts w:ascii="Verdana" w:hAnsi="Verdana"/>
                <w:bCs/>
              </w:rPr>
              <w:t xml:space="preserve"> </w:t>
            </w:r>
            <w:r w:rsidRPr="0025615F">
              <w:rPr>
                <w:rFonts w:ascii="Verdana" w:hAnsi="Verdana"/>
                <w:bCs/>
              </w:rPr>
              <w:t>name</w:t>
            </w:r>
            <w:r>
              <w:rPr>
                <w:rFonts w:ascii="Verdana" w:hAnsi="Verdana"/>
                <w:bCs/>
              </w:rPr>
              <w:t xml:space="preserve"> </w:t>
            </w:r>
            <w:r w:rsidRPr="0025615F">
              <w:rPr>
                <w:rFonts w:ascii="Verdana" w:hAnsi="Verdana"/>
                <w:bCs/>
              </w:rPr>
              <w:t>is</w:t>
            </w:r>
            <w:r>
              <w:rPr>
                <w:rFonts w:ascii="Verdana" w:hAnsi="Verdana"/>
                <w:bCs/>
              </w:rPr>
              <w:t xml:space="preserve"> </w:t>
            </w:r>
            <w:r w:rsidRPr="0025615F">
              <w:rPr>
                <w:rFonts w:ascii="Verdana" w:hAnsi="Verdana"/>
                <w:bCs/>
              </w:rPr>
              <w:t>not</w:t>
            </w:r>
            <w:r>
              <w:rPr>
                <w:rFonts w:ascii="Verdana" w:hAnsi="Verdana"/>
                <w:bCs/>
              </w:rPr>
              <w:t xml:space="preserve"> </w:t>
            </w:r>
            <w:r w:rsidRPr="0025615F">
              <w:rPr>
                <w:rFonts w:ascii="Verdana" w:hAnsi="Verdana"/>
                <w:bCs/>
              </w:rPr>
              <w:t>the</w:t>
            </w:r>
            <w:r>
              <w:rPr>
                <w:rFonts w:ascii="Verdana" w:hAnsi="Verdana"/>
                <w:bCs/>
              </w:rPr>
              <w:t xml:space="preserve"> </w:t>
            </w:r>
            <w:r w:rsidRPr="0025615F">
              <w:rPr>
                <w:rFonts w:ascii="Verdana" w:hAnsi="Verdana"/>
                <w:bCs/>
              </w:rPr>
              <w:t>brand</w:t>
            </w:r>
            <w:r>
              <w:rPr>
                <w:rFonts w:ascii="Verdana" w:hAnsi="Verdana"/>
                <w:bCs/>
              </w:rPr>
              <w:t xml:space="preserve"> </w:t>
            </w:r>
            <w:r w:rsidRPr="0025615F">
              <w:rPr>
                <w:rFonts w:ascii="Verdana" w:hAnsi="Verdana"/>
                <w:bCs/>
              </w:rPr>
              <w:t>or</w:t>
            </w:r>
            <w:r>
              <w:rPr>
                <w:rFonts w:ascii="Verdana" w:hAnsi="Verdana"/>
                <w:bCs/>
              </w:rPr>
              <w:t xml:space="preserve"> </w:t>
            </w:r>
            <w:r w:rsidRPr="0025615F">
              <w:rPr>
                <w:rFonts w:ascii="Verdana" w:hAnsi="Verdana"/>
                <w:bCs/>
              </w:rPr>
              <w:t>chemical</w:t>
            </w:r>
            <w:r>
              <w:rPr>
                <w:rFonts w:ascii="Verdana" w:hAnsi="Verdana"/>
                <w:bCs/>
              </w:rPr>
              <w:t xml:space="preserve"> </w:t>
            </w:r>
            <w:r w:rsidRPr="0025615F">
              <w:rPr>
                <w:rFonts w:ascii="Verdana" w:hAnsi="Verdana"/>
                <w:bCs/>
              </w:rPr>
              <w:t>name</w:t>
            </w:r>
            <w:r w:rsidR="00E96762" w:rsidRPr="0025615F">
              <w:rPr>
                <w:rFonts w:ascii="Verdana" w:hAnsi="Verdana"/>
                <w:bCs/>
              </w:rPr>
              <w:t>.</w:t>
            </w:r>
            <w:r w:rsidR="00E96762">
              <w:rPr>
                <w:rFonts w:ascii="Verdana" w:hAnsi="Verdana"/>
                <w:bCs/>
              </w:rPr>
              <w:t xml:space="preserve"> </w:t>
            </w:r>
          </w:p>
          <w:p w14:paraId="31075BE7" w14:textId="77777777" w:rsidR="00EB26B3" w:rsidRPr="0025615F" w:rsidRDefault="00EB26B3" w:rsidP="002D289F">
            <w:pPr>
              <w:tabs>
                <w:tab w:val="left" w:pos="3186"/>
              </w:tabs>
              <w:spacing w:before="120" w:after="120"/>
              <w:rPr>
                <w:rFonts w:ascii="Verdana" w:hAnsi="Verdana"/>
                <w:bCs/>
              </w:rPr>
            </w:pPr>
          </w:p>
          <w:p w14:paraId="025D70CF" w14:textId="42F52DA6" w:rsidR="00EB26B3" w:rsidRPr="0025615F" w:rsidRDefault="00EB26B3" w:rsidP="002D289F">
            <w:pPr>
              <w:tabs>
                <w:tab w:val="left" w:pos="3186"/>
              </w:tabs>
              <w:spacing w:before="120" w:after="120"/>
              <w:rPr>
                <w:rFonts w:ascii="Verdana" w:hAnsi="Verdana"/>
                <w:b/>
                <w:bCs/>
              </w:rPr>
            </w:pPr>
            <w:r w:rsidRPr="0025615F">
              <w:rPr>
                <w:rFonts w:ascii="Verdana" w:hAnsi="Verdana"/>
                <w:b/>
                <w:bCs/>
              </w:rPr>
              <w:t>Example</w:t>
            </w:r>
            <w:r>
              <w:rPr>
                <w:rFonts w:ascii="Verdana" w:hAnsi="Verdana"/>
                <w:b/>
                <w:bCs/>
              </w:rPr>
              <w:t>s</w:t>
            </w:r>
            <w:r w:rsidRPr="0025615F">
              <w:rPr>
                <w:rFonts w:ascii="Verdana" w:hAnsi="Verdana"/>
                <w:b/>
                <w:bCs/>
              </w:rPr>
              <w:t>:</w:t>
            </w:r>
            <w:r>
              <w:rPr>
                <w:rFonts w:ascii="Verdana" w:hAnsi="Verdana"/>
                <w:b/>
                <w:bCs/>
              </w:rPr>
              <w:t xml:space="preserve"> </w:t>
            </w:r>
          </w:p>
          <w:p w14:paraId="55BD580A" w14:textId="0E005453" w:rsidR="00EB26B3" w:rsidRPr="0025615F" w:rsidRDefault="00EB26B3" w:rsidP="002D289F">
            <w:pPr>
              <w:numPr>
                <w:ilvl w:val="0"/>
                <w:numId w:val="76"/>
              </w:numPr>
              <w:spacing w:before="120" w:after="120"/>
              <w:ind w:left="516"/>
              <w:rPr>
                <w:rFonts w:ascii="Verdana" w:hAnsi="Verdana"/>
                <w:bCs/>
              </w:rPr>
            </w:pPr>
            <w:r w:rsidRPr="0025615F">
              <w:rPr>
                <w:rFonts w:ascii="Verdana" w:hAnsi="Verdana"/>
                <w:bCs/>
              </w:rPr>
              <w:t>Zaroylyn</w:t>
            </w:r>
            <w:r>
              <w:rPr>
                <w:rFonts w:ascii="Verdana" w:hAnsi="Verdana"/>
                <w:bCs/>
              </w:rPr>
              <w:t xml:space="preserve"> - B</w:t>
            </w:r>
            <w:r w:rsidRPr="0025615F">
              <w:rPr>
                <w:rFonts w:ascii="Verdana" w:hAnsi="Verdana"/>
                <w:bCs/>
              </w:rPr>
              <w:t>urroughs</w:t>
            </w:r>
            <w:r>
              <w:rPr>
                <w:rFonts w:ascii="Verdana" w:hAnsi="Verdana"/>
                <w:bCs/>
              </w:rPr>
              <w:t xml:space="preserve"> </w:t>
            </w:r>
            <w:r w:rsidRPr="0025615F">
              <w:rPr>
                <w:rFonts w:ascii="Verdana" w:hAnsi="Verdana"/>
                <w:bCs/>
              </w:rPr>
              <w:t>brand</w:t>
            </w:r>
            <w:r>
              <w:rPr>
                <w:rFonts w:ascii="Verdana" w:hAnsi="Verdana"/>
                <w:bCs/>
              </w:rPr>
              <w:t xml:space="preserve"> </w:t>
            </w:r>
            <w:r w:rsidRPr="0025615F">
              <w:rPr>
                <w:rFonts w:ascii="Verdana" w:hAnsi="Verdana"/>
                <w:bCs/>
              </w:rPr>
              <w:t>product</w:t>
            </w:r>
          </w:p>
          <w:p w14:paraId="5BE7633B" w14:textId="3DAFB258" w:rsidR="00EB26B3" w:rsidRDefault="00EB26B3" w:rsidP="002D289F">
            <w:pPr>
              <w:numPr>
                <w:ilvl w:val="0"/>
                <w:numId w:val="76"/>
              </w:numPr>
              <w:spacing w:before="120" w:after="120"/>
              <w:ind w:left="516"/>
              <w:rPr>
                <w:rFonts w:ascii="Verdana" w:hAnsi="Verdana"/>
                <w:bCs/>
              </w:rPr>
            </w:pPr>
            <w:r w:rsidRPr="0025615F">
              <w:rPr>
                <w:rFonts w:ascii="Verdana" w:hAnsi="Verdana"/>
                <w:bCs/>
              </w:rPr>
              <w:t>Allopurinol</w:t>
            </w:r>
            <w:r>
              <w:rPr>
                <w:rFonts w:ascii="Verdana" w:hAnsi="Verdana"/>
                <w:bCs/>
              </w:rPr>
              <w:t xml:space="preserve"> - </w:t>
            </w:r>
            <w:r w:rsidRPr="0025615F">
              <w:rPr>
                <w:rFonts w:ascii="Verdana" w:hAnsi="Verdana"/>
                <w:bCs/>
              </w:rPr>
              <w:t>Geneva</w:t>
            </w:r>
            <w:r>
              <w:rPr>
                <w:rFonts w:ascii="Verdana" w:hAnsi="Verdana"/>
                <w:bCs/>
              </w:rPr>
              <w:t xml:space="preserve"> </w:t>
            </w:r>
            <w:r w:rsidRPr="0025615F">
              <w:rPr>
                <w:rFonts w:ascii="Verdana" w:hAnsi="Verdana"/>
                <w:bCs/>
              </w:rPr>
              <w:t>generic</w:t>
            </w:r>
            <w:r>
              <w:rPr>
                <w:rFonts w:ascii="Verdana" w:hAnsi="Verdana"/>
                <w:bCs/>
              </w:rPr>
              <w:t xml:space="preserve"> </w:t>
            </w:r>
            <w:r w:rsidRPr="0025615F">
              <w:rPr>
                <w:rFonts w:ascii="Verdana" w:hAnsi="Verdana"/>
                <w:bCs/>
              </w:rPr>
              <w:t>product</w:t>
            </w:r>
          </w:p>
          <w:p w14:paraId="56D6B8FB" w14:textId="1859AAAB" w:rsidR="00EB26B3" w:rsidRPr="0025615F" w:rsidRDefault="00EB26B3" w:rsidP="002D289F">
            <w:pPr>
              <w:numPr>
                <w:ilvl w:val="0"/>
                <w:numId w:val="76"/>
              </w:numPr>
              <w:spacing w:before="120" w:after="120"/>
              <w:ind w:left="516"/>
              <w:rPr>
                <w:rFonts w:ascii="Verdana" w:hAnsi="Verdana"/>
                <w:bCs/>
              </w:rPr>
            </w:pPr>
            <w:r w:rsidRPr="0025615F">
              <w:rPr>
                <w:rFonts w:ascii="Verdana" w:hAnsi="Verdana"/>
                <w:bCs/>
              </w:rPr>
              <w:t>Lopurin</w:t>
            </w:r>
            <w:r>
              <w:rPr>
                <w:rFonts w:ascii="Verdana" w:hAnsi="Verdana"/>
                <w:bCs/>
              </w:rPr>
              <w:t xml:space="preserve"> - </w:t>
            </w:r>
            <w:r w:rsidRPr="0025615F">
              <w:rPr>
                <w:rFonts w:ascii="Verdana" w:hAnsi="Verdana"/>
                <w:bCs/>
              </w:rPr>
              <w:t>Boots</w:t>
            </w:r>
            <w:r>
              <w:rPr>
                <w:rFonts w:ascii="Verdana" w:hAnsi="Verdana"/>
                <w:bCs/>
              </w:rPr>
              <w:t xml:space="preserve"> </w:t>
            </w:r>
            <w:r w:rsidRPr="0025615F">
              <w:rPr>
                <w:rFonts w:ascii="Verdana" w:hAnsi="Verdana"/>
                <w:bCs/>
              </w:rPr>
              <w:t>Branded</w:t>
            </w:r>
            <w:r>
              <w:rPr>
                <w:rFonts w:ascii="Verdana" w:hAnsi="Verdana"/>
                <w:bCs/>
              </w:rPr>
              <w:t xml:space="preserve"> </w:t>
            </w:r>
            <w:r w:rsidRPr="0025615F">
              <w:rPr>
                <w:rFonts w:ascii="Verdana" w:hAnsi="Verdana"/>
                <w:bCs/>
              </w:rPr>
              <w:t>generic</w:t>
            </w:r>
          </w:p>
          <w:p w14:paraId="15011230" w14:textId="6DE1B836" w:rsidR="00EB26B3" w:rsidRPr="0025615F" w:rsidRDefault="00EB26B3" w:rsidP="002D289F">
            <w:pPr>
              <w:tabs>
                <w:tab w:val="left" w:pos="3186"/>
              </w:tabs>
              <w:spacing w:before="120" w:after="120"/>
              <w:rPr>
                <w:rFonts w:ascii="Verdana" w:hAnsi="Verdana" w:cs="Arial"/>
              </w:rPr>
            </w:pPr>
            <w:r w:rsidRPr="0025615F">
              <w:rPr>
                <w:rFonts w:ascii="Verdana" w:hAnsi="Verdana"/>
                <w:bCs/>
              </w:rPr>
              <w:t>All</w:t>
            </w:r>
            <w:r>
              <w:rPr>
                <w:rFonts w:ascii="Verdana" w:hAnsi="Verdana"/>
                <w:bCs/>
              </w:rPr>
              <w:t xml:space="preserve"> </w:t>
            </w:r>
            <w:r w:rsidRPr="0025615F">
              <w:rPr>
                <w:rFonts w:ascii="Verdana" w:hAnsi="Verdana"/>
                <w:bCs/>
              </w:rPr>
              <w:t>three</w:t>
            </w:r>
            <w:r>
              <w:rPr>
                <w:rFonts w:ascii="Verdana" w:hAnsi="Verdana"/>
                <w:bCs/>
              </w:rPr>
              <w:t xml:space="preserve"> </w:t>
            </w:r>
            <w:r w:rsidRPr="0025615F">
              <w:rPr>
                <w:rFonts w:ascii="Verdana" w:hAnsi="Verdana"/>
                <w:bCs/>
              </w:rPr>
              <w:t>are</w:t>
            </w:r>
            <w:r>
              <w:rPr>
                <w:rFonts w:ascii="Verdana" w:hAnsi="Verdana"/>
                <w:bCs/>
              </w:rPr>
              <w:t xml:space="preserve"> </w:t>
            </w:r>
            <w:r w:rsidRPr="0025615F">
              <w:rPr>
                <w:rFonts w:ascii="Verdana" w:hAnsi="Verdana"/>
                <w:bCs/>
              </w:rPr>
              <w:t>the</w:t>
            </w:r>
            <w:r>
              <w:rPr>
                <w:rFonts w:ascii="Verdana" w:hAnsi="Verdana"/>
                <w:bCs/>
              </w:rPr>
              <w:t xml:space="preserve"> </w:t>
            </w:r>
            <w:r w:rsidRPr="0025615F">
              <w:rPr>
                <w:rFonts w:ascii="Verdana" w:hAnsi="Verdana"/>
                <w:bCs/>
              </w:rPr>
              <w:t>same</w:t>
            </w:r>
            <w:r>
              <w:rPr>
                <w:rFonts w:ascii="Verdana" w:hAnsi="Verdana"/>
                <w:bCs/>
              </w:rPr>
              <w:t xml:space="preserve"> </w:t>
            </w:r>
            <w:r w:rsidRPr="0025615F">
              <w:rPr>
                <w:rFonts w:ascii="Verdana" w:hAnsi="Verdana"/>
                <w:bCs/>
              </w:rPr>
              <w:t>chemical</w:t>
            </w:r>
            <w:r>
              <w:rPr>
                <w:rFonts w:ascii="Verdana" w:hAnsi="Verdana"/>
                <w:bCs/>
              </w:rPr>
              <w:t xml:space="preserve"> </w:t>
            </w:r>
            <w:r w:rsidRPr="0025615F">
              <w:rPr>
                <w:rFonts w:ascii="Verdana" w:hAnsi="Verdana"/>
                <w:bCs/>
              </w:rPr>
              <w:t>entity</w:t>
            </w:r>
            <w:r w:rsidR="00E96762" w:rsidRPr="0025615F">
              <w:rPr>
                <w:rFonts w:ascii="Verdana" w:hAnsi="Verdana"/>
                <w:bCs/>
              </w:rPr>
              <w:t>.</w:t>
            </w:r>
            <w:r w:rsidR="00E96762">
              <w:rPr>
                <w:rFonts w:ascii="Verdana" w:hAnsi="Verdana"/>
                <w:bCs/>
              </w:rPr>
              <w:t xml:space="preserve"> </w:t>
            </w:r>
          </w:p>
        </w:tc>
      </w:tr>
      <w:tr w:rsidR="00EB26B3" w:rsidRPr="0025615F" w14:paraId="5B58642B" w14:textId="77777777" w:rsidTr="00E73ECA">
        <w:tc>
          <w:tcPr>
            <w:tcW w:w="1435" w:type="pct"/>
          </w:tcPr>
          <w:p w14:paraId="56630820"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Brand - Multi-Source</w:t>
            </w:r>
          </w:p>
        </w:tc>
        <w:tc>
          <w:tcPr>
            <w:tcW w:w="3565" w:type="pct"/>
          </w:tcPr>
          <w:p w14:paraId="78EDF18B" w14:textId="2C050885" w:rsidR="00EB26B3" w:rsidRPr="0025615F" w:rsidRDefault="00EB26B3" w:rsidP="002D289F">
            <w:pPr>
              <w:spacing w:before="120" w:after="120"/>
              <w:rPr>
                <w:rFonts w:ascii="Verdana" w:hAnsi="Verdana" w:cs="Arial"/>
              </w:rPr>
            </w:pPr>
            <w:r w:rsidRPr="0025615F">
              <w:rPr>
                <w:rFonts w:ascii="Verdana" w:hAnsi="Verdana"/>
              </w:rPr>
              <w:t>A</w:t>
            </w:r>
            <w:r>
              <w:rPr>
                <w:rFonts w:ascii="Verdana" w:hAnsi="Verdana"/>
              </w:rPr>
              <w:t xml:space="preserve"> </w:t>
            </w:r>
            <w:r w:rsidRPr="0025615F">
              <w:rPr>
                <w:rFonts w:ascii="Verdana" w:hAnsi="Verdana"/>
              </w:rPr>
              <w:t>brand</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marketed</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sold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two</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more</w:t>
            </w:r>
            <w:r>
              <w:rPr>
                <w:rFonts w:ascii="Verdana" w:hAnsi="Verdana"/>
              </w:rPr>
              <w:t xml:space="preserve"> </w:t>
            </w:r>
            <w:r w:rsidRPr="0025615F">
              <w:rPr>
                <w:rFonts w:ascii="Verdana" w:hAnsi="Verdana"/>
              </w:rPr>
              <w:t>manufacturers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labelers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under</w:t>
            </w:r>
            <w:r>
              <w:rPr>
                <w:rFonts w:ascii="Verdana" w:hAnsi="Verdana"/>
              </w:rPr>
              <w:t xml:space="preserve"> </w:t>
            </w:r>
            <w:r w:rsidRPr="0025615F">
              <w:rPr>
                <w:rFonts w:ascii="Verdana" w:hAnsi="Verdana"/>
              </w:rPr>
              <w:t>patent</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exclusivity</w:t>
            </w:r>
            <w:r>
              <w:rPr>
                <w:rFonts w:ascii="Verdana" w:hAnsi="Verdana"/>
              </w:rPr>
              <w:t xml:space="preserve"> </w:t>
            </w:r>
            <w:r w:rsidRPr="0025615F">
              <w:rPr>
                <w:rFonts w:ascii="Verdana" w:hAnsi="Verdana"/>
              </w:rPr>
              <w:t>protection</w:t>
            </w:r>
            <w:r>
              <w:rPr>
                <w:rFonts w:ascii="Verdana" w:hAnsi="Verdana"/>
              </w:rPr>
              <w:t>.</w:t>
            </w:r>
          </w:p>
        </w:tc>
      </w:tr>
      <w:tr w:rsidR="00EB26B3" w:rsidRPr="0025615F" w14:paraId="05C67BA3" w14:textId="77777777" w:rsidTr="00E73ECA">
        <w:tc>
          <w:tcPr>
            <w:tcW w:w="1435" w:type="pct"/>
          </w:tcPr>
          <w:p w14:paraId="68FB0FCE"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Brand - Single-Source</w:t>
            </w:r>
          </w:p>
        </w:tc>
        <w:tc>
          <w:tcPr>
            <w:tcW w:w="3565" w:type="pct"/>
          </w:tcPr>
          <w:p w14:paraId="7566DA02" w14:textId="4A864050" w:rsidR="00EB26B3" w:rsidRPr="0025615F" w:rsidDel="009B63E4" w:rsidRDefault="00EB26B3" w:rsidP="002D289F">
            <w:pPr>
              <w:pStyle w:val="BodyLevel1"/>
              <w:spacing w:before="120" w:after="120"/>
              <w:ind w:left="0"/>
              <w:rPr>
                <w:rFonts w:ascii="Verdana" w:hAnsi="Verdana"/>
                <w:sz w:val="24"/>
                <w:szCs w:val="24"/>
              </w:rPr>
            </w:pPr>
            <w:r w:rsidRPr="0025615F">
              <w:rPr>
                <w:rFonts w:ascii="Verdana" w:hAnsi="Verdana"/>
                <w:sz w:val="24"/>
                <w:szCs w:val="24"/>
              </w:rPr>
              <w:t>A</w:t>
            </w:r>
            <w:r>
              <w:rPr>
                <w:rFonts w:ascii="Verdana" w:hAnsi="Verdana"/>
                <w:sz w:val="24"/>
                <w:szCs w:val="24"/>
              </w:rPr>
              <w:t xml:space="preserve"> </w:t>
            </w:r>
            <w:r w:rsidRPr="0025615F">
              <w:rPr>
                <w:rFonts w:ascii="Verdana" w:hAnsi="Verdana"/>
                <w:sz w:val="24"/>
                <w:szCs w:val="24"/>
              </w:rPr>
              <w:t>brand</w:t>
            </w:r>
            <w:r>
              <w:rPr>
                <w:rFonts w:ascii="Verdana" w:hAnsi="Verdana"/>
                <w:sz w:val="24"/>
                <w:szCs w:val="24"/>
              </w:rPr>
              <w:t xml:space="preserve"> </w:t>
            </w:r>
            <w:r w:rsidRPr="0025615F">
              <w:rPr>
                <w:rFonts w:ascii="Verdana" w:hAnsi="Verdana"/>
                <w:sz w:val="24"/>
                <w:szCs w:val="24"/>
              </w:rPr>
              <w:t>drug</w:t>
            </w:r>
            <w:r>
              <w:rPr>
                <w:rFonts w:ascii="Verdana" w:hAnsi="Verdana"/>
                <w:sz w:val="24"/>
                <w:szCs w:val="24"/>
              </w:rPr>
              <w:t xml:space="preserve"> </w:t>
            </w:r>
            <w:r w:rsidRPr="0025615F">
              <w:rPr>
                <w:rFonts w:ascii="Verdana" w:hAnsi="Verdana"/>
                <w:sz w:val="24"/>
                <w:szCs w:val="24"/>
              </w:rPr>
              <w:t>marketed</w:t>
            </w:r>
            <w:r>
              <w:rPr>
                <w:rFonts w:ascii="Verdana" w:hAnsi="Verdana"/>
                <w:sz w:val="24"/>
                <w:szCs w:val="24"/>
              </w:rPr>
              <w:t xml:space="preserve"> </w:t>
            </w:r>
            <w:r w:rsidRPr="0025615F">
              <w:rPr>
                <w:rFonts w:ascii="Verdana" w:hAnsi="Verdana"/>
                <w:sz w:val="24"/>
                <w:szCs w:val="24"/>
              </w:rPr>
              <w:t>or</w:t>
            </w:r>
            <w:r>
              <w:rPr>
                <w:rFonts w:ascii="Verdana" w:hAnsi="Verdana"/>
                <w:sz w:val="24"/>
                <w:szCs w:val="24"/>
              </w:rPr>
              <w:t xml:space="preserve"> </w:t>
            </w:r>
            <w:r w:rsidRPr="0025615F">
              <w:rPr>
                <w:rFonts w:ascii="Verdana" w:hAnsi="Verdana"/>
                <w:sz w:val="24"/>
                <w:szCs w:val="24"/>
              </w:rPr>
              <w:t>sold</w:t>
            </w:r>
            <w:r>
              <w:rPr>
                <w:rFonts w:ascii="Verdana" w:hAnsi="Verdana"/>
                <w:sz w:val="24"/>
                <w:szCs w:val="24"/>
              </w:rPr>
              <w:t xml:space="preserve"> </w:t>
            </w:r>
            <w:r w:rsidRPr="0025615F">
              <w:rPr>
                <w:rFonts w:ascii="Verdana" w:hAnsi="Verdana"/>
                <w:sz w:val="24"/>
                <w:szCs w:val="24"/>
              </w:rPr>
              <w:t>by</w:t>
            </w:r>
            <w:r>
              <w:rPr>
                <w:rFonts w:ascii="Verdana" w:hAnsi="Verdana"/>
                <w:sz w:val="24"/>
                <w:szCs w:val="24"/>
              </w:rPr>
              <w:t xml:space="preserve"> </w:t>
            </w:r>
            <w:r w:rsidRPr="0025615F">
              <w:rPr>
                <w:rFonts w:ascii="Verdana" w:hAnsi="Verdana"/>
                <w:sz w:val="24"/>
                <w:szCs w:val="24"/>
              </w:rPr>
              <w:t>only</w:t>
            </w:r>
            <w:r>
              <w:rPr>
                <w:rFonts w:ascii="Verdana" w:hAnsi="Verdana"/>
                <w:sz w:val="24"/>
                <w:szCs w:val="24"/>
              </w:rPr>
              <w:t xml:space="preserve"> </w:t>
            </w:r>
            <w:r w:rsidRPr="0025615F">
              <w:rPr>
                <w:rFonts w:ascii="Verdana" w:hAnsi="Verdana"/>
                <w:sz w:val="24"/>
                <w:szCs w:val="24"/>
              </w:rPr>
              <w:t>one</w:t>
            </w:r>
            <w:r>
              <w:rPr>
                <w:rFonts w:ascii="Verdana" w:hAnsi="Verdana"/>
                <w:sz w:val="24"/>
                <w:szCs w:val="24"/>
              </w:rPr>
              <w:t xml:space="preserve"> </w:t>
            </w:r>
            <w:r w:rsidRPr="0025615F">
              <w:rPr>
                <w:rFonts w:ascii="Verdana" w:hAnsi="Verdana"/>
                <w:sz w:val="24"/>
                <w:szCs w:val="24"/>
              </w:rPr>
              <w:t>manufacturer</w:t>
            </w:r>
            <w:r>
              <w:rPr>
                <w:rFonts w:ascii="Verdana" w:hAnsi="Verdana"/>
                <w:sz w:val="24"/>
                <w:szCs w:val="24"/>
              </w:rPr>
              <w:t xml:space="preserve"> </w:t>
            </w:r>
            <w:r w:rsidRPr="0025615F">
              <w:rPr>
                <w:rFonts w:ascii="Verdana" w:hAnsi="Verdana"/>
                <w:sz w:val="24"/>
                <w:szCs w:val="24"/>
              </w:rPr>
              <w:t>or</w:t>
            </w:r>
            <w:r>
              <w:rPr>
                <w:rFonts w:ascii="Verdana" w:hAnsi="Verdana"/>
                <w:sz w:val="24"/>
                <w:szCs w:val="24"/>
              </w:rPr>
              <w:t xml:space="preserve"> </w:t>
            </w:r>
            <w:r w:rsidRPr="0025615F">
              <w:rPr>
                <w:rFonts w:ascii="Verdana" w:hAnsi="Verdana"/>
                <w:sz w:val="24"/>
                <w:szCs w:val="24"/>
              </w:rPr>
              <w:t>labeler</w:t>
            </w:r>
            <w:r w:rsidR="00E96762" w:rsidRPr="0025615F">
              <w:rPr>
                <w:rFonts w:ascii="Verdana" w:hAnsi="Verdana"/>
                <w:sz w:val="24"/>
                <w:szCs w:val="24"/>
              </w:rPr>
              <w:t>.</w:t>
            </w:r>
            <w:r w:rsidR="00E96762">
              <w:rPr>
                <w:rFonts w:ascii="Verdana" w:hAnsi="Verdana"/>
                <w:sz w:val="24"/>
                <w:szCs w:val="24"/>
              </w:rPr>
              <w:t xml:space="preserve"> </w:t>
            </w:r>
            <w:r>
              <w:rPr>
                <w:rFonts w:ascii="Verdana" w:hAnsi="Verdana"/>
                <w:sz w:val="24"/>
                <w:szCs w:val="24"/>
              </w:rPr>
              <w:t xml:space="preserve">We </w:t>
            </w:r>
            <w:r w:rsidRPr="0025615F">
              <w:rPr>
                <w:rFonts w:ascii="Verdana" w:hAnsi="Verdana"/>
                <w:sz w:val="24"/>
                <w:szCs w:val="24"/>
              </w:rPr>
              <w:t>also</w:t>
            </w:r>
            <w:r>
              <w:rPr>
                <w:rFonts w:ascii="Verdana" w:hAnsi="Verdana"/>
                <w:sz w:val="24"/>
                <w:szCs w:val="24"/>
              </w:rPr>
              <w:t xml:space="preserve"> </w:t>
            </w:r>
            <w:r w:rsidRPr="0025615F">
              <w:rPr>
                <w:rFonts w:ascii="Verdana" w:hAnsi="Verdana"/>
                <w:sz w:val="24"/>
                <w:szCs w:val="24"/>
              </w:rPr>
              <w:t>classif</w:t>
            </w:r>
            <w:r>
              <w:rPr>
                <w:rFonts w:ascii="Verdana" w:hAnsi="Verdana"/>
                <w:sz w:val="24"/>
                <w:szCs w:val="24"/>
              </w:rPr>
              <w:t xml:space="preserve">y </w:t>
            </w:r>
            <w:r w:rsidRPr="0025615F">
              <w:rPr>
                <w:rFonts w:ascii="Verdana" w:hAnsi="Verdana"/>
                <w:sz w:val="24"/>
                <w:szCs w:val="24"/>
              </w:rPr>
              <w:t>products</w:t>
            </w:r>
            <w:r>
              <w:rPr>
                <w:rFonts w:ascii="Verdana" w:hAnsi="Verdana"/>
                <w:sz w:val="24"/>
                <w:szCs w:val="24"/>
              </w:rPr>
              <w:t xml:space="preserve"> </w:t>
            </w:r>
            <w:r w:rsidRPr="0025615F">
              <w:rPr>
                <w:rFonts w:ascii="Verdana" w:hAnsi="Verdana"/>
                <w:sz w:val="24"/>
                <w:szCs w:val="24"/>
              </w:rPr>
              <w:t>as</w:t>
            </w:r>
            <w:r>
              <w:rPr>
                <w:rFonts w:ascii="Verdana" w:hAnsi="Verdana"/>
                <w:sz w:val="24"/>
                <w:szCs w:val="24"/>
              </w:rPr>
              <w:t xml:space="preserve"> </w:t>
            </w:r>
            <w:r w:rsidR="00E96762" w:rsidRPr="0025615F">
              <w:rPr>
                <w:rFonts w:ascii="Verdana" w:hAnsi="Verdana"/>
                <w:sz w:val="24"/>
                <w:szCs w:val="24"/>
              </w:rPr>
              <w:t>single source</w:t>
            </w:r>
            <w:r>
              <w:rPr>
                <w:rFonts w:ascii="Verdana" w:hAnsi="Verdana"/>
                <w:sz w:val="24"/>
                <w:szCs w:val="24"/>
              </w:rPr>
              <w:t xml:space="preserve"> </w:t>
            </w:r>
            <w:r w:rsidRPr="0025615F">
              <w:rPr>
                <w:rFonts w:ascii="Verdana" w:hAnsi="Verdana"/>
                <w:sz w:val="24"/>
                <w:szCs w:val="24"/>
              </w:rPr>
              <w:t>if</w:t>
            </w:r>
            <w:r>
              <w:rPr>
                <w:rFonts w:ascii="Verdana" w:hAnsi="Verdana"/>
                <w:sz w:val="24"/>
                <w:szCs w:val="24"/>
              </w:rPr>
              <w:t xml:space="preserve"> </w:t>
            </w:r>
            <w:r w:rsidRPr="0025615F">
              <w:rPr>
                <w:rFonts w:ascii="Verdana" w:hAnsi="Verdana"/>
                <w:sz w:val="24"/>
                <w:szCs w:val="24"/>
              </w:rPr>
              <w:t>they</w:t>
            </w:r>
            <w:r>
              <w:rPr>
                <w:rFonts w:ascii="Verdana" w:hAnsi="Verdana"/>
                <w:sz w:val="24"/>
                <w:szCs w:val="24"/>
              </w:rPr>
              <w:t xml:space="preserve"> </w:t>
            </w:r>
            <w:r w:rsidRPr="0025615F">
              <w:rPr>
                <w:rFonts w:ascii="Verdana" w:hAnsi="Verdana"/>
                <w:sz w:val="24"/>
                <w:szCs w:val="24"/>
              </w:rPr>
              <w:t>are</w:t>
            </w:r>
            <w:r>
              <w:rPr>
                <w:rFonts w:ascii="Verdana" w:hAnsi="Verdana"/>
                <w:sz w:val="24"/>
                <w:szCs w:val="24"/>
              </w:rPr>
              <w:t xml:space="preserve"> </w:t>
            </w:r>
            <w:r w:rsidRPr="0025615F">
              <w:rPr>
                <w:rFonts w:ascii="Verdana" w:hAnsi="Verdana"/>
                <w:sz w:val="24"/>
                <w:szCs w:val="24"/>
              </w:rPr>
              <w:t>under</w:t>
            </w:r>
            <w:r>
              <w:rPr>
                <w:rFonts w:ascii="Verdana" w:hAnsi="Verdana"/>
                <w:sz w:val="24"/>
                <w:szCs w:val="24"/>
              </w:rPr>
              <w:t xml:space="preserve"> </w:t>
            </w:r>
            <w:r w:rsidRPr="0025615F">
              <w:rPr>
                <w:rFonts w:ascii="Verdana" w:hAnsi="Verdana"/>
                <w:sz w:val="24"/>
                <w:szCs w:val="24"/>
              </w:rPr>
              <w:t>patent</w:t>
            </w:r>
            <w:r>
              <w:rPr>
                <w:rFonts w:ascii="Verdana" w:hAnsi="Verdana"/>
                <w:sz w:val="24"/>
                <w:szCs w:val="24"/>
              </w:rPr>
              <w:t xml:space="preserve"> </w:t>
            </w:r>
            <w:r w:rsidRPr="0025615F">
              <w:rPr>
                <w:rFonts w:ascii="Verdana" w:hAnsi="Verdana"/>
                <w:sz w:val="24"/>
                <w:szCs w:val="24"/>
              </w:rPr>
              <w:t>or</w:t>
            </w:r>
            <w:r>
              <w:rPr>
                <w:rFonts w:ascii="Verdana" w:hAnsi="Verdana"/>
                <w:sz w:val="24"/>
                <w:szCs w:val="24"/>
              </w:rPr>
              <w:t xml:space="preserve"> </w:t>
            </w:r>
            <w:r w:rsidRPr="0025615F">
              <w:rPr>
                <w:rFonts w:ascii="Verdana" w:hAnsi="Verdana"/>
                <w:sz w:val="24"/>
                <w:szCs w:val="24"/>
              </w:rPr>
              <w:t>exclusivity</w:t>
            </w:r>
            <w:r>
              <w:rPr>
                <w:rFonts w:ascii="Verdana" w:hAnsi="Verdana"/>
                <w:sz w:val="24"/>
                <w:szCs w:val="24"/>
              </w:rPr>
              <w:t xml:space="preserve"> </w:t>
            </w:r>
            <w:r w:rsidRPr="0025615F">
              <w:rPr>
                <w:rFonts w:ascii="Verdana" w:hAnsi="Verdana"/>
                <w:sz w:val="24"/>
                <w:szCs w:val="24"/>
              </w:rPr>
              <w:t>protection,</w:t>
            </w:r>
            <w:r>
              <w:rPr>
                <w:rFonts w:ascii="Verdana" w:hAnsi="Verdana"/>
                <w:sz w:val="24"/>
                <w:szCs w:val="24"/>
              </w:rPr>
              <w:t xml:space="preserve"> </w:t>
            </w:r>
            <w:r w:rsidRPr="0025615F">
              <w:rPr>
                <w:rFonts w:ascii="Verdana" w:hAnsi="Verdana"/>
                <w:sz w:val="24"/>
                <w:szCs w:val="24"/>
              </w:rPr>
              <w:t>even</w:t>
            </w:r>
            <w:r>
              <w:rPr>
                <w:rFonts w:ascii="Verdana" w:hAnsi="Verdana"/>
                <w:sz w:val="24"/>
                <w:szCs w:val="24"/>
              </w:rPr>
              <w:t xml:space="preserve"> </w:t>
            </w:r>
            <w:r w:rsidRPr="0025615F">
              <w:rPr>
                <w:rFonts w:ascii="Verdana" w:hAnsi="Verdana"/>
                <w:sz w:val="24"/>
                <w:szCs w:val="24"/>
              </w:rPr>
              <w:t>if</w:t>
            </w:r>
            <w:r>
              <w:rPr>
                <w:rFonts w:ascii="Verdana" w:hAnsi="Verdana"/>
                <w:sz w:val="24"/>
                <w:szCs w:val="24"/>
              </w:rPr>
              <w:t xml:space="preserve"> </w:t>
            </w:r>
            <w:r w:rsidRPr="0025615F">
              <w:rPr>
                <w:rFonts w:ascii="Verdana" w:hAnsi="Verdana"/>
                <w:sz w:val="24"/>
                <w:szCs w:val="24"/>
              </w:rPr>
              <w:t>more</w:t>
            </w:r>
            <w:r>
              <w:rPr>
                <w:rFonts w:ascii="Verdana" w:hAnsi="Verdana"/>
                <w:sz w:val="24"/>
                <w:szCs w:val="24"/>
              </w:rPr>
              <w:t xml:space="preserve"> </w:t>
            </w:r>
            <w:r w:rsidRPr="0025615F">
              <w:rPr>
                <w:rFonts w:ascii="Verdana" w:hAnsi="Verdana"/>
                <w:sz w:val="24"/>
                <w:szCs w:val="24"/>
              </w:rPr>
              <w:t>than</w:t>
            </w:r>
            <w:r>
              <w:rPr>
                <w:rFonts w:ascii="Verdana" w:hAnsi="Verdana"/>
                <w:sz w:val="24"/>
                <w:szCs w:val="24"/>
              </w:rPr>
              <w:t xml:space="preserve"> </w:t>
            </w:r>
            <w:r w:rsidRPr="0025615F">
              <w:rPr>
                <w:rFonts w:ascii="Verdana" w:hAnsi="Verdana"/>
                <w:sz w:val="24"/>
                <w:szCs w:val="24"/>
              </w:rPr>
              <w:t>one</w:t>
            </w:r>
            <w:r>
              <w:rPr>
                <w:rFonts w:ascii="Verdana" w:hAnsi="Verdana"/>
                <w:sz w:val="24"/>
                <w:szCs w:val="24"/>
              </w:rPr>
              <w:t xml:space="preserve"> </w:t>
            </w:r>
            <w:r w:rsidRPr="0025615F">
              <w:rPr>
                <w:rFonts w:ascii="Verdana" w:hAnsi="Verdana"/>
                <w:sz w:val="24"/>
                <w:szCs w:val="24"/>
              </w:rPr>
              <w:t>is</w:t>
            </w:r>
            <w:r>
              <w:rPr>
                <w:rFonts w:ascii="Verdana" w:hAnsi="Verdana"/>
                <w:sz w:val="24"/>
                <w:szCs w:val="24"/>
              </w:rPr>
              <w:t xml:space="preserve"> </w:t>
            </w:r>
            <w:r w:rsidRPr="0025615F">
              <w:rPr>
                <w:rFonts w:ascii="Verdana" w:hAnsi="Verdana"/>
                <w:sz w:val="24"/>
                <w:szCs w:val="24"/>
              </w:rPr>
              <w:t>marketed.</w:t>
            </w:r>
          </w:p>
        </w:tc>
      </w:tr>
      <w:tr w:rsidR="00EB26B3" w:rsidRPr="0025615F" w14:paraId="306905E4" w14:textId="77777777" w:rsidTr="00E73ECA">
        <w:tc>
          <w:tcPr>
            <w:tcW w:w="1435" w:type="pct"/>
          </w:tcPr>
          <w:p w14:paraId="534E30D9"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Break In Coverage</w:t>
            </w:r>
          </w:p>
        </w:tc>
        <w:tc>
          <w:tcPr>
            <w:tcW w:w="3565" w:type="pct"/>
          </w:tcPr>
          <w:p w14:paraId="2A12DB05" w14:textId="7A8372A6" w:rsidR="00EB26B3" w:rsidRPr="0025615F" w:rsidDel="009B63E4" w:rsidRDefault="0057615C" w:rsidP="002D289F">
            <w:pPr>
              <w:spacing w:before="120" w:after="120"/>
              <w:rPr>
                <w:rFonts w:ascii="Verdana" w:hAnsi="Verdana"/>
              </w:rPr>
            </w:pPr>
            <w:r>
              <w:rPr>
                <w:rFonts w:ascii="Verdana" w:hAnsi="Verdana"/>
              </w:rPr>
              <w:t>Time frame in which</w:t>
            </w:r>
            <w:r w:rsidR="00EB26B3">
              <w:rPr>
                <w:rFonts w:ascii="Verdana" w:hAnsi="Verdana"/>
              </w:rPr>
              <w:t xml:space="preserve"> </w:t>
            </w:r>
            <w:r w:rsidR="00EB26B3" w:rsidRPr="0025615F">
              <w:rPr>
                <w:rFonts w:ascii="Verdana" w:hAnsi="Verdana"/>
              </w:rPr>
              <w:t>the</w:t>
            </w:r>
            <w:r w:rsidR="00EB26B3">
              <w:rPr>
                <w:rFonts w:ascii="Verdana" w:hAnsi="Verdana"/>
              </w:rPr>
              <w:t xml:space="preserve"> </w:t>
            </w:r>
            <w:r w:rsidR="00EB26B3" w:rsidRPr="0025615F">
              <w:rPr>
                <w:rFonts w:ascii="Verdana" w:hAnsi="Verdana"/>
              </w:rPr>
              <w:t>card</w:t>
            </w:r>
            <w:r w:rsidR="00EB26B3">
              <w:rPr>
                <w:rFonts w:ascii="Verdana" w:hAnsi="Verdana"/>
              </w:rPr>
              <w:t xml:space="preserve"> </w:t>
            </w:r>
            <w:r w:rsidR="00EB26B3" w:rsidRPr="0025615F">
              <w:rPr>
                <w:rFonts w:ascii="Verdana" w:hAnsi="Verdana"/>
              </w:rPr>
              <w:t>plan</w:t>
            </w:r>
            <w:r w:rsidR="00EB26B3">
              <w:rPr>
                <w:rFonts w:ascii="Verdana" w:hAnsi="Verdana"/>
              </w:rPr>
              <w:t xml:space="preserve"> </w:t>
            </w:r>
            <w:r w:rsidR="00EB26B3" w:rsidRPr="0025615F">
              <w:rPr>
                <w:rFonts w:ascii="Verdana" w:hAnsi="Verdana"/>
              </w:rPr>
              <w:t>member</w:t>
            </w:r>
            <w:r w:rsidR="00EB26B3">
              <w:rPr>
                <w:rFonts w:ascii="Verdana" w:hAnsi="Verdana"/>
              </w:rPr>
              <w:t xml:space="preserve"> </w:t>
            </w:r>
            <w:r w:rsidR="00EB26B3" w:rsidRPr="0025615F">
              <w:rPr>
                <w:rFonts w:ascii="Verdana" w:hAnsi="Verdana"/>
              </w:rPr>
              <w:t>is</w:t>
            </w:r>
            <w:r w:rsidR="00EB26B3">
              <w:rPr>
                <w:rFonts w:ascii="Verdana" w:hAnsi="Verdana"/>
              </w:rPr>
              <w:t xml:space="preserve"> </w:t>
            </w:r>
            <w:r w:rsidR="00EB26B3" w:rsidRPr="0025615F">
              <w:rPr>
                <w:rFonts w:ascii="Verdana" w:hAnsi="Verdana"/>
              </w:rPr>
              <w:t>without</w:t>
            </w:r>
            <w:r w:rsidR="00EB26B3">
              <w:rPr>
                <w:rFonts w:ascii="Verdana" w:hAnsi="Verdana"/>
              </w:rPr>
              <w:t xml:space="preserve"> our co</w:t>
            </w:r>
            <w:r w:rsidR="00EB26B3" w:rsidRPr="0025615F">
              <w:rPr>
                <w:rFonts w:ascii="Verdana" w:hAnsi="Verdana"/>
              </w:rPr>
              <w:t>verage</w:t>
            </w:r>
            <w:r w:rsidR="00E96762" w:rsidRPr="0025615F">
              <w:rPr>
                <w:rFonts w:ascii="Verdana" w:hAnsi="Verdana"/>
              </w:rPr>
              <w:t>.</w:t>
            </w:r>
            <w:r w:rsidR="00E96762">
              <w:rPr>
                <w:rFonts w:ascii="Verdana" w:hAnsi="Verdana"/>
              </w:rPr>
              <w:t xml:space="preserve"> </w:t>
            </w:r>
            <w:r w:rsidR="00EB26B3" w:rsidRPr="0025615F">
              <w:rPr>
                <w:rFonts w:ascii="Verdana" w:hAnsi="Verdana"/>
              </w:rPr>
              <w:t>An</w:t>
            </w:r>
            <w:r w:rsidR="00EB26B3">
              <w:rPr>
                <w:rFonts w:ascii="Verdana" w:hAnsi="Verdana"/>
              </w:rPr>
              <w:t xml:space="preserve"> </w:t>
            </w:r>
            <w:r w:rsidR="00EB26B3" w:rsidRPr="0025615F">
              <w:rPr>
                <w:rFonts w:ascii="Verdana" w:hAnsi="Verdana"/>
              </w:rPr>
              <w:t>example</w:t>
            </w:r>
            <w:r w:rsidR="00EB26B3">
              <w:rPr>
                <w:rFonts w:ascii="Verdana" w:hAnsi="Verdana"/>
              </w:rPr>
              <w:t xml:space="preserve"> </w:t>
            </w:r>
            <w:r w:rsidR="00EB26B3" w:rsidRPr="0025615F">
              <w:rPr>
                <w:rFonts w:ascii="Verdana" w:hAnsi="Verdana"/>
              </w:rPr>
              <w:t>would</w:t>
            </w:r>
            <w:r w:rsidR="00EB26B3">
              <w:rPr>
                <w:rFonts w:ascii="Verdana" w:hAnsi="Verdana"/>
              </w:rPr>
              <w:t xml:space="preserve"> </w:t>
            </w:r>
            <w:r w:rsidR="00EB26B3" w:rsidRPr="0025615F">
              <w:rPr>
                <w:rFonts w:ascii="Verdana" w:hAnsi="Verdana"/>
              </w:rPr>
              <w:t>be</w:t>
            </w:r>
            <w:r w:rsidR="00EB26B3">
              <w:rPr>
                <w:rFonts w:ascii="Verdana" w:hAnsi="Verdana"/>
              </w:rPr>
              <w:t xml:space="preserve"> </w:t>
            </w:r>
            <w:r w:rsidR="00EB26B3" w:rsidRPr="0025615F">
              <w:rPr>
                <w:rFonts w:ascii="Verdana" w:hAnsi="Verdana"/>
              </w:rPr>
              <w:t>when</w:t>
            </w:r>
            <w:r w:rsidR="00EB26B3">
              <w:rPr>
                <w:rFonts w:ascii="Verdana" w:hAnsi="Verdana"/>
              </w:rPr>
              <w:t xml:space="preserve"> </w:t>
            </w:r>
            <w:r w:rsidR="00EB26B3" w:rsidRPr="0025615F">
              <w:rPr>
                <w:rFonts w:ascii="Verdana" w:hAnsi="Verdana"/>
              </w:rPr>
              <w:t>the</w:t>
            </w:r>
            <w:r w:rsidR="00EB26B3">
              <w:rPr>
                <w:rFonts w:ascii="Verdana" w:hAnsi="Verdana"/>
              </w:rPr>
              <w:t xml:space="preserve"> </w:t>
            </w:r>
            <w:r w:rsidR="00EB26B3" w:rsidRPr="0025615F">
              <w:rPr>
                <w:rFonts w:ascii="Verdana" w:hAnsi="Verdana"/>
              </w:rPr>
              <w:t>expiration</w:t>
            </w:r>
            <w:r w:rsidR="00EB26B3">
              <w:rPr>
                <w:rFonts w:ascii="Verdana" w:hAnsi="Verdana"/>
              </w:rPr>
              <w:t xml:space="preserve"> </w:t>
            </w:r>
            <w:r w:rsidR="00EB26B3" w:rsidRPr="0025615F">
              <w:rPr>
                <w:rFonts w:ascii="Verdana" w:hAnsi="Verdana"/>
              </w:rPr>
              <w:t>date</w:t>
            </w:r>
            <w:r w:rsidR="00EB26B3">
              <w:rPr>
                <w:rFonts w:ascii="Verdana" w:hAnsi="Verdana"/>
              </w:rPr>
              <w:t xml:space="preserve"> </w:t>
            </w:r>
            <w:r w:rsidR="00EB26B3" w:rsidRPr="0025615F">
              <w:rPr>
                <w:rFonts w:ascii="Verdana" w:hAnsi="Verdana"/>
              </w:rPr>
              <w:t>of</w:t>
            </w:r>
            <w:r w:rsidR="00EB26B3">
              <w:rPr>
                <w:rFonts w:ascii="Verdana" w:hAnsi="Verdana"/>
              </w:rPr>
              <w:t xml:space="preserve"> co</w:t>
            </w:r>
            <w:r w:rsidR="00EB26B3" w:rsidRPr="0025615F">
              <w:rPr>
                <w:rFonts w:ascii="Verdana" w:hAnsi="Verdana"/>
              </w:rPr>
              <w:t>verage</w:t>
            </w:r>
            <w:r w:rsidR="00EB26B3">
              <w:rPr>
                <w:rFonts w:ascii="Verdana" w:hAnsi="Verdana"/>
              </w:rPr>
              <w:t xml:space="preserve"> </w:t>
            </w:r>
            <w:r w:rsidR="00EB26B3" w:rsidRPr="0025615F">
              <w:rPr>
                <w:rFonts w:ascii="Verdana" w:hAnsi="Verdana"/>
              </w:rPr>
              <w:t>has</w:t>
            </w:r>
            <w:r w:rsidR="00EB26B3">
              <w:rPr>
                <w:rFonts w:ascii="Verdana" w:hAnsi="Verdana"/>
              </w:rPr>
              <w:t xml:space="preserve"> </w:t>
            </w:r>
            <w:r w:rsidR="00EB26B3" w:rsidRPr="0025615F">
              <w:rPr>
                <w:rFonts w:ascii="Verdana" w:hAnsi="Verdana"/>
              </w:rPr>
              <w:t>occurred,</w:t>
            </w:r>
            <w:r w:rsidR="00EB26B3">
              <w:rPr>
                <w:rFonts w:ascii="Verdana" w:hAnsi="Verdana"/>
              </w:rPr>
              <w:t xml:space="preserve"> </w:t>
            </w:r>
            <w:r w:rsidR="00EB26B3" w:rsidRPr="0025615F">
              <w:rPr>
                <w:rFonts w:ascii="Verdana" w:hAnsi="Verdana"/>
              </w:rPr>
              <w:t>but</w:t>
            </w:r>
            <w:r w:rsidR="00EB26B3">
              <w:rPr>
                <w:rFonts w:ascii="Verdana" w:hAnsi="Verdana"/>
              </w:rPr>
              <w:t xml:space="preserve"> </w:t>
            </w:r>
            <w:r w:rsidR="00EB26B3" w:rsidRPr="0025615F">
              <w:rPr>
                <w:rFonts w:ascii="Verdana" w:hAnsi="Verdana"/>
              </w:rPr>
              <w:t>the</w:t>
            </w:r>
            <w:r w:rsidR="00EB26B3">
              <w:rPr>
                <w:rFonts w:ascii="Verdana" w:hAnsi="Verdana"/>
              </w:rPr>
              <w:t xml:space="preserve"> </w:t>
            </w:r>
            <w:r w:rsidR="00EB26B3" w:rsidRPr="0025615F">
              <w:rPr>
                <w:rFonts w:ascii="Verdana" w:hAnsi="Verdana"/>
              </w:rPr>
              <w:t>effective</w:t>
            </w:r>
            <w:r w:rsidR="00EB26B3">
              <w:rPr>
                <w:rFonts w:ascii="Verdana" w:hAnsi="Verdana"/>
              </w:rPr>
              <w:t xml:space="preserve"> </w:t>
            </w:r>
            <w:r w:rsidR="00EB26B3" w:rsidRPr="0025615F">
              <w:rPr>
                <w:rFonts w:ascii="Verdana" w:hAnsi="Verdana"/>
              </w:rPr>
              <w:t>date</w:t>
            </w:r>
            <w:r w:rsidR="00EB26B3">
              <w:rPr>
                <w:rFonts w:ascii="Verdana" w:hAnsi="Verdana"/>
              </w:rPr>
              <w:t xml:space="preserve"> </w:t>
            </w:r>
            <w:r w:rsidR="00EB26B3" w:rsidRPr="0025615F">
              <w:rPr>
                <w:rFonts w:ascii="Verdana" w:hAnsi="Verdana"/>
              </w:rPr>
              <w:t>for</w:t>
            </w:r>
            <w:r w:rsidR="00EB26B3">
              <w:rPr>
                <w:rFonts w:ascii="Verdana" w:hAnsi="Verdana"/>
              </w:rPr>
              <w:t xml:space="preserve"> </w:t>
            </w:r>
            <w:r w:rsidR="00EB26B3" w:rsidRPr="0025615F">
              <w:rPr>
                <w:rFonts w:ascii="Verdana" w:hAnsi="Verdana"/>
              </w:rPr>
              <w:t>new</w:t>
            </w:r>
            <w:r w:rsidR="00EB26B3">
              <w:rPr>
                <w:rFonts w:ascii="Verdana" w:hAnsi="Verdana"/>
              </w:rPr>
              <w:t xml:space="preserve"> co</w:t>
            </w:r>
            <w:r w:rsidR="00EB26B3" w:rsidRPr="0025615F">
              <w:rPr>
                <w:rFonts w:ascii="Verdana" w:hAnsi="Verdana"/>
              </w:rPr>
              <w:t>verage</w:t>
            </w:r>
            <w:r w:rsidR="00EB26B3">
              <w:rPr>
                <w:rFonts w:ascii="Verdana" w:hAnsi="Verdana"/>
              </w:rPr>
              <w:t xml:space="preserve"> </w:t>
            </w:r>
            <w:r w:rsidR="00EB26B3" w:rsidRPr="0025615F">
              <w:rPr>
                <w:rFonts w:ascii="Verdana" w:hAnsi="Verdana"/>
              </w:rPr>
              <w:t>may</w:t>
            </w:r>
            <w:r w:rsidR="00EB26B3">
              <w:rPr>
                <w:rFonts w:ascii="Verdana" w:hAnsi="Verdana"/>
              </w:rPr>
              <w:t xml:space="preserve"> </w:t>
            </w:r>
            <w:r w:rsidR="00EB26B3" w:rsidRPr="0025615F">
              <w:rPr>
                <w:rFonts w:ascii="Verdana" w:hAnsi="Verdana"/>
              </w:rPr>
              <w:t>be</w:t>
            </w:r>
            <w:r w:rsidR="00EB26B3">
              <w:rPr>
                <w:rFonts w:ascii="Verdana" w:hAnsi="Verdana"/>
              </w:rPr>
              <w:t xml:space="preserve"> </w:t>
            </w:r>
            <w:r w:rsidR="00EB26B3" w:rsidRPr="0025615F">
              <w:rPr>
                <w:rFonts w:ascii="Verdana" w:hAnsi="Verdana"/>
              </w:rPr>
              <w:t>set</w:t>
            </w:r>
            <w:r w:rsidR="00EB26B3">
              <w:rPr>
                <w:rFonts w:ascii="Verdana" w:hAnsi="Verdana"/>
              </w:rPr>
              <w:t xml:space="preserve"> </w:t>
            </w:r>
            <w:r w:rsidR="00EB26B3" w:rsidRPr="0025615F">
              <w:rPr>
                <w:rFonts w:ascii="Verdana" w:hAnsi="Verdana"/>
              </w:rPr>
              <w:t>a</w:t>
            </w:r>
            <w:r w:rsidR="00EB26B3">
              <w:rPr>
                <w:rFonts w:ascii="Verdana" w:hAnsi="Verdana"/>
              </w:rPr>
              <w:t xml:space="preserve"> </w:t>
            </w:r>
            <w:r w:rsidR="00EB26B3" w:rsidRPr="0025615F">
              <w:rPr>
                <w:rFonts w:ascii="Verdana" w:hAnsi="Verdana"/>
              </w:rPr>
              <w:t>span</w:t>
            </w:r>
            <w:r w:rsidR="00EB26B3">
              <w:rPr>
                <w:rFonts w:ascii="Verdana" w:hAnsi="Verdana"/>
              </w:rPr>
              <w:t xml:space="preserve"> </w:t>
            </w:r>
            <w:r w:rsidR="00EB26B3" w:rsidRPr="0025615F">
              <w:rPr>
                <w:rFonts w:ascii="Verdana" w:hAnsi="Verdana"/>
              </w:rPr>
              <w:t>of</w:t>
            </w:r>
            <w:r w:rsidR="00EB26B3">
              <w:rPr>
                <w:rFonts w:ascii="Verdana" w:hAnsi="Verdana"/>
              </w:rPr>
              <w:t xml:space="preserve"> </w:t>
            </w:r>
            <w:r w:rsidR="00EB26B3" w:rsidRPr="0025615F">
              <w:rPr>
                <w:rFonts w:ascii="Verdana" w:hAnsi="Verdana"/>
              </w:rPr>
              <w:t>a</w:t>
            </w:r>
            <w:r w:rsidR="00EB26B3">
              <w:rPr>
                <w:rFonts w:ascii="Verdana" w:hAnsi="Verdana"/>
              </w:rPr>
              <w:t xml:space="preserve"> </w:t>
            </w:r>
            <w:r w:rsidR="00EB26B3" w:rsidRPr="0025615F">
              <w:rPr>
                <w:rFonts w:ascii="Verdana" w:hAnsi="Verdana"/>
              </w:rPr>
              <w:t>month</w:t>
            </w:r>
            <w:r w:rsidR="00EB26B3">
              <w:rPr>
                <w:rFonts w:ascii="Verdana" w:hAnsi="Verdana"/>
              </w:rPr>
              <w:t xml:space="preserve"> </w:t>
            </w:r>
            <w:r w:rsidR="00EB26B3" w:rsidRPr="0025615F">
              <w:rPr>
                <w:rFonts w:ascii="Verdana" w:hAnsi="Verdana"/>
              </w:rPr>
              <w:t>or</w:t>
            </w:r>
            <w:r w:rsidR="00EB26B3">
              <w:rPr>
                <w:rFonts w:ascii="Verdana" w:hAnsi="Verdana"/>
              </w:rPr>
              <w:t xml:space="preserve"> </w:t>
            </w:r>
            <w:r w:rsidR="00EB26B3" w:rsidRPr="0025615F">
              <w:rPr>
                <w:rFonts w:ascii="Verdana" w:hAnsi="Verdana"/>
              </w:rPr>
              <w:t>more</w:t>
            </w:r>
            <w:r w:rsidR="00EB26B3">
              <w:rPr>
                <w:rFonts w:ascii="Verdana" w:hAnsi="Verdana"/>
              </w:rPr>
              <w:t xml:space="preserve"> </w:t>
            </w:r>
            <w:r w:rsidR="00EB26B3" w:rsidRPr="0025615F">
              <w:rPr>
                <w:rFonts w:ascii="Verdana" w:hAnsi="Verdana"/>
              </w:rPr>
              <w:t>ahead,</w:t>
            </w:r>
            <w:r w:rsidR="00EB26B3">
              <w:rPr>
                <w:rFonts w:ascii="Verdana" w:hAnsi="Verdana"/>
              </w:rPr>
              <w:t xml:space="preserve"> </w:t>
            </w:r>
            <w:r w:rsidR="00EB26B3" w:rsidRPr="0025615F">
              <w:rPr>
                <w:rFonts w:ascii="Verdana" w:hAnsi="Verdana"/>
              </w:rPr>
              <w:t>thus</w:t>
            </w:r>
            <w:r w:rsidR="00EB26B3">
              <w:rPr>
                <w:rFonts w:ascii="Verdana" w:hAnsi="Verdana"/>
              </w:rPr>
              <w:t xml:space="preserve"> </w:t>
            </w:r>
            <w:r w:rsidR="00EB26B3" w:rsidRPr="0025615F">
              <w:rPr>
                <w:rFonts w:ascii="Verdana" w:hAnsi="Verdana"/>
              </w:rPr>
              <w:t>causing</w:t>
            </w:r>
            <w:r w:rsidR="00EB26B3">
              <w:rPr>
                <w:rFonts w:ascii="Verdana" w:hAnsi="Verdana"/>
              </w:rPr>
              <w:t xml:space="preserve"> </w:t>
            </w:r>
            <w:r w:rsidR="00EB26B3" w:rsidRPr="0025615F">
              <w:rPr>
                <w:rFonts w:ascii="Verdana" w:hAnsi="Verdana"/>
              </w:rPr>
              <w:t>a</w:t>
            </w:r>
            <w:r w:rsidR="00EB26B3">
              <w:rPr>
                <w:rFonts w:ascii="Verdana" w:hAnsi="Verdana"/>
              </w:rPr>
              <w:t xml:space="preserve"> </w:t>
            </w:r>
            <w:r w:rsidR="00EB26B3" w:rsidRPr="0025615F">
              <w:rPr>
                <w:rFonts w:ascii="Verdana" w:hAnsi="Verdana"/>
              </w:rPr>
              <w:t>gap</w:t>
            </w:r>
            <w:r w:rsidR="00EB26B3">
              <w:rPr>
                <w:rFonts w:ascii="Verdana" w:hAnsi="Verdana"/>
              </w:rPr>
              <w:t xml:space="preserve"> </w:t>
            </w:r>
            <w:r w:rsidR="00EB26B3" w:rsidRPr="0025615F">
              <w:rPr>
                <w:rFonts w:ascii="Verdana" w:hAnsi="Verdana"/>
              </w:rPr>
              <w:t>in</w:t>
            </w:r>
            <w:r w:rsidR="00EB26B3">
              <w:rPr>
                <w:rFonts w:ascii="Verdana" w:hAnsi="Verdana"/>
              </w:rPr>
              <w:t xml:space="preserve"> co</w:t>
            </w:r>
            <w:r w:rsidR="00EB26B3" w:rsidRPr="0025615F">
              <w:rPr>
                <w:rFonts w:ascii="Verdana" w:hAnsi="Verdana"/>
              </w:rPr>
              <w:t>verage</w:t>
            </w:r>
            <w:r w:rsidR="00EB26B3">
              <w:rPr>
                <w:rFonts w:ascii="Verdana" w:hAnsi="Verdana"/>
              </w:rPr>
              <w:t xml:space="preserve"> </w:t>
            </w:r>
            <w:r w:rsidR="00EB26B3" w:rsidRPr="0025615F">
              <w:rPr>
                <w:rFonts w:ascii="Verdana" w:hAnsi="Verdana"/>
              </w:rPr>
              <w:t>or</w:t>
            </w:r>
            <w:r w:rsidR="00EB26B3">
              <w:rPr>
                <w:rFonts w:ascii="Verdana" w:hAnsi="Verdana"/>
              </w:rPr>
              <w:t xml:space="preserve"> </w:t>
            </w:r>
            <w:r w:rsidR="00EB26B3" w:rsidRPr="0025615F">
              <w:rPr>
                <w:rFonts w:ascii="Verdana" w:hAnsi="Verdana"/>
              </w:rPr>
              <w:t>a</w:t>
            </w:r>
            <w:r w:rsidR="00EB26B3">
              <w:rPr>
                <w:rFonts w:ascii="Verdana" w:hAnsi="Verdana"/>
              </w:rPr>
              <w:t xml:space="preserve"> </w:t>
            </w:r>
            <w:r w:rsidR="00EB26B3" w:rsidRPr="0025615F">
              <w:rPr>
                <w:rFonts w:ascii="Verdana" w:hAnsi="Verdana"/>
              </w:rPr>
              <w:t>break.</w:t>
            </w:r>
          </w:p>
        </w:tc>
      </w:tr>
      <w:tr w:rsidR="00EB26B3" w:rsidRPr="0025615F" w14:paraId="3B576D2C" w14:textId="77777777" w:rsidTr="00E73ECA">
        <w:tc>
          <w:tcPr>
            <w:tcW w:w="1435" w:type="pct"/>
          </w:tcPr>
          <w:p w14:paraId="6C8573C2" w14:textId="7B52B7C1"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Bridge Supply or Bridge Supply upon Return</w:t>
            </w:r>
          </w:p>
        </w:tc>
        <w:tc>
          <w:tcPr>
            <w:tcW w:w="3565" w:type="pct"/>
          </w:tcPr>
          <w:p w14:paraId="56B6BC02" w14:textId="21379D8B" w:rsidR="00EB26B3" w:rsidRPr="0025615F" w:rsidRDefault="00EB26B3" w:rsidP="002D289F">
            <w:pPr>
              <w:spacing w:before="120" w:after="120"/>
              <w:rPr>
                <w:rFonts w:ascii="Verdana" w:hAnsi="Verdana"/>
                <w:color w:val="000000"/>
              </w:rPr>
            </w:pPr>
            <w:r w:rsidRPr="0025615F">
              <w:rPr>
                <w:rFonts w:ascii="Verdana" w:hAnsi="Verdana"/>
                <w:color w:val="000000"/>
              </w:rPr>
              <w:t>A</w:t>
            </w:r>
            <w:r>
              <w:rPr>
                <w:rFonts w:ascii="Verdana" w:hAnsi="Verdana"/>
                <w:color w:val="000000"/>
              </w:rPr>
              <w:t xml:space="preserve"> </w:t>
            </w:r>
            <w:r w:rsidR="008E6952" w:rsidRPr="0025615F">
              <w:rPr>
                <w:rFonts w:ascii="Verdana" w:hAnsi="Verdana"/>
                <w:color w:val="000000"/>
              </w:rPr>
              <w:t>10</w:t>
            </w:r>
            <w:r w:rsidR="008E6952">
              <w:rPr>
                <w:rFonts w:ascii="Verdana" w:hAnsi="Verdana"/>
                <w:color w:val="000000"/>
              </w:rPr>
              <w:t>-day</w:t>
            </w:r>
            <w:r>
              <w:rPr>
                <w:rFonts w:ascii="Verdana" w:hAnsi="Verdana"/>
                <w:color w:val="000000"/>
              </w:rPr>
              <w:t xml:space="preserve"> </w:t>
            </w:r>
            <w:r w:rsidRPr="0025615F">
              <w:rPr>
                <w:rFonts w:ascii="Verdana" w:hAnsi="Verdana"/>
                <w:color w:val="000000"/>
              </w:rPr>
              <w:t>supply</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medication(s)</w:t>
            </w:r>
            <w:r>
              <w:rPr>
                <w:rFonts w:ascii="Verdana" w:hAnsi="Verdana"/>
                <w:color w:val="000000"/>
              </w:rPr>
              <w:t xml:space="preserve"> </w:t>
            </w:r>
            <w:r w:rsidRPr="0025615F">
              <w:rPr>
                <w:rFonts w:ascii="Verdana" w:hAnsi="Verdana"/>
                <w:color w:val="000000"/>
              </w:rPr>
              <w:t>provided</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members</w:t>
            </w:r>
            <w:r>
              <w:rPr>
                <w:rFonts w:ascii="Verdana" w:hAnsi="Verdana"/>
                <w:color w:val="000000"/>
              </w:rPr>
              <w:t xml:space="preserve"> </w:t>
            </w:r>
            <w:r w:rsidRPr="0025615F">
              <w:rPr>
                <w:rFonts w:ascii="Verdana" w:hAnsi="Verdana"/>
                <w:color w:val="000000"/>
              </w:rPr>
              <w:t>through</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CVS</w:t>
            </w:r>
            <w:r>
              <w:rPr>
                <w:rFonts w:ascii="Verdana" w:hAnsi="Verdana"/>
                <w:color w:val="000000"/>
              </w:rPr>
              <w:t xml:space="preserve"> </w:t>
            </w:r>
            <w:r w:rsidRPr="0025615F">
              <w:rPr>
                <w:rFonts w:ascii="Verdana" w:hAnsi="Verdana"/>
                <w:color w:val="000000"/>
              </w:rPr>
              <w:t>Retail</w:t>
            </w:r>
            <w:r>
              <w:rPr>
                <w:rFonts w:ascii="Verdana" w:hAnsi="Verdana"/>
                <w:color w:val="000000"/>
              </w:rPr>
              <w:t xml:space="preserve"> </w:t>
            </w:r>
            <w:r w:rsidRPr="0025615F">
              <w:rPr>
                <w:rFonts w:ascii="Verdana" w:hAnsi="Verdana"/>
                <w:color w:val="000000"/>
              </w:rPr>
              <w:t>Pharmacy</w:t>
            </w:r>
            <w:r>
              <w:rPr>
                <w:rFonts w:ascii="Verdana" w:hAnsi="Verdana"/>
                <w:color w:val="000000"/>
              </w:rPr>
              <w:t>.</w:t>
            </w:r>
          </w:p>
        </w:tc>
      </w:tr>
      <w:tr w:rsidR="00EB26B3" w:rsidRPr="0025615F" w14:paraId="2000DB40" w14:textId="77777777" w:rsidTr="00E73ECA">
        <w:tc>
          <w:tcPr>
            <w:tcW w:w="1435" w:type="pct"/>
          </w:tcPr>
          <w:p w14:paraId="77F1FD48"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Broker</w:t>
            </w:r>
          </w:p>
        </w:tc>
        <w:tc>
          <w:tcPr>
            <w:tcW w:w="3565" w:type="pct"/>
          </w:tcPr>
          <w:p w14:paraId="11FC882D" w14:textId="651786AC" w:rsidR="00EB26B3" w:rsidRPr="0025615F" w:rsidRDefault="00EB26B3" w:rsidP="002D289F">
            <w:pPr>
              <w:spacing w:before="120" w:after="120"/>
              <w:rPr>
                <w:rFonts w:ascii="Verdana" w:hAnsi="Verdana" w:cs="Arial"/>
              </w:rPr>
            </w:pPr>
            <w:r w:rsidRPr="0025615F">
              <w:rPr>
                <w:rFonts w:ascii="Verdana" w:hAnsi="Verdana"/>
                <w:color w:val="000000"/>
              </w:rPr>
              <w:t>A</w:t>
            </w:r>
            <w:r>
              <w:rPr>
                <w:rFonts w:ascii="Verdana" w:hAnsi="Verdana"/>
                <w:color w:val="000000"/>
              </w:rPr>
              <w:t xml:space="preserve"> </w:t>
            </w:r>
            <w:r w:rsidRPr="0025615F">
              <w:rPr>
                <w:rFonts w:ascii="Verdana" w:hAnsi="Verdana"/>
                <w:color w:val="000000"/>
              </w:rPr>
              <w:t>broker</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third-party</w:t>
            </w:r>
            <w:r>
              <w:rPr>
                <w:rFonts w:ascii="Verdana" w:hAnsi="Verdana"/>
                <w:color w:val="000000"/>
              </w:rPr>
              <w:t xml:space="preserve"> </w:t>
            </w:r>
            <w:r w:rsidRPr="0025615F">
              <w:rPr>
                <w:rFonts w:ascii="Verdana" w:hAnsi="Verdana"/>
                <w:color w:val="000000"/>
              </w:rPr>
              <w:t>administrator</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co</w:t>
            </w:r>
            <w:r w:rsidRPr="0025615F">
              <w:rPr>
                <w:rFonts w:ascii="Verdana" w:hAnsi="Verdana"/>
                <w:color w:val="000000"/>
              </w:rPr>
              <w:t>ntractor</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insurance</w:t>
            </w:r>
            <w:r>
              <w:rPr>
                <w:rFonts w:ascii="Verdana" w:hAnsi="Verdana"/>
                <w:color w:val="000000"/>
              </w:rPr>
              <w:t xml:space="preserve"> </w:t>
            </w:r>
            <w:r w:rsidRPr="0025615F">
              <w:rPr>
                <w:rFonts w:ascii="Verdana" w:hAnsi="Verdana"/>
                <w:color w:val="000000"/>
              </w:rPr>
              <w:t>benefits</w:t>
            </w:r>
            <w:r w:rsidR="00E96762" w:rsidRPr="0025615F">
              <w:rPr>
                <w:rFonts w:ascii="Verdana" w:hAnsi="Verdana"/>
                <w:color w:val="000000"/>
              </w:rPr>
              <w:t>.</w:t>
            </w:r>
            <w:r w:rsidR="00E96762">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example,</w:t>
            </w:r>
            <w:r>
              <w:rPr>
                <w:rFonts w:ascii="Verdana" w:hAnsi="Verdana"/>
                <w:color w:val="000000"/>
              </w:rPr>
              <w:t xml:space="preserve"> </w:t>
            </w:r>
            <w:r w:rsidRPr="0025615F">
              <w:rPr>
                <w:rFonts w:ascii="Verdana" w:hAnsi="Verdana"/>
                <w:color w:val="000000"/>
              </w:rPr>
              <w:t>we</w:t>
            </w:r>
            <w:r>
              <w:rPr>
                <w:rFonts w:ascii="Verdana" w:hAnsi="Verdana"/>
                <w:color w:val="000000"/>
              </w:rPr>
              <w:t xml:space="preserve"> </w:t>
            </w:r>
            <w:r w:rsidRPr="0025615F">
              <w:rPr>
                <w:rFonts w:ascii="Verdana" w:hAnsi="Verdana"/>
                <w:color w:val="000000"/>
              </w:rPr>
              <w:t>receive</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lot</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calls</w:t>
            </w:r>
            <w:r>
              <w:rPr>
                <w:rFonts w:ascii="Verdana" w:hAnsi="Verdana"/>
                <w:color w:val="000000"/>
              </w:rPr>
              <w:t xml:space="preserve"> </w:t>
            </w:r>
            <w:r w:rsidRPr="0025615F">
              <w:rPr>
                <w:rFonts w:ascii="Verdana" w:hAnsi="Verdana"/>
                <w:color w:val="000000"/>
              </w:rPr>
              <w:t>from</w:t>
            </w:r>
            <w:r>
              <w:rPr>
                <w:rFonts w:ascii="Verdana" w:hAnsi="Verdana"/>
                <w:color w:val="000000"/>
              </w:rPr>
              <w:t xml:space="preserve"> </w:t>
            </w:r>
            <w:r w:rsidRPr="0025615F">
              <w:rPr>
                <w:rFonts w:ascii="Verdana" w:hAnsi="Verdana"/>
                <w:color w:val="000000"/>
              </w:rPr>
              <w:t>brokers</w:t>
            </w:r>
            <w:r>
              <w:rPr>
                <w:rFonts w:ascii="Verdana" w:hAnsi="Verdana"/>
                <w:color w:val="000000"/>
              </w:rPr>
              <w:t xml:space="preserve"> </w:t>
            </w:r>
            <w:r w:rsidRPr="0025615F">
              <w:rPr>
                <w:rFonts w:ascii="Verdana" w:hAnsi="Verdana"/>
                <w:color w:val="000000"/>
              </w:rPr>
              <w:t>such</w:t>
            </w:r>
            <w:r>
              <w:rPr>
                <w:rFonts w:ascii="Verdana" w:hAnsi="Verdana"/>
                <w:color w:val="000000"/>
              </w:rPr>
              <w:t xml:space="preserve"> </w:t>
            </w:r>
            <w:r w:rsidRPr="0025615F">
              <w:rPr>
                <w:rFonts w:ascii="Verdana" w:hAnsi="Verdana"/>
                <w:color w:val="000000"/>
              </w:rPr>
              <w:t>as</w:t>
            </w:r>
            <w:r>
              <w:rPr>
                <w:rFonts w:ascii="Verdana" w:hAnsi="Verdana"/>
                <w:color w:val="000000"/>
              </w:rPr>
              <w:t xml:space="preserve"> </w:t>
            </w:r>
            <w:r w:rsidRPr="0025615F">
              <w:rPr>
                <w:rFonts w:ascii="Verdana" w:hAnsi="Verdana"/>
                <w:color w:val="000000"/>
              </w:rPr>
              <w:t>brokers</w:t>
            </w:r>
            <w:r>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Horizon</w:t>
            </w:r>
            <w:r>
              <w:rPr>
                <w:rFonts w:ascii="Verdana" w:hAnsi="Verdana"/>
                <w:color w:val="000000"/>
              </w:rPr>
              <w:t xml:space="preserve"> </w:t>
            </w:r>
            <w:r w:rsidRPr="0025615F">
              <w:rPr>
                <w:rFonts w:ascii="Verdana" w:hAnsi="Verdana"/>
                <w:color w:val="000000"/>
              </w:rPr>
              <w:t>BCBS</w:t>
            </w:r>
            <w:r>
              <w:rPr>
                <w:rFonts w:ascii="Verdana" w:hAnsi="Verdana"/>
                <w:color w:val="000000"/>
              </w:rPr>
              <w:t xml:space="preserve"> </w:t>
            </w:r>
            <w:r w:rsidRPr="0025615F">
              <w:rPr>
                <w:rFonts w:ascii="Verdana" w:hAnsi="Verdana"/>
                <w:color w:val="000000"/>
              </w:rPr>
              <w:t>and</w:t>
            </w:r>
            <w:r>
              <w:rPr>
                <w:rFonts w:ascii="Verdana" w:hAnsi="Verdana"/>
                <w:color w:val="000000"/>
              </w:rPr>
              <w:t xml:space="preserve"> </w:t>
            </w:r>
            <w:r w:rsidRPr="0025615F">
              <w:rPr>
                <w:rFonts w:ascii="Verdana" w:hAnsi="Verdana"/>
                <w:color w:val="000000"/>
              </w:rPr>
              <w:t>other</w:t>
            </w:r>
            <w:r>
              <w:rPr>
                <w:rFonts w:ascii="Verdana" w:hAnsi="Verdana"/>
                <w:color w:val="000000"/>
              </w:rPr>
              <w:t xml:space="preserve"> </w:t>
            </w:r>
            <w:r w:rsidRPr="0025615F">
              <w:rPr>
                <w:rFonts w:ascii="Verdana" w:hAnsi="Verdana"/>
                <w:color w:val="000000"/>
              </w:rPr>
              <w:t>plan</w:t>
            </w:r>
            <w:r>
              <w:rPr>
                <w:rFonts w:ascii="Verdana" w:hAnsi="Verdana"/>
                <w:color w:val="000000"/>
              </w:rPr>
              <w:t xml:space="preserve"> </w:t>
            </w:r>
            <w:r w:rsidRPr="0025615F">
              <w:rPr>
                <w:rFonts w:ascii="Verdana" w:hAnsi="Verdana"/>
                <w:color w:val="000000"/>
              </w:rPr>
              <w:t>administrators.</w:t>
            </w:r>
            <w:r>
              <w:rPr>
                <w:rFonts w:ascii="Verdana" w:hAnsi="Verdana"/>
                <w:color w:val="000000"/>
              </w:rPr>
              <w:t xml:space="preserve"> </w:t>
            </w:r>
            <w:r w:rsidRPr="0025615F">
              <w:rPr>
                <w:rFonts w:ascii="Verdana" w:hAnsi="Verdana"/>
                <w:color w:val="000000"/>
              </w:rPr>
              <w:t>Sometimes</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plan</w:t>
            </w:r>
            <w:r>
              <w:rPr>
                <w:rFonts w:ascii="Verdana" w:hAnsi="Verdana"/>
                <w:color w:val="000000"/>
              </w:rPr>
              <w:t xml:space="preserve"> </w:t>
            </w:r>
            <w:r w:rsidRPr="0025615F">
              <w:rPr>
                <w:rFonts w:ascii="Verdana" w:hAnsi="Verdana"/>
                <w:color w:val="000000"/>
              </w:rPr>
              <w:t>members</w:t>
            </w:r>
            <w:r>
              <w:rPr>
                <w:rFonts w:ascii="Verdana" w:hAnsi="Verdana"/>
                <w:color w:val="000000"/>
              </w:rPr>
              <w:t xml:space="preserve"> </w:t>
            </w:r>
            <w:r w:rsidRPr="0025615F">
              <w:rPr>
                <w:rFonts w:ascii="Verdana" w:hAnsi="Verdana"/>
                <w:color w:val="000000"/>
              </w:rPr>
              <w:t>will</w:t>
            </w:r>
            <w:r>
              <w:rPr>
                <w:rFonts w:ascii="Verdana" w:hAnsi="Verdana"/>
                <w:color w:val="000000"/>
              </w:rPr>
              <w:t xml:space="preserve"> </w:t>
            </w:r>
            <w:r w:rsidRPr="0025615F">
              <w:rPr>
                <w:rFonts w:ascii="Verdana" w:hAnsi="Verdana"/>
                <w:color w:val="000000"/>
              </w:rPr>
              <w:t>call</w:t>
            </w:r>
            <w:r>
              <w:rPr>
                <w:rFonts w:ascii="Verdana" w:hAnsi="Verdana"/>
                <w:color w:val="000000"/>
              </w:rPr>
              <w:t xml:space="preserve"> </w:t>
            </w:r>
            <w:r w:rsidRPr="0025615F">
              <w:rPr>
                <w:rFonts w:ascii="Verdana" w:hAnsi="Verdana"/>
                <w:color w:val="000000"/>
              </w:rPr>
              <w:t>their</w:t>
            </w:r>
            <w:r>
              <w:rPr>
                <w:rFonts w:ascii="Verdana" w:hAnsi="Verdana"/>
                <w:color w:val="000000"/>
              </w:rPr>
              <w:t xml:space="preserve"> </w:t>
            </w:r>
            <w:r w:rsidRPr="0025615F">
              <w:rPr>
                <w:rFonts w:ascii="Verdana" w:hAnsi="Verdana"/>
                <w:color w:val="000000"/>
              </w:rPr>
              <w:t>broker</w:t>
            </w:r>
            <w:r>
              <w:rPr>
                <w:rFonts w:ascii="Verdana" w:hAnsi="Verdana"/>
                <w:color w:val="000000"/>
              </w:rPr>
              <w:t xml:space="preserve"> </w:t>
            </w:r>
            <w:r w:rsidRPr="0025615F">
              <w:rPr>
                <w:rFonts w:ascii="Verdana" w:hAnsi="Verdana"/>
                <w:color w:val="000000"/>
              </w:rPr>
              <w:t>instead</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their</w:t>
            </w:r>
            <w:r>
              <w:rPr>
                <w:rFonts w:ascii="Verdana" w:hAnsi="Verdana"/>
                <w:color w:val="000000"/>
              </w:rPr>
              <w:t xml:space="preserve"> </w:t>
            </w:r>
            <w:r w:rsidRPr="0025615F">
              <w:rPr>
                <w:rFonts w:ascii="Verdana" w:hAnsi="Verdana"/>
                <w:color w:val="000000"/>
              </w:rPr>
              <w:t>plan</w:t>
            </w:r>
            <w:r>
              <w:rPr>
                <w:rFonts w:ascii="Verdana" w:hAnsi="Verdana"/>
                <w:color w:val="000000"/>
              </w:rPr>
              <w:t xml:space="preserve"> </w:t>
            </w:r>
            <w:r w:rsidRPr="0025615F">
              <w:rPr>
                <w:rFonts w:ascii="Verdana" w:hAnsi="Verdana"/>
                <w:color w:val="000000"/>
              </w:rPr>
              <w:t>sponsor</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benefits</w:t>
            </w:r>
            <w:r>
              <w:rPr>
                <w:rFonts w:ascii="Verdana" w:hAnsi="Verdana"/>
                <w:color w:val="000000"/>
              </w:rPr>
              <w:t xml:space="preserve"> </w:t>
            </w:r>
            <w:r w:rsidRPr="0025615F">
              <w:rPr>
                <w:rFonts w:ascii="Verdana" w:hAnsi="Verdana"/>
                <w:color w:val="000000"/>
              </w:rPr>
              <w:t>office.</w:t>
            </w:r>
            <w:r>
              <w:rPr>
                <w:rFonts w:ascii="Verdana" w:hAnsi="Verdana"/>
                <w:color w:val="000000"/>
              </w:rPr>
              <w:t xml:space="preserve"> </w:t>
            </w:r>
            <w:r w:rsidRPr="0025615F">
              <w:rPr>
                <w:rFonts w:ascii="Verdana" w:hAnsi="Verdana"/>
                <w:color w:val="000000"/>
              </w:rPr>
              <w:t>We</w:t>
            </w:r>
            <w:r>
              <w:rPr>
                <w:rFonts w:ascii="Verdana" w:hAnsi="Verdana"/>
                <w:color w:val="000000"/>
              </w:rPr>
              <w:t xml:space="preserve"> </w:t>
            </w:r>
            <w:r w:rsidRPr="0025615F">
              <w:rPr>
                <w:rFonts w:ascii="Verdana" w:hAnsi="Verdana"/>
                <w:color w:val="000000"/>
              </w:rPr>
              <w:t>authenticate</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broker</w:t>
            </w:r>
            <w:r>
              <w:rPr>
                <w:rFonts w:ascii="Verdana" w:hAnsi="Verdana"/>
                <w:color w:val="000000"/>
              </w:rPr>
              <w:t xml:space="preserve"> </w:t>
            </w:r>
            <w:r w:rsidRPr="0025615F">
              <w:rPr>
                <w:rFonts w:ascii="Verdana" w:hAnsi="Verdana"/>
                <w:color w:val="000000"/>
              </w:rPr>
              <w:t>calls</w:t>
            </w:r>
            <w:r>
              <w:rPr>
                <w:rFonts w:ascii="Verdana" w:hAnsi="Verdana"/>
                <w:color w:val="000000"/>
              </w:rPr>
              <w:t xml:space="preserve"> </w:t>
            </w:r>
            <w:r w:rsidRPr="0025615F">
              <w:rPr>
                <w:rFonts w:ascii="Verdana" w:hAnsi="Verdana"/>
                <w:color w:val="000000"/>
              </w:rPr>
              <w:t>using</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same</w:t>
            </w:r>
            <w:r>
              <w:rPr>
                <w:rFonts w:ascii="Verdana" w:hAnsi="Verdana"/>
                <w:color w:val="000000"/>
              </w:rPr>
              <w:t xml:space="preserve"> </w:t>
            </w:r>
            <w:r w:rsidRPr="0025615F">
              <w:rPr>
                <w:rFonts w:ascii="Verdana" w:hAnsi="Verdana"/>
                <w:color w:val="000000"/>
              </w:rPr>
              <w:t>criteria</w:t>
            </w:r>
            <w:r>
              <w:rPr>
                <w:rFonts w:ascii="Verdana" w:hAnsi="Verdana"/>
                <w:color w:val="000000"/>
              </w:rPr>
              <w:t xml:space="preserve"> </w:t>
            </w:r>
            <w:r w:rsidRPr="0025615F">
              <w:rPr>
                <w:rFonts w:ascii="Verdana" w:hAnsi="Verdana"/>
                <w:color w:val="000000"/>
              </w:rPr>
              <w:t>as</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benefits</w:t>
            </w:r>
            <w:r>
              <w:rPr>
                <w:rFonts w:ascii="Verdana" w:hAnsi="Verdana"/>
                <w:color w:val="000000"/>
              </w:rPr>
              <w:t xml:space="preserve"> </w:t>
            </w:r>
            <w:r w:rsidRPr="0025615F">
              <w:rPr>
                <w:rFonts w:ascii="Verdana" w:hAnsi="Verdana"/>
                <w:color w:val="000000"/>
              </w:rPr>
              <w:t>office</w:t>
            </w:r>
            <w:r>
              <w:rPr>
                <w:rFonts w:ascii="Verdana" w:hAnsi="Verdana"/>
                <w:color w:val="000000"/>
              </w:rPr>
              <w:t xml:space="preserve"> </w:t>
            </w:r>
            <w:r w:rsidRPr="0025615F">
              <w:rPr>
                <w:rFonts w:ascii="Verdana" w:hAnsi="Verdana"/>
                <w:color w:val="000000"/>
              </w:rPr>
              <w:t>callers.</w:t>
            </w:r>
          </w:p>
        </w:tc>
      </w:tr>
      <w:tr w:rsidR="00EB26B3" w:rsidRPr="0025615F" w14:paraId="2FE88887" w14:textId="77777777" w:rsidTr="00E73ECA">
        <w:tc>
          <w:tcPr>
            <w:tcW w:w="1435" w:type="pct"/>
            <w:shd w:val="clear" w:color="auto" w:fill="FFFFFF"/>
          </w:tcPr>
          <w:p w14:paraId="03E41543" w14:textId="77777777" w:rsidR="00EB26B3" w:rsidRPr="00967F3C" w:rsidRDefault="00EB26B3" w:rsidP="002D289F">
            <w:pPr>
              <w:spacing w:before="120" w:after="120"/>
              <w:rPr>
                <w:rFonts w:ascii="Verdana" w:hAnsi="Verdana" w:cs="Arial"/>
                <w:bCs/>
              </w:rPr>
            </w:pPr>
            <w:r w:rsidRPr="00967F3C">
              <w:rPr>
                <w:rFonts w:ascii="Verdana" w:hAnsi="Verdana" w:cs="Arial"/>
                <w:bCs/>
                <w:color w:val="000000"/>
              </w:rPr>
              <w:t>Buck Slip</w:t>
            </w:r>
          </w:p>
        </w:tc>
        <w:tc>
          <w:tcPr>
            <w:tcW w:w="3565" w:type="pct"/>
            <w:shd w:val="clear" w:color="auto" w:fill="FFFFFF"/>
          </w:tcPr>
          <w:p w14:paraId="6CF5E1E9" w14:textId="4583E856" w:rsidR="00EB26B3" w:rsidRPr="0025615F" w:rsidRDefault="00EB26B3" w:rsidP="002D289F">
            <w:pPr>
              <w:spacing w:before="120" w:after="120"/>
              <w:rPr>
                <w:rFonts w:ascii="Verdana" w:hAnsi="Verdana" w:cs="Arial"/>
              </w:rPr>
            </w:pPr>
            <w:r>
              <w:rPr>
                <w:rFonts w:ascii="Verdana" w:hAnsi="Verdana" w:cs="Arial"/>
              </w:rPr>
              <w:t>Business advertisement that is inserted into envelope</w:t>
            </w:r>
          </w:p>
        </w:tc>
      </w:tr>
      <w:tr w:rsidR="00EB26B3" w:rsidRPr="0025615F" w14:paraId="491A4DD2" w14:textId="77777777" w:rsidTr="00E73ECA">
        <w:tc>
          <w:tcPr>
            <w:tcW w:w="1435" w:type="pct"/>
            <w:shd w:val="clear" w:color="auto" w:fill="FFFFFF"/>
          </w:tcPr>
          <w:p w14:paraId="205C84D4"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 xml:space="preserve">Bulk Literature </w:t>
            </w:r>
          </w:p>
        </w:tc>
        <w:tc>
          <w:tcPr>
            <w:tcW w:w="3565" w:type="pct"/>
            <w:shd w:val="clear" w:color="auto" w:fill="FFFFFF"/>
          </w:tcPr>
          <w:p w14:paraId="18607FFA" w14:textId="290937A8" w:rsidR="00EB26B3" w:rsidRDefault="00EB26B3" w:rsidP="002D289F">
            <w:pPr>
              <w:spacing w:before="120" w:after="120"/>
              <w:rPr>
                <w:rFonts w:ascii="Verdana" w:hAnsi="Verdana" w:cs="Arial"/>
              </w:rPr>
            </w:pPr>
            <w:r>
              <w:rPr>
                <w:rFonts w:ascii="Verdana" w:hAnsi="Verdana" w:cs="Arial"/>
              </w:rPr>
              <w:t xml:space="preserve">A request for more than 5 forms of any type to be sent to the member. Refer to </w:t>
            </w:r>
            <w:hyperlink r:id="rId13" w:anchor="!/view?docid=a33eb9f2-234e-4c71-bd84-d64eae88e8af" w:history="1">
              <w:r w:rsidR="00E12314">
                <w:rPr>
                  <w:rStyle w:val="Hyperlink"/>
                  <w:rFonts w:ascii="Verdana" w:hAnsi="Verdana" w:cs="Arial"/>
                </w:rPr>
                <w:t>Fulfillment Requ</w:t>
              </w:r>
              <w:r w:rsidR="00E12314">
                <w:rPr>
                  <w:rStyle w:val="Hyperlink"/>
                  <w:rFonts w:ascii="Verdana" w:hAnsi="Verdana" w:cs="Arial"/>
                </w:rPr>
                <w:t>e</w:t>
              </w:r>
              <w:r w:rsidR="00E12314">
                <w:rPr>
                  <w:rStyle w:val="Hyperlink"/>
                  <w:rFonts w:ascii="Verdana" w:hAnsi="Verdana" w:cs="Arial"/>
                </w:rPr>
                <w:t>sts (004595)</w:t>
              </w:r>
            </w:hyperlink>
            <w:r>
              <w:rPr>
                <w:rFonts w:ascii="Verdana" w:hAnsi="Verdana" w:cs="Arial"/>
              </w:rPr>
              <w:t xml:space="preserve"> for a list of the forms. </w:t>
            </w:r>
          </w:p>
        </w:tc>
      </w:tr>
      <w:tr w:rsidR="00EB26B3" w:rsidRPr="0025615F" w14:paraId="01CCE155" w14:textId="77777777" w:rsidTr="00E73ECA">
        <w:tc>
          <w:tcPr>
            <w:tcW w:w="1435" w:type="pct"/>
            <w:shd w:val="clear" w:color="auto" w:fill="FFFFFF"/>
          </w:tcPr>
          <w:p w14:paraId="522D3EC8" w14:textId="77777777" w:rsidR="00EB26B3" w:rsidRPr="00967F3C" w:rsidRDefault="00EB26B3" w:rsidP="002D289F">
            <w:pPr>
              <w:spacing w:before="120" w:after="120"/>
              <w:rPr>
                <w:rFonts w:ascii="Verdana" w:hAnsi="Verdana" w:cs="Arial"/>
                <w:bCs/>
                <w:color w:val="000000"/>
              </w:rPr>
            </w:pPr>
            <w:r w:rsidRPr="00967F3C">
              <w:rPr>
                <w:rFonts w:ascii="Verdana" w:hAnsi="Verdana" w:cs="Arial"/>
                <w:bCs/>
                <w:color w:val="000000"/>
              </w:rPr>
              <w:t xml:space="preserve">Business Unit </w:t>
            </w:r>
          </w:p>
        </w:tc>
        <w:tc>
          <w:tcPr>
            <w:tcW w:w="3565" w:type="pct"/>
            <w:shd w:val="clear" w:color="auto" w:fill="FFFFFF"/>
          </w:tcPr>
          <w:p w14:paraId="2CCE4F81" w14:textId="77777777" w:rsidR="00EB26B3" w:rsidRDefault="00EB26B3" w:rsidP="002D289F">
            <w:pPr>
              <w:spacing w:before="120" w:after="120"/>
              <w:rPr>
                <w:rFonts w:ascii="Verdana" w:hAnsi="Verdana" w:cs="Arial"/>
              </w:rPr>
            </w:pPr>
            <w:r>
              <w:rPr>
                <w:rFonts w:ascii="Verdana" w:hAnsi="Verdana" w:cs="Arial"/>
              </w:rPr>
              <w:t xml:space="preserve">A group of one or more departments led by a Senior Vice President, Vice President, or other senior manager. </w:t>
            </w:r>
          </w:p>
        </w:tc>
      </w:tr>
      <w:tr w:rsidR="00233067" w:rsidRPr="0025615F" w14:paraId="0BC29659" w14:textId="77777777" w:rsidTr="00E73ECA">
        <w:tc>
          <w:tcPr>
            <w:tcW w:w="1435" w:type="pct"/>
            <w:shd w:val="clear" w:color="auto" w:fill="FFFFFF"/>
          </w:tcPr>
          <w:p w14:paraId="227A7B6D" w14:textId="7F53D688" w:rsidR="00233067" w:rsidRPr="00967F3C" w:rsidRDefault="00233067" w:rsidP="002D289F">
            <w:pPr>
              <w:spacing w:before="120" w:after="120"/>
              <w:rPr>
                <w:rFonts w:ascii="Verdana" w:hAnsi="Verdana" w:cs="Arial"/>
                <w:bCs/>
                <w:color w:val="000000"/>
              </w:rPr>
            </w:pPr>
            <w:r>
              <w:rPr>
                <w:rFonts w:ascii="Verdana" w:hAnsi="Verdana" w:cs="Arial"/>
                <w:bCs/>
                <w:color w:val="000000"/>
              </w:rPr>
              <w:t xml:space="preserve"> Buy and Bill</w:t>
            </w:r>
          </w:p>
        </w:tc>
        <w:tc>
          <w:tcPr>
            <w:tcW w:w="3565" w:type="pct"/>
            <w:shd w:val="clear" w:color="auto" w:fill="FFFFFF"/>
          </w:tcPr>
          <w:p w14:paraId="4FDDD1B3" w14:textId="575866A3" w:rsidR="00233067" w:rsidRDefault="00233067" w:rsidP="002D289F">
            <w:pPr>
              <w:spacing w:before="120" w:after="120"/>
              <w:rPr>
                <w:rFonts w:ascii="Verdana" w:hAnsi="Verdana" w:cs="Arial"/>
              </w:rPr>
            </w:pPr>
            <w:r w:rsidRPr="00233067">
              <w:rPr>
                <w:rFonts w:ascii="Verdana" w:hAnsi="Verdana" w:cs="Arial"/>
              </w:rPr>
              <w:t>Buy-and-Bill is a process for physician offices to acquire medications that providers can administer in the office. The “buy” part refers to providers who are responsible for ordering and purchasing the drug. The “bill” part refers to providers billing directly to third-party payers for reimbursement.</w:t>
            </w:r>
          </w:p>
        </w:tc>
      </w:tr>
    </w:tbl>
    <w:p w14:paraId="2BED28B6" w14:textId="77777777" w:rsidR="00F25025" w:rsidRPr="0025615F" w:rsidRDefault="00F25025" w:rsidP="00F15AAE">
      <w:pPr>
        <w:rPr>
          <w:rFonts w:ascii="Verdana" w:hAnsi="Verdana"/>
          <w:sz w:val="20"/>
          <w:szCs w:val="20"/>
        </w:rPr>
      </w:pPr>
    </w:p>
    <w:p w14:paraId="443F95C0" w14:textId="77777777" w:rsidR="003D4683" w:rsidRPr="0025615F" w:rsidRDefault="003D4683" w:rsidP="00F15AAE">
      <w:pPr>
        <w:jc w:val="right"/>
        <w:rPr>
          <w:rFonts w:ascii="Verdana" w:hAnsi="Verdana"/>
        </w:rPr>
      </w:pPr>
    </w:p>
    <w:p w14:paraId="7BF25923" w14:textId="77777777" w:rsidR="00D87929" w:rsidRPr="004E00B6" w:rsidRDefault="00D87929" w:rsidP="00F15AAE">
      <w:pPr>
        <w:jc w:val="right"/>
        <w:rPr>
          <w:rFonts w:ascii="Verdana" w:hAnsi="Verdana"/>
          <w:sz w:val="20"/>
          <w:szCs w:val="20"/>
        </w:rPr>
      </w:pPr>
      <w:bookmarkStart w:id="5" w:name="_C_1"/>
      <w:bookmarkEnd w:id="5"/>
    </w:p>
    <w:p w14:paraId="1B528B74" w14:textId="7309099F" w:rsidR="00675566" w:rsidRPr="003D15F3" w:rsidRDefault="00675566" w:rsidP="00F15AAE">
      <w:pPr>
        <w:jc w:val="right"/>
        <w:rPr>
          <w:rFonts w:ascii="Verdana" w:hAnsi="Verdana"/>
          <w:color w:val="FF0000"/>
        </w:rPr>
      </w:pPr>
      <w:hyperlink w:anchor="_OneSource_Glossary_of" w:history="1">
        <w:r w:rsidRPr="003D15F3">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77777777" w:rsidR="00ED4CFD" w:rsidRPr="004E00B6" w:rsidRDefault="00ED4CFD" w:rsidP="00F15AAE">
      <w:pPr>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44B3D" w14:textId="77777777" w:rsidR="00A800E3" w:rsidRDefault="00A800E3">
      <w:r>
        <w:separator/>
      </w:r>
    </w:p>
  </w:endnote>
  <w:endnote w:type="continuationSeparator" w:id="0">
    <w:p w14:paraId="62737003" w14:textId="77777777" w:rsidR="00A800E3" w:rsidRDefault="00A800E3">
      <w:r>
        <w:continuationSeparator/>
      </w:r>
    </w:p>
  </w:endnote>
  <w:endnote w:type="continuationNotice" w:id="1">
    <w:p w14:paraId="0331F380" w14:textId="77777777" w:rsidR="00A800E3" w:rsidRDefault="00A80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8E9BD" w14:textId="77777777" w:rsidR="00A800E3" w:rsidRDefault="00A800E3">
      <w:r>
        <w:separator/>
      </w:r>
    </w:p>
  </w:footnote>
  <w:footnote w:type="continuationSeparator" w:id="0">
    <w:p w14:paraId="7328A9E4" w14:textId="77777777" w:rsidR="00A800E3" w:rsidRDefault="00A800E3">
      <w:r>
        <w:continuationSeparator/>
      </w:r>
    </w:p>
  </w:footnote>
  <w:footnote w:type="continuationNotice" w:id="1">
    <w:p w14:paraId="7F95537C" w14:textId="77777777" w:rsidR="00A800E3" w:rsidRDefault="00A800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4"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8"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9"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4"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0"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95670976">
    <w:abstractNumId w:val="69"/>
  </w:num>
  <w:num w:numId="2" w16cid:durableId="229075479">
    <w:abstractNumId w:val="103"/>
  </w:num>
  <w:num w:numId="3" w16cid:durableId="438454701">
    <w:abstractNumId w:val="82"/>
  </w:num>
  <w:num w:numId="4" w16cid:durableId="38869146">
    <w:abstractNumId w:val="7"/>
  </w:num>
  <w:num w:numId="5" w16cid:durableId="1146052155">
    <w:abstractNumId w:val="43"/>
  </w:num>
  <w:num w:numId="6" w16cid:durableId="1269778513">
    <w:abstractNumId w:val="104"/>
  </w:num>
  <w:num w:numId="7" w16cid:durableId="343216364">
    <w:abstractNumId w:val="76"/>
  </w:num>
  <w:num w:numId="8" w16cid:durableId="1878814327">
    <w:abstractNumId w:val="88"/>
  </w:num>
  <w:num w:numId="9" w16cid:durableId="1715227623">
    <w:abstractNumId w:val="86"/>
  </w:num>
  <w:num w:numId="10" w16cid:durableId="865338674">
    <w:abstractNumId w:val="29"/>
  </w:num>
  <w:num w:numId="11" w16cid:durableId="909655071">
    <w:abstractNumId w:val="105"/>
  </w:num>
  <w:num w:numId="12" w16cid:durableId="1251233100">
    <w:abstractNumId w:val="106"/>
  </w:num>
  <w:num w:numId="13" w16cid:durableId="1660887429">
    <w:abstractNumId w:val="135"/>
  </w:num>
  <w:num w:numId="14" w16cid:durableId="1501700023">
    <w:abstractNumId w:val="139"/>
  </w:num>
  <w:num w:numId="15" w16cid:durableId="224410530">
    <w:abstractNumId w:val="1"/>
  </w:num>
  <w:num w:numId="16" w16cid:durableId="1608393645">
    <w:abstractNumId w:val="53"/>
  </w:num>
  <w:num w:numId="17" w16cid:durableId="1826167919">
    <w:abstractNumId w:val="130"/>
  </w:num>
  <w:num w:numId="18" w16cid:durableId="996803359">
    <w:abstractNumId w:val="93"/>
  </w:num>
  <w:num w:numId="19" w16cid:durableId="1874613620">
    <w:abstractNumId w:val="132"/>
  </w:num>
  <w:num w:numId="20" w16cid:durableId="348141053">
    <w:abstractNumId w:val="55"/>
  </w:num>
  <w:num w:numId="21" w16cid:durableId="1615601260">
    <w:abstractNumId w:val="22"/>
  </w:num>
  <w:num w:numId="22" w16cid:durableId="1502355899">
    <w:abstractNumId w:val="47"/>
  </w:num>
  <w:num w:numId="23" w16cid:durableId="369305470">
    <w:abstractNumId w:val="37"/>
  </w:num>
  <w:num w:numId="24" w16cid:durableId="397553592">
    <w:abstractNumId w:val="100"/>
  </w:num>
  <w:num w:numId="25" w16cid:durableId="676076983">
    <w:abstractNumId w:val="79"/>
  </w:num>
  <w:num w:numId="26" w16cid:durableId="347950606">
    <w:abstractNumId w:val="66"/>
  </w:num>
  <w:num w:numId="27" w16cid:durableId="1601721392">
    <w:abstractNumId w:val="10"/>
  </w:num>
  <w:num w:numId="28" w16cid:durableId="1923833537">
    <w:abstractNumId w:val="32"/>
  </w:num>
  <w:num w:numId="29" w16cid:durableId="495998813">
    <w:abstractNumId w:val="96"/>
  </w:num>
  <w:num w:numId="30" w16cid:durableId="174735655">
    <w:abstractNumId w:val="0"/>
  </w:num>
  <w:num w:numId="31" w16cid:durableId="1847865022">
    <w:abstractNumId w:val="26"/>
  </w:num>
  <w:num w:numId="32" w16cid:durableId="321931853">
    <w:abstractNumId w:val="116"/>
  </w:num>
  <w:num w:numId="33" w16cid:durableId="1996258117">
    <w:abstractNumId w:val="117"/>
  </w:num>
  <w:num w:numId="34" w16cid:durableId="420758509">
    <w:abstractNumId w:val="44"/>
  </w:num>
  <w:num w:numId="35" w16cid:durableId="621692431">
    <w:abstractNumId w:val="19"/>
  </w:num>
  <w:num w:numId="36" w16cid:durableId="1117945209">
    <w:abstractNumId w:val="16"/>
  </w:num>
  <w:num w:numId="37" w16cid:durableId="916355298">
    <w:abstractNumId w:val="95"/>
  </w:num>
  <w:num w:numId="38" w16cid:durableId="668796574">
    <w:abstractNumId w:val="9"/>
  </w:num>
  <w:num w:numId="39" w16cid:durableId="466051899">
    <w:abstractNumId w:val="126"/>
  </w:num>
  <w:num w:numId="40" w16cid:durableId="220757084">
    <w:abstractNumId w:val="125"/>
  </w:num>
  <w:num w:numId="41" w16cid:durableId="399446423">
    <w:abstractNumId w:val="112"/>
  </w:num>
  <w:num w:numId="42" w16cid:durableId="746264416">
    <w:abstractNumId w:val="20"/>
  </w:num>
  <w:num w:numId="43" w16cid:durableId="99033782">
    <w:abstractNumId w:val="13"/>
  </w:num>
  <w:num w:numId="44" w16cid:durableId="721946772">
    <w:abstractNumId w:val="50"/>
  </w:num>
  <w:num w:numId="45" w16cid:durableId="1288974120">
    <w:abstractNumId w:val="25"/>
  </w:num>
  <w:num w:numId="46" w16cid:durableId="294335764">
    <w:abstractNumId w:val="27"/>
  </w:num>
  <w:num w:numId="47" w16cid:durableId="411897918">
    <w:abstractNumId w:val="91"/>
  </w:num>
  <w:num w:numId="48" w16cid:durableId="490412902">
    <w:abstractNumId w:val="127"/>
  </w:num>
  <w:num w:numId="49" w16cid:durableId="645159340">
    <w:abstractNumId w:val="121"/>
  </w:num>
  <w:num w:numId="50" w16cid:durableId="508447155">
    <w:abstractNumId w:val="28"/>
  </w:num>
  <w:num w:numId="51" w16cid:durableId="2127577576">
    <w:abstractNumId w:val="35"/>
  </w:num>
  <w:num w:numId="52" w16cid:durableId="186213529">
    <w:abstractNumId w:val="134"/>
  </w:num>
  <w:num w:numId="53" w16cid:durableId="174270829">
    <w:abstractNumId w:val="14"/>
  </w:num>
  <w:num w:numId="54" w16cid:durableId="1064179441">
    <w:abstractNumId w:val="48"/>
  </w:num>
  <w:num w:numId="55" w16cid:durableId="189219974">
    <w:abstractNumId w:val="83"/>
  </w:num>
  <w:num w:numId="56" w16cid:durableId="204686270">
    <w:abstractNumId w:val="67"/>
  </w:num>
  <w:num w:numId="57" w16cid:durableId="906770964">
    <w:abstractNumId w:val="4"/>
  </w:num>
  <w:num w:numId="58" w16cid:durableId="1918900192">
    <w:abstractNumId w:val="51"/>
  </w:num>
  <w:num w:numId="59" w16cid:durableId="1674448800">
    <w:abstractNumId w:val="85"/>
  </w:num>
  <w:num w:numId="60" w16cid:durableId="1734160138">
    <w:abstractNumId w:val="110"/>
  </w:num>
  <w:num w:numId="61" w16cid:durableId="2077388042">
    <w:abstractNumId w:val="65"/>
  </w:num>
  <w:num w:numId="62" w16cid:durableId="781802504">
    <w:abstractNumId w:val="61"/>
  </w:num>
  <w:num w:numId="63" w16cid:durableId="931670913">
    <w:abstractNumId w:val="98"/>
  </w:num>
  <w:num w:numId="64" w16cid:durableId="2075081292">
    <w:abstractNumId w:val="62"/>
  </w:num>
  <w:num w:numId="65" w16cid:durableId="1554729551">
    <w:abstractNumId w:val="60"/>
  </w:num>
  <w:num w:numId="66" w16cid:durableId="640304926">
    <w:abstractNumId w:val="107"/>
  </w:num>
  <w:num w:numId="67" w16cid:durableId="95908921">
    <w:abstractNumId w:val="111"/>
  </w:num>
  <w:num w:numId="68" w16cid:durableId="876771419">
    <w:abstractNumId w:val="33"/>
  </w:num>
  <w:num w:numId="69" w16cid:durableId="890188273">
    <w:abstractNumId w:val="6"/>
  </w:num>
  <w:num w:numId="70" w16cid:durableId="319848373">
    <w:abstractNumId w:val="109"/>
  </w:num>
  <w:num w:numId="71" w16cid:durableId="1593583417">
    <w:abstractNumId w:val="39"/>
  </w:num>
  <w:num w:numId="72" w16cid:durableId="1858078350">
    <w:abstractNumId w:val="136"/>
  </w:num>
  <w:num w:numId="73" w16cid:durableId="1008750545">
    <w:abstractNumId w:val="81"/>
  </w:num>
  <w:num w:numId="74" w16cid:durableId="1307276311">
    <w:abstractNumId w:val="56"/>
  </w:num>
  <w:num w:numId="75" w16cid:durableId="447089825">
    <w:abstractNumId w:val="40"/>
  </w:num>
  <w:num w:numId="76" w16cid:durableId="1431389434">
    <w:abstractNumId w:val="8"/>
  </w:num>
  <w:num w:numId="77" w16cid:durableId="1312709385">
    <w:abstractNumId w:val="58"/>
  </w:num>
  <w:num w:numId="78" w16cid:durableId="1531919747">
    <w:abstractNumId w:val="18"/>
  </w:num>
  <w:num w:numId="79" w16cid:durableId="52126876">
    <w:abstractNumId w:val="77"/>
  </w:num>
  <w:num w:numId="80" w16cid:durableId="253635369">
    <w:abstractNumId w:val="84"/>
  </w:num>
  <w:num w:numId="81" w16cid:durableId="1663776917">
    <w:abstractNumId w:val="133"/>
  </w:num>
  <w:num w:numId="82" w16cid:durableId="1440679923">
    <w:abstractNumId w:val="23"/>
  </w:num>
  <w:num w:numId="83" w16cid:durableId="1112825898">
    <w:abstractNumId w:val="49"/>
  </w:num>
  <w:num w:numId="84" w16cid:durableId="268435514">
    <w:abstractNumId w:val="72"/>
  </w:num>
  <w:num w:numId="85" w16cid:durableId="1977762538">
    <w:abstractNumId w:val="5"/>
  </w:num>
  <w:num w:numId="86" w16cid:durableId="466362481">
    <w:abstractNumId w:val="68"/>
  </w:num>
  <w:num w:numId="87" w16cid:durableId="301160885">
    <w:abstractNumId w:val="11"/>
  </w:num>
  <w:num w:numId="88" w16cid:durableId="1525828961">
    <w:abstractNumId w:val="45"/>
  </w:num>
  <w:num w:numId="89" w16cid:durableId="329918281">
    <w:abstractNumId w:val="46"/>
  </w:num>
  <w:num w:numId="90" w16cid:durableId="2008483458">
    <w:abstractNumId w:val="138"/>
  </w:num>
  <w:num w:numId="91" w16cid:durableId="2023973762">
    <w:abstractNumId w:val="74"/>
  </w:num>
  <w:num w:numId="92" w16cid:durableId="2045517925">
    <w:abstractNumId w:val="2"/>
  </w:num>
  <w:num w:numId="93" w16cid:durableId="1424692264">
    <w:abstractNumId w:val="63"/>
  </w:num>
  <w:num w:numId="94" w16cid:durableId="1274941698">
    <w:abstractNumId w:val="54"/>
  </w:num>
  <w:num w:numId="95" w16cid:durableId="381557803">
    <w:abstractNumId w:val="90"/>
  </w:num>
  <w:num w:numId="96" w16cid:durableId="765466721">
    <w:abstractNumId w:val="38"/>
  </w:num>
  <w:num w:numId="97" w16cid:durableId="1839147911">
    <w:abstractNumId w:val="118"/>
  </w:num>
  <w:num w:numId="98" w16cid:durableId="1823963169">
    <w:abstractNumId w:val="75"/>
  </w:num>
  <w:num w:numId="99" w16cid:durableId="583219543">
    <w:abstractNumId w:val="97"/>
  </w:num>
  <w:num w:numId="100" w16cid:durableId="93744565">
    <w:abstractNumId w:val="31"/>
  </w:num>
  <w:num w:numId="101" w16cid:durableId="2086872183">
    <w:abstractNumId w:val="137"/>
  </w:num>
  <w:num w:numId="102" w16cid:durableId="1001542409">
    <w:abstractNumId w:val="129"/>
  </w:num>
  <w:num w:numId="103" w16cid:durableId="1555652170">
    <w:abstractNumId w:val="71"/>
  </w:num>
  <w:num w:numId="104" w16cid:durableId="608199709">
    <w:abstractNumId w:val="3"/>
  </w:num>
  <w:num w:numId="105" w16cid:durableId="512846001">
    <w:abstractNumId w:val="80"/>
  </w:num>
  <w:num w:numId="106" w16cid:durableId="469442375">
    <w:abstractNumId w:val="94"/>
  </w:num>
  <w:num w:numId="107" w16cid:durableId="1914194794">
    <w:abstractNumId w:val="101"/>
  </w:num>
  <w:num w:numId="108" w16cid:durableId="76828302">
    <w:abstractNumId w:val="59"/>
  </w:num>
  <w:num w:numId="109" w16cid:durableId="1734156021">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8802772">
    <w:abstractNumId w:val="113"/>
  </w:num>
  <w:num w:numId="111" w16cid:durableId="1194921593">
    <w:abstractNumId w:val="15"/>
  </w:num>
  <w:num w:numId="112" w16cid:durableId="2006082596">
    <w:abstractNumId w:val="108"/>
  </w:num>
  <w:num w:numId="113" w16cid:durableId="715471813">
    <w:abstractNumId w:val="41"/>
  </w:num>
  <w:num w:numId="114" w16cid:durableId="1964186380">
    <w:abstractNumId w:val="99"/>
  </w:num>
  <w:num w:numId="115" w16cid:durableId="1975330601">
    <w:abstractNumId w:val="73"/>
  </w:num>
  <w:num w:numId="116" w16cid:durableId="611865695">
    <w:abstractNumId w:val="64"/>
  </w:num>
  <w:num w:numId="117" w16cid:durableId="1495298085">
    <w:abstractNumId w:val="89"/>
  </w:num>
  <w:num w:numId="118" w16cid:durableId="60907116">
    <w:abstractNumId w:val="128"/>
  </w:num>
  <w:num w:numId="119" w16cid:durableId="1152916132">
    <w:abstractNumId w:val="70"/>
  </w:num>
  <w:num w:numId="120" w16cid:durableId="1208495632">
    <w:abstractNumId w:val="124"/>
  </w:num>
  <w:num w:numId="121" w16cid:durableId="723867259">
    <w:abstractNumId w:val="42"/>
  </w:num>
  <w:num w:numId="122" w16cid:durableId="807667747">
    <w:abstractNumId w:val="131"/>
  </w:num>
  <w:num w:numId="123" w16cid:durableId="704214987">
    <w:abstractNumId w:val="114"/>
  </w:num>
  <w:num w:numId="124" w16cid:durableId="1094320135">
    <w:abstractNumId w:val="87"/>
  </w:num>
  <w:num w:numId="125" w16cid:durableId="2054957146">
    <w:abstractNumId w:val="132"/>
  </w:num>
  <w:num w:numId="126" w16cid:durableId="79329874">
    <w:abstractNumId w:val="21"/>
  </w:num>
  <w:num w:numId="127" w16cid:durableId="2095514362">
    <w:abstractNumId w:val="102"/>
  </w:num>
  <w:num w:numId="128" w16cid:durableId="659893102">
    <w:abstractNumId w:val="30"/>
  </w:num>
  <w:num w:numId="129" w16cid:durableId="990790708">
    <w:abstractNumId w:val="36"/>
  </w:num>
  <w:num w:numId="130" w16cid:durableId="1472165030">
    <w:abstractNumId w:val="34"/>
  </w:num>
  <w:num w:numId="131" w16cid:durableId="2069917134">
    <w:abstractNumId w:val="120"/>
  </w:num>
  <w:num w:numId="132" w16cid:durableId="570700024">
    <w:abstractNumId w:val="115"/>
  </w:num>
  <w:num w:numId="133" w16cid:durableId="1106655980">
    <w:abstractNumId w:val="122"/>
  </w:num>
  <w:num w:numId="134" w16cid:durableId="1375886810">
    <w:abstractNumId w:val="119"/>
  </w:num>
  <w:num w:numId="135" w16cid:durableId="1822235380">
    <w:abstractNumId w:val="52"/>
  </w:num>
  <w:num w:numId="136" w16cid:durableId="1239899636">
    <w:abstractNumId w:val="57"/>
  </w:num>
  <w:num w:numId="137" w16cid:durableId="1210990458">
    <w:abstractNumId w:val="24"/>
  </w:num>
  <w:num w:numId="138" w16cid:durableId="1300962308">
    <w:abstractNumId w:val="12"/>
  </w:num>
  <w:num w:numId="139" w16cid:durableId="667945313">
    <w:abstractNumId w:val="78"/>
  </w:num>
  <w:num w:numId="140" w16cid:durableId="1444308100">
    <w:abstractNumId w:val="136"/>
  </w:num>
  <w:num w:numId="141" w16cid:durableId="667025543">
    <w:abstractNumId w:val="81"/>
  </w:num>
  <w:num w:numId="142" w16cid:durableId="269165402">
    <w:abstractNumId w:val="17"/>
  </w:num>
  <w:num w:numId="143" w16cid:durableId="382289213">
    <w:abstractNumId w:val="12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288B"/>
    <w:rsid w:val="000134AA"/>
    <w:rsid w:val="00014C17"/>
    <w:rsid w:val="00014D88"/>
    <w:rsid w:val="000157D6"/>
    <w:rsid w:val="00015A2E"/>
    <w:rsid w:val="00017369"/>
    <w:rsid w:val="000201A8"/>
    <w:rsid w:val="000227E2"/>
    <w:rsid w:val="00023194"/>
    <w:rsid w:val="00025EFD"/>
    <w:rsid w:val="00026BC9"/>
    <w:rsid w:val="00027B4B"/>
    <w:rsid w:val="00027DA6"/>
    <w:rsid w:val="00031DC2"/>
    <w:rsid w:val="00032032"/>
    <w:rsid w:val="00032400"/>
    <w:rsid w:val="000335D9"/>
    <w:rsid w:val="000338DC"/>
    <w:rsid w:val="00034ACB"/>
    <w:rsid w:val="00036431"/>
    <w:rsid w:val="00036C9D"/>
    <w:rsid w:val="00037A58"/>
    <w:rsid w:val="00041AA8"/>
    <w:rsid w:val="00041E0B"/>
    <w:rsid w:val="00041E30"/>
    <w:rsid w:val="00042AC2"/>
    <w:rsid w:val="00042CF8"/>
    <w:rsid w:val="000443FA"/>
    <w:rsid w:val="00044858"/>
    <w:rsid w:val="00045031"/>
    <w:rsid w:val="00045F69"/>
    <w:rsid w:val="00047C8F"/>
    <w:rsid w:val="00050572"/>
    <w:rsid w:val="0005132A"/>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2D46"/>
    <w:rsid w:val="00064602"/>
    <w:rsid w:val="0006474D"/>
    <w:rsid w:val="00064FF2"/>
    <w:rsid w:val="000650AC"/>
    <w:rsid w:val="00066050"/>
    <w:rsid w:val="000707CE"/>
    <w:rsid w:val="000709F6"/>
    <w:rsid w:val="00071D07"/>
    <w:rsid w:val="00072569"/>
    <w:rsid w:val="00073BC9"/>
    <w:rsid w:val="000749B2"/>
    <w:rsid w:val="00074FA4"/>
    <w:rsid w:val="00076B01"/>
    <w:rsid w:val="000774D3"/>
    <w:rsid w:val="00077C9F"/>
    <w:rsid w:val="00080725"/>
    <w:rsid w:val="00082396"/>
    <w:rsid w:val="0008247E"/>
    <w:rsid w:val="000825E5"/>
    <w:rsid w:val="00082D7C"/>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970"/>
    <w:rsid w:val="000B03DF"/>
    <w:rsid w:val="000B0EE5"/>
    <w:rsid w:val="000B1E6F"/>
    <w:rsid w:val="000B2078"/>
    <w:rsid w:val="000B2358"/>
    <w:rsid w:val="000B3A78"/>
    <w:rsid w:val="000B3C4C"/>
    <w:rsid w:val="000B5AAA"/>
    <w:rsid w:val="000B5D64"/>
    <w:rsid w:val="000B5EC3"/>
    <w:rsid w:val="000B7FC0"/>
    <w:rsid w:val="000C0E7B"/>
    <w:rsid w:val="000C1DDD"/>
    <w:rsid w:val="000C2425"/>
    <w:rsid w:val="000C311D"/>
    <w:rsid w:val="000C370B"/>
    <w:rsid w:val="000C480B"/>
    <w:rsid w:val="000C49C7"/>
    <w:rsid w:val="000C5120"/>
    <w:rsid w:val="000C53B6"/>
    <w:rsid w:val="000C70B2"/>
    <w:rsid w:val="000D13D0"/>
    <w:rsid w:val="000D6714"/>
    <w:rsid w:val="000D79EF"/>
    <w:rsid w:val="000E055D"/>
    <w:rsid w:val="000E05B8"/>
    <w:rsid w:val="000E0A62"/>
    <w:rsid w:val="000E1315"/>
    <w:rsid w:val="000E2062"/>
    <w:rsid w:val="000E26C9"/>
    <w:rsid w:val="000E3525"/>
    <w:rsid w:val="000E381B"/>
    <w:rsid w:val="000E3FA8"/>
    <w:rsid w:val="000E6AF5"/>
    <w:rsid w:val="000E6C31"/>
    <w:rsid w:val="000E6FCB"/>
    <w:rsid w:val="000E7B23"/>
    <w:rsid w:val="000F07CA"/>
    <w:rsid w:val="000F2056"/>
    <w:rsid w:val="000F23E8"/>
    <w:rsid w:val="000F3BC0"/>
    <w:rsid w:val="000F4AA7"/>
    <w:rsid w:val="000F4B38"/>
    <w:rsid w:val="000F70A5"/>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4FAD"/>
    <w:rsid w:val="001251F8"/>
    <w:rsid w:val="00127F40"/>
    <w:rsid w:val="0013059A"/>
    <w:rsid w:val="00130E21"/>
    <w:rsid w:val="0013188F"/>
    <w:rsid w:val="0013246A"/>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2F3A"/>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5B1B"/>
    <w:rsid w:val="001F70A8"/>
    <w:rsid w:val="001F76B7"/>
    <w:rsid w:val="00200BF9"/>
    <w:rsid w:val="002016B4"/>
    <w:rsid w:val="002026D3"/>
    <w:rsid w:val="0020323F"/>
    <w:rsid w:val="00203474"/>
    <w:rsid w:val="00204294"/>
    <w:rsid w:val="00205A1D"/>
    <w:rsid w:val="00205AFA"/>
    <w:rsid w:val="00206165"/>
    <w:rsid w:val="00207C7B"/>
    <w:rsid w:val="00210090"/>
    <w:rsid w:val="002100E6"/>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69E8"/>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09F1"/>
    <w:rsid w:val="0027147F"/>
    <w:rsid w:val="00271E64"/>
    <w:rsid w:val="002738D6"/>
    <w:rsid w:val="00275183"/>
    <w:rsid w:val="002762C2"/>
    <w:rsid w:val="00276698"/>
    <w:rsid w:val="00284992"/>
    <w:rsid w:val="00284AA7"/>
    <w:rsid w:val="00285062"/>
    <w:rsid w:val="002855C7"/>
    <w:rsid w:val="00287EB6"/>
    <w:rsid w:val="002905FA"/>
    <w:rsid w:val="002906A4"/>
    <w:rsid w:val="00292101"/>
    <w:rsid w:val="00292EB4"/>
    <w:rsid w:val="00293A8B"/>
    <w:rsid w:val="00294613"/>
    <w:rsid w:val="00294EED"/>
    <w:rsid w:val="00296D87"/>
    <w:rsid w:val="002971C0"/>
    <w:rsid w:val="0029786C"/>
    <w:rsid w:val="002A08D6"/>
    <w:rsid w:val="002A180D"/>
    <w:rsid w:val="002A3591"/>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89F"/>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9D9"/>
    <w:rsid w:val="002E5C47"/>
    <w:rsid w:val="002E6108"/>
    <w:rsid w:val="002E6FF6"/>
    <w:rsid w:val="002F01C7"/>
    <w:rsid w:val="002F06C9"/>
    <w:rsid w:val="002F0A9A"/>
    <w:rsid w:val="002F0B3F"/>
    <w:rsid w:val="002F1216"/>
    <w:rsid w:val="002F214B"/>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286"/>
    <w:rsid w:val="00311F4B"/>
    <w:rsid w:val="003128A8"/>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54C5"/>
    <w:rsid w:val="003270B3"/>
    <w:rsid w:val="00327435"/>
    <w:rsid w:val="0033007A"/>
    <w:rsid w:val="0033062C"/>
    <w:rsid w:val="00330FD0"/>
    <w:rsid w:val="00332348"/>
    <w:rsid w:val="003324B9"/>
    <w:rsid w:val="00332961"/>
    <w:rsid w:val="00336C60"/>
    <w:rsid w:val="003376C2"/>
    <w:rsid w:val="0033787B"/>
    <w:rsid w:val="00337E37"/>
    <w:rsid w:val="003405F9"/>
    <w:rsid w:val="0034061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9F0"/>
    <w:rsid w:val="00367A2B"/>
    <w:rsid w:val="00367A49"/>
    <w:rsid w:val="00373AD8"/>
    <w:rsid w:val="003740E3"/>
    <w:rsid w:val="00374494"/>
    <w:rsid w:val="003746C3"/>
    <w:rsid w:val="00375E2C"/>
    <w:rsid w:val="0037627E"/>
    <w:rsid w:val="00376810"/>
    <w:rsid w:val="003801EA"/>
    <w:rsid w:val="0038087E"/>
    <w:rsid w:val="0038169E"/>
    <w:rsid w:val="0038260D"/>
    <w:rsid w:val="00383D85"/>
    <w:rsid w:val="0038596E"/>
    <w:rsid w:val="00387D5D"/>
    <w:rsid w:val="00390AAA"/>
    <w:rsid w:val="00392867"/>
    <w:rsid w:val="00393FB2"/>
    <w:rsid w:val="00394B2D"/>
    <w:rsid w:val="0039602F"/>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A6986"/>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6F9"/>
    <w:rsid w:val="003C5837"/>
    <w:rsid w:val="003C6251"/>
    <w:rsid w:val="003C66D9"/>
    <w:rsid w:val="003C67D7"/>
    <w:rsid w:val="003C69B6"/>
    <w:rsid w:val="003C75ED"/>
    <w:rsid w:val="003D1354"/>
    <w:rsid w:val="003D15F3"/>
    <w:rsid w:val="003D1D39"/>
    <w:rsid w:val="003D1F31"/>
    <w:rsid w:val="003D4683"/>
    <w:rsid w:val="003D4CF4"/>
    <w:rsid w:val="003D4FF7"/>
    <w:rsid w:val="003D594C"/>
    <w:rsid w:val="003E09FD"/>
    <w:rsid w:val="003E0D0B"/>
    <w:rsid w:val="003E1A4B"/>
    <w:rsid w:val="003E2B88"/>
    <w:rsid w:val="003E3504"/>
    <w:rsid w:val="003E3D95"/>
    <w:rsid w:val="003E4CAB"/>
    <w:rsid w:val="003E65B1"/>
    <w:rsid w:val="003E6CFE"/>
    <w:rsid w:val="003E7859"/>
    <w:rsid w:val="003E7B74"/>
    <w:rsid w:val="003E7D51"/>
    <w:rsid w:val="003F03BE"/>
    <w:rsid w:val="003F0922"/>
    <w:rsid w:val="003F2BCC"/>
    <w:rsid w:val="003F5DFD"/>
    <w:rsid w:val="003F5E35"/>
    <w:rsid w:val="003F72DB"/>
    <w:rsid w:val="00401DF3"/>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2A3"/>
    <w:rsid w:val="00433B1A"/>
    <w:rsid w:val="00433F25"/>
    <w:rsid w:val="0043478C"/>
    <w:rsid w:val="0043497C"/>
    <w:rsid w:val="00435D4B"/>
    <w:rsid w:val="004370FB"/>
    <w:rsid w:val="00441873"/>
    <w:rsid w:val="00441956"/>
    <w:rsid w:val="00442614"/>
    <w:rsid w:val="004429A0"/>
    <w:rsid w:val="0044457D"/>
    <w:rsid w:val="004448F6"/>
    <w:rsid w:val="004454B4"/>
    <w:rsid w:val="00445636"/>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4FB7"/>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97D3C"/>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D787B"/>
    <w:rsid w:val="004E00B6"/>
    <w:rsid w:val="004E0273"/>
    <w:rsid w:val="004E0B1E"/>
    <w:rsid w:val="004E150A"/>
    <w:rsid w:val="004E1F93"/>
    <w:rsid w:val="004E2580"/>
    <w:rsid w:val="004E3EF1"/>
    <w:rsid w:val="004E440D"/>
    <w:rsid w:val="004E618E"/>
    <w:rsid w:val="004E6199"/>
    <w:rsid w:val="004E645B"/>
    <w:rsid w:val="004E6930"/>
    <w:rsid w:val="004F003E"/>
    <w:rsid w:val="004F41F0"/>
    <w:rsid w:val="004F46AB"/>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12A"/>
    <w:rsid w:val="00536752"/>
    <w:rsid w:val="00537581"/>
    <w:rsid w:val="0054227A"/>
    <w:rsid w:val="00543EAA"/>
    <w:rsid w:val="0054427D"/>
    <w:rsid w:val="005455EE"/>
    <w:rsid w:val="00545CFB"/>
    <w:rsid w:val="00546620"/>
    <w:rsid w:val="005509DE"/>
    <w:rsid w:val="005533C5"/>
    <w:rsid w:val="005543ED"/>
    <w:rsid w:val="00554831"/>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36B"/>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0E30"/>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09A1"/>
    <w:rsid w:val="005D11F5"/>
    <w:rsid w:val="005D1A75"/>
    <w:rsid w:val="005D1BCC"/>
    <w:rsid w:val="005D266A"/>
    <w:rsid w:val="005D26B0"/>
    <w:rsid w:val="005D41FB"/>
    <w:rsid w:val="005D5B64"/>
    <w:rsid w:val="005D5B6D"/>
    <w:rsid w:val="005D5BE6"/>
    <w:rsid w:val="005D7A30"/>
    <w:rsid w:val="005E0154"/>
    <w:rsid w:val="005E168F"/>
    <w:rsid w:val="005E2F78"/>
    <w:rsid w:val="005E3E70"/>
    <w:rsid w:val="005E4525"/>
    <w:rsid w:val="005E6394"/>
    <w:rsid w:val="005E6AC9"/>
    <w:rsid w:val="005E76BF"/>
    <w:rsid w:val="005F13C5"/>
    <w:rsid w:val="005F1746"/>
    <w:rsid w:val="005F2010"/>
    <w:rsid w:val="005F2499"/>
    <w:rsid w:val="005F301E"/>
    <w:rsid w:val="005F39BA"/>
    <w:rsid w:val="005F42B4"/>
    <w:rsid w:val="005F5712"/>
    <w:rsid w:val="005F5B90"/>
    <w:rsid w:val="005F6253"/>
    <w:rsid w:val="005F63B0"/>
    <w:rsid w:val="005F69C0"/>
    <w:rsid w:val="005F7155"/>
    <w:rsid w:val="0060150F"/>
    <w:rsid w:val="0060220C"/>
    <w:rsid w:val="0060252B"/>
    <w:rsid w:val="006027AA"/>
    <w:rsid w:val="00603F21"/>
    <w:rsid w:val="00605403"/>
    <w:rsid w:val="0060683E"/>
    <w:rsid w:val="0060729D"/>
    <w:rsid w:val="00607515"/>
    <w:rsid w:val="00607DB2"/>
    <w:rsid w:val="00610646"/>
    <w:rsid w:val="00610B7D"/>
    <w:rsid w:val="00610CF8"/>
    <w:rsid w:val="00610D01"/>
    <w:rsid w:val="00611B1F"/>
    <w:rsid w:val="00612BB2"/>
    <w:rsid w:val="00612CA5"/>
    <w:rsid w:val="00612F34"/>
    <w:rsid w:val="0061352A"/>
    <w:rsid w:val="00613A94"/>
    <w:rsid w:val="00613CF7"/>
    <w:rsid w:val="00613E81"/>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159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0CC"/>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C615B"/>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4A0"/>
    <w:rsid w:val="00707590"/>
    <w:rsid w:val="00707774"/>
    <w:rsid w:val="0071063A"/>
    <w:rsid w:val="007118FF"/>
    <w:rsid w:val="00711EDD"/>
    <w:rsid w:val="007140A6"/>
    <w:rsid w:val="00714B11"/>
    <w:rsid w:val="00714B8D"/>
    <w:rsid w:val="00714FC3"/>
    <w:rsid w:val="00716BC6"/>
    <w:rsid w:val="00717107"/>
    <w:rsid w:val="00720C9D"/>
    <w:rsid w:val="00720FC8"/>
    <w:rsid w:val="007210FC"/>
    <w:rsid w:val="00721303"/>
    <w:rsid w:val="00721D9C"/>
    <w:rsid w:val="00722B5B"/>
    <w:rsid w:val="00723D71"/>
    <w:rsid w:val="0072400D"/>
    <w:rsid w:val="00730C91"/>
    <w:rsid w:val="0073176B"/>
    <w:rsid w:val="007323B4"/>
    <w:rsid w:val="0073294A"/>
    <w:rsid w:val="00733608"/>
    <w:rsid w:val="00733AE2"/>
    <w:rsid w:val="00733E54"/>
    <w:rsid w:val="007344B6"/>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660"/>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0D8"/>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2EEF"/>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C6A56"/>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7F4A29"/>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4459"/>
    <w:rsid w:val="0082504D"/>
    <w:rsid w:val="008266C3"/>
    <w:rsid w:val="00826CC2"/>
    <w:rsid w:val="0083175B"/>
    <w:rsid w:val="00832690"/>
    <w:rsid w:val="008326E5"/>
    <w:rsid w:val="00834E2C"/>
    <w:rsid w:val="00836201"/>
    <w:rsid w:val="008379A9"/>
    <w:rsid w:val="0084038B"/>
    <w:rsid w:val="0084226E"/>
    <w:rsid w:val="0084421F"/>
    <w:rsid w:val="00844A09"/>
    <w:rsid w:val="00845F4C"/>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67D53"/>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2D2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B7AB5"/>
    <w:rsid w:val="008C11A3"/>
    <w:rsid w:val="008C2197"/>
    <w:rsid w:val="008C28D5"/>
    <w:rsid w:val="008C3204"/>
    <w:rsid w:val="008C3493"/>
    <w:rsid w:val="008C3E77"/>
    <w:rsid w:val="008C4B63"/>
    <w:rsid w:val="008C4E29"/>
    <w:rsid w:val="008C760D"/>
    <w:rsid w:val="008C7A67"/>
    <w:rsid w:val="008D11A6"/>
    <w:rsid w:val="008D201F"/>
    <w:rsid w:val="008D2D64"/>
    <w:rsid w:val="008D415F"/>
    <w:rsid w:val="008D46DE"/>
    <w:rsid w:val="008D4A43"/>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2EF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6D4"/>
    <w:rsid w:val="00996A7B"/>
    <w:rsid w:val="009A0EF7"/>
    <w:rsid w:val="009A2795"/>
    <w:rsid w:val="009A4F5E"/>
    <w:rsid w:val="009A66D7"/>
    <w:rsid w:val="009A688C"/>
    <w:rsid w:val="009A7882"/>
    <w:rsid w:val="009B1178"/>
    <w:rsid w:val="009B1C3D"/>
    <w:rsid w:val="009B28A2"/>
    <w:rsid w:val="009B36DD"/>
    <w:rsid w:val="009B3EDF"/>
    <w:rsid w:val="009B4010"/>
    <w:rsid w:val="009B5D33"/>
    <w:rsid w:val="009B709C"/>
    <w:rsid w:val="009B7A24"/>
    <w:rsid w:val="009B7CC7"/>
    <w:rsid w:val="009C139A"/>
    <w:rsid w:val="009C2AC6"/>
    <w:rsid w:val="009C2C76"/>
    <w:rsid w:val="009C3BF3"/>
    <w:rsid w:val="009C4190"/>
    <w:rsid w:val="009C55E4"/>
    <w:rsid w:val="009C638D"/>
    <w:rsid w:val="009C7202"/>
    <w:rsid w:val="009C7A0E"/>
    <w:rsid w:val="009C7C91"/>
    <w:rsid w:val="009D140D"/>
    <w:rsid w:val="009D14C0"/>
    <w:rsid w:val="009D1561"/>
    <w:rsid w:val="009D2102"/>
    <w:rsid w:val="009D3E31"/>
    <w:rsid w:val="009D521B"/>
    <w:rsid w:val="009D6B35"/>
    <w:rsid w:val="009D6FD7"/>
    <w:rsid w:val="009D74C5"/>
    <w:rsid w:val="009D77AC"/>
    <w:rsid w:val="009E1512"/>
    <w:rsid w:val="009E23A4"/>
    <w:rsid w:val="009E24E9"/>
    <w:rsid w:val="009E26FF"/>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107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05C4"/>
    <w:rsid w:val="00A63437"/>
    <w:rsid w:val="00A636B0"/>
    <w:rsid w:val="00A63889"/>
    <w:rsid w:val="00A64111"/>
    <w:rsid w:val="00A64541"/>
    <w:rsid w:val="00A6499F"/>
    <w:rsid w:val="00A66729"/>
    <w:rsid w:val="00A70518"/>
    <w:rsid w:val="00A7166B"/>
    <w:rsid w:val="00A72B7F"/>
    <w:rsid w:val="00A733A9"/>
    <w:rsid w:val="00A75596"/>
    <w:rsid w:val="00A755F9"/>
    <w:rsid w:val="00A76FA7"/>
    <w:rsid w:val="00A77BC5"/>
    <w:rsid w:val="00A800E3"/>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2B4B"/>
    <w:rsid w:val="00AA459F"/>
    <w:rsid w:val="00AA493C"/>
    <w:rsid w:val="00AA4F51"/>
    <w:rsid w:val="00AA6C8C"/>
    <w:rsid w:val="00AB0EEA"/>
    <w:rsid w:val="00AB2634"/>
    <w:rsid w:val="00AB2645"/>
    <w:rsid w:val="00AB2790"/>
    <w:rsid w:val="00AB2929"/>
    <w:rsid w:val="00AB2A7E"/>
    <w:rsid w:val="00AB2F33"/>
    <w:rsid w:val="00AB305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468D"/>
    <w:rsid w:val="00AE6059"/>
    <w:rsid w:val="00AE672A"/>
    <w:rsid w:val="00AE7067"/>
    <w:rsid w:val="00AF0A29"/>
    <w:rsid w:val="00AF4C92"/>
    <w:rsid w:val="00AF61C9"/>
    <w:rsid w:val="00AF653D"/>
    <w:rsid w:val="00AF73B4"/>
    <w:rsid w:val="00B00651"/>
    <w:rsid w:val="00B015E8"/>
    <w:rsid w:val="00B01917"/>
    <w:rsid w:val="00B0262B"/>
    <w:rsid w:val="00B02946"/>
    <w:rsid w:val="00B0323F"/>
    <w:rsid w:val="00B0332E"/>
    <w:rsid w:val="00B04C53"/>
    <w:rsid w:val="00B04C7D"/>
    <w:rsid w:val="00B073A3"/>
    <w:rsid w:val="00B10176"/>
    <w:rsid w:val="00B10EC2"/>
    <w:rsid w:val="00B1137C"/>
    <w:rsid w:val="00B11DF8"/>
    <w:rsid w:val="00B12727"/>
    <w:rsid w:val="00B1283D"/>
    <w:rsid w:val="00B1305F"/>
    <w:rsid w:val="00B14048"/>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5A46"/>
    <w:rsid w:val="00B26045"/>
    <w:rsid w:val="00B260BF"/>
    <w:rsid w:val="00B265B7"/>
    <w:rsid w:val="00B26E99"/>
    <w:rsid w:val="00B27A33"/>
    <w:rsid w:val="00B300AA"/>
    <w:rsid w:val="00B3071F"/>
    <w:rsid w:val="00B3251F"/>
    <w:rsid w:val="00B33A73"/>
    <w:rsid w:val="00B34F67"/>
    <w:rsid w:val="00B36C32"/>
    <w:rsid w:val="00B377CA"/>
    <w:rsid w:val="00B37A75"/>
    <w:rsid w:val="00B37C83"/>
    <w:rsid w:val="00B41D1C"/>
    <w:rsid w:val="00B43338"/>
    <w:rsid w:val="00B4339F"/>
    <w:rsid w:val="00B46A95"/>
    <w:rsid w:val="00B46DC7"/>
    <w:rsid w:val="00B5010D"/>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2F13"/>
    <w:rsid w:val="00B6394D"/>
    <w:rsid w:val="00B65DC0"/>
    <w:rsid w:val="00B65DF9"/>
    <w:rsid w:val="00B65F43"/>
    <w:rsid w:val="00B65FA5"/>
    <w:rsid w:val="00B66786"/>
    <w:rsid w:val="00B66D2E"/>
    <w:rsid w:val="00B70130"/>
    <w:rsid w:val="00B70A4A"/>
    <w:rsid w:val="00B7173B"/>
    <w:rsid w:val="00B73FE9"/>
    <w:rsid w:val="00B7487A"/>
    <w:rsid w:val="00B82F59"/>
    <w:rsid w:val="00B84CA6"/>
    <w:rsid w:val="00B85B3D"/>
    <w:rsid w:val="00B85C63"/>
    <w:rsid w:val="00B8600E"/>
    <w:rsid w:val="00B86C8E"/>
    <w:rsid w:val="00B875DA"/>
    <w:rsid w:val="00B90103"/>
    <w:rsid w:val="00B91F5A"/>
    <w:rsid w:val="00B92265"/>
    <w:rsid w:val="00B92B4B"/>
    <w:rsid w:val="00B92FBD"/>
    <w:rsid w:val="00B93477"/>
    <w:rsid w:val="00B93CC9"/>
    <w:rsid w:val="00B9411B"/>
    <w:rsid w:val="00B956D9"/>
    <w:rsid w:val="00B97B33"/>
    <w:rsid w:val="00BA090E"/>
    <w:rsid w:val="00BA0993"/>
    <w:rsid w:val="00BA1D37"/>
    <w:rsid w:val="00BA31B0"/>
    <w:rsid w:val="00BA392E"/>
    <w:rsid w:val="00BA4A3A"/>
    <w:rsid w:val="00BA582D"/>
    <w:rsid w:val="00BA7C48"/>
    <w:rsid w:val="00BA7C55"/>
    <w:rsid w:val="00BA7FD1"/>
    <w:rsid w:val="00BB143A"/>
    <w:rsid w:val="00BB1AAB"/>
    <w:rsid w:val="00BB2A2A"/>
    <w:rsid w:val="00BB371A"/>
    <w:rsid w:val="00BB42E7"/>
    <w:rsid w:val="00BB5D24"/>
    <w:rsid w:val="00BB5EBB"/>
    <w:rsid w:val="00BB6701"/>
    <w:rsid w:val="00BB7658"/>
    <w:rsid w:val="00BB7BCB"/>
    <w:rsid w:val="00BC0DB3"/>
    <w:rsid w:val="00BC42A9"/>
    <w:rsid w:val="00BC46DA"/>
    <w:rsid w:val="00BC5120"/>
    <w:rsid w:val="00BC5433"/>
    <w:rsid w:val="00BC54C8"/>
    <w:rsid w:val="00BC6CBB"/>
    <w:rsid w:val="00BD1220"/>
    <w:rsid w:val="00BD13FA"/>
    <w:rsid w:val="00BD445C"/>
    <w:rsid w:val="00BD481D"/>
    <w:rsid w:val="00BD4939"/>
    <w:rsid w:val="00BD5AF6"/>
    <w:rsid w:val="00BD6A37"/>
    <w:rsid w:val="00BE03DC"/>
    <w:rsid w:val="00BE1D79"/>
    <w:rsid w:val="00BE20B1"/>
    <w:rsid w:val="00BE31AE"/>
    <w:rsid w:val="00BE35CC"/>
    <w:rsid w:val="00BE6F1F"/>
    <w:rsid w:val="00BE7F3E"/>
    <w:rsid w:val="00BF0186"/>
    <w:rsid w:val="00BF1724"/>
    <w:rsid w:val="00BF39F0"/>
    <w:rsid w:val="00BF6455"/>
    <w:rsid w:val="00BF661E"/>
    <w:rsid w:val="00BF685D"/>
    <w:rsid w:val="00BF74E9"/>
    <w:rsid w:val="00BF7E49"/>
    <w:rsid w:val="00C00137"/>
    <w:rsid w:val="00C0133D"/>
    <w:rsid w:val="00C01392"/>
    <w:rsid w:val="00C016CD"/>
    <w:rsid w:val="00C022BC"/>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578"/>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0AF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14BF"/>
    <w:rsid w:val="00C63086"/>
    <w:rsid w:val="00C63F30"/>
    <w:rsid w:val="00C640C1"/>
    <w:rsid w:val="00C66D1C"/>
    <w:rsid w:val="00C678D3"/>
    <w:rsid w:val="00C67B0D"/>
    <w:rsid w:val="00C67B32"/>
    <w:rsid w:val="00C70265"/>
    <w:rsid w:val="00C70398"/>
    <w:rsid w:val="00C70622"/>
    <w:rsid w:val="00C70C6B"/>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8786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3862"/>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4453"/>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689F"/>
    <w:rsid w:val="00D77C1B"/>
    <w:rsid w:val="00D805E3"/>
    <w:rsid w:val="00D808A4"/>
    <w:rsid w:val="00D80EB9"/>
    <w:rsid w:val="00D82AA1"/>
    <w:rsid w:val="00D83530"/>
    <w:rsid w:val="00D83571"/>
    <w:rsid w:val="00D84489"/>
    <w:rsid w:val="00D84DF6"/>
    <w:rsid w:val="00D85254"/>
    <w:rsid w:val="00D8531B"/>
    <w:rsid w:val="00D858E1"/>
    <w:rsid w:val="00D86BCA"/>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A4C"/>
    <w:rsid w:val="00DC2EB9"/>
    <w:rsid w:val="00DC2EC3"/>
    <w:rsid w:val="00DC3DB4"/>
    <w:rsid w:val="00DC481B"/>
    <w:rsid w:val="00DC57F9"/>
    <w:rsid w:val="00DC6D50"/>
    <w:rsid w:val="00DD0A19"/>
    <w:rsid w:val="00DD15CC"/>
    <w:rsid w:val="00DD1AFC"/>
    <w:rsid w:val="00DD2D02"/>
    <w:rsid w:val="00DD3455"/>
    <w:rsid w:val="00DD4774"/>
    <w:rsid w:val="00DD6DDC"/>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3E35"/>
    <w:rsid w:val="00DF3F54"/>
    <w:rsid w:val="00DF4400"/>
    <w:rsid w:val="00DF470B"/>
    <w:rsid w:val="00DF4D38"/>
    <w:rsid w:val="00DF4FFD"/>
    <w:rsid w:val="00DF555D"/>
    <w:rsid w:val="00DF5881"/>
    <w:rsid w:val="00DF5CE1"/>
    <w:rsid w:val="00DF67EF"/>
    <w:rsid w:val="00DF6EA6"/>
    <w:rsid w:val="00DF7528"/>
    <w:rsid w:val="00DF7796"/>
    <w:rsid w:val="00DF7837"/>
    <w:rsid w:val="00DF7D6E"/>
    <w:rsid w:val="00E03031"/>
    <w:rsid w:val="00E041FD"/>
    <w:rsid w:val="00E04D7B"/>
    <w:rsid w:val="00E05BAE"/>
    <w:rsid w:val="00E075A6"/>
    <w:rsid w:val="00E10687"/>
    <w:rsid w:val="00E10AA5"/>
    <w:rsid w:val="00E1160B"/>
    <w:rsid w:val="00E12038"/>
    <w:rsid w:val="00E12314"/>
    <w:rsid w:val="00E123A9"/>
    <w:rsid w:val="00E12AC3"/>
    <w:rsid w:val="00E1365B"/>
    <w:rsid w:val="00E2026D"/>
    <w:rsid w:val="00E214B3"/>
    <w:rsid w:val="00E242C2"/>
    <w:rsid w:val="00E256ED"/>
    <w:rsid w:val="00E25BEC"/>
    <w:rsid w:val="00E26006"/>
    <w:rsid w:val="00E277A5"/>
    <w:rsid w:val="00E30334"/>
    <w:rsid w:val="00E31756"/>
    <w:rsid w:val="00E31E70"/>
    <w:rsid w:val="00E31EAD"/>
    <w:rsid w:val="00E3226C"/>
    <w:rsid w:val="00E33869"/>
    <w:rsid w:val="00E347BE"/>
    <w:rsid w:val="00E34A76"/>
    <w:rsid w:val="00E34AC7"/>
    <w:rsid w:val="00E36029"/>
    <w:rsid w:val="00E36810"/>
    <w:rsid w:val="00E36904"/>
    <w:rsid w:val="00E371ED"/>
    <w:rsid w:val="00E402F5"/>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AD6"/>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67903"/>
    <w:rsid w:val="00E7226C"/>
    <w:rsid w:val="00E73ECA"/>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762"/>
    <w:rsid w:val="00E96BA9"/>
    <w:rsid w:val="00E97EC3"/>
    <w:rsid w:val="00E97FA8"/>
    <w:rsid w:val="00EA00FA"/>
    <w:rsid w:val="00EA0B33"/>
    <w:rsid w:val="00EA160D"/>
    <w:rsid w:val="00EA2559"/>
    <w:rsid w:val="00EA39DB"/>
    <w:rsid w:val="00EA4A50"/>
    <w:rsid w:val="00EA4F1D"/>
    <w:rsid w:val="00EA5D88"/>
    <w:rsid w:val="00EA6D56"/>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231"/>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EF7C7C"/>
    <w:rsid w:val="00F00265"/>
    <w:rsid w:val="00F012BE"/>
    <w:rsid w:val="00F01B3A"/>
    <w:rsid w:val="00F02124"/>
    <w:rsid w:val="00F0702E"/>
    <w:rsid w:val="00F0736A"/>
    <w:rsid w:val="00F1064D"/>
    <w:rsid w:val="00F11D4B"/>
    <w:rsid w:val="00F1283B"/>
    <w:rsid w:val="00F12F19"/>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C37"/>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5A8E"/>
    <w:rsid w:val="00FA70A2"/>
    <w:rsid w:val="00FB12D3"/>
    <w:rsid w:val="00FB13A6"/>
    <w:rsid w:val="00FB427F"/>
    <w:rsid w:val="00FB4564"/>
    <w:rsid w:val="00FB500C"/>
    <w:rsid w:val="00FB51F5"/>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499B"/>
    <w:rsid w:val="00FF5A0D"/>
    <w:rsid w:val="00FF5AE6"/>
    <w:rsid w:val="0F7DFFC5"/>
    <w:rsid w:val="5170A7AD"/>
    <w:rsid w:val="56538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AABEA6D7-4A14-4377-811A-FB524F1D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62246441">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2887336">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Customer Care - Home Delivery</BPO>
    <ProjectAnalyst xmlns="d19e0082-693e-45ae-8f74-da0dd659fa03" xsi:nil="true"/>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8" ma:contentTypeDescription="Create a new document." ma:contentTypeScope="" ma:versionID="8c519c465e0e56410e30dab94b3a387e">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1e123ac955d1ce0fff400d2e308bd35d"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2.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3.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4.xml><?xml version="1.0" encoding="utf-8"?>
<ds:datastoreItem xmlns:ds="http://schemas.openxmlformats.org/officeDocument/2006/customXml" ds:itemID="{70B948FB-AB19-4672-849D-C42BFB961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TotalTime>
  <Pages>1</Pages>
  <Words>2165</Words>
  <Characters>12341</Characters>
  <Application>Microsoft Office Word</Application>
  <DocSecurity>0</DocSecurity>
  <Lines>102</Lines>
  <Paragraphs>28</Paragraphs>
  <ScaleCrop>false</ScaleCrop>
  <Company>Caremark</Company>
  <LinksUpToDate>false</LinksUpToDate>
  <CharactersWithSpaces>14478</CharactersWithSpaces>
  <SharedDoc>false</SharedDoc>
  <HLinks>
    <vt:vector size="12" baseType="variant">
      <vt:variant>
        <vt:i4>4325475</vt:i4>
      </vt:variant>
      <vt:variant>
        <vt:i4>3</vt:i4>
      </vt:variant>
      <vt:variant>
        <vt:i4>0</vt:i4>
      </vt:variant>
      <vt:variant>
        <vt:i4>5</vt:i4>
      </vt:variant>
      <vt:variant>
        <vt:lpwstr/>
      </vt:variant>
      <vt:variant>
        <vt:lpwstr>_OneSource_Glossary_of</vt:lpwstr>
      </vt:variant>
      <vt:variant>
        <vt:i4>4587541</vt:i4>
      </vt:variant>
      <vt:variant>
        <vt:i4>0</vt:i4>
      </vt:variant>
      <vt:variant>
        <vt:i4>0</vt:i4>
      </vt:variant>
      <vt:variant>
        <vt:i4>5</vt:i4>
      </vt:variant>
      <vt:variant>
        <vt:lpwstr>https://thesource.cvshealth.com/nuxeo/thesource/</vt:lpwstr>
      </vt:variant>
      <vt:variant>
        <vt:lpwstr>!/view?docid=a33eb9f2-234e-4c71-bd84-d64eae88e8af</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7</cp:revision>
  <dcterms:created xsi:type="dcterms:W3CDTF">2025-07-08T13:28:00Z</dcterms:created>
  <dcterms:modified xsi:type="dcterms:W3CDTF">2025-07-08T13:33:00Z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0x010100EB57E074260378499F7E81CCDE102D50</vt:lpwstr>
  </property>
  <property fmtid="{D5CDD505-2E9C-101B-9397-08002B2CF9AE}" pid="17" name="_ReviewingToolsShownOnce">
    <vt:lpwstr/>
  </property>
  <property fmtid="{D5CDD505-2E9C-101B-9397-08002B2CF9AE}" pid="18" name="MediaServiceImageTags">
    <vt:lpwstr/>
  </property>
</Properties>
</file>