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9684F" w14:textId="1522F300" w:rsidR="00524CDD" w:rsidRPr="00CC4BFE" w:rsidRDefault="008976F4" w:rsidP="001874F5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bookmarkStart w:id="0" w:name="_OneSource_Glossary_of"/>
      <w:bookmarkStart w:id="1" w:name="_Customer_Care_Abbreviations,"/>
      <w:bookmarkEnd w:id="0"/>
      <w:bookmarkEnd w:id="1"/>
      <w:r w:rsidRPr="00CC4BFE">
        <w:rPr>
          <w:rFonts w:ascii="Verdana" w:hAnsi="Verdana"/>
          <w:bCs/>
          <w:color w:val="auto"/>
          <w:sz w:val="36"/>
          <w:szCs w:val="36"/>
        </w:rPr>
        <w:t>Customer Care Abbreviati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, 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Definitions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 and Terms</w:t>
      </w:r>
      <w:r w:rsidR="002F06C9">
        <w:rPr>
          <w:rFonts w:ascii="Verdana" w:hAnsi="Verdana"/>
          <w:bCs/>
          <w:color w:val="auto"/>
          <w:sz w:val="36"/>
          <w:szCs w:val="36"/>
        </w:rPr>
        <w:t xml:space="preserve"> </w:t>
      </w:r>
      <w:r w:rsidR="00DF3B63">
        <w:rPr>
          <w:rFonts w:ascii="Verdana" w:hAnsi="Verdana"/>
          <w:bCs/>
          <w:color w:val="auto"/>
          <w:sz w:val="36"/>
          <w:szCs w:val="36"/>
        </w:rPr>
        <w:t>- G</w:t>
      </w:r>
    </w:p>
    <w:p w14:paraId="330CAF23" w14:textId="12AB194F" w:rsidR="005C429C" w:rsidRPr="003F25CD" w:rsidRDefault="005C429C" w:rsidP="00F15AAE">
      <w:pPr>
        <w:rPr>
          <w:rFonts w:ascii="Verdana" w:hAnsi="Verdana"/>
          <w:b/>
        </w:rPr>
      </w:pPr>
    </w:p>
    <w:p w14:paraId="018813C1" w14:textId="77777777" w:rsidR="00494AF4" w:rsidRPr="004E00B6" w:rsidRDefault="00494AF4" w:rsidP="00F15AAE">
      <w:pPr>
        <w:jc w:val="center"/>
        <w:rPr>
          <w:rFonts w:ascii="Verdana" w:hAnsi="Verdana"/>
          <w:color w:val="0000FF"/>
        </w:rPr>
      </w:pPr>
    </w:p>
    <w:p w14:paraId="651F8FD8" w14:textId="1A242147" w:rsidR="00930A3C" w:rsidRPr="00765CE3" w:rsidRDefault="00233B04" w:rsidP="00F15AAE">
      <w:pPr>
        <w:jc w:val="both"/>
        <w:rPr>
          <w:rFonts w:ascii="Verdana" w:hAnsi="Verdana"/>
          <w:b/>
          <w:color w:val="000000"/>
        </w:rPr>
      </w:pPr>
      <w:r w:rsidRPr="00765CE3">
        <w:rPr>
          <w:rFonts w:ascii="Verdana" w:hAnsi="Verdana"/>
          <w:b/>
          <w:color w:val="000000"/>
        </w:rPr>
        <w:t xml:space="preserve"> </w:t>
      </w:r>
      <w:r w:rsidR="00930A3C" w:rsidRPr="00765CE3">
        <w:rPr>
          <w:rFonts w:ascii="Verdana" w:hAnsi="Verdana"/>
          <w:b/>
          <w:color w:val="000000"/>
        </w:rPr>
        <w:t xml:space="preserve">Each Alpha section </w:t>
      </w:r>
      <w:r w:rsidR="00C9521A" w:rsidRPr="00765CE3">
        <w:rPr>
          <w:rFonts w:ascii="Verdana" w:hAnsi="Verdana"/>
          <w:b/>
          <w:color w:val="000000"/>
        </w:rPr>
        <w:t>will have</w:t>
      </w:r>
      <w:r w:rsidR="00930A3C" w:rsidRPr="00765CE3">
        <w:rPr>
          <w:rFonts w:ascii="Verdana" w:hAnsi="Verdana"/>
          <w:b/>
          <w:color w:val="000000"/>
        </w:rPr>
        <w:t xml:space="preserve"> two</w:t>
      </w:r>
      <w:r w:rsidR="00E347BE" w:rsidRPr="00765CE3">
        <w:rPr>
          <w:rFonts w:ascii="Verdana" w:hAnsi="Verdana"/>
          <w:b/>
          <w:color w:val="000000"/>
        </w:rPr>
        <w:t xml:space="preserve"> </w:t>
      </w:r>
      <w:r w:rsidR="00AB2929" w:rsidRPr="00765CE3">
        <w:rPr>
          <w:rFonts w:ascii="Verdana" w:hAnsi="Verdana"/>
          <w:b/>
          <w:color w:val="000000"/>
        </w:rPr>
        <w:t xml:space="preserve">separate tables:  </w:t>
      </w:r>
    </w:p>
    <w:p w14:paraId="2816E4AE" w14:textId="7B372789" w:rsidR="00930A3C" w:rsidRPr="00765CE3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</w:rPr>
      </w:pPr>
      <w:r w:rsidRPr="00765CE3">
        <w:rPr>
          <w:rFonts w:ascii="Verdana" w:hAnsi="Verdana"/>
          <w:b/>
          <w:color w:val="000000"/>
        </w:rPr>
        <w:t xml:space="preserve"> </w:t>
      </w:r>
      <w:r w:rsidRPr="00765CE3">
        <w:rPr>
          <w:rFonts w:ascii="Verdana" w:hAnsi="Verdana"/>
          <w:bCs/>
          <w:color w:val="000000"/>
        </w:rPr>
        <w:t>Abbreviation, Term and Definition</w:t>
      </w:r>
    </w:p>
    <w:p w14:paraId="4093D2D2" w14:textId="1B79583B" w:rsidR="00930A3C" w:rsidRPr="00765CE3" w:rsidRDefault="00930A3C" w:rsidP="00180D96">
      <w:pPr>
        <w:numPr>
          <w:ilvl w:val="0"/>
          <w:numId w:val="118"/>
        </w:numPr>
        <w:jc w:val="both"/>
        <w:rPr>
          <w:rFonts w:ascii="Verdana" w:hAnsi="Verdana"/>
          <w:bCs/>
          <w:color w:val="000000"/>
        </w:rPr>
      </w:pPr>
      <w:r w:rsidRPr="00765CE3">
        <w:rPr>
          <w:rFonts w:ascii="Verdana" w:hAnsi="Verdana"/>
          <w:bCs/>
          <w:color w:val="000000"/>
        </w:rPr>
        <w:t xml:space="preserve"> Term and Definition </w:t>
      </w:r>
    </w:p>
    <w:p w14:paraId="7A90F651" w14:textId="264679D6" w:rsidR="00930A3C" w:rsidRPr="00765CE3" w:rsidRDefault="00930A3C" w:rsidP="00930A3C">
      <w:pPr>
        <w:jc w:val="both"/>
        <w:rPr>
          <w:rFonts w:ascii="Verdana" w:hAnsi="Verdana"/>
          <w:b/>
          <w:color w:val="000000"/>
        </w:rPr>
      </w:pPr>
    </w:p>
    <w:p w14:paraId="78BCDCAF" w14:textId="23CCB8D3" w:rsidR="00930A3C" w:rsidRPr="00765CE3" w:rsidRDefault="00930A3C" w:rsidP="00930A3C">
      <w:pPr>
        <w:jc w:val="both"/>
        <w:rPr>
          <w:rFonts w:ascii="Verdana" w:hAnsi="Verdana"/>
          <w:b/>
          <w:color w:val="000000"/>
        </w:rPr>
      </w:pPr>
      <w:r w:rsidRPr="00765CE3">
        <w:rPr>
          <w:rFonts w:ascii="Verdana" w:hAnsi="Verdana"/>
          <w:b/>
          <w:color w:val="000000"/>
        </w:rPr>
        <w:t xml:space="preserve">Note:  </w:t>
      </w:r>
      <w:r w:rsidRPr="00765CE3">
        <w:rPr>
          <w:rFonts w:ascii="Verdana" w:hAnsi="Verdana"/>
          <w:bCs/>
          <w:color w:val="000000"/>
        </w:rPr>
        <w:t xml:space="preserve">Terms </w:t>
      </w:r>
      <w:r w:rsidR="00AB2929" w:rsidRPr="00765CE3">
        <w:rPr>
          <w:rFonts w:ascii="Verdana" w:hAnsi="Verdana"/>
          <w:bCs/>
          <w:color w:val="000000"/>
        </w:rPr>
        <w:t>are</w:t>
      </w:r>
      <w:r w:rsidRPr="00765CE3">
        <w:rPr>
          <w:rFonts w:ascii="Verdana" w:hAnsi="Verdana"/>
          <w:bCs/>
          <w:color w:val="000000"/>
        </w:rPr>
        <w:t xml:space="preserve"> not be duplicated in</w:t>
      </w:r>
      <w:r w:rsidR="00AB2929" w:rsidRPr="00765CE3">
        <w:rPr>
          <w:rFonts w:ascii="Verdana" w:hAnsi="Verdana"/>
          <w:bCs/>
          <w:color w:val="000000"/>
        </w:rPr>
        <w:t xml:space="preserve"> </w:t>
      </w:r>
      <w:r w:rsidRPr="00765CE3">
        <w:rPr>
          <w:rFonts w:ascii="Verdana" w:hAnsi="Verdana"/>
          <w:bCs/>
          <w:color w:val="000000"/>
        </w:rPr>
        <w:t>both lists.</w:t>
      </w:r>
    </w:p>
    <w:p w14:paraId="13BD45E6" w14:textId="77777777" w:rsidR="00930A3C" w:rsidRPr="00765CE3" w:rsidRDefault="00930A3C" w:rsidP="00F15AAE">
      <w:pPr>
        <w:jc w:val="both"/>
        <w:rPr>
          <w:rFonts w:ascii="Verdana" w:hAnsi="Verdana"/>
          <w:b/>
          <w:color w:val="000000"/>
        </w:rPr>
      </w:pPr>
    </w:p>
    <w:p w14:paraId="5C6A83F7" w14:textId="3439429D" w:rsidR="0090482D" w:rsidRDefault="00B66786" w:rsidP="00F15AAE">
      <w:pPr>
        <w:jc w:val="both"/>
        <w:rPr>
          <w:rFonts w:ascii="Verdana" w:hAnsi="Verdana"/>
          <w:b/>
        </w:rPr>
      </w:pPr>
      <w:r w:rsidRPr="00765CE3">
        <w:rPr>
          <w:rFonts w:ascii="Verdana" w:hAnsi="Verdana"/>
          <w:b/>
          <w:color w:val="000000"/>
        </w:rPr>
        <w:t>Quicker Search Results</w:t>
      </w:r>
      <w:r w:rsidRPr="009E5748">
        <w:rPr>
          <w:rFonts w:ascii="Verdana" w:hAnsi="Verdana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E00B6">
        <w:rPr>
          <w:rFonts w:ascii="Verdana" w:hAnsi="Verdana"/>
          <w:b/>
        </w:rPr>
        <w:t xml:space="preserve"> Depress Ctrl+F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Type in Keyword </w:t>
      </w:r>
      <w:r w:rsidRPr="004E00B6">
        <w:rPr>
          <w:b/>
        </w:rPr>
        <w:t>→</w:t>
      </w:r>
      <w:r w:rsidRPr="004E00B6">
        <w:rPr>
          <w:rFonts w:ascii="Verdana" w:hAnsi="Verdana"/>
          <w:b/>
        </w:rPr>
        <w:t xml:space="preserve"> Click Find Next</w:t>
      </w:r>
    </w:p>
    <w:p w14:paraId="5E9D3436" w14:textId="77777777" w:rsidR="00F25025" w:rsidRPr="0025615F" w:rsidRDefault="00F25025" w:rsidP="007922C0">
      <w:pPr>
        <w:rPr>
          <w:rFonts w:ascii="Verdana" w:hAnsi="Verdana"/>
        </w:rPr>
      </w:pPr>
      <w:bookmarkStart w:id="2" w:name="_A_1"/>
      <w:bookmarkEnd w:id="2"/>
    </w:p>
    <w:p w14:paraId="7F204C2D" w14:textId="475F1B7D" w:rsidR="00F25025" w:rsidRDefault="00F25025" w:rsidP="00F15AAE">
      <w:bookmarkStart w:id="3" w:name="_E_1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60"/>
        <w:gridCol w:w="2546"/>
        <w:gridCol w:w="5183"/>
        <w:gridCol w:w="3261"/>
      </w:tblGrid>
      <w:tr w:rsidR="007922C0" w:rsidRPr="0025615F" w14:paraId="1769EB5F" w14:textId="77777777" w:rsidTr="00C873EC">
        <w:trPr>
          <w:trHeight w:val="300"/>
        </w:trPr>
        <w:tc>
          <w:tcPr>
            <w:tcW w:w="757" w:type="pct"/>
            <w:shd w:val="clear" w:color="auto" w:fill="D9D9D9" w:themeFill="background1" w:themeFillShade="D9"/>
            <w:tcMar>
              <w:left w:w="115" w:type="dxa"/>
              <w:right w:w="115" w:type="dxa"/>
            </w:tcMar>
          </w:tcPr>
          <w:p w14:paraId="7B57C90C" w14:textId="40EE9E57" w:rsidR="007922C0" w:rsidRPr="0025615F" w:rsidRDefault="007922C0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Abbreviation</w:t>
            </w:r>
          </w:p>
        </w:tc>
        <w:tc>
          <w:tcPr>
            <w:tcW w:w="983" w:type="pct"/>
            <w:shd w:val="clear" w:color="auto" w:fill="D9D9D9" w:themeFill="background1" w:themeFillShade="D9"/>
            <w:tcMar>
              <w:left w:w="115" w:type="dxa"/>
              <w:right w:w="115" w:type="dxa"/>
            </w:tcMar>
          </w:tcPr>
          <w:p w14:paraId="71C8DD79" w14:textId="4B11A4F2" w:rsidR="007922C0" w:rsidRPr="007922C0" w:rsidRDefault="007922C0" w:rsidP="00765CE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3260" w:type="pct"/>
            <w:gridSpan w:val="2"/>
            <w:shd w:val="clear" w:color="auto" w:fill="D9D9D9" w:themeFill="background1" w:themeFillShade="D9"/>
            <w:tcMar>
              <w:left w:w="115" w:type="dxa"/>
              <w:right w:w="115" w:type="dxa"/>
            </w:tcMar>
          </w:tcPr>
          <w:p w14:paraId="41E55E92" w14:textId="009D95BD" w:rsidR="007922C0" w:rsidRPr="007922C0" w:rsidRDefault="0029544C" w:rsidP="00E81F9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Definition</w:t>
            </w:r>
          </w:p>
        </w:tc>
      </w:tr>
      <w:tr w:rsidR="006158B6" w:rsidRPr="0025615F" w14:paraId="59191E94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54F7E21B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</w:t>
            </w:r>
            <w:r>
              <w:rPr>
                <w:rFonts w:ascii="Verdana" w:hAnsi="Verdana"/>
                <w:b/>
                <w:color w:val="000000"/>
              </w:rPr>
              <w:t>/</w:t>
            </w:r>
            <w:r w:rsidRPr="0025615F">
              <w:rPr>
                <w:rFonts w:ascii="Verdana" w:hAnsi="Verdana"/>
                <w:b/>
                <w:color w:val="000000"/>
              </w:rPr>
              <w:t>B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44AA190C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  <w:szCs w:val="20"/>
              </w:rPr>
            </w:pP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4C8FC922" w14:textId="77777777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indication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prescription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going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from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medication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trade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version.</w:t>
            </w:r>
          </w:p>
          <w:p w14:paraId="43240D25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</w:p>
        </w:tc>
      </w:tr>
      <w:tr w:rsidR="006158B6" w:rsidRPr="0025615F" w14:paraId="4F9C7DE5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33B70150" w14:textId="77777777" w:rsidR="006158B6" w:rsidRPr="006158B6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158B6">
              <w:rPr>
                <w:rFonts w:ascii="Verdana" w:hAnsi="Verdana"/>
                <w:b/>
                <w:color w:val="000000"/>
              </w:rPr>
              <w:t>GCI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0EBA22F9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Incentive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15DC53D2" w14:textId="77777777" w:rsidR="006158B6" w:rsidRPr="0025615F" w:rsidRDefault="006158B6" w:rsidP="00765CE3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 w:cs="Arial"/>
              </w:rPr>
              <w:t>GCI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identifies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on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select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list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of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single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source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brands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that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have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generic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alternatives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available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identifies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on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select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list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of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multi</w:t>
            </w:r>
            <w:r>
              <w:rPr>
                <w:rFonts w:ascii="Verdana" w:hAnsi="Verdana" w:cs="Arial"/>
              </w:rPr>
              <w:t>-</w:t>
            </w:r>
            <w:r w:rsidRPr="0025615F">
              <w:rPr>
                <w:rFonts w:ascii="Verdana" w:hAnsi="Verdana" w:cs="Arial"/>
              </w:rPr>
              <w:t>source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brands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that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have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generic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equivalent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available.</w:t>
            </w:r>
          </w:p>
          <w:p w14:paraId="40885CF5" w14:textId="3E9DF373" w:rsidR="006158B6" w:rsidRPr="0045780A" w:rsidRDefault="006158B6" w:rsidP="00765CE3">
            <w:pPr>
              <w:numPr>
                <w:ilvl w:val="0"/>
                <w:numId w:val="60"/>
              </w:numPr>
              <w:tabs>
                <w:tab w:val="clear" w:pos="720"/>
              </w:tabs>
              <w:spacing w:before="120" w:after="120"/>
              <w:ind w:left="683"/>
              <w:rPr>
                <w:rFonts w:ascii="Verdana" w:hAnsi="Verdana"/>
              </w:rPr>
            </w:pPr>
            <w:r w:rsidRPr="0025615F">
              <w:rPr>
                <w:rFonts w:ascii="Verdana" w:hAnsi="Verdana" w:cs="Arial"/>
              </w:rPr>
              <w:t>Letters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emails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are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sent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monthly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en</w:t>
            </w:r>
            <w:r>
              <w:rPr>
                <w:rFonts w:ascii="Verdana" w:hAnsi="Verdana" w:cs="Arial"/>
              </w:rPr>
              <w:t>co</w:t>
            </w:r>
            <w:r w:rsidRPr="0025615F">
              <w:rPr>
                <w:rFonts w:ascii="Verdana" w:hAnsi="Verdana" w:cs="Arial"/>
              </w:rPr>
              <w:t>urage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member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talk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their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doctor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about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switching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lower</w:t>
            </w:r>
            <w:r>
              <w:rPr>
                <w:rFonts w:ascii="Verdana" w:hAnsi="Verdana" w:cs="Arial"/>
              </w:rPr>
              <w:t xml:space="preserve"> co</w:t>
            </w:r>
            <w:r w:rsidRPr="0025615F">
              <w:rPr>
                <w:rFonts w:ascii="Verdana" w:hAnsi="Verdana" w:cs="Arial"/>
              </w:rPr>
              <w:t>st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generic.</w:t>
            </w:r>
            <w:r>
              <w:rPr>
                <w:rFonts w:ascii="Verdana" w:hAnsi="Verdana" w:cs="Arial"/>
              </w:rPr>
              <w:t xml:space="preserve">  </w:t>
            </w:r>
            <w:r w:rsidRPr="0025615F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letter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included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current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brand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name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generic(s)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available.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also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get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added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benefit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of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being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able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try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their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re</w:t>
            </w:r>
            <w:r>
              <w:rPr>
                <w:rFonts w:ascii="Verdana" w:hAnsi="Verdana" w:cs="Arial"/>
              </w:rPr>
              <w:t>co</w:t>
            </w:r>
            <w:r w:rsidRPr="0025615F">
              <w:rPr>
                <w:rFonts w:ascii="Verdana" w:hAnsi="Verdana" w:cs="Arial"/>
              </w:rPr>
              <w:t>mmended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generic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alternative</w:t>
            </w:r>
            <w:r>
              <w:rPr>
                <w:rFonts w:ascii="Verdana" w:hAnsi="Verdana" w:cs="Arial"/>
              </w:rPr>
              <w:t>/</w:t>
            </w:r>
            <w:r w:rsidRPr="0025615F">
              <w:rPr>
                <w:rFonts w:ascii="Verdana" w:hAnsi="Verdana" w:cs="Arial"/>
              </w:rPr>
              <w:t>equivalent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no</w:t>
            </w:r>
            <w:r>
              <w:rPr>
                <w:rFonts w:ascii="Verdana" w:hAnsi="Verdana" w:cs="Arial"/>
              </w:rPr>
              <w:t xml:space="preserve"> co</w:t>
            </w:r>
            <w:r w:rsidRPr="0025615F">
              <w:rPr>
                <w:rFonts w:ascii="Verdana" w:hAnsi="Verdana" w:cs="Arial"/>
              </w:rPr>
              <w:t>st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them,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an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incentive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switch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="00E90D70" w:rsidRPr="0025615F">
              <w:rPr>
                <w:rFonts w:ascii="Verdana" w:hAnsi="Verdana" w:cs="Arial"/>
              </w:rPr>
              <w:t>generic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medication.</w:t>
            </w:r>
          </w:p>
          <w:p w14:paraId="4A62E949" w14:textId="77777777" w:rsidR="006158B6" w:rsidRPr="0025615F" w:rsidRDefault="006158B6" w:rsidP="00765CE3">
            <w:pPr>
              <w:spacing w:before="120" w:after="120"/>
              <w:ind w:left="683"/>
              <w:rPr>
                <w:rFonts w:ascii="Verdana" w:hAnsi="Verdana"/>
              </w:rPr>
            </w:pPr>
          </w:p>
        </w:tc>
      </w:tr>
      <w:tr w:rsidR="006158B6" w:rsidRPr="0025615F" w14:paraId="4F3C7264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41969501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GCN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48DF26E6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  <w:szCs w:val="20"/>
              </w:rPr>
            </w:pP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Class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Number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33E40FBC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digit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numeric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de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identifies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medications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active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ingredients,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form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strength</w:t>
            </w:r>
            <w:r>
              <w:rPr>
                <w:rFonts w:ascii="Verdana" w:hAnsi="Verdana"/>
              </w:rPr>
              <w:t>.</w:t>
            </w:r>
          </w:p>
        </w:tc>
      </w:tr>
      <w:tr w:rsidR="006158B6" w:rsidRPr="0025615F" w14:paraId="1C7D9D09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662A08A4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GEAP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759A7269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Equivalent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Average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Price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4124297E" w14:textId="77777777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Average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acceptable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price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equivalent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“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”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ingredients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dosage.</w:t>
            </w:r>
          </w:p>
          <w:p w14:paraId="2358B0A6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</w:p>
        </w:tc>
      </w:tr>
      <w:tr w:rsidR="006158B6" w:rsidRPr="0025615F" w14:paraId="12E3E8A2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19FE15BF" w14:textId="69926FD9" w:rsidR="006158B6" w:rsidRDefault="003D4CF4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6158B6">
              <w:rPr>
                <w:rFonts w:ascii="Verdana" w:hAnsi="Verdana"/>
                <w:b/>
                <w:color w:val="000000"/>
              </w:rPr>
              <w:t>GEHA</w:t>
            </w:r>
          </w:p>
          <w:p w14:paraId="4395120F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48E2A2D7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Government Employees Health Association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398DE055" w14:textId="514E2C4C" w:rsidR="006158B6" w:rsidRPr="003D4CF4" w:rsidRDefault="00D1062A" w:rsidP="00765CE3">
            <w:pPr>
              <w:spacing w:before="120" w:after="120"/>
              <w:rPr>
                <w:rFonts w:ascii="Verdana" w:hAnsi="Verdana"/>
              </w:rPr>
            </w:pPr>
            <w:r w:rsidRPr="003D4CF4">
              <w:rPr>
                <w:rFonts w:ascii="Verdana" w:hAnsi="Verdana"/>
              </w:rPr>
              <w:t xml:space="preserve">A Commercial client for CVS Caremark. </w:t>
            </w:r>
            <w:r w:rsidRPr="002A683B">
              <w:rPr>
                <w:rFonts w:ascii="Verdana" w:hAnsi="Verdana" w:cs="Helvetica"/>
                <w:color w:val="333333"/>
                <w:shd w:val="clear" w:color="auto" w:fill="FFFFFF"/>
              </w:rPr>
              <w:t>GEHA calls are handled by a dedicated team in Knoxville.</w:t>
            </w:r>
          </w:p>
        </w:tc>
      </w:tr>
      <w:tr w:rsidR="006158B6" w:rsidRPr="0025615F" w14:paraId="5996998B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4C605AD4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GHB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278957E6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Gamma-Hydroxybutyric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acid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medication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indication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5AFDE713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Prescriptions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GHB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require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note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medical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need,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which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added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reason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text.</w:t>
            </w:r>
          </w:p>
        </w:tc>
      </w:tr>
      <w:tr w:rsidR="006158B6" w:rsidRPr="0025615F" w14:paraId="515377A7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018D5AF1" w14:textId="3E623067" w:rsidR="006158B6" w:rsidRPr="0025615F" w:rsidRDefault="003D4CF4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6158B6">
              <w:rPr>
                <w:rFonts w:ascii="Verdana" w:hAnsi="Verdana"/>
                <w:b/>
                <w:color w:val="000000"/>
              </w:rPr>
              <w:t xml:space="preserve">GHP 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26E6832E" w14:textId="77777777" w:rsidR="006158B6" w:rsidRPr="00E517E4" w:rsidRDefault="006158B6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 xml:space="preserve">Group Health Plan 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744334F4" w14:textId="555838EC" w:rsidR="006158B6" w:rsidRPr="0025615F" w:rsidRDefault="00821310" w:rsidP="00765C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health plan offered by an employer or employee organization that provides health coverage to employees and their families.</w:t>
            </w:r>
          </w:p>
        </w:tc>
      </w:tr>
      <w:tr w:rsidR="42C1190B" w14:paraId="1A159555" w14:textId="77777777" w:rsidTr="00C873EC">
        <w:trPr>
          <w:trHeight w:val="300"/>
        </w:trPr>
        <w:tc>
          <w:tcPr>
            <w:tcW w:w="1960" w:type="dxa"/>
            <w:tcMar>
              <w:left w:w="115" w:type="dxa"/>
              <w:right w:w="115" w:type="dxa"/>
            </w:tcMar>
          </w:tcPr>
          <w:p w14:paraId="6B8CAF1B" w14:textId="71CFB475" w:rsidR="46D491D5" w:rsidRDefault="00B24A69" w:rsidP="00B24A69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>
              <w:rPr>
                <w:rFonts w:ascii="Verdana" w:hAnsi="Verdana"/>
                <w:b/>
                <w:bCs/>
                <w:noProof/>
                <w:color w:val="000000" w:themeColor="text1"/>
              </w:rPr>
              <w:drawing>
                <wp:inline distT="0" distB="0" distL="0" distR="0" wp14:anchorId="62F48630" wp14:editId="57A04EC6">
                  <wp:extent cx="304762" cy="304762"/>
                  <wp:effectExtent l="0" t="0" r="635" b="635"/>
                  <wp:docPr id="1839158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158891" name="Picture 183915889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6D491D5" w:rsidRPr="42C1190B">
              <w:rPr>
                <w:rFonts w:ascii="Verdana" w:hAnsi="Verdana"/>
                <w:b/>
                <w:bCs/>
                <w:color w:val="000000" w:themeColor="text1"/>
              </w:rPr>
              <w:t>GLP-1</w:t>
            </w:r>
          </w:p>
        </w:tc>
        <w:tc>
          <w:tcPr>
            <w:tcW w:w="2546" w:type="dxa"/>
            <w:tcMar>
              <w:left w:w="115" w:type="dxa"/>
              <w:right w:w="115" w:type="dxa"/>
            </w:tcMar>
          </w:tcPr>
          <w:p w14:paraId="3D18F5BE" w14:textId="11536E74" w:rsidR="46D491D5" w:rsidRDefault="46D491D5" w:rsidP="00B24A69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42C1190B">
              <w:rPr>
                <w:rFonts w:ascii="Verdana" w:hAnsi="Verdana"/>
                <w:color w:val="000000" w:themeColor="text1"/>
              </w:rPr>
              <w:t>Glucagon-like Peptide-1</w:t>
            </w:r>
          </w:p>
        </w:tc>
        <w:tc>
          <w:tcPr>
            <w:tcW w:w="8444" w:type="dxa"/>
            <w:gridSpan w:val="2"/>
            <w:tcMar>
              <w:left w:w="115" w:type="dxa"/>
              <w:right w:w="115" w:type="dxa"/>
            </w:tcMar>
          </w:tcPr>
          <w:p w14:paraId="3F8A5ED1" w14:textId="4823647C" w:rsidR="46D491D5" w:rsidRPr="00C873EC" w:rsidRDefault="00C873EC" w:rsidP="00B24A69">
            <w:pPr>
              <w:spacing w:before="120" w:after="120"/>
              <w:rPr>
                <w:rFonts w:ascii="Verdana" w:eastAsia="Verdana" w:hAnsi="Verdana" w:cs="Verdana"/>
              </w:rPr>
            </w:pPr>
            <w:r w:rsidRPr="0029544C">
              <w:rPr>
                <w:rFonts w:ascii="Verdana" w:eastAsia="Roboto" w:hAnsi="Verdana" w:cs="Roboto"/>
                <w:color w:val="001D35"/>
              </w:rPr>
              <w:t>Because of its effects on blood sugar and appetite, GLP-1 receptor agonists (like semaglutide and liraglutide) are used to treat Type 2 diabetes, Obesity and weight management</w:t>
            </w:r>
          </w:p>
        </w:tc>
      </w:tr>
      <w:tr w:rsidR="006158B6" w:rsidRPr="0025615F" w14:paraId="5929D104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0A221F68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GM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5A1B952C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  <w:szCs w:val="20"/>
              </w:rPr>
            </w:pPr>
            <w:r w:rsidRPr="00E517E4">
              <w:rPr>
                <w:rFonts w:ascii="Verdana" w:hAnsi="Verdana" w:cs="Arial"/>
                <w:bCs/>
              </w:rPr>
              <w:t>Gram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1DFB9FAF" w14:textId="24F8E8ED" w:rsidR="006158B6" w:rsidRPr="0025615F" w:rsidRDefault="006158B6" w:rsidP="00765CE3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metric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measurement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of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weight.</w:t>
            </w:r>
          </w:p>
        </w:tc>
      </w:tr>
      <w:tr w:rsidR="00F75686" w:rsidRPr="0025615F" w14:paraId="5EBEA5CF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734003AA" w14:textId="49267909" w:rsidR="00F75686" w:rsidRPr="0025615F" w:rsidRDefault="003D4CF4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F75686">
              <w:rPr>
                <w:rFonts w:ascii="Verdana" w:hAnsi="Verdana"/>
                <w:b/>
                <w:color w:val="000000"/>
              </w:rPr>
              <w:t>GPC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79D9784E" w14:textId="481D0397" w:rsidR="00F75686" w:rsidRPr="00E517E4" w:rsidRDefault="00F75686" w:rsidP="00765CE3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Grace Period Claim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26E949BD" w14:textId="7B695B3A" w:rsidR="00F75686" w:rsidRDefault="00F75686" w:rsidP="00765C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F75686">
              <w:rPr>
                <w:rFonts w:ascii="Verdana" w:hAnsi="Verdana"/>
              </w:rPr>
              <w:t>laim processed during plan's grace period.</w:t>
            </w:r>
          </w:p>
        </w:tc>
      </w:tr>
      <w:tr w:rsidR="006158B6" w:rsidRPr="0025615F" w14:paraId="55004B84" w14:textId="77777777" w:rsidTr="00C873EC">
        <w:trPr>
          <w:trHeight w:val="300"/>
        </w:trPr>
        <w:tc>
          <w:tcPr>
            <w:tcW w:w="757" w:type="pct"/>
            <w:vMerge w:val="restart"/>
            <w:tcMar>
              <w:left w:w="115" w:type="dxa"/>
              <w:right w:w="115" w:type="dxa"/>
            </w:tcMar>
          </w:tcPr>
          <w:p w14:paraId="34447B7E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GPI</w:t>
            </w:r>
          </w:p>
        </w:tc>
        <w:tc>
          <w:tcPr>
            <w:tcW w:w="983" w:type="pct"/>
            <w:vMerge w:val="restart"/>
            <w:tcMar>
              <w:left w:w="115" w:type="dxa"/>
              <w:right w:w="115" w:type="dxa"/>
            </w:tcMar>
          </w:tcPr>
          <w:p w14:paraId="42425FF9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  <w:r w:rsidRPr="00E517E4">
              <w:rPr>
                <w:rFonts w:ascii="Verdana" w:hAnsi="Verdana" w:cs="Arial"/>
                <w:bCs/>
              </w:rPr>
              <w:t>Generic Product Identifier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0768AD13" w14:textId="76569C50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</w:t>
            </w:r>
            <w:r w:rsidRPr="0025615F">
              <w:rPr>
                <w:rFonts w:ascii="Verdana" w:hAnsi="Verdana"/>
              </w:rPr>
              <w:t>ding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scheme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used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Medi-Span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classify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identify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specific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products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based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their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chemical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make-up,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strength</w:t>
            </w:r>
            <w:r w:rsidR="003D4CF4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form.</w:t>
            </w:r>
            <w:r>
              <w:rPr>
                <w:rFonts w:ascii="Verdana" w:hAnsi="Verdana"/>
              </w:rPr>
              <w:t xml:space="preserve"> </w:t>
            </w:r>
          </w:p>
          <w:p w14:paraId="55C46EAB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</w:p>
          <w:p w14:paraId="6BD67BDF" w14:textId="77777777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Or</w:t>
            </w:r>
          </w:p>
          <w:p w14:paraId="1E5B0D7B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</w:p>
          <w:p w14:paraId="2620D7B7" w14:textId="77777777" w:rsidR="006158B6" w:rsidRPr="0025615F" w:rsidRDefault="006158B6" w:rsidP="00765CE3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Only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one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number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vers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all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forms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therapeutic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classification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scheme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interaction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&amp;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allergy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checking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edits.</w:t>
            </w:r>
          </w:p>
        </w:tc>
      </w:tr>
      <w:tr w:rsidR="006158B6" w:rsidRPr="0025615F" w14:paraId="01AC3826" w14:textId="77777777" w:rsidTr="00C873EC">
        <w:trPr>
          <w:trHeight w:val="300"/>
        </w:trPr>
        <w:tc>
          <w:tcPr>
            <w:tcW w:w="757" w:type="pct"/>
            <w:vMerge/>
            <w:tcMar>
              <w:left w:w="115" w:type="dxa"/>
              <w:right w:w="115" w:type="dxa"/>
            </w:tcMar>
          </w:tcPr>
          <w:p w14:paraId="075DDE19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</w:rPr>
            </w:pPr>
          </w:p>
        </w:tc>
        <w:tc>
          <w:tcPr>
            <w:tcW w:w="983" w:type="pct"/>
            <w:vMerge/>
            <w:tcMar>
              <w:left w:w="115" w:type="dxa"/>
              <w:right w:w="115" w:type="dxa"/>
            </w:tcMar>
          </w:tcPr>
          <w:p w14:paraId="371E2213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2001" w:type="pct"/>
            <w:shd w:val="clear" w:color="auto" w:fill="D9D9D9" w:themeFill="background1" w:themeFillShade="D9"/>
            <w:tcMar>
              <w:left w:w="115" w:type="dxa"/>
              <w:right w:w="115" w:type="dxa"/>
            </w:tcMar>
          </w:tcPr>
          <w:p w14:paraId="1A0E0733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5615F">
              <w:rPr>
                <w:rFonts w:ascii="Verdana" w:hAnsi="Verdana"/>
                <w:b/>
                <w:sz w:val="24"/>
                <w:szCs w:val="24"/>
              </w:rPr>
              <w:t>Example</w:t>
            </w:r>
          </w:p>
        </w:tc>
        <w:tc>
          <w:tcPr>
            <w:tcW w:w="1259" w:type="pct"/>
            <w:shd w:val="clear" w:color="auto" w:fill="D9D9D9" w:themeFill="background1" w:themeFillShade="D9"/>
            <w:tcMar>
              <w:left w:w="115" w:type="dxa"/>
              <w:right w:w="115" w:type="dxa"/>
            </w:tcMar>
          </w:tcPr>
          <w:p w14:paraId="2736F044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5615F">
              <w:rPr>
                <w:rFonts w:ascii="Verdana" w:hAnsi="Verdana"/>
                <w:b/>
                <w:sz w:val="24"/>
                <w:szCs w:val="24"/>
              </w:rPr>
              <w:t>Number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b/>
                <w:sz w:val="24"/>
                <w:szCs w:val="24"/>
              </w:rPr>
              <w:t>of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b/>
                <w:sz w:val="24"/>
                <w:szCs w:val="24"/>
              </w:rPr>
              <w:t>Digits</w:t>
            </w:r>
          </w:p>
        </w:tc>
      </w:tr>
      <w:tr w:rsidR="006158B6" w:rsidRPr="0025615F" w14:paraId="2BEEDB1E" w14:textId="77777777" w:rsidTr="00C873EC">
        <w:trPr>
          <w:trHeight w:val="300"/>
        </w:trPr>
        <w:tc>
          <w:tcPr>
            <w:tcW w:w="757" w:type="pct"/>
            <w:vMerge/>
            <w:tcMar>
              <w:left w:w="115" w:type="dxa"/>
              <w:right w:w="115" w:type="dxa"/>
            </w:tcMar>
          </w:tcPr>
          <w:p w14:paraId="46F2BC4E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</w:rPr>
            </w:pPr>
          </w:p>
        </w:tc>
        <w:tc>
          <w:tcPr>
            <w:tcW w:w="983" w:type="pct"/>
            <w:vMerge/>
            <w:tcMar>
              <w:left w:w="115" w:type="dxa"/>
              <w:right w:w="115" w:type="dxa"/>
            </w:tcMar>
          </w:tcPr>
          <w:p w14:paraId="692EE682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2001" w:type="pct"/>
            <w:tcMar>
              <w:left w:w="115" w:type="dxa"/>
              <w:right w:w="115" w:type="dxa"/>
            </w:tcMar>
          </w:tcPr>
          <w:p w14:paraId="474E08D4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12-xx-xx-xx-xx-xx-xx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259" w:type="pct"/>
            <w:tcMar>
              <w:left w:w="115" w:type="dxa"/>
              <w:right w:w="115" w:type="dxa"/>
            </w:tcMar>
          </w:tcPr>
          <w:p w14:paraId="17B593AC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6158B6" w:rsidRPr="0025615F" w14:paraId="44C27E0B" w14:textId="77777777" w:rsidTr="00C873EC">
        <w:trPr>
          <w:trHeight w:val="300"/>
        </w:trPr>
        <w:tc>
          <w:tcPr>
            <w:tcW w:w="757" w:type="pct"/>
            <w:vMerge/>
            <w:tcMar>
              <w:left w:w="115" w:type="dxa"/>
              <w:right w:w="115" w:type="dxa"/>
            </w:tcMar>
          </w:tcPr>
          <w:p w14:paraId="0558D921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</w:rPr>
            </w:pPr>
          </w:p>
        </w:tc>
        <w:tc>
          <w:tcPr>
            <w:tcW w:w="983" w:type="pct"/>
            <w:vMerge/>
            <w:tcMar>
              <w:left w:w="115" w:type="dxa"/>
              <w:right w:w="115" w:type="dxa"/>
            </w:tcMar>
          </w:tcPr>
          <w:p w14:paraId="3C8E888D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2001" w:type="pct"/>
            <w:tcMar>
              <w:left w:w="115" w:type="dxa"/>
              <w:right w:w="115" w:type="dxa"/>
            </w:tcMar>
          </w:tcPr>
          <w:p w14:paraId="43196097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12-34-xx-xx-xx-xx-xx</w:t>
            </w:r>
          </w:p>
        </w:tc>
        <w:tc>
          <w:tcPr>
            <w:tcW w:w="1259" w:type="pct"/>
            <w:tcMar>
              <w:left w:w="115" w:type="dxa"/>
              <w:right w:w="115" w:type="dxa"/>
            </w:tcMar>
          </w:tcPr>
          <w:p w14:paraId="3F9B52C1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6158B6" w:rsidRPr="0025615F" w14:paraId="781EC709" w14:textId="77777777" w:rsidTr="00C873EC">
        <w:trPr>
          <w:trHeight w:val="300"/>
        </w:trPr>
        <w:tc>
          <w:tcPr>
            <w:tcW w:w="757" w:type="pct"/>
            <w:vMerge/>
            <w:tcMar>
              <w:left w:w="115" w:type="dxa"/>
              <w:right w:w="115" w:type="dxa"/>
            </w:tcMar>
          </w:tcPr>
          <w:p w14:paraId="746A5438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</w:rPr>
            </w:pPr>
          </w:p>
        </w:tc>
        <w:tc>
          <w:tcPr>
            <w:tcW w:w="983" w:type="pct"/>
            <w:vMerge/>
            <w:tcMar>
              <w:left w:w="115" w:type="dxa"/>
              <w:right w:w="115" w:type="dxa"/>
            </w:tcMar>
          </w:tcPr>
          <w:p w14:paraId="2E2DDB96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2001" w:type="pct"/>
            <w:tcMar>
              <w:left w:w="115" w:type="dxa"/>
              <w:right w:w="115" w:type="dxa"/>
            </w:tcMar>
          </w:tcPr>
          <w:p w14:paraId="304DCB0E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12-34-56-xx-xx-xx-xx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259" w:type="pct"/>
            <w:tcMar>
              <w:left w:w="115" w:type="dxa"/>
              <w:right w:w="115" w:type="dxa"/>
            </w:tcMar>
          </w:tcPr>
          <w:p w14:paraId="3373AF74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6</w:t>
            </w:r>
          </w:p>
        </w:tc>
      </w:tr>
      <w:tr w:rsidR="006158B6" w:rsidRPr="0025615F" w14:paraId="2124334C" w14:textId="77777777" w:rsidTr="00C873EC">
        <w:trPr>
          <w:trHeight w:val="300"/>
        </w:trPr>
        <w:tc>
          <w:tcPr>
            <w:tcW w:w="757" w:type="pct"/>
            <w:vMerge/>
            <w:tcMar>
              <w:left w:w="115" w:type="dxa"/>
              <w:right w:w="115" w:type="dxa"/>
            </w:tcMar>
          </w:tcPr>
          <w:p w14:paraId="4FC69290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</w:rPr>
            </w:pPr>
          </w:p>
        </w:tc>
        <w:tc>
          <w:tcPr>
            <w:tcW w:w="983" w:type="pct"/>
            <w:vMerge/>
            <w:tcMar>
              <w:left w:w="115" w:type="dxa"/>
              <w:right w:w="115" w:type="dxa"/>
            </w:tcMar>
          </w:tcPr>
          <w:p w14:paraId="0FF1868A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2001" w:type="pct"/>
            <w:tcMar>
              <w:left w:w="115" w:type="dxa"/>
              <w:right w:w="115" w:type="dxa"/>
            </w:tcMar>
          </w:tcPr>
          <w:p w14:paraId="3FC32902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12-34-56-78-xx-xx-xx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259" w:type="pct"/>
            <w:tcMar>
              <w:left w:w="115" w:type="dxa"/>
              <w:right w:w="115" w:type="dxa"/>
            </w:tcMar>
          </w:tcPr>
          <w:p w14:paraId="3D091981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8</w:t>
            </w:r>
          </w:p>
        </w:tc>
      </w:tr>
      <w:tr w:rsidR="006158B6" w:rsidRPr="0025615F" w14:paraId="76839622" w14:textId="77777777" w:rsidTr="00C873EC">
        <w:trPr>
          <w:trHeight w:val="300"/>
        </w:trPr>
        <w:tc>
          <w:tcPr>
            <w:tcW w:w="757" w:type="pct"/>
            <w:vMerge/>
            <w:tcMar>
              <w:left w:w="115" w:type="dxa"/>
              <w:right w:w="115" w:type="dxa"/>
            </w:tcMar>
          </w:tcPr>
          <w:p w14:paraId="04D09E64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</w:rPr>
            </w:pPr>
          </w:p>
        </w:tc>
        <w:tc>
          <w:tcPr>
            <w:tcW w:w="983" w:type="pct"/>
            <w:vMerge/>
            <w:tcMar>
              <w:left w:w="115" w:type="dxa"/>
              <w:right w:w="115" w:type="dxa"/>
            </w:tcMar>
          </w:tcPr>
          <w:p w14:paraId="52590325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2001" w:type="pct"/>
            <w:tcMar>
              <w:left w:w="115" w:type="dxa"/>
              <w:right w:w="115" w:type="dxa"/>
            </w:tcMar>
          </w:tcPr>
          <w:p w14:paraId="3BDA91B6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12-34-56-78-90-xx-xx</w:t>
            </w:r>
          </w:p>
        </w:tc>
        <w:tc>
          <w:tcPr>
            <w:tcW w:w="1259" w:type="pct"/>
            <w:tcMar>
              <w:left w:w="115" w:type="dxa"/>
              <w:right w:w="115" w:type="dxa"/>
            </w:tcMar>
          </w:tcPr>
          <w:p w14:paraId="4B14C2D7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10</w:t>
            </w:r>
          </w:p>
        </w:tc>
      </w:tr>
      <w:tr w:rsidR="006158B6" w:rsidRPr="0025615F" w14:paraId="3D5267BA" w14:textId="77777777" w:rsidTr="00C873EC">
        <w:trPr>
          <w:trHeight w:val="300"/>
        </w:trPr>
        <w:tc>
          <w:tcPr>
            <w:tcW w:w="757" w:type="pct"/>
            <w:vMerge/>
            <w:tcMar>
              <w:left w:w="115" w:type="dxa"/>
              <w:right w:w="115" w:type="dxa"/>
            </w:tcMar>
          </w:tcPr>
          <w:p w14:paraId="31238300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</w:rPr>
            </w:pPr>
          </w:p>
        </w:tc>
        <w:tc>
          <w:tcPr>
            <w:tcW w:w="983" w:type="pct"/>
            <w:vMerge/>
            <w:tcMar>
              <w:left w:w="115" w:type="dxa"/>
              <w:right w:w="115" w:type="dxa"/>
            </w:tcMar>
          </w:tcPr>
          <w:p w14:paraId="3A65592A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2001" w:type="pct"/>
            <w:tcMar>
              <w:left w:w="115" w:type="dxa"/>
              <w:right w:w="115" w:type="dxa"/>
            </w:tcMar>
          </w:tcPr>
          <w:p w14:paraId="5D1A62A5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12-34-56-78-90-12-xx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259" w:type="pct"/>
            <w:tcMar>
              <w:left w:w="115" w:type="dxa"/>
              <w:right w:w="115" w:type="dxa"/>
            </w:tcMar>
          </w:tcPr>
          <w:p w14:paraId="58472B3B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12</w:t>
            </w:r>
          </w:p>
        </w:tc>
      </w:tr>
      <w:tr w:rsidR="006158B6" w:rsidRPr="0025615F" w14:paraId="701F7B86" w14:textId="77777777" w:rsidTr="00C873EC">
        <w:trPr>
          <w:trHeight w:val="300"/>
        </w:trPr>
        <w:tc>
          <w:tcPr>
            <w:tcW w:w="757" w:type="pct"/>
            <w:vMerge/>
            <w:tcMar>
              <w:left w:w="115" w:type="dxa"/>
              <w:right w:w="115" w:type="dxa"/>
            </w:tcMar>
          </w:tcPr>
          <w:p w14:paraId="1D6216A0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</w:rPr>
            </w:pPr>
          </w:p>
        </w:tc>
        <w:tc>
          <w:tcPr>
            <w:tcW w:w="983" w:type="pct"/>
            <w:vMerge/>
            <w:tcMar>
              <w:left w:w="115" w:type="dxa"/>
              <w:right w:w="115" w:type="dxa"/>
            </w:tcMar>
          </w:tcPr>
          <w:p w14:paraId="570AB99C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2001" w:type="pct"/>
            <w:tcMar>
              <w:left w:w="115" w:type="dxa"/>
              <w:right w:w="115" w:type="dxa"/>
            </w:tcMar>
          </w:tcPr>
          <w:p w14:paraId="517F8C6F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12-34-56-78-90-12-14</w:t>
            </w:r>
          </w:p>
        </w:tc>
        <w:tc>
          <w:tcPr>
            <w:tcW w:w="1259" w:type="pct"/>
            <w:tcMar>
              <w:left w:w="115" w:type="dxa"/>
              <w:right w:w="115" w:type="dxa"/>
            </w:tcMar>
          </w:tcPr>
          <w:p w14:paraId="253B5458" w14:textId="77777777" w:rsidR="006158B6" w:rsidRPr="0025615F" w:rsidRDefault="006158B6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14</w:t>
            </w:r>
          </w:p>
        </w:tc>
      </w:tr>
      <w:tr w:rsidR="006158B6" w:rsidRPr="0025615F" w14:paraId="50FB952C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02D2AF6E" w14:textId="516FA23D" w:rsidR="006158B6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GR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67A0CA3A" w14:textId="77777777" w:rsidR="006158B6" w:rsidRPr="00E517E4" w:rsidRDefault="006158B6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Grain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1E7B06EA" w14:textId="77777777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</w:t>
            </w:r>
            <w:r w:rsidRPr="00E55B6A">
              <w:rPr>
                <w:rFonts w:ascii="Verdana" w:hAnsi="Verdana"/>
              </w:rPr>
              <w:t>nit of weight formerly used by pharmacists, equal to 0.0648 g</w:t>
            </w:r>
            <w:r>
              <w:rPr>
                <w:rFonts w:ascii="Verdana" w:hAnsi="Verdana"/>
              </w:rPr>
              <w:t>rams</w:t>
            </w:r>
          </w:p>
          <w:p w14:paraId="70C50271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3284F" w:rsidRPr="0025615F" w14:paraId="23E22982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4D53A935" w14:textId="0182FF26" w:rsidR="00C3284F" w:rsidRDefault="00E81F9E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C3284F">
              <w:rPr>
                <w:rFonts w:ascii="Verdana" w:hAnsi="Verdana"/>
                <w:b/>
                <w:color w:val="000000"/>
              </w:rPr>
              <w:t>GRA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1D8F2289" w14:textId="314F91AA" w:rsidR="00C3284F" w:rsidRPr="00E517E4" w:rsidRDefault="00C3284F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Granule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172C91CD" w14:textId="4540429A" w:rsidR="00C3284F" w:rsidRDefault="00BD5DC8" w:rsidP="00765C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BD5DC8">
              <w:rPr>
                <w:rFonts w:ascii="Verdana" w:hAnsi="Verdana"/>
              </w:rPr>
              <w:t xml:space="preserve"> small compact particle of a substance</w:t>
            </w:r>
            <w:r>
              <w:rPr>
                <w:rFonts w:ascii="Verdana" w:hAnsi="Verdana"/>
              </w:rPr>
              <w:t>.</w:t>
            </w:r>
          </w:p>
        </w:tc>
      </w:tr>
      <w:tr w:rsidR="006158B6" w:rsidRPr="0025615F" w14:paraId="6D642E9F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5E969705" w14:textId="356CCC9C" w:rsidR="006158B6" w:rsidRPr="0025615F" w:rsidRDefault="003D4CF4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6158B6" w:rsidRPr="0025615F">
              <w:rPr>
                <w:rFonts w:ascii="Verdana" w:hAnsi="Verdana"/>
                <w:b/>
                <w:color w:val="000000"/>
              </w:rPr>
              <w:t>Grp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522C7315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  <w:r w:rsidRPr="00E517E4">
              <w:rPr>
                <w:rFonts w:ascii="Verdana" w:hAnsi="Verdana" w:cs="Arial"/>
                <w:bCs/>
              </w:rPr>
              <w:t>Group</w:t>
            </w:r>
          </w:p>
          <w:p w14:paraId="0E47C56C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726D7D13" w14:textId="0B3D9D93" w:rsidR="006158B6" w:rsidRPr="0025615F" w:rsidRDefault="008E22E2" w:rsidP="00765CE3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 collection of people/items.</w:t>
            </w:r>
          </w:p>
        </w:tc>
      </w:tr>
      <w:tr w:rsidR="006158B6" w:rsidRPr="0025615F" w14:paraId="2B9F51AD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375D792E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A444A">
              <w:rPr>
                <w:rFonts w:ascii="Verdana" w:hAnsi="Verdana"/>
                <w:b/>
              </w:rPr>
              <w:t>GRV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17FEB773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  <w:r w:rsidRPr="00E517E4">
              <w:rPr>
                <w:bCs/>
                <w:noProof/>
              </w:rPr>
              <w:t xml:space="preserve"> </w:t>
            </w:r>
            <w:r w:rsidRPr="00E517E4">
              <w:rPr>
                <w:rFonts w:ascii="Verdana" w:hAnsi="Verdana"/>
                <w:bCs/>
              </w:rPr>
              <w:t>Grievance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21D0732C" w14:textId="77777777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0F184C">
              <w:rPr>
                <w:rFonts w:ascii="Verdana" w:hAnsi="Verdana"/>
              </w:rPr>
              <w:t xml:space="preserve">Any Complaint or dispute, other than one that involves a Coverage Determination or a low-income subsidy (LIS) or late enrollment penalty (LEP) determination, expressing dissatisfaction with any aspect of the operations, activities, or behavior of a Part D Plan Sponsor, regardless of whether remedial action is requested. </w:t>
            </w:r>
          </w:p>
          <w:p w14:paraId="54DF21E5" w14:textId="77777777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</w:p>
          <w:p w14:paraId="0F242FE7" w14:textId="77777777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0F184C">
              <w:rPr>
                <w:rFonts w:ascii="Verdana" w:hAnsi="Verdana"/>
              </w:rPr>
              <w:t>Grievances may include complaints regarding the timeliness, appropriateness, access to, and/or setting of a provided item.</w:t>
            </w:r>
          </w:p>
          <w:p w14:paraId="7A4E5EFF" w14:textId="77777777" w:rsidR="006158B6" w:rsidRPr="0025615F" w:rsidRDefault="006158B6" w:rsidP="00765CE3">
            <w:pPr>
              <w:spacing w:before="120" w:after="120"/>
              <w:rPr>
                <w:rFonts w:ascii="Verdana" w:hAnsi="Verdana" w:cs="Arial"/>
              </w:rPr>
            </w:pPr>
          </w:p>
        </w:tc>
      </w:tr>
      <w:tr w:rsidR="006158B6" w:rsidRPr="0025615F" w14:paraId="62F189B9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1A0D2933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GSTP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05F24AB8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</w:rPr>
            </w:pPr>
            <w:r w:rsidRPr="00E517E4">
              <w:rPr>
                <w:rFonts w:ascii="Verdana" w:hAnsi="Verdana" w:cs="Arial"/>
                <w:bCs/>
              </w:rPr>
              <w:t>Generic Step Therapy Plan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3B29295E" w14:textId="77777777" w:rsidR="006158B6" w:rsidRDefault="006158B6" w:rsidP="00765CE3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 w:cs="Arial"/>
              </w:rPr>
              <w:t>Formerly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known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High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Performance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Formulary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Plan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Design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(HPGST)</w:t>
            </w:r>
            <w:r>
              <w:rPr>
                <w:rFonts w:ascii="Verdana" w:hAnsi="Verdana" w:cs="Arial"/>
              </w:rPr>
              <w:t>.</w:t>
            </w:r>
          </w:p>
          <w:p w14:paraId="3524E1A7" w14:textId="77777777" w:rsidR="006158B6" w:rsidRPr="0025615F" w:rsidRDefault="006158B6" w:rsidP="00765CE3">
            <w:pPr>
              <w:spacing w:before="120" w:after="120"/>
              <w:rPr>
                <w:rFonts w:ascii="Verdana" w:hAnsi="Verdana" w:cs="Arial"/>
              </w:rPr>
            </w:pPr>
          </w:p>
        </w:tc>
      </w:tr>
      <w:tr w:rsidR="006158B6" w:rsidRPr="0025615F" w14:paraId="4D9D3F0E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673D780A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GTT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25615F">
              <w:rPr>
                <w:rFonts w:ascii="Verdana" w:hAnsi="Verdana"/>
                <w:b/>
                <w:color w:val="000000"/>
              </w:rPr>
              <w:t>or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25615F">
              <w:rPr>
                <w:rFonts w:ascii="Verdana" w:hAnsi="Verdana"/>
                <w:b/>
                <w:color w:val="000000"/>
              </w:rPr>
              <w:t>GTTS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3C32FECF" w14:textId="77777777" w:rsidR="006158B6" w:rsidRPr="00E517E4" w:rsidRDefault="006158B6" w:rsidP="00765CE3">
            <w:pPr>
              <w:spacing w:before="120" w:after="120"/>
              <w:rPr>
                <w:rFonts w:ascii="Verdana" w:hAnsi="Verdana" w:cs="Arial"/>
                <w:bCs/>
                <w:szCs w:val="20"/>
              </w:rPr>
            </w:pPr>
            <w:r w:rsidRPr="00E517E4">
              <w:rPr>
                <w:rFonts w:ascii="Verdana" w:hAnsi="Verdana" w:cs="Arial"/>
                <w:bCs/>
              </w:rPr>
              <w:t>Drop(s)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0B66299D" w14:textId="318CEA3C" w:rsidR="006158B6" w:rsidRDefault="006158B6" w:rsidP="00765CE3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measurement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of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liquid</w:t>
            </w:r>
            <w:r>
              <w:rPr>
                <w:rFonts w:ascii="Verdana" w:hAnsi="Verdana" w:cs="Arial"/>
              </w:rPr>
              <w:t xml:space="preserve"> </w:t>
            </w:r>
            <w:r w:rsidR="00E90D70" w:rsidRPr="0025615F">
              <w:rPr>
                <w:rFonts w:ascii="Verdana" w:hAnsi="Verdana" w:cs="Arial"/>
              </w:rPr>
              <w:t>medication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is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dispensed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with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</w:t>
            </w:r>
            <w:r w:rsidRPr="0025615F">
              <w:rPr>
                <w:rFonts w:ascii="Verdana" w:hAnsi="Verdana" w:cs="Arial"/>
              </w:rPr>
              <w:t>dropper.</w:t>
            </w:r>
          </w:p>
          <w:p w14:paraId="69571A6A" w14:textId="77777777" w:rsidR="006158B6" w:rsidRPr="0025615F" w:rsidRDefault="006158B6" w:rsidP="00765CE3">
            <w:pPr>
              <w:spacing w:before="120" w:after="120"/>
              <w:rPr>
                <w:rFonts w:ascii="Verdana" w:hAnsi="Verdana" w:cs="Arial"/>
              </w:rPr>
            </w:pPr>
          </w:p>
        </w:tc>
      </w:tr>
      <w:tr w:rsidR="006158B6" w:rsidRPr="0025615F" w14:paraId="507B8189" w14:textId="77777777" w:rsidTr="00C873EC">
        <w:trPr>
          <w:trHeight w:val="300"/>
        </w:trPr>
        <w:tc>
          <w:tcPr>
            <w:tcW w:w="757" w:type="pct"/>
            <w:tcMar>
              <w:left w:w="115" w:type="dxa"/>
              <w:right w:w="115" w:type="dxa"/>
            </w:tcMar>
          </w:tcPr>
          <w:p w14:paraId="2488E12B" w14:textId="77777777" w:rsidR="006158B6" w:rsidRPr="0025615F" w:rsidRDefault="006158B6" w:rsidP="00765CE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5615F">
              <w:rPr>
                <w:rFonts w:ascii="Verdana" w:hAnsi="Verdana"/>
                <w:b/>
                <w:color w:val="000000"/>
              </w:rPr>
              <w:t>Gx</w:t>
            </w:r>
          </w:p>
        </w:tc>
        <w:tc>
          <w:tcPr>
            <w:tcW w:w="983" w:type="pct"/>
            <w:tcMar>
              <w:left w:w="115" w:type="dxa"/>
              <w:right w:w="115" w:type="dxa"/>
            </w:tcMar>
          </w:tcPr>
          <w:p w14:paraId="3232E35F" w14:textId="77777777" w:rsidR="006158B6" w:rsidRPr="00E517E4" w:rsidRDefault="006158B6" w:rsidP="00765CE3">
            <w:pPr>
              <w:spacing w:before="120" w:after="120"/>
              <w:rPr>
                <w:rFonts w:ascii="Verdana" w:hAnsi="Verdana"/>
                <w:bCs/>
              </w:rPr>
            </w:pPr>
            <w:r w:rsidRPr="00E517E4">
              <w:rPr>
                <w:rFonts w:ascii="Verdana" w:hAnsi="Verdana"/>
                <w:bCs/>
              </w:rPr>
              <w:t>Generic</w:t>
            </w:r>
          </w:p>
        </w:tc>
        <w:tc>
          <w:tcPr>
            <w:tcW w:w="3260" w:type="pct"/>
            <w:gridSpan w:val="2"/>
            <w:tcMar>
              <w:left w:w="115" w:type="dxa"/>
              <w:right w:w="115" w:type="dxa"/>
            </w:tcMar>
          </w:tcPr>
          <w:p w14:paraId="6549888E" w14:textId="77777777" w:rsidR="006158B6" w:rsidRDefault="006158B6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non-trade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version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medication.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Its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active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ingredient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chemically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equivalent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trade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>.</w:t>
            </w:r>
          </w:p>
          <w:p w14:paraId="51088FA5" w14:textId="77777777" w:rsidR="006158B6" w:rsidRPr="0025615F" w:rsidRDefault="006158B6" w:rsidP="00765CE3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2D254162" w14:textId="77777777" w:rsidR="006158B6" w:rsidRPr="00946396" w:rsidRDefault="006158B6" w:rsidP="006158B6"/>
    <w:p w14:paraId="70A1F984" w14:textId="77777777" w:rsidR="00AB2929" w:rsidRDefault="00AB2929" w:rsidP="00AB2929"/>
    <w:p w14:paraId="10EE38AA" w14:textId="77777777" w:rsidR="00AB2929" w:rsidRDefault="00AB2929" w:rsidP="00AB2929"/>
    <w:tbl>
      <w:tblPr>
        <w:tblW w:w="5001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9208"/>
      </w:tblGrid>
      <w:tr w:rsidR="00AB2929" w:rsidRPr="00AB2929" w14:paraId="3AF74B1B" w14:textId="77777777" w:rsidTr="70E4A49C">
        <w:tc>
          <w:tcPr>
            <w:tcW w:w="14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810A" w14:textId="77777777" w:rsidR="00AB2929" w:rsidRPr="00AB2929" w:rsidRDefault="00AB2929" w:rsidP="00765CE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B2929">
              <w:rPr>
                <w:rFonts w:ascii="Verdana" w:hAnsi="Verdana"/>
                <w:b/>
                <w:bCs/>
                <w:color w:val="000000"/>
              </w:rPr>
              <w:t>Term</w:t>
            </w:r>
          </w:p>
        </w:tc>
        <w:tc>
          <w:tcPr>
            <w:tcW w:w="35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327B7" w14:textId="77777777" w:rsidR="00AB2929" w:rsidRPr="00AB2929" w:rsidRDefault="00AB2929" w:rsidP="00765CE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B2929">
              <w:rPr>
                <w:rFonts w:ascii="Verdana" w:hAnsi="Verdana"/>
                <w:b/>
                <w:bCs/>
                <w:color w:val="000000"/>
              </w:rPr>
              <w:t>Definition</w:t>
            </w:r>
          </w:p>
        </w:tc>
      </w:tr>
      <w:tr w:rsidR="00A07033" w:rsidRPr="0025615F" w14:paraId="7F87C23F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3D9846A9" w14:textId="0489B7F9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Gap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53AD4E1B" w14:textId="4AE655DB" w:rsidR="00D6205D" w:rsidRDefault="00D6205D" w:rsidP="00765C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17882D0" wp14:editId="65219B23">
                  <wp:extent cx="304762" cy="304762"/>
                  <wp:effectExtent l="0" t="0" r="635" b="635"/>
                  <wp:docPr id="5328273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827361" name="Picture 53282736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336A8" w14:textId="1DD311F1" w:rsidR="00A07033" w:rsidRDefault="00A07033" w:rsidP="00765CE3">
            <w:pPr>
              <w:spacing w:before="120" w:after="120"/>
            </w:pPr>
            <w:r w:rsidRPr="000F184C">
              <w:rPr>
                <w:rFonts w:ascii="Verdana" w:hAnsi="Verdana"/>
              </w:rPr>
              <w:t>The coverage gap/donut hole is the timeframe after the beneficiary reaches the </w:t>
            </w:r>
            <w:r w:rsidRPr="000F184C">
              <w:rPr>
                <w:rFonts w:ascii="Verdana" w:hAnsi="Verdana"/>
                <w:bCs/>
              </w:rPr>
              <w:t>initial coverage limit</w:t>
            </w:r>
            <w:r w:rsidRPr="000F184C">
              <w:rPr>
                <w:rFonts w:ascii="Verdana" w:hAnsi="Verdana"/>
              </w:rPr>
              <w:t> (ICL) and continues until the beneficiary’s True Out Of Pocket move them to the Catastrophic Level.</w:t>
            </w:r>
          </w:p>
          <w:p w14:paraId="6D7D6B3C" w14:textId="261F8862" w:rsidR="00A07033" w:rsidRPr="0025615F" w:rsidRDefault="00A07033" w:rsidP="0029544C">
            <w:pPr>
              <w:spacing w:before="120" w:after="120"/>
              <w:rPr>
                <w:rFonts w:ascii="Verdana" w:hAnsi="Verdana"/>
              </w:rPr>
            </w:pPr>
            <w:r w:rsidRPr="00795749">
              <w:rPr>
                <w:rFonts w:ascii="Verdana" w:hAnsi="Verdana"/>
                <w:b/>
              </w:rPr>
              <w:t>Note:</w:t>
            </w:r>
            <w:r>
              <w:rPr>
                <w:b/>
              </w:rPr>
              <w:t xml:space="preserve">  </w:t>
            </w:r>
            <w:r w:rsidRPr="000F184C">
              <w:rPr>
                <w:rFonts w:ascii="Verdana" w:hAnsi="Verdana"/>
              </w:rPr>
              <w:t>Coverage Gap </w:t>
            </w:r>
            <w:r w:rsidRPr="000F184C">
              <w:rPr>
                <w:rFonts w:ascii="Verdana" w:hAnsi="Verdana"/>
                <w:bCs/>
              </w:rPr>
              <w:t>DOES NOT </w:t>
            </w:r>
            <w:r w:rsidRPr="000F184C">
              <w:rPr>
                <w:rFonts w:ascii="Verdana" w:hAnsi="Verdana"/>
              </w:rPr>
              <w:t>apply to Low Income Subsidy (LIS) beneficiaries</w:t>
            </w:r>
            <w:r w:rsidR="00267BCB">
              <w:rPr>
                <w:rFonts w:ascii="Verdana" w:hAnsi="Verdana"/>
              </w:rPr>
              <w:t xml:space="preserve"> and has been phased out starting with plan year 2025</w:t>
            </w:r>
            <w:r w:rsidR="009A067A">
              <w:rPr>
                <w:rFonts w:ascii="Verdana" w:hAnsi="Verdana"/>
              </w:rPr>
              <w:t xml:space="preserve"> for all Med D plans</w:t>
            </w:r>
            <w:r w:rsidRPr="000F184C">
              <w:rPr>
                <w:rFonts w:ascii="Verdana" w:hAnsi="Verdana"/>
              </w:rPr>
              <w:t>.</w:t>
            </w:r>
          </w:p>
        </w:tc>
      </w:tr>
      <w:tr w:rsidR="00B10EC2" w:rsidRPr="00B10EC2" w14:paraId="07482B62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4FA5FF95" w14:textId="41B37AD3" w:rsidR="00B10EC2" w:rsidRPr="00D83571" w:rsidRDefault="00B10EC2" w:rsidP="00765CE3">
            <w:pPr>
              <w:spacing w:before="120" w:after="120"/>
              <w:rPr>
                <w:rFonts w:ascii="Verdana" w:hAnsi="Verdana"/>
              </w:rPr>
            </w:pPr>
            <w:r w:rsidRPr="00D83571">
              <w:rPr>
                <w:rFonts w:ascii="Verdana" w:hAnsi="Verdana"/>
              </w:rPr>
              <w:t xml:space="preserve">Gauge 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2E4AD132" w14:textId="0FEBE130" w:rsidR="00B10EC2" w:rsidRPr="00D83571" w:rsidRDefault="00B10EC2" w:rsidP="00765CE3">
            <w:pPr>
              <w:spacing w:before="120" w:after="120"/>
              <w:rPr>
                <w:rFonts w:ascii="Verdana" w:hAnsi="Verdana"/>
              </w:rPr>
            </w:pPr>
            <w:r w:rsidRPr="00D83571">
              <w:rPr>
                <w:rFonts w:ascii="Verdana" w:hAnsi="Verdana"/>
              </w:rPr>
              <w:t>The thickness of the needle.</w:t>
            </w:r>
          </w:p>
        </w:tc>
      </w:tr>
      <w:tr w:rsidR="00A07033" w:rsidRPr="0025615F" w14:paraId="0FA73CD2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1B34295E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General Delivery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3B23BC1D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does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have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mailbox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Box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where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reside,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packages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local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Post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Office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await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pickup</w:t>
            </w:r>
            <w:r>
              <w:rPr>
                <w:rFonts w:ascii="Verdana" w:hAnsi="Verdana"/>
              </w:rPr>
              <w:t>.</w:t>
            </w:r>
          </w:p>
          <w:p w14:paraId="64F46A84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07033" w:rsidRPr="0025615F" w14:paraId="63DA47C3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10CFADBF" w14:textId="16F659AB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bookmarkStart w:id="4" w:name="Generic"/>
            <w:r w:rsidRPr="00E517E4">
              <w:rPr>
                <w:rFonts w:ascii="Verdana" w:hAnsi="Verdana"/>
                <w:bCs/>
                <w:color w:val="000000"/>
              </w:rPr>
              <w:t>Generic Drug Rules</w:t>
            </w:r>
            <w:bookmarkEnd w:id="4"/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0A492A4B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  <w:b/>
              </w:rPr>
            </w:pP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Rules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apply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  <w:b/>
              </w:rPr>
              <w:t>MAIL,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  <w:b/>
              </w:rPr>
              <w:t>PAPER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  <w:b/>
              </w:rPr>
              <w:t>POS.</w:t>
            </w:r>
          </w:p>
          <w:p w14:paraId="33E831AD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6DC676B0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  <w:b/>
              </w:rPr>
              <w:t>Rationale</w:t>
            </w:r>
            <w:r w:rsidRPr="00246A5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Rules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feature</w:t>
            </w:r>
            <w:r>
              <w:rPr>
                <w:rFonts w:ascii="Verdana" w:hAnsi="Verdana"/>
              </w:rPr>
              <w:t xml:space="preserve"> we </w:t>
            </w:r>
            <w:r w:rsidRPr="0025615F">
              <w:rPr>
                <w:rFonts w:ascii="Verdana" w:hAnsi="Verdana"/>
              </w:rPr>
              <w:t>offer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help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sponsors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manage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high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when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equivalent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exists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while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providing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freedom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choose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medication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willing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additional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associated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it.</w:t>
            </w:r>
            <w:r>
              <w:rPr>
                <w:rFonts w:ascii="Verdana" w:hAnsi="Verdana"/>
              </w:rPr>
              <w:t xml:space="preserve">  We </w:t>
            </w:r>
            <w:r w:rsidRPr="0025615F">
              <w:rPr>
                <w:rFonts w:ascii="Verdana" w:hAnsi="Verdana"/>
              </w:rPr>
              <w:t>maintain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high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standards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identifying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equivalents.</w:t>
            </w:r>
            <w:r>
              <w:rPr>
                <w:rFonts w:ascii="Verdana" w:hAnsi="Verdana"/>
              </w:rPr>
              <w:t xml:space="preserve">    </w:t>
            </w:r>
          </w:p>
          <w:p w14:paraId="71C42AA8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0DA55E74" w14:textId="482E76E6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  <w:b/>
              </w:rPr>
              <w:t>DAW</w:t>
            </w:r>
            <w:r>
              <w:rPr>
                <w:rFonts w:ascii="Verdana" w:hAnsi="Verdana"/>
                <w:b/>
              </w:rPr>
              <w:t xml:space="preserve"> </w:t>
            </w:r>
            <w:r w:rsidRPr="0025615F">
              <w:rPr>
                <w:rFonts w:ascii="Verdana" w:hAnsi="Verdana"/>
                <w:b/>
              </w:rPr>
              <w:t>Rule</w:t>
            </w:r>
            <w:r>
              <w:rPr>
                <w:rFonts w:ascii="Verdana" w:hAnsi="Verdana"/>
                <w:b/>
              </w:rPr>
              <w:t xml:space="preserve"> </w:t>
            </w:r>
            <w:r w:rsidRPr="0025615F">
              <w:rPr>
                <w:rFonts w:ascii="Verdana" w:hAnsi="Verdana"/>
                <w:b/>
              </w:rPr>
              <w:t>A</w:t>
            </w:r>
            <w:r w:rsidRPr="00246A5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When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available,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but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dispensed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(except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at</w:t>
            </w:r>
            <w:r>
              <w:rPr>
                <w:rFonts w:ascii="Verdana" w:hAnsi="Verdana"/>
              </w:rPr>
              <w:t xml:space="preserve"> </w:t>
            </w:r>
            <w:r w:rsidR="00E90D70" w:rsidRPr="0025615F">
              <w:rPr>
                <w:rFonts w:ascii="Verdana" w:hAnsi="Verdana"/>
              </w:rPr>
              <w:t>prescriber’s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request),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will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difference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total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(or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percent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difference)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between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addition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pay.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When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prescriber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requests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will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pay.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See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DAW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Procedure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des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identifying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how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script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written.</w:t>
            </w:r>
          </w:p>
          <w:p w14:paraId="1C253F84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5C026758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  <w:i/>
              </w:rPr>
            </w:pPr>
            <w:r w:rsidRPr="0025615F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Some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clients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create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a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plan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that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includes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the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Rule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A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or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B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to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charge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the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b/>
                <w:i/>
              </w:rPr>
              <w:t>generic</w:t>
            </w:r>
            <w:r>
              <w:rPr>
                <w:rFonts w:ascii="Verdana" w:hAnsi="Verdana"/>
                <w:i/>
              </w:rPr>
              <w:t xml:space="preserve"> copayment </w:t>
            </w:r>
            <w:r w:rsidRPr="0025615F">
              <w:rPr>
                <w:rFonts w:ascii="Verdana" w:hAnsi="Verdana"/>
                <w:i/>
              </w:rPr>
              <w:t>plus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the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difference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in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total</w:t>
            </w:r>
            <w:r>
              <w:rPr>
                <w:rFonts w:ascii="Verdana" w:hAnsi="Verdana"/>
                <w:i/>
              </w:rPr>
              <w:t xml:space="preserve"> co</w:t>
            </w:r>
            <w:r w:rsidRPr="0025615F">
              <w:rPr>
                <w:rFonts w:ascii="Verdana" w:hAnsi="Verdana"/>
                <w:i/>
              </w:rPr>
              <w:t>st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of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the</w:t>
            </w:r>
            <w:r>
              <w:rPr>
                <w:rFonts w:ascii="Verdana" w:hAnsi="Verdana"/>
                <w:i/>
              </w:rPr>
              <w:t xml:space="preserve"> </w:t>
            </w:r>
            <w:r w:rsidRPr="0025615F">
              <w:rPr>
                <w:rFonts w:ascii="Verdana" w:hAnsi="Verdana"/>
                <w:i/>
              </w:rPr>
              <w:t>medication.</w:t>
            </w:r>
            <w:r>
              <w:rPr>
                <w:rFonts w:ascii="Verdana" w:hAnsi="Verdana"/>
                <w:i/>
              </w:rPr>
              <w:t xml:space="preserve"> </w:t>
            </w:r>
          </w:p>
          <w:p w14:paraId="6343843E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3035203B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  <w:b/>
              </w:rPr>
              <w:t>DAW</w:t>
            </w:r>
            <w:r>
              <w:rPr>
                <w:rFonts w:ascii="Verdana" w:hAnsi="Verdana"/>
                <w:b/>
              </w:rPr>
              <w:t xml:space="preserve"> </w:t>
            </w:r>
            <w:r w:rsidRPr="0025615F">
              <w:rPr>
                <w:rFonts w:ascii="Verdana" w:hAnsi="Verdana"/>
                <w:b/>
              </w:rPr>
              <w:t>Rule</w:t>
            </w:r>
            <w:r>
              <w:rPr>
                <w:rFonts w:ascii="Verdana" w:hAnsi="Verdana"/>
                <w:b/>
              </w:rPr>
              <w:t xml:space="preserve"> </w:t>
            </w:r>
            <w:r w:rsidRPr="0025615F">
              <w:rPr>
                <w:rFonts w:ascii="Verdana" w:hAnsi="Verdana"/>
                <w:b/>
              </w:rPr>
              <w:t>B</w:t>
            </w:r>
            <w:r w:rsidRPr="00246A5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When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available,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but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dispensed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reason,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will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difference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total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(or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percent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difference)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between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addition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pay.</w:t>
            </w:r>
            <w:r>
              <w:rPr>
                <w:rFonts w:ascii="Verdana" w:hAnsi="Verdana"/>
              </w:rPr>
              <w:t xml:space="preserve">  </w:t>
            </w:r>
          </w:p>
          <w:p w14:paraId="01224BE2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1BC5C56A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  <w:b/>
              </w:rPr>
              <w:t>Caution</w:t>
            </w:r>
            <w:r w:rsidRPr="00246A5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Some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DAW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Rule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specify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100%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total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vs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difference.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See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DAW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Procedure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des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identifying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how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script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written.</w:t>
            </w:r>
            <w:r>
              <w:rPr>
                <w:rFonts w:ascii="Verdana" w:hAnsi="Verdana"/>
              </w:rPr>
              <w:t xml:space="preserve"> </w:t>
            </w:r>
          </w:p>
          <w:p w14:paraId="0D3342B6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0292FEE0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Some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plans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will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identify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special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scenarios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when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pharmacy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dispenses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reason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well.</w:t>
            </w:r>
          </w:p>
          <w:p w14:paraId="5C487C6D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07033" w:rsidRPr="0025615F" w14:paraId="63194AC8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424EFB30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Generic Equivalents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6B0735A1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non-brand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basically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ingredients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therapeutic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effects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Typically,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less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expensive.</w:t>
            </w:r>
            <w:r>
              <w:rPr>
                <w:rFonts w:ascii="Verdana" w:hAnsi="Verdana"/>
              </w:rPr>
              <w:t xml:space="preserve">  </w:t>
            </w:r>
          </w:p>
          <w:p w14:paraId="0EA14F7D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22E26A6B" w14:textId="73EC10BB" w:rsidR="00A07033" w:rsidRPr="0025615F" w:rsidRDefault="00A07033" w:rsidP="0029544C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Generics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cannot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manufactured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distributed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until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after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patent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expired.</w:t>
            </w:r>
          </w:p>
        </w:tc>
      </w:tr>
      <w:tr w:rsidR="00A07033" w:rsidRPr="0025615F" w14:paraId="5EE9E2F1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0ABDDF9B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Generic (Mandatory)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3137FD00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Situation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where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client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requires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obtain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available.</w:t>
            </w:r>
            <w:r>
              <w:rPr>
                <w:rFonts w:ascii="Verdana" w:hAnsi="Verdana"/>
              </w:rPr>
              <w:t xml:space="preserve">  </w:t>
            </w:r>
          </w:p>
          <w:p w14:paraId="4BF1AB9C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7BA40893" w14:textId="395D1C42" w:rsidR="00A07033" w:rsidRPr="0025615F" w:rsidDel="006C070F" w:rsidRDefault="00A07033" w:rsidP="0029544C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does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pays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either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differential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-pay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difference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between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>/</w:t>
            </w:r>
            <w:r w:rsidRPr="0025615F">
              <w:rPr>
                <w:rFonts w:ascii="Verdana" w:hAnsi="Verdana"/>
              </w:rPr>
              <w:t>generic.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some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cases,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vered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must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entire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drug.</w:t>
            </w:r>
          </w:p>
        </w:tc>
      </w:tr>
      <w:tr w:rsidR="00A07033" w:rsidRPr="0025615F" w14:paraId="50B1FE64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1095F4CC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Generic Medication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63DCE324" w14:textId="77777777" w:rsidR="00A07033" w:rsidRPr="0025615F" w:rsidRDefault="00A07033" w:rsidP="00765CE3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25615F">
              <w:rPr>
                <w:rFonts w:ascii="Verdana" w:hAnsi="Verdana"/>
              </w:rPr>
              <w:t>Bioequivalent</w:t>
            </w:r>
            <w:r w:rsidRPr="0025615F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generally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lower</w:t>
            </w:r>
            <w:r>
              <w:rPr>
                <w:rFonts w:ascii="Verdana" w:hAnsi="Verdana"/>
                <w:color w:val="000000"/>
              </w:rPr>
              <w:t xml:space="preserve"> co</w:t>
            </w:r>
            <w:r w:rsidRPr="0025615F">
              <w:rPr>
                <w:rFonts w:ascii="Verdana" w:hAnsi="Verdana"/>
                <w:color w:val="000000"/>
              </w:rPr>
              <w:t>st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version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of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brand-name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drug,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available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when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patent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protection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expires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brand-name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5615F">
              <w:rPr>
                <w:rFonts w:ascii="Verdana" w:hAnsi="Verdana"/>
                <w:color w:val="000000"/>
              </w:rPr>
              <w:t>drug.</w:t>
            </w:r>
          </w:p>
          <w:p w14:paraId="2C02BC4A" w14:textId="77777777" w:rsidR="00A07033" w:rsidRPr="0025615F" w:rsidRDefault="00A07033" w:rsidP="00765CE3">
            <w:pPr>
              <w:spacing w:before="120" w:after="120"/>
              <w:rPr>
                <w:rFonts w:ascii="Verdana" w:hAnsi="Verdana" w:cs="Arial"/>
                <w:color w:val="000000"/>
              </w:rPr>
            </w:pPr>
          </w:p>
          <w:p w14:paraId="7FFE1F0C" w14:textId="77777777" w:rsidR="00A07033" w:rsidRDefault="00A07033" w:rsidP="00765CE3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25615F">
              <w:rPr>
                <w:rFonts w:ascii="Verdana" w:hAnsi="Verdana" w:cs="Arial"/>
                <w:color w:val="000000"/>
              </w:rPr>
              <w:t>Generic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drugs</w:t>
            </w:r>
            <w:r>
              <w:rPr>
                <w:rFonts w:ascii="Verdana" w:hAnsi="Verdana" w:cs="Arial"/>
                <w:color w:val="000000"/>
              </w:rPr>
              <w:t xml:space="preserve"> co</w:t>
            </w:r>
            <w:r w:rsidRPr="0025615F">
              <w:rPr>
                <w:rFonts w:ascii="Verdana" w:hAnsi="Verdana" w:cs="Arial"/>
                <w:color w:val="000000"/>
              </w:rPr>
              <w:t>ntain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same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chemical</w:t>
            </w:r>
            <w:r>
              <w:rPr>
                <w:rFonts w:ascii="Verdana" w:hAnsi="Verdana" w:cs="Arial"/>
                <w:color w:val="000000"/>
              </w:rPr>
              <w:t xml:space="preserve"> co</w:t>
            </w:r>
            <w:r w:rsidRPr="0025615F">
              <w:rPr>
                <w:rFonts w:ascii="Verdana" w:hAnsi="Verdana" w:cs="Arial"/>
                <w:color w:val="000000"/>
              </w:rPr>
              <w:t>mposition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(active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ingredients)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have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same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dosage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form,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strength,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route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of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administration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equivalent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brand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medications.</w:t>
            </w:r>
            <w:r>
              <w:rPr>
                <w:rFonts w:ascii="Verdana" w:hAnsi="Verdana" w:cs="Arial"/>
                <w:color w:val="000000"/>
              </w:rPr>
              <w:t xml:space="preserve"> 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difference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is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usually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dyes,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buffers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fillers.</w:t>
            </w:r>
            <w:r>
              <w:rPr>
                <w:rFonts w:ascii="Verdana" w:hAnsi="Verdana" w:cs="Arial"/>
                <w:color w:val="000000"/>
              </w:rPr>
              <w:t xml:space="preserve"> 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FDA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assigns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quality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ratings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to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generic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drugs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of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AA,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AB,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AC,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BB,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etc.</w:t>
            </w:r>
            <w:r>
              <w:rPr>
                <w:rFonts w:ascii="Verdana" w:hAnsi="Verdana" w:cs="Arial"/>
                <w:color w:val="000000"/>
              </w:rPr>
              <w:t xml:space="preserve"> We </w:t>
            </w:r>
            <w:r w:rsidRPr="0025615F">
              <w:rPr>
                <w:rFonts w:ascii="Verdana" w:hAnsi="Verdana" w:cs="Arial"/>
                <w:color w:val="000000"/>
              </w:rPr>
              <w:t>only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dispense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AA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AB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rated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generic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drugs.</w:t>
            </w:r>
          </w:p>
          <w:p w14:paraId="52FA0A17" w14:textId="77777777" w:rsidR="00A07033" w:rsidRDefault="00A07033" w:rsidP="00765CE3">
            <w:pPr>
              <w:spacing w:before="120" w:after="120"/>
              <w:rPr>
                <w:rFonts w:ascii="Verdana" w:hAnsi="Verdana" w:cs="Arial"/>
                <w:color w:val="000000"/>
              </w:rPr>
            </w:pPr>
          </w:p>
          <w:p w14:paraId="1409A2AA" w14:textId="7910E78B" w:rsidR="00A07033" w:rsidRPr="0025615F" w:rsidRDefault="00A07033" w:rsidP="0029544C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 w:cs="Arial"/>
                <w:color w:val="000000"/>
              </w:rPr>
              <w:t>Before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approving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generic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drug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product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for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equivalency,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FDA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requires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many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rigorous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tests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procedures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to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assure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that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generic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drug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can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substituted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for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brand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name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drug.</w:t>
            </w:r>
            <w:r>
              <w:rPr>
                <w:rFonts w:ascii="Verdana" w:hAnsi="Verdana" w:cs="Arial"/>
                <w:color w:val="000000"/>
              </w:rPr>
              <w:t xml:space="preserve"> 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FDA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bases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evaluations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of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substitutability,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or</w:t>
            </w:r>
            <w:r>
              <w:rPr>
                <w:rFonts w:ascii="Verdana" w:hAnsi="Verdana" w:cs="Arial"/>
                <w:color w:val="000000"/>
              </w:rPr>
              <w:t xml:space="preserve"> “</w:t>
            </w:r>
            <w:r w:rsidRPr="0025615F">
              <w:rPr>
                <w:rFonts w:ascii="Verdana" w:hAnsi="Verdana" w:cs="Arial"/>
                <w:color w:val="000000"/>
              </w:rPr>
              <w:t>therapeutic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equivalence,</w:t>
            </w:r>
            <w:r>
              <w:rPr>
                <w:rFonts w:ascii="Verdana" w:hAnsi="Verdana" w:cs="Arial"/>
                <w:color w:val="000000"/>
              </w:rPr>
              <w:t xml:space="preserve">” </w:t>
            </w:r>
            <w:r w:rsidRPr="0025615F">
              <w:rPr>
                <w:rFonts w:ascii="Verdana" w:hAnsi="Verdana" w:cs="Arial"/>
                <w:color w:val="000000"/>
              </w:rPr>
              <w:t>of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generic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drugs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on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scientific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evaluations.</w:t>
            </w:r>
            <w:r>
              <w:rPr>
                <w:rFonts w:ascii="Verdana" w:hAnsi="Verdana" w:cs="Arial"/>
                <w:color w:val="000000"/>
              </w:rPr>
              <w:t xml:space="preserve">  </w:t>
            </w:r>
            <w:r w:rsidRPr="0025615F">
              <w:rPr>
                <w:rFonts w:ascii="Verdana" w:hAnsi="Verdana" w:cs="Arial"/>
                <w:color w:val="000000"/>
              </w:rPr>
              <w:t>By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law,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generic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drug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product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must</w:t>
            </w:r>
            <w:r>
              <w:rPr>
                <w:rFonts w:ascii="Verdana" w:hAnsi="Verdana" w:cs="Arial"/>
                <w:color w:val="000000"/>
              </w:rPr>
              <w:t xml:space="preserve"> co</w:t>
            </w:r>
            <w:r w:rsidRPr="0025615F">
              <w:rPr>
                <w:rFonts w:ascii="Verdana" w:hAnsi="Verdana" w:cs="Arial"/>
                <w:color w:val="000000"/>
              </w:rPr>
              <w:t>ntain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identical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amounts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of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same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active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ingredient(s)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brand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name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product.</w:t>
            </w:r>
            <w:r>
              <w:rPr>
                <w:rFonts w:ascii="Verdana" w:hAnsi="Verdana" w:cs="Arial"/>
                <w:color w:val="000000"/>
              </w:rPr>
              <w:t xml:space="preserve">  </w:t>
            </w:r>
            <w:r w:rsidRPr="0025615F">
              <w:rPr>
                <w:rFonts w:ascii="Verdana" w:hAnsi="Verdana" w:cs="Arial"/>
                <w:color w:val="000000"/>
              </w:rPr>
              <w:t>Drug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products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evaluated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as</w:t>
            </w:r>
            <w:r>
              <w:rPr>
                <w:rFonts w:ascii="Verdana" w:hAnsi="Verdana" w:cs="Arial"/>
                <w:color w:val="000000"/>
              </w:rPr>
              <w:t xml:space="preserve"> “</w:t>
            </w:r>
            <w:r w:rsidRPr="0025615F">
              <w:rPr>
                <w:rFonts w:ascii="Verdana" w:hAnsi="Verdana" w:cs="Arial"/>
                <w:color w:val="000000"/>
              </w:rPr>
              <w:t>therapeutically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equivalent</w:t>
            </w:r>
            <w:r>
              <w:rPr>
                <w:rFonts w:ascii="Verdana" w:hAnsi="Verdana" w:cs="Arial"/>
                <w:color w:val="000000"/>
              </w:rPr>
              <w:t xml:space="preserve">” </w:t>
            </w:r>
            <w:r w:rsidRPr="0025615F">
              <w:rPr>
                <w:rFonts w:ascii="Verdana" w:hAnsi="Verdana" w:cs="Arial"/>
                <w:color w:val="000000"/>
              </w:rPr>
              <w:t>can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expected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to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have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equal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effect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no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difference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when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substituted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for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the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brand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name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25615F">
              <w:rPr>
                <w:rFonts w:ascii="Verdana" w:hAnsi="Verdana" w:cs="Arial"/>
                <w:color w:val="000000"/>
              </w:rPr>
              <w:t>product.</w:t>
            </w:r>
          </w:p>
        </w:tc>
      </w:tr>
      <w:tr w:rsidR="00A07033" w:rsidRPr="0025615F" w14:paraId="1721E098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5E42B7E2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Generic Name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39F21524" w14:textId="0DD48E02" w:rsidR="00A07033" w:rsidRPr="0025615F" w:rsidRDefault="00A07033" w:rsidP="0029544C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Chemical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given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non-brand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</w:p>
        </w:tc>
      </w:tr>
      <w:tr w:rsidR="00A07033" w:rsidRPr="0025615F" w14:paraId="60E29795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098C9468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Generic Number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71260503" w14:textId="77777777" w:rsidR="00A07033" w:rsidRPr="0025615F" w:rsidRDefault="00A07033" w:rsidP="00765CE3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5-digit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number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assigned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each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National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de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(NDC)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First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Data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Bank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(FDB)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purposes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grouping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together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equivalent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ingredient,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form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dosage.</w:t>
            </w:r>
          </w:p>
          <w:p w14:paraId="5A9B3CDF" w14:textId="77777777" w:rsidR="00A07033" w:rsidRDefault="00A07033" w:rsidP="00765CE3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Number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assigned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First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Data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Bank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used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group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equivalent,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i.e.,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have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strength,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route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administration,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dosage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form.</w:t>
            </w:r>
          </w:p>
          <w:p w14:paraId="107B2FB9" w14:textId="77777777" w:rsidR="00A07033" w:rsidRPr="0025615F" w:rsidDel="00B462B4" w:rsidRDefault="00A07033" w:rsidP="00765CE3">
            <w:pPr>
              <w:spacing w:before="120" w:after="120"/>
              <w:ind w:left="360"/>
              <w:rPr>
                <w:rFonts w:ascii="Verdana" w:hAnsi="Verdana"/>
              </w:rPr>
            </w:pPr>
          </w:p>
        </w:tc>
      </w:tr>
      <w:tr w:rsidR="00A07033" w:rsidRPr="0025615F" w14:paraId="54300D2C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383DF366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Generic Program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526A5447" w14:textId="4EE80CC9" w:rsidR="00A07033" w:rsidRPr="0025615F" w:rsidRDefault="00A07033" w:rsidP="0029544C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Any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variety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programs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designed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financially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en</w:t>
            </w:r>
            <w:r>
              <w:rPr>
                <w:rFonts w:ascii="Verdana" w:hAnsi="Verdana"/>
              </w:rPr>
              <w:t>co</w:t>
            </w:r>
            <w:r w:rsidRPr="0025615F">
              <w:rPr>
                <w:rFonts w:ascii="Verdana" w:hAnsi="Verdana"/>
              </w:rPr>
              <w:t>urage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either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cardholder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>/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pharmacy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choose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lower-</w:t>
            </w:r>
            <w:r>
              <w:rPr>
                <w:rFonts w:ascii="Verdana" w:hAnsi="Verdana"/>
              </w:rPr>
              <w:t>co</w:t>
            </w:r>
            <w:r w:rsidRPr="0025615F">
              <w:rPr>
                <w:rFonts w:ascii="Verdana" w:hAnsi="Verdana"/>
              </w:rPr>
              <w:t>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substitutes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prescription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needs.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(These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programs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are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also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known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as</w:t>
            </w:r>
            <w:r>
              <w:rPr>
                <w:rFonts w:ascii="Verdana" w:hAnsi="Verdana"/>
              </w:rPr>
              <w:t xml:space="preserve"> “</w:t>
            </w:r>
            <w:r w:rsidRPr="0025615F">
              <w:rPr>
                <w:rFonts w:ascii="Verdana" w:hAnsi="Verdana"/>
              </w:rPr>
              <w:t>Product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Selection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Incentive</w:t>
            </w:r>
            <w:r>
              <w:rPr>
                <w:rFonts w:ascii="Verdana" w:hAnsi="Verdana"/>
              </w:rPr>
              <w:t xml:space="preserve">”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“</w:t>
            </w:r>
            <w:r w:rsidRPr="0025615F">
              <w:rPr>
                <w:rFonts w:ascii="Verdana" w:hAnsi="Verdana"/>
              </w:rPr>
              <w:t>PSI</w:t>
            </w:r>
            <w:r>
              <w:rPr>
                <w:rFonts w:ascii="Verdana" w:hAnsi="Verdana"/>
              </w:rPr>
              <w:t xml:space="preserve">” </w:t>
            </w:r>
            <w:r w:rsidRPr="0025615F">
              <w:rPr>
                <w:rFonts w:ascii="Verdana" w:hAnsi="Verdana"/>
              </w:rPr>
              <w:t>programs.)</w:t>
            </w:r>
          </w:p>
        </w:tc>
      </w:tr>
      <w:tr w:rsidR="00A07033" w:rsidRPr="0025615F" w14:paraId="7CCF53D9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18F4223C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Generic Substitution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68D212FD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generic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non-brand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prescriber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pharmacist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agree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used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substitution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prescribed.</w:t>
            </w:r>
          </w:p>
          <w:p w14:paraId="5E2F60C8" w14:textId="77777777" w:rsidR="00A07033" w:rsidRPr="0025615F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617C68DA" w14:textId="48E9CA67" w:rsidR="00A07033" w:rsidRPr="0025615F" w:rsidRDefault="00A07033" w:rsidP="0029544C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dispensing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product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place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brand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which: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1)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ntains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active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ingredients;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2)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identical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dose,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form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administrative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method;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3)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indications,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cautions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instructions;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4)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produced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under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FDA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Good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Manufacturing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Practices.</w:t>
            </w:r>
          </w:p>
        </w:tc>
      </w:tr>
      <w:tr w:rsidR="00A07033" w:rsidRPr="0025615F" w14:paraId="58A53ED7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3A365211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</w:rPr>
            </w:pPr>
            <w:r w:rsidRPr="00E517E4">
              <w:rPr>
                <w:rFonts w:ascii="Verdana" w:hAnsi="Verdana"/>
                <w:bCs/>
              </w:rPr>
              <w:t xml:space="preserve">Ghost Calls  </w:t>
            </w:r>
          </w:p>
          <w:p w14:paraId="50F72719" w14:textId="77777777" w:rsidR="00A07033" w:rsidRPr="00E517E4" w:rsidRDefault="00A07033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34A3CA84" w14:textId="77777777" w:rsidR="00A07033" w:rsidRDefault="00A07033" w:rsidP="00765C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Phantom. </w:t>
            </w:r>
            <w:r w:rsidRPr="003D4683">
              <w:rPr>
                <w:rFonts w:ascii="Verdana" w:hAnsi="Verdana"/>
              </w:rPr>
              <w:t xml:space="preserve">A call comes in with a display readout but there is dead air/no sound. </w:t>
            </w:r>
          </w:p>
          <w:p w14:paraId="0A9CFB07" w14:textId="77777777" w:rsidR="00A07033" w:rsidRPr="003D4683" w:rsidRDefault="00A07033" w:rsidP="00765CE3">
            <w:pPr>
              <w:spacing w:before="120" w:after="120"/>
              <w:rPr>
                <w:rFonts w:ascii="Verdana" w:hAnsi="Verdana"/>
              </w:rPr>
            </w:pPr>
          </w:p>
          <w:p w14:paraId="7C30010D" w14:textId="1F773C8E" w:rsidR="00A07033" w:rsidRPr="0025615F" w:rsidRDefault="00A07033" w:rsidP="0029544C">
            <w:pPr>
              <w:spacing w:before="120" w:after="120"/>
              <w:rPr>
                <w:rFonts w:ascii="Verdana" w:hAnsi="Verdana"/>
              </w:rPr>
            </w:pPr>
            <w:r w:rsidRPr="000F184C">
              <w:rPr>
                <w:rFonts w:ascii="Verdana" w:hAnsi="Verdana"/>
              </w:rPr>
              <w:t>Unable to hear caller on line/ Unable to hear dial tone</w:t>
            </w:r>
            <w:r>
              <w:rPr>
                <w:rFonts w:ascii="Verdana" w:hAnsi="Verdana"/>
              </w:rPr>
              <w:t>.</w:t>
            </w:r>
          </w:p>
        </w:tc>
      </w:tr>
      <w:tr w:rsidR="00A07033" w:rsidRPr="0025615F" w14:paraId="60BC401D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07C1D7C2" w14:textId="77777777" w:rsidR="00A07033" w:rsidRPr="00E517E4" w:rsidRDefault="00A07033" w:rsidP="00765CE3">
            <w:pPr>
              <w:spacing w:before="120" w:after="120"/>
              <w:rPr>
                <w:rFonts w:ascii="Verdana" w:hAnsi="Verdana" w:cs="Arial"/>
                <w:bCs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Global Change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4A9F6A42" w14:textId="65CDCDAF" w:rsidR="00A07033" w:rsidRPr="0025615F" w:rsidRDefault="00A07033" w:rsidP="0029544C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Operation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performed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certain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fields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client</w:t>
            </w:r>
            <w:r>
              <w:rPr>
                <w:rFonts w:ascii="Verdana" w:hAnsi="Verdana"/>
              </w:rPr>
              <w:t>’</w:t>
            </w:r>
            <w:r w:rsidRPr="0025615F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eligibility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allows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change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all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members,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such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effective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date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term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date.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specified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carrier</w:t>
            </w:r>
            <w:r>
              <w:rPr>
                <w:rFonts w:ascii="Verdana" w:hAnsi="Verdana"/>
              </w:rPr>
              <w:t>/</w:t>
            </w:r>
            <w:r w:rsidRPr="0025615F">
              <w:rPr>
                <w:rFonts w:ascii="Verdana" w:hAnsi="Verdana"/>
              </w:rPr>
              <w:t>group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level.</w:t>
            </w:r>
          </w:p>
        </w:tc>
      </w:tr>
      <w:tr w:rsidR="00F6427E" w:rsidRPr="0025615F" w14:paraId="362AE598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77C1EFEC" w14:textId="77777777" w:rsidR="00F6427E" w:rsidRPr="00E517E4" w:rsidRDefault="00F6427E" w:rsidP="00765CE3">
            <w:pPr>
              <w:spacing w:before="120" w:after="120"/>
              <w:rPr>
                <w:rFonts w:ascii="Verdana" w:hAnsi="Verdana" w:cs="Arial"/>
                <w:bCs/>
              </w:rPr>
            </w:pPr>
            <w:r w:rsidRPr="00E517E4">
              <w:rPr>
                <w:rFonts w:ascii="Verdana" w:hAnsi="Verdana"/>
                <w:bCs/>
              </w:rPr>
              <w:t>Grace Period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2DC9EA36" w14:textId="33013F86" w:rsidR="00F6427E" w:rsidRPr="0025615F" w:rsidRDefault="00F6427E" w:rsidP="0029544C">
            <w:pPr>
              <w:spacing w:before="120" w:after="120"/>
              <w:rPr>
                <w:rFonts w:ascii="Verdana" w:hAnsi="Verdana"/>
              </w:rPr>
            </w:pPr>
            <w:r w:rsidRPr="000F184C">
              <w:rPr>
                <w:rFonts w:ascii="Verdana" w:hAnsi="Verdana"/>
              </w:rPr>
              <w:t>A period of time in which a member has to pay past due p</w:t>
            </w:r>
            <w:r>
              <w:rPr>
                <w:rFonts w:ascii="Verdana" w:hAnsi="Verdana"/>
              </w:rPr>
              <w:t>remiums and avoid disenrollment.</w:t>
            </w:r>
          </w:p>
        </w:tc>
      </w:tr>
      <w:tr w:rsidR="00F6427E" w:rsidRPr="0025615F" w14:paraId="6A88EAA1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4FB38EF7" w14:textId="77777777" w:rsidR="00F6427E" w:rsidRPr="00E517E4" w:rsidRDefault="00F6427E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Grace Period Claim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783D80F3" w14:textId="045D16A7" w:rsidR="00F6427E" w:rsidRPr="0025615F" w:rsidRDefault="00F6427E" w:rsidP="0029544C">
            <w:pPr>
              <w:spacing w:before="120" w:after="120"/>
              <w:rPr>
                <w:rFonts w:ascii="Verdana" w:hAnsi="Verdana" w:cs="MS Sans Serif"/>
                <w:color w:val="000000"/>
              </w:rPr>
            </w:pPr>
            <w:r w:rsidRPr="0025615F">
              <w:rPr>
                <w:rFonts w:ascii="Verdana" w:hAnsi="Verdana"/>
              </w:rPr>
              <w:t>Patient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required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100%</w:t>
            </w:r>
            <w:r>
              <w:rPr>
                <w:rFonts w:ascii="Verdana" w:hAnsi="Verdana"/>
              </w:rPr>
              <w:t xml:space="preserve"> co</w:t>
            </w:r>
            <w:r w:rsidRPr="0025615F">
              <w:rPr>
                <w:rFonts w:ascii="Verdana" w:hAnsi="Verdana"/>
              </w:rPr>
              <w:t>insurance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until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out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grace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period</w:t>
            </w:r>
            <w:r>
              <w:rPr>
                <w:rFonts w:ascii="Verdana" w:hAnsi="Verdana"/>
              </w:rPr>
              <w:t>.</w:t>
            </w:r>
          </w:p>
        </w:tc>
      </w:tr>
      <w:tr w:rsidR="00F6427E" w:rsidRPr="0025615F" w14:paraId="3C56BA0F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45C62A1A" w14:textId="77777777" w:rsidR="00F6427E" w:rsidRPr="00E517E4" w:rsidRDefault="00F6427E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Green Screen</w:t>
            </w:r>
            <w:r w:rsidRPr="00E517E4">
              <w:rPr>
                <w:bCs/>
              </w:rPr>
              <w:t xml:space="preserve"> 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55E1390E" w14:textId="04E1E2AD" w:rsidR="00F6427E" w:rsidRPr="0025615F" w:rsidRDefault="00F6427E" w:rsidP="0029544C">
            <w:pPr>
              <w:spacing w:before="120" w:after="120"/>
              <w:rPr>
                <w:rFonts w:ascii="Verdana" w:hAnsi="Verdana"/>
              </w:rPr>
            </w:pPr>
            <w:r w:rsidRPr="0025615F">
              <w:rPr>
                <w:rFonts w:ascii="Verdana" w:hAnsi="Verdana" w:cs="MS Sans Serif"/>
                <w:color w:val="000000"/>
              </w:rPr>
              <w:t>A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generic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term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used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for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any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of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a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number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of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systems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which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are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accessed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through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AS400,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3270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or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other</w:t>
            </w:r>
            <w:r>
              <w:rPr>
                <w:rFonts w:ascii="Verdana" w:hAnsi="Verdana" w:cs="MS Sans Serif"/>
                <w:color w:val="000000"/>
              </w:rPr>
              <w:t xml:space="preserve"> </w:t>
            </w:r>
            <w:r w:rsidRPr="0025615F">
              <w:rPr>
                <w:rFonts w:ascii="Verdana" w:hAnsi="Verdana" w:cs="MS Sans Serif"/>
                <w:color w:val="000000"/>
              </w:rPr>
              <w:t>emulator.</w:t>
            </w:r>
          </w:p>
        </w:tc>
      </w:tr>
      <w:tr w:rsidR="00F6427E" w:rsidRPr="0025615F" w14:paraId="30CF597C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593B787F" w14:textId="048D9A3C" w:rsidR="00F6427E" w:rsidRPr="00F6427E" w:rsidRDefault="00F6427E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F6427E">
              <w:rPr>
                <w:rFonts w:ascii="Verdana" w:hAnsi="Verdana"/>
                <w:bCs/>
                <w:color w:val="000000"/>
              </w:rPr>
              <w:t>GROUCH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598A7C4C" w14:textId="68C1B620" w:rsidR="00F6427E" w:rsidRPr="0025615F" w:rsidRDefault="00F6427E" w:rsidP="00765CE3">
            <w:pPr>
              <w:spacing w:before="120" w:after="120"/>
              <w:rPr>
                <w:rFonts w:ascii="Verdana" w:hAnsi="Verdana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GHP Report Output User Communication Help System</w:t>
            </w:r>
            <w:r w:rsidR="0029544C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F6427E" w:rsidRPr="0025615F" w14:paraId="6BDF1643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6C78A3C4" w14:textId="77777777" w:rsidR="00F6427E" w:rsidRPr="00E517E4" w:rsidRDefault="00F6427E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Group Name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1A7093B4" w14:textId="793E2BDD" w:rsidR="00F6427E" w:rsidRPr="0025615F" w:rsidRDefault="00F6427E" w:rsidP="0029544C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Name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specific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ac</w:t>
            </w:r>
            <w:r>
              <w:rPr>
                <w:rFonts w:ascii="Verdana" w:hAnsi="Verdana"/>
              </w:rPr>
              <w:t>co</w:t>
            </w:r>
            <w:r w:rsidRPr="0025615F">
              <w:rPr>
                <w:rFonts w:ascii="Verdana" w:hAnsi="Verdana"/>
              </w:rPr>
              <w:t>unt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under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sponsor.</w:t>
            </w:r>
          </w:p>
        </w:tc>
      </w:tr>
      <w:tr w:rsidR="00F6427E" w:rsidRPr="0025615F" w14:paraId="7A20740A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2B1548D5" w14:textId="77777777" w:rsidR="00F6427E" w:rsidRPr="00E517E4" w:rsidRDefault="00F6427E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Group Number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6A97D52A" w14:textId="77777777" w:rsidR="00F6427E" w:rsidRDefault="00F6427E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/>
                <w:sz w:val="24"/>
                <w:szCs w:val="24"/>
              </w:rPr>
              <w:t>An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assigned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number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identifies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specific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ac</w:t>
            </w:r>
            <w:r>
              <w:rPr>
                <w:rFonts w:ascii="Verdana" w:hAnsi="Verdana"/>
                <w:sz w:val="24"/>
                <w:szCs w:val="24"/>
              </w:rPr>
              <w:t>co</w:t>
            </w:r>
            <w:r w:rsidRPr="0025615F">
              <w:rPr>
                <w:rFonts w:ascii="Verdana" w:hAnsi="Verdana"/>
                <w:sz w:val="24"/>
                <w:szCs w:val="24"/>
              </w:rPr>
              <w:t>unt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under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plan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sponsor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(</w:t>
            </w:r>
            <w:r>
              <w:rPr>
                <w:rFonts w:ascii="Verdana" w:hAnsi="Verdana"/>
                <w:sz w:val="24"/>
                <w:szCs w:val="24"/>
              </w:rPr>
              <w:t>g</w:t>
            </w:r>
            <w:r w:rsidRPr="0025615F">
              <w:rPr>
                <w:rFonts w:ascii="Verdana" w:hAnsi="Verdana"/>
                <w:sz w:val="24"/>
                <w:szCs w:val="24"/>
              </w:rPr>
              <w:t>roup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numbers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are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subordinate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carrier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/>
                <w:sz w:val="24"/>
                <w:szCs w:val="24"/>
              </w:rPr>
              <w:t>numbers).</w:t>
            </w:r>
          </w:p>
          <w:p w14:paraId="5DD99887" w14:textId="77777777" w:rsidR="00F6427E" w:rsidRPr="0025615F" w:rsidRDefault="00F6427E" w:rsidP="00765CE3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</w:p>
          <w:p w14:paraId="1EF00C9C" w14:textId="52B98192" w:rsidR="00F6427E" w:rsidRPr="0025615F" w:rsidDel="00B462B4" w:rsidRDefault="00F6427E" w:rsidP="0029544C">
            <w:pPr>
              <w:pStyle w:val="BodyLevel1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The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3-5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character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co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de,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used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to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identify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each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Client,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the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Client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>’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s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plan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members,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and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the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specifics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of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the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Client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>’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s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plan</w:t>
            </w:r>
            <w:r>
              <w:rPr>
                <w:rFonts w:ascii="Verdana" w:hAnsi="Verdana" w:cs="Arial"/>
                <w:color w:val="333333"/>
                <w:sz w:val="24"/>
                <w:szCs w:val="24"/>
              </w:rPr>
              <w:t xml:space="preserve"> </w:t>
            </w:r>
            <w:r w:rsidRPr="0025615F">
              <w:rPr>
                <w:rFonts w:ascii="Verdana" w:hAnsi="Verdana" w:cs="Arial"/>
                <w:color w:val="333333"/>
                <w:sz w:val="24"/>
                <w:szCs w:val="24"/>
              </w:rPr>
              <w:t>design.</w:t>
            </w:r>
          </w:p>
        </w:tc>
      </w:tr>
      <w:tr w:rsidR="00F6427E" w:rsidRPr="0025615F" w14:paraId="5AF7A78A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7CC02B2C" w14:textId="77777777" w:rsidR="00F6427E" w:rsidRPr="00E517E4" w:rsidRDefault="00F6427E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Group Tracking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3EE7BAD7" w14:textId="214187BC" w:rsidR="00F6427E" w:rsidRPr="0025615F" w:rsidRDefault="00F6427E" w:rsidP="0029544C">
            <w:pPr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Method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checking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carrier</w:t>
            </w:r>
            <w:r>
              <w:rPr>
                <w:rFonts w:ascii="Verdana" w:hAnsi="Verdana"/>
              </w:rPr>
              <w:t>/</w:t>
            </w:r>
            <w:r w:rsidRPr="0025615F">
              <w:rPr>
                <w:rFonts w:ascii="Verdana" w:hAnsi="Verdana"/>
              </w:rPr>
              <w:t>groups,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within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client,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cardholder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eligible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under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carrier</w:t>
            </w:r>
            <w:r>
              <w:rPr>
                <w:rFonts w:ascii="Verdana" w:hAnsi="Verdana"/>
              </w:rPr>
              <w:t>/</w:t>
            </w:r>
            <w:r w:rsidRPr="0025615F">
              <w:rPr>
                <w:rFonts w:ascii="Verdana" w:hAnsi="Verdana"/>
              </w:rPr>
              <w:t>group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claim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submitted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by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pharmacy.</w:t>
            </w:r>
            <w:r>
              <w:rPr>
                <w:rFonts w:ascii="Verdana" w:hAnsi="Verdana"/>
              </w:rPr>
              <w:t xml:space="preserve">  </w:t>
            </w:r>
            <w:r w:rsidRPr="0025615F">
              <w:rPr>
                <w:rFonts w:ascii="Verdana" w:hAnsi="Verdana"/>
              </w:rPr>
              <w:t>Allows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sponsor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change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benefits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group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identification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without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having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reissue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cards.</w:t>
            </w:r>
          </w:p>
        </w:tc>
      </w:tr>
      <w:tr w:rsidR="00F6427E" w:rsidRPr="0025615F" w14:paraId="64ACFF8D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4F0FCAA2" w14:textId="77777777" w:rsidR="00F6427E" w:rsidRPr="00E517E4" w:rsidRDefault="00F6427E" w:rsidP="00765C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517E4">
              <w:rPr>
                <w:rFonts w:ascii="Verdana" w:hAnsi="Verdana"/>
                <w:bCs/>
                <w:color w:val="000000"/>
              </w:rPr>
              <w:t>Growth Hormone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6CDFE6FA" w14:textId="6C1AD1AB" w:rsidR="00F6427E" w:rsidRPr="0025615F" w:rsidRDefault="00F6427E" w:rsidP="0029544C">
            <w:pPr>
              <w:tabs>
                <w:tab w:val="left" w:pos="11430"/>
              </w:tabs>
              <w:spacing w:before="120" w:after="120"/>
              <w:rPr>
                <w:rFonts w:ascii="Verdana" w:hAnsi="Verdana" w:cs="Arial"/>
              </w:rPr>
            </w:pPr>
            <w:r w:rsidRPr="0025615F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used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help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growth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development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persons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having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inherited</w:t>
            </w:r>
            <w:r>
              <w:rPr>
                <w:rFonts w:ascii="Verdana" w:hAnsi="Verdana"/>
              </w:rPr>
              <w:t xml:space="preserve"> </w:t>
            </w:r>
            <w:r w:rsidRPr="0025615F">
              <w:rPr>
                <w:rFonts w:ascii="Verdana" w:hAnsi="Verdana"/>
              </w:rPr>
              <w:t>dwarfism</w:t>
            </w:r>
            <w:r>
              <w:rPr>
                <w:rFonts w:ascii="Verdana" w:hAnsi="Verdana"/>
              </w:rPr>
              <w:t>.</w:t>
            </w:r>
            <w:r w:rsidR="0029544C">
              <w:rPr>
                <w:rFonts w:ascii="Verdana" w:hAnsi="Verdana"/>
              </w:rPr>
              <w:tab/>
            </w:r>
          </w:p>
        </w:tc>
      </w:tr>
      <w:tr w:rsidR="00F6427E" w:rsidRPr="0025615F" w14:paraId="36F38926" w14:textId="77777777" w:rsidTr="70E4A4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1E0" w:firstRow="1" w:lastRow="1" w:firstColumn="1" w:lastColumn="1" w:noHBand="0" w:noVBand="0"/>
        </w:tblPrEx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085FA1F9" w14:textId="77777777" w:rsidR="00F6427E" w:rsidRPr="00E517E4" w:rsidRDefault="00F6427E" w:rsidP="00765CE3">
            <w:pPr>
              <w:spacing w:before="120" w:after="120"/>
              <w:rPr>
                <w:rFonts w:ascii="Verdana" w:hAnsi="Verdana"/>
                <w:bCs/>
                <w:noProof/>
              </w:rPr>
            </w:pPr>
            <w:r w:rsidRPr="00E517E4">
              <w:rPr>
                <w:rFonts w:ascii="Verdana" w:hAnsi="Verdana"/>
                <w:bCs/>
                <w:noProof/>
              </w:rPr>
              <w:t xml:space="preserve">Group Number </w:t>
            </w:r>
          </w:p>
        </w:tc>
        <w:tc>
          <w:tcPr>
            <w:tcW w:w="3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14:paraId="57D58F9E" w14:textId="77777777" w:rsidR="00F6427E" w:rsidRPr="000F184C" w:rsidRDefault="00F6427E" w:rsidP="00765CE3">
            <w:pPr>
              <w:spacing w:before="120" w:after="120"/>
              <w:rPr>
                <w:rFonts w:ascii="Verdana" w:hAnsi="Verdana"/>
              </w:rPr>
            </w:pPr>
            <w:r w:rsidRPr="00CF2B94">
              <w:rPr>
                <w:rFonts w:ascii="Verdana" w:hAnsi="Verdana"/>
              </w:rPr>
              <w:t>Each employer that purchases a health plan for its employees also has a number. This group number identifies the specific benefits associated you your employer's plan. Healthcare providers use the group number plus your member ID number to file claims for your care.</w:t>
            </w:r>
            <w:r>
              <w:rPr>
                <w:rFonts w:ascii="Verdana" w:hAnsi="Verdana"/>
              </w:rPr>
              <w:t xml:space="preserve"> </w:t>
            </w:r>
          </w:p>
        </w:tc>
      </w:tr>
    </w:tbl>
    <w:p w14:paraId="3E190EFD" w14:textId="77777777" w:rsidR="00F25025" w:rsidRPr="0025615F" w:rsidRDefault="00F25025" w:rsidP="00F15AAE">
      <w:pPr>
        <w:jc w:val="right"/>
        <w:rPr>
          <w:rFonts w:ascii="Verdana" w:hAnsi="Verdana"/>
          <w:sz w:val="20"/>
          <w:szCs w:val="20"/>
        </w:rPr>
      </w:pPr>
    </w:p>
    <w:p w14:paraId="6A9C3E22" w14:textId="77777777" w:rsidR="00E55B3A" w:rsidRDefault="00E55B3A" w:rsidP="00E55B3A"/>
    <w:p w14:paraId="586118D4" w14:textId="20025D60" w:rsidR="00E55B3A" w:rsidRDefault="00E55B3A" w:rsidP="00F15AAE">
      <w:pPr>
        <w:rPr>
          <w:rFonts w:ascii="Verdana" w:hAnsi="Verdana"/>
          <w:sz w:val="20"/>
          <w:szCs w:val="20"/>
        </w:rPr>
      </w:pPr>
    </w:p>
    <w:p w14:paraId="15C4F5FB" w14:textId="77777777" w:rsidR="00E55B3A" w:rsidRPr="004E00B6" w:rsidRDefault="00E55B3A" w:rsidP="00F15AAE">
      <w:pPr>
        <w:rPr>
          <w:rFonts w:ascii="Verdana" w:hAnsi="Verdana"/>
          <w:sz w:val="20"/>
          <w:szCs w:val="20"/>
        </w:rPr>
      </w:pPr>
    </w:p>
    <w:p w14:paraId="7BF25923" w14:textId="77777777" w:rsidR="00D87929" w:rsidRPr="004E00B6" w:rsidRDefault="00D87929" w:rsidP="00F15AAE">
      <w:pPr>
        <w:jc w:val="right"/>
        <w:rPr>
          <w:rFonts w:ascii="Verdana" w:hAnsi="Verdana"/>
          <w:sz w:val="20"/>
          <w:szCs w:val="20"/>
        </w:rPr>
      </w:pPr>
    </w:p>
    <w:p w14:paraId="1B528B74" w14:textId="7309099F" w:rsidR="00675566" w:rsidRPr="003D15F3" w:rsidRDefault="00675566" w:rsidP="00F15AAE">
      <w:pPr>
        <w:jc w:val="right"/>
        <w:rPr>
          <w:rFonts w:ascii="Verdana" w:hAnsi="Verdana"/>
          <w:color w:val="FF0000"/>
        </w:rPr>
      </w:pPr>
      <w:hyperlink w:anchor="_OneSource_Glossary_of" w:history="1">
        <w:r w:rsidRPr="003D15F3">
          <w:rPr>
            <w:rStyle w:val="Hyperlink"/>
            <w:rFonts w:ascii="Verdana" w:hAnsi="Verdana"/>
          </w:rPr>
          <w:t>Top of the Document</w:t>
        </w:r>
      </w:hyperlink>
    </w:p>
    <w:p w14:paraId="48BC9ECE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</w:p>
    <w:p w14:paraId="0725317C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  <w:r w:rsidRPr="004E00B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8E8240F" w14:textId="77777777" w:rsidR="00ED4CFD" w:rsidRPr="00C247CB" w:rsidRDefault="00ED4CFD" w:rsidP="00F15AA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E00B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CBC2E43" w14:textId="2321B678" w:rsidR="00ED4CFD" w:rsidRPr="00A47CB1" w:rsidRDefault="00ED4CFD" w:rsidP="00F15AAE">
      <w:pPr>
        <w:jc w:val="right"/>
        <w:rPr>
          <w:rFonts w:ascii="Verdana" w:hAnsi="Verdana"/>
          <w:sz w:val="20"/>
          <w:szCs w:val="20"/>
        </w:rPr>
      </w:pPr>
    </w:p>
    <w:sectPr w:rsidR="00ED4CFD" w:rsidRPr="00A47CB1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32275" w14:textId="77777777" w:rsidR="00E72694" w:rsidRDefault="00E72694">
      <w:r>
        <w:separator/>
      </w:r>
    </w:p>
  </w:endnote>
  <w:endnote w:type="continuationSeparator" w:id="0">
    <w:p w14:paraId="601CAFFC" w14:textId="77777777" w:rsidR="00E72694" w:rsidRDefault="00E7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6CA1F" w14:textId="77777777" w:rsidR="00E72694" w:rsidRDefault="00E72694">
      <w:r>
        <w:separator/>
      </w:r>
    </w:p>
  </w:footnote>
  <w:footnote w:type="continuationSeparator" w:id="0">
    <w:p w14:paraId="36743C14" w14:textId="77777777" w:rsidR="00E72694" w:rsidRDefault="00E72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0983"/>
    <w:multiLevelType w:val="hybridMultilevel"/>
    <w:tmpl w:val="2F60BAB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885012"/>
    <w:multiLevelType w:val="hybridMultilevel"/>
    <w:tmpl w:val="ECD8E1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1F97"/>
    <w:multiLevelType w:val="hybridMultilevel"/>
    <w:tmpl w:val="3366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D1F78"/>
    <w:multiLevelType w:val="hybridMultilevel"/>
    <w:tmpl w:val="0A8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527D2"/>
    <w:multiLevelType w:val="hybridMultilevel"/>
    <w:tmpl w:val="D2CA2DC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83C"/>
    <w:multiLevelType w:val="hybridMultilevel"/>
    <w:tmpl w:val="D6366D1E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6BB6983"/>
    <w:multiLevelType w:val="hybridMultilevel"/>
    <w:tmpl w:val="0ED0C26A"/>
    <w:lvl w:ilvl="0" w:tplc="AD1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91454"/>
    <w:multiLevelType w:val="hybridMultilevel"/>
    <w:tmpl w:val="2E8CF5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682"/>
    <w:multiLevelType w:val="hybridMultilevel"/>
    <w:tmpl w:val="A5C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3CC7"/>
    <w:multiLevelType w:val="hybridMultilevel"/>
    <w:tmpl w:val="BAC0D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CA4038"/>
    <w:multiLevelType w:val="multilevel"/>
    <w:tmpl w:val="C066B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8659E8"/>
    <w:multiLevelType w:val="hybridMultilevel"/>
    <w:tmpl w:val="028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922"/>
    <w:multiLevelType w:val="multilevel"/>
    <w:tmpl w:val="23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D743D8C"/>
    <w:multiLevelType w:val="hybridMultilevel"/>
    <w:tmpl w:val="D03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124D"/>
    <w:multiLevelType w:val="hybridMultilevel"/>
    <w:tmpl w:val="92EE4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6910E5"/>
    <w:multiLevelType w:val="hybridMultilevel"/>
    <w:tmpl w:val="AEC8AE90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7728BF"/>
    <w:multiLevelType w:val="hybridMultilevel"/>
    <w:tmpl w:val="A7ACEA94"/>
    <w:lvl w:ilvl="0" w:tplc="34807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921E3F"/>
    <w:multiLevelType w:val="hybridMultilevel"/>
    <w:tmpl w:val="062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67E2"/>
    <w:multiLevelType w:val="hybridMultilevel"/>
    <w:tmpl w:val="40F097BE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63630E"/>
    <w:multiLevelType w:val="hybridMultilevel"/>
    <w:tmpl w:val="D53279B8"/>
    <w:lvl w:ilvl="0" w:tplc="C868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629A0"/>
    <w:multiLevelType w:val="multilevel"/>
    <w:tmpl w:val="455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8003A5"/>
    <w:multiLevelType w:val="hybridMultilevel"/>
    <w:tmpl w:val="22B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2681D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0F72B2"/>
    <w:multiLevelType w:val="multilevel"/>
    <w:tmpl w:val="CA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9B7BB4"/>
    <w:multiLevelType w:val="hybridMultilevel"/>
    <w:tmpl w:val="EFB47630"/>
    <w:lvl w:ilvl="0" w:tplc="96D4C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665FB"/>
    <w:multiLevelType w:val="hybridMultilevel"/>
    <w:tmpl w:val="AAE0B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702678"/>
    <w:multiLevelType w:val="hybridMultilevel"/>
    <w:tmpl w:val="F21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60583E"/>
    <w:multiLevelType w:val="hybridMultilevel"/>
    <w:tmpl w:val="1708DB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D02B3B"/>
    <w:multiLevelType w:val="multilevel"/>
    <w:tmpl w:val="52B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9742129"/>
    <w:multiLevelType w:val="hybridMultilevel"/>
    <w:tmpl w:val="C85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77AA6"/>
    <w:multiLevelType w:val="hybridMultilevel"/>
    <w:tmpl w:val="F8D0DED4"/>
    <w:lvl w:ilvl="0" w:tplc="AD1822DC">
      <w:start w:val="1"/>
      <w:numFmt w:val="bullet"/>
      <w:lvlText w:val=""/>
      <w:lvlJc w:val="left"/>
      <w:pPr>
        <w:tabs>
          <w:tab w:val="num" w:pos="1080"/>
        </w:tabs>
        <w:ind w:left="108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BC57F36"/>
    <w:multiLevelType w:val="hybridMultilevel"/>
    <w:tmpl w:val="3D204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081906"/>
    <w:multiLevelType w:val="multilevel"/>
    <w:tmpl w:val="8298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312638"/>
    <w:multiLevelType w:val="hybridMultilevel"/>
    <w:tmpl w:val="E09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11C4F"/>
    <w:multiLevelType w:val="multilevel"/>
    <w:tmpl w:val="7956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0A6391C"/>
    <w:multiLevelType w:val="hybridMultilevel"/>
    <w:tmpl w:val="6414D0B8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C314AB"/>
    <w:multiLevelType w:val="hybridMultilevel"/>
    <w:tmpl w:val="4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66150"/>
    <w:multiLevelType w:val="hybridMultilevel"/>
    <w:tmpl w:val="EA6A8E48"/>
    <w:lvl w:ilvl="0" w:tplc="FDFA02D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7383C65"/>
    <w:multiLevelType w:val="hybridMultilevel"/>
    <w:tmpl w:val="5A689B1C"/>
    <w:lvl w:ilvl="0" w:tplc="3480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D26B19"/>
    <w:multiLevelType w:val="hybridMultilevel"/>
    <w:tmpl w:val="E2A0C756"/>
    <w:lvl w:ilvl="0" w:tplc="69E2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8253C8E"/>
    <w:multiLevelType w:val="hybridMultilevel"/>
    <w:tmpl w:val="BA724B8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4874B3"/>
    <w:multiLevelType w:val="hybridMultilevel"/>
    <w:tmpl w:val="B24213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C0316"/>
    <w:multiLevelType w:val="hybridMultilevel"/>
    <w:tmpl w:val="11C63CBA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791365"/>
    <w:multiLevelType w:val="hybridMultilevel"/>
    <w:tmpl w:val="B3BCB2FE"/>
    <w:lvl w:ilvl="0" w:tplc="3C669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A873DE5"/>
    <w:multiLevelType w:val="hybridMultilevel"/>
    <w:tmpl w:val="7EDA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6F57BD"/>
    <w:multiLevelType w:val="hybridMultilevel"/>
    <w:tmpl w:val="7E66A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2CCB1737"/>
    <w:multiLevelType w:val="hybridMultilevel"/>
    <w:tmpl w:val="819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6660CF"/>
    <w:multiLevelType w:val="hybridMultilevel"/>
    <w:tmpl w:val="42D6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E42547C"/>
    <w:multiLevelType w:val="hybridMultilevel"/>
    <w:tmpl w:val="A7A0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E860477"/>
    <w:multiLevelType w:val="hybridMultilevel"/>
    <w:tmpl w:val="ED462534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7A1575"/>
    <w:multiLevelType w:val="multilevel"/>
    <w:tmpl w:val="D5E8A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304469E8"/>
    <w:multiLevelType w:val="hybridMultilevel"/>
    <w:tmpl w:val="8DB4BDA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E5143"/>
    <w:multiLevelType w:val="multilevel"/>
    <w:tmpl w:val="B9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0C2AEE"/>
    <w:multiLevelType w:val="hybridMultilevel"/>
    <w:tmpl w:val="75524E5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86128B"/>
    <w:multiLevelType w:val="hybridMultilevel"/>
    <w:tmpl w:val="642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107DF9"/>
    <w:multiLevelType w:val="multilevel"/>
    <w:tmpl w:val="017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8BB2A05"/>
    <w:multiLevelType w:val="hybridMultilevel"/>
    <w:tmpl w:val="49EE928C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AC67D75"/>
    <w:multiLevelType w:val="hybridMultilevel"/>
    <w:tmpl w:val="8C4C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7701A9"/>
    <w:multiLevelType w:val="hybridMultilevel"/>
    <w:tmpl w:val="C342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BF72796"/>
    <w:multiLevelType w:val="hybridMultilevel"/>
    <w:tmpl w:val="B8D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D30662"/>
    <w:multiLevelType w:val="hybridMultilevel"/>
    <w:tmpl w:val="3FE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0B6ADF"/>
    <w:multiLevelType w:val="multilevel"/>
    <w:tmpl w:val="8F8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126899"/>
    <w:multiLevelType w:val="hybridMultilevel"/>
    <w:tmpl w:val="190C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C659AA"/>
    <w:multiLevelType w:val="hybridMultilevel"/>
    <w:tmpl w:val="2BA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B86BAE"/>
    <w:multiLevelType w:val="hybridMultilevel"/>
    <w:tmpl w:val="94F2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204566F"/>
    <w:multiLevelType w:val="hybridMultilevel"/>
    <w:tmpl w:val="6E482A06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8E1416"/>
    <w:multiLevelType w:val="multilevel"/>
    <w:tmpl w:val="83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24612A"/>
    <w:multiLevelType w:val="hybridMultilevel"/>
    <w:tmpl w:val="B622DDEC"/>
    <w:lvl w:ilvl="0" w:tplc="56DA418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CB6C01"/>
    <w:multiLevelType w:val="multilevel"/>
    <w:tmpl w:val="7ED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63552"/>
    <w:multiLevelType w:val="hybridMultilevel"/>
    <w:tmpl w:val="901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E11AFB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64A595D"/>
    <w:multiLevelType w:val="hybridMultilevel"/>
    <w:tmpl w:val="2F3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EB5252"/>
    <w:multiLevelType w:val="multilevel"/>
    <w:tmpl w:val="923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80C3DEE"/>
    <w:multiLevelType w:val="hybridMultilevel"/>
    <w:tmpl w:val="10E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521049"/>
    <w:multiLevelType w:val="hybridMultilevel"/>
    <w:tmpl w:val="DB108F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1678EF"/>
    <w:multiLevelType w:val="hybridMultilevel"/>
    <w:tmpl w:val="C0D8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D4218DD"/>
    <w:multiLevelType w:val="multilevel"/>
    <w:tmpl w:val="0F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DC953E4"/>
    <w:multiLevelType w:val="hybridMultilevel"/>
    <w:tmpl w:val="6B2E4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E46C55"/>
    <w:multiLevelType w:val="hybridMultilevel"/>
    <w:tmpl w:val="DB6EAF66"/>
    <w:lvl w:ilvl="0" w:tplc="0409000F">
      <w:start w:val="1"/>
      <w:numFmt w:val="decimal"/>
      <w:pStyle w:val="BulletText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F04165"/>
    <w:multiLevelType w:val="multilevel"/>
    <w:tmpl w:val="AA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487448"/>
    <w:multiLevelType w:val="hybridMultilevel"/>
    <w:tmpl w:val="7D8CF4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8E5605"/>
    <w:multiLevelType w:val="hybridMultilevel"/>
    <w:tmpl w:val="A11658F0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280E"/>
    <w:multiLevelType w:val="multilevel"/>
    <w:tmpl w:val="9C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FC61FCD"/>
    <w:multiLevelType w:val="hybridMultilevel"/>
    <w:tmpl w:val="847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0A4D4B"/>
    <w:multiLevelType w:val="hybridMultilevel"/>
    <w:tmpl w:val="E7FC7334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284A4C"/>
    <w:multiLevelType w:val="hybridMultilevel"/>
    <w:tmpl w:val="F42006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8F55A8"/>
    <w:multiLevelType w:val="hybridMultilevel"/>
    <w:tmpl w:val="ABE27D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11184D"/>
    <w:multiLevelType w:val="hybridMultilevel"/>
    <w:tmpl w:val="0B9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73432D"/>
    <w:multiLevelType w:val="hybridMultilevel"/>
    <w:tmpl w:val="9D94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674855"/>
    <w:multiLevelType w:val="hybridMultilevel"/>
    <w:tmpl w:val="452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4C2F7C"/>
    <w:multiLevelType w:val="hybridMultilevel"/>
    <w:tmpl w:val="C87CF50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87092"/>
    <w:multiLevelType w:val="hybridMultilevel"/>
    <w:tmpl w:val="5E72C06A"/>
    <w:lvl w:ilvl="0" w:tplc="4418A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32F447A6">
      <w:start w:val="1"/>
      <w:numFmt w:val="bullet"/>
      <w:lvlText w:val=""/>
      <w:lvlJc w:val="left"/>
      <w:pPr>
        <w:tabs>
          <w:tab w:val="num" w:pos="1253"/>
        </w:tabs>
        <w:ind w:left="1253" w:hanging="173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EF7EE8"/>
    <w:multiLevelType w:val="hybridMultilevel"/>
    <w:tmpl w:val="2D7427E8"/>
    <w:lvl w:ilvl="0" w:tplc="7514E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5E10620E"/>
    <w:multiLevelType w:val="hybridMultilevel"/>
    <w:tmpl w:val="FB9A0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2F6FA3"/>
    <w:multiLevelType w:val="hybridMultilevel"/>
    <w:tmpl w:val="0BFAB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5ECD2FFC"/>
    <w:multiLevelType w:val="hybridMultilevel"/>
    <w:tmpl w:val="11A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AA12B5"/>
    <w:multiLevelType w:val="multilevel"/>
    <w:tmpl w:val="D7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0B53F95"/>
    <w:multiLevelType w:val="hybridMultilevel"/>
    <w:tmpl w:val="F5A6A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2035E06"/>
    <w:multiLevelType w:val="hybridMultilevel"/>
    <w:tmpl w:val="D0F6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89761B"/>
    <w:multiLevelType w:val="multilevel"/>
    <w:tmpl w:val="8EF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4" w15:restartNumberingAfterBreak="0">
    <w:nsid w:val="63BC784C"/>
    <w:multiLevelType w:val="hybridMultilevel"/>
    <w:tmpl w:val="C03C60A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A8418F"/>
    <w:multiLevelType w:val="hybridMultilevel"/>
    <w:tmpl w:val="A91E7F3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DA3ADF"/>
    <w:multiLevelType w:val="hybridMultilevel"/>
    <w:tmpl w:val="712AE59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E75102"/>
    <w:multiLevelType w:val="hybridMultilevel"/>
    <w:tmpl w:val="13BA0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655A6F26"/>
    <w:multiLevelType w:val="multilevel"/>
    <w:tmpl w:val="966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9602C2"/>
    <w:multiLevelType w:val="hybridMultilevel"/>
    <w:tmpl w:val="E0E2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62C69E8"/>
    <w:multiLevelType w:val="hybridMultilevel"/>
    <w:tmpl w:val="A93A8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2DC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6CF68B8"/>
    <w:multiLevelType w:val="hybridMultilevel"/>
    <w:tmpl w:val="538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37AA6"/>
    <w:multiLevelType w:val="hybridMultilevel"/>
    <w:tmpl w:val="5E6AA688"/>
    <w:lvl w:ilvl="0" w:tplc="F18AD0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9663E59"/>
    <w:multiLevelType w:val="hybridMultilevel"/>
    <w:tmpl w:val="1C7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C618A4"/>
    <w:multiLevelType w:val="hybridMultilevel"/>
    <w:tmpl w:val="FE627E6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4A5E71"/>
    <w:multiLevelType w:val="multilevel"/>
    <w:tmpl w:val="A9A4A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6CB702ED"/>
    <w:multiLevelType w:val="hybridMultilevel"/>
    <w:tmpl w:val="B9102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E2B3BA4"/>
    <w:multiLevelType w:val="hybridMultilevel"/>
    <w:tmpl w:val="A5D0A33E"/>
    <w:lvl w:ilvl="0" w:tplc="FB50EC2A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8" w15:restartNumberingAfterBreak="0">
    <w:nsid w:val="6E4C18E4"/>
    <w:multiLevelType w:val="hybridMultilevel"/>
    <w:tmpl w:val="1FD4737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9" w15:restartNumberingAfterBreak="0">
    <w:nsid w:val="6F67182F"/>
    <w:multiLevelType w:val="multilevel"/>
    <w:tmpl w:val="E4981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0BD644E"/>
    <w:multiLevelType w:val="multilevel"/>
    <w:tmpl w:val="BDA05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1CF51AA"/>
    <w:multiLevelType w:val="hybridMultilevel"/>
    <w:tmpl w:val="41D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1E07217"/>
    <w:multiLevelType w:val="multilevel"/>
    <w:tmpl w:val="51267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722134C9"/>
    <w:multiLevelType w:val="hybridMultilevel"/>
    <w:tmpl w:val="66EA95C6"/>
    <w:lvl w:ilvl="0" w:tplc="34807664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4" w15:restartNumberingAfterBreak="0">
    <w:nsid w:val="72544FAF"/>
    <w:multiLevelType w:val="multilevel"/>
    <w:tmpl w:val="47E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35E32F7"/>
    <w:multiLevelType w:val="hybridMultilevel"/>
    <w:tmpl w:val="D568A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74D97317"/>
    <w:multiLevelType w:val="hybridMultilevel"/>
    <w:tmpl w:val="FBAED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7521407A"/>
    <w:multiLevelType w:val="hybridMultilevel"/>
    <w:tmpl w:val="AC20DF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8" w15:restartNumberingAfterBreak="0">
    <w:nsid w:val="75A1704C"/>
    <w:multiLevelType w:val="hybridMultilevel"/>
    <w:tmpl w:val="4CCA4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AE2430"/>
    <w:multiLevelType w:val="hybridMultilevel"/>
    <w:tmpl w:val="EFDEA76C"/>
    <w:lvl w:ilvl="0" w:tplc="8B9E9A66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7817569C"/>
    <w:multiLevelType w:val="hybridMultilevel"/>
    <w:tmpl w:val="EDDCD4C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D3683D"/>
    <w:multiLevelType w:val="hybridMultilevel"/>
    <w:tmpl w:val="76146778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211B6A"/>
    <w:multiLevelType w:val="hybridMultilevel"/>
    <w:tmpl w:val="EE027A1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C11362"/>
    <w:multiLevelType w:val="multilevel"/>
    <w:tmpl w:val="A8D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B077DEA"/>
    <w:multiLevelType w:val="hybridMultilevel"/>
    <w:tmpl w:val="9A006EE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3E579F"/>
    <w:multiLevelType w:val="hybridMultilevel"/>
    <w:tmpl w:val="9300EAE6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BA40A33"/>
    <w:multiLevelType w:val="hybridMultilevel"/>
    <w:tmpl w:val="926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2D1A7C"/>
    <w:multiLevelType w:val="hybridMultilevel"/>
    <w:tmpl w:val="678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A4BBD"/>
    <w:multiLevelType w:val="hybridMultilevel"/>
    <w:tmpl w:val="943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D9C2AC9"/>
    <w:multiLevelType w:val="hybridMultilevel"/>
    <w:tmpl w:val="4F26F74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072925">
    <w:abstractNumId w:val="69"/>
  </w:num>
  <w:num w:numId="2" w16cid:durableId="475996603">
    <w:abstractNumId w:val="103"/>
  </w:num>
  <w:num w:numId="3" w16cid:durableId="441846530">
    <w:abstractNumId w:val="82"/>
  </w:num>
  <w:num w:numId="4" w16cid:durableId="1241527413">
    <w:abstractNumId w:val="7"/>
  </w:num>
  <w:num w:numId="5" w16cid:durableId="322438010">
    <w:abstractNumId w:val="43"/>
  </w:num>
  <w:num w:numId="6" w16cid:durableId="944966841">
    <w:abstractNumId w:val="104"/>
  </w:num>
  <w:num w:numId="7" w16cid:durableId="1827936971">
    <w:abstractNumId w:val="76"/>
  </w:num>
  <w:num w:numId="8" w16cid:durableId="692269882">
    <w:abstractNumId w:val="88"/>
  </w:num>
  <w:num w:numId="9" w16cid:durableId="1805614033">
    <w:abstractNumId w:val="86"/>
  </w:num>
  <w:num w:numId="10" w16cid:durableId="1424111518">
    <w:abstractNumId w:val="29"/>
  </w:num>
  <w:num w:numId="11" w16cid:durableId="1971740457">
    <w:abstractNumId w:val="105"/>
  </w:num>
  <w:num w:numId="12" w16cid:durableId="1569338987">
    <w:abstractNumId w:val="106"/>
  </w:num>
  <w:num w:numId="13" w16cid:durableId="1883057958">
    <w:abstractNumId w:val="135"/>
  </w:num>
  <w:num w:numId="14" w16cid:durableId="223293408">
    <w:abstractNumId w:val="139"/>
  </w:num>
  <w:num w:numId="15" w16cid:durableId="2082553415">
    <w:abstractNumId w:val="1"/>
  </w:num>
  <w:num w:numId="16" w16cid:durableId="1408577484">
    <w:abstractNumId w:val="53"/>
  </w:num>
  <w:num w:numId="17" w16cid:durableId="1878354796">
    <w:abstractNumId w:val="130"/>
  </w:num>
  <w:num w:numId="18" w16cid:durableId="1136140769">
    <w:abstractNumId w:val="93"/>
  </w:num>
  <w:num w:numId="19" w16cid:durableId="1732344684">
    <w:abstractNumId w:val="132"/>
  </w:num>
  <w:num w:numId="20" w16cid:durableId="441461389">
    <w:abstractNumId w:val="55"/>
  </w:num>
  <w:num w:numId="21" w16cid:durableId="929044522">
    <w:abstractNumId w:val="22"/>
  </w:num>
  <w:num w:numId="22" w16cid:durableId="866328539">
    <w:abstractNumId w:val="47"/>
  </w:num>
  <w:num w:numId="23" w16cid:durableId="361369995">
    <w:abstractNumId w:val="37"/>
  </w:num>
  <w:num w:numId="24" w16cid:durableId="1832478951">
    <w:abstractNumId w:val="100"/>
  </w:num>
  <w:num w:numId="25" w16cid:durableId="139075912">
    <w:abstractNumId w:val="79"/>
  </w:num>
  <w:num w:numId="26" w16cid:durableId="1899632609">
    <w:abstractNumId w:val="66"/>
  </w:num>
  <w:num w:numId="27" w16cid:durableId="310719050">
    <w:abstractNumId w:val="10"/>
  </w:num>
  <w:num w:numId="28" w16cid:durableId="1553422765">
    <w:abstractNumId w:val="32"/>
  </w:num>
  <w:num w:numId="29" w16cid:durableId="255332617">
    <w:abstractNumId w:val="96"/>
  </w:num>
  <w:num w:numId="30" w16cid:durableId="604775913">
    <w:abstractNumId w:val="0"/>
  </w:num>
  <w:num w:numId="31" w16cid:durableId="731192166">
    <w:abstractNumId w:val="26"/>
  </w:num>
  <w:num w:numId="32" w16cid:durableId="1973247529">
    <w:abstractNumId w:val="116"/>
  </w:num>
  <w:num w:numId="33" w16cid:durableId="318850764">
    <w:abstractNumId w:val="117"/>
  </w:num>
  <w:num w:numId="34" w16cid:durableId="1045759589">
    <w:abstractNumId w:val="44"/>
  </w:num>
  <w:num w:numId="35" w16cid:durableId="492531578">
    <w:abstractNumId w:val="19"/>
  </w:num>
  <w:num w:numId="36" w16cid:durableId="260338077">
    <w:abstractNumId w:val="16"/>
  </w:num>
  <w:num w:numId="37" w16cid:durableId="1164198563">
    <w:abstractNumId w:val="95"/>
  </w:num>
  <w:num w:numId="38" w16cid:durableId="1392533630">
    <w:abstractNumId w:val="9"/>
  </w:num>
  <w:num w:numId="39" w16cid:durableId="1706321585">
    <w:abstractNumId w:val="126"/>
  </w:num>
  <w:num w:numId="40" w16cid:durableId="15927157">
    <w:abstractNumId w:val="125"/>
  </w:num>
  <w:num w:numId="41" w16cid:durableId="693455937">
    <w:abstractNumId w:val="112"/>
  </w:num>
  <w:num w:numId="42" w16cid:durableId="179392748">
    <w:abstractNumId w:val="20"/>
  </w:num>
  <w:num w:numId="43" w16cid:durableId="1562986620">
    <w:abstractNumId w:val="13"/>
  </w:num>
  <w:num w:numId="44" w16cid:durableId="2056466861">
    <w:abstractNumId w:val="50"/>
  </w:num>
  <w:num w:numId="45" w16cid:durableId="925117674">
    <w:abstractNumId w:val="25"/>
  </w:num>
  <w:num w:numId="46" w16cid:durableId="336200993">
    <w:abstractNumId w:val="27"/>
  </w:num>
  <w:num w:numId="47" w16cid:durableId="115560593">
    <w:abstractNumId w:val="91"/>
  </w:num>
  <w:num w:numId="48" w16cid:durableId="370109624">
    <w:abstractNumId w:val="127"/>
  </w:num>
  <w:num w:numId="49" w16cid:durableId="344210496">
    <w:abstractNumId w:val="121"/>
  </w:num>
  <w:num w:numId="50" w16cid:durableId="206793650">
    <w:abstractNumId w:val="28"/>
  </w:num>
  <w:num w:numId="51" w16cid:durableId="1380008072">
    <w:abstractNumId w:val="35"/>
  </w:num>
  <w:num w:numId="52" w16cid:durableId="1327856563">
    <w:abstractNumId w:val="134"/>
  </w:num>
  <w:num w:numId="53" w16cid:durableId="836263820">
    <w:abstractNumId w:val="14"/>
  </w:num>
  <w:num w:numId="54" w16cid:durableId="682561110">
    <w:abstractNumId w:val="48"/>
  </w:num>
  <w:num w:numId="55" w16cid:durableId="2058893770">
    <w:abstractNumId w:val="83"/>
  </w:num>
  <w:num w:numId="56" w16cid:durableId="1065184213">
    <w:abstractNumId w:val="67"/>
  </w:num>
  <w:num w:numId="57" w16cid:durableId="1367026085">
    <w:abstractNumId w:val="4"/>
  </w:num>
  <w:num w:numId="58" w16cid:durableId="1589195657">
    <w:abstractNumId w:val="51"/>
  </w:num>
  <w:num w:numId="59" w16cid:durableId="796532136">
    <w:abstractNumId w:val="85"/>
  </w:num>
  <w:num w:numId="60" w16cid:durableId="573469265">
    <w:abstractNumId w:val="110"/>
  </w:num>
  <w:num w:numId="61" w16cid:durableId="1948730293">
    <w:abstractNumId w:val="65"/>
  </w:num>
  <w:num w:numId="62" w16cid:durableId="1907492852">
    <w:abstractNumId w:val="61"/>
  </w:num>
  <w:num w:numId="63" w16cid:durableId="105538476">
    <w:abstractNumId w:val="98"/>
  </w:num>
  <w:num w:numId="64" w16cid:durableId="573781193">
    <w:abstractNumId w:val="62"/>
  </w:num>
  <w:num w:numId="65" w16cid:durableId="7951840">
    <w:abstractNumId w:val="60"/>
  </w:num>
  <w:num w:numId="66" w16cid:durableId="597786163">
    <w:abstractNumId w:val="107"/>
  </w:num>
  <w:num w:numId="67" w16cid:durableId="1202400616">
    <w:abstractNumId w:val="111"/>
  </w:num>
  <w:num w:numId="68" w16cid:durableId="2034768202">
    <w:abstractNumId w:val="33"/>
  </w:num>
  <w:num w:numId="69" w16cid:durableId="1388383445">
    <w:abstractNumId w:val="6"/>
  </w:num>
  <w:num w:numId="70" w16cid:durableId="241449792">
    <w:abstractNumId w:val="109"/>
  </w:num>
  <w:num w:numId="71" w16cid:durableId="1216621671">
    <w:abstractNumId w:val="39"/>
  </w:num>
  <w:num w:numId="72" w16cid:durableId="304745725">
    <w:abstractNumId w:val="136"/>
  </w:num>
  <w:num w:numId="73" w16cid:durableId="1102988539">
    <w:abstractNumId w:val="81"/>
  </w:num>
  <w:num w:numId="74" w16cid:durableId="1510830074">
    <w:abstractNumId w:val="56"/>
  </w:num>
  <w:num w:numId="75" w16cid:durableId="1006329053">
    <w:abstractNumId w:val="40"/>
  </w:num>
  <w:num w:numId="76" w16cid:durableId="1287006946">
    <w:abstractNumId w:val="8"/>
  </w:num>
  <w:num w:numId="77" w16cid:durableId="937057969">
    <w:abstractNumId w:val="58"/>
  </w:num>
  <w:num w:numId="78" w16cid:durableId="1652514081">
    <w:abstractNumId w:val="18"/>
  </w:num>
  <w:num w:numId="79" w16cid:durableId="231081349">
    <w:abstractNumId w:val="77"/>
  </w:num>
  <w:num w:numId="80" w16cid:durableId="866990353">
    <w:abstractNumId w:val="84"/>
  </w:num>
  <w:num w:numId="81" w16cid:durableId="662901107">
    <w:abstractNumId w:val="133"/>
  </w:num>
  <w:num w:numId="82" w16cid:durableId="892354244">
    <w:abstractNumId w:val="23"/>
  </w:num>
  <w:num w:numId="83" w16cid:durableId="460729784">
    <w:abstractNumId w:val="49"/>
  </w:num>
  <w:num w:numId="84" w16cid:durableId="522283624">
    <w:abstractNumId w:val="72"/>
  </w:num>
  <w:num w:numId="85" w16cid:durableId="1466390175">
    <w:abstractNumId w:val="5"/>
  </w:num>
  <w:num w:numId="86" w16cid:durableId="1125392758">
    <w:abstractNumId w:val="68"/>
  </w:num>
  <w:num w:numId="87" w16cid:durableId="787939726">
    <w:abstractNumId w:val="11"/>
  </w:num>
  <w:num w:numId="88" w16cid:durableId="1625842841">
    <w:abstractNumId w:val="45"/>
  </w:num>
  <w:num w:numId="89" w16cid:durableId="1120489313">
    <w:abstractNumId w:val="46"/>
  </w:num>
  <w:num w:numId="90" w16cid:durableId="1970281751">
    <w:abstractNumId w:val="138"/>
  </w:num>
  <w:num w:numId="91" w16cid:durableId="1210915841">
    <w:abstractNumId w:val="74"/>
  </w:num>
  <w:num w:numId="92" w16cid:durableId="1520239037">
    <w:abstractNumId w:val="2"/>
  </w:num>
  <w:num w:numId="93" w16cid:durableId="1273587488">
    <w:abstractNumId w:val="63"/>
  </w:num>
  <w:num w:numId="94" w16cid:durableId="621617736">
    <w:abstractNumId w:val="54"/>
  </w:num>
  <w:num w:numId="95" w16cid:durableId="1421607650">
    <w:abstractNumId w:val="90"/>
  </w:num>
  <w:num w:numId="96" w16cid:durableId="2115326505">
    <w:abstractNumId w:val="38"/>
  </w:num>
  <w:num w:numId="97" w16cid:durableId="459498613">
    <w:abstractNumId w:val="118"/>
  </w:num>
  <w:num w:numId="98" w16cid:durableId="851532058">
    <w:abstractNumId w:val="75"/>
  </w:num>
  <w:num w:numId="99" w16cid:durableId="176846387">
    <w:abstractNumId w:val="97"/>
  </w:num>
  <w:num w:numId="100" w16cid:durableId="447360429">
    <w:abstractNumId w:val="31"/>
  </w:num>
  <w:num w:numId="101" w16cid:durableId="139928169">
    <w:abstractNumId w:val="137"/>
  </w:num>
  <w:num w:numId="102" w16cid:durableId="1083650435">
    <w:abstractNumId w:val="129"/>
  </w:num>
  <w:num w:numId="103" w16cid:durableId="381633005">
    <w:abstractNumId w:val="71"/>
  </w:num>
  <w:num w:numId="104" w16cid:durableId="560023238">
    <w:abstractNumId w:val="3"/>
  </w:num>
  <w:num w:numId="105" w16cid:durableId="313491097">
    <w:abstractNumId w:val="80"/>
  </w:num>
  <w:num w:numId="106" w16cid:durableId="887303564">
    <w:abstractNumId w:val="94"/>
  </w:num>
  <w:num w:numId="107" w16cid:durableId="2020429213">
    <w:abstractNumId w:val="101"/>
  </w:num>
  <w:num w:numId="108" w16cid:durableId="1939941634">
    <w:abstractNumId w:val="59"/>
  </w:num>
  <w:num w:numId="109" w16cid:durableId="1166551063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83961678">
    <w:abstractNumId w:val="113"/>
  </w:num>
  <w:num w:numId="111" w16cid:durableId="70779874">
    <w:abstractNumId w:val="15"/>
  </w:num>
  <w:num w:numId="112" w16cid:durableId="1674453877">
    <w:abstractNumId w:val="108"/>
  </w:num>
  <w:num w:numId="113" w16cid:durableId="855121202">
    <w:abstractNumId w:val="41"/>
  </w:num>
  <w:num w:numId="114" w16cid:durableId="526144928">
    <w:abstractNumId w:val="99"/>
  </w:num>
  <w:num w:numId="115" w16cid:durableId="341278168">
    <w:abstractNumId w:val="73"/>
  </w:num>
  <w:num w:numId="116" w16cid:durableId="1092165970">
    <w:abstractNumId w:val="64"/>
  </w:num>
  <w:num w:numId="117" w16cid:durableId="1487743655">
    <w:abstractNumId w:val="89"/>
  </w:num>
  <w:num w:numId="118" w16cid:durableId="1827621869">
    <w:abstractNumId w:val="128"/>
  </w:num>
  <w:num w:numId="119" w16cid:durableId="211700608">
    <w:abstractNumId w:val="70"/>
  </w:num>
  <w:num w:numId="120" w16cid:durableId="1892184906">
    <w:abstractNumId w:val="124"/>
  </w:num>
  <w:num w:numId="121" w16cid:durableId="1395355172">
    <w:abstractNumId w:val="42"/>
  </w:num>
  <w:num w:numId="122" w16cid:durableId="523833456">
    <w:abstractNumId w:val="131"/>
  </w:num>
  <w:num w:numId="123" w16cid:durableId="204100144">
    <w:abstractNumId w:val="114"/>
  </w:num>
  <w:num w:numId="124" w16cid:durableId="1031610200">
    <w:abstractNumId w:val="87"/>
  </w:num>
  <w:num w:numId="125" w16cid:durableId="2143884590">
    <w:abstractNumId w:val="132"/>
  </w:num>
  <w:num w:numId="126" w16cid:durableId="929892108">
    <w:abstractNumId w:val="21"/>
  </w:num>
  <w:num w:numId="127" w16cid:durableId="618297443">
    <w:abstractNumId w:val="102"/>
  </w:num>
  <w:num w:numId="128" w16cid:durableId="926117912">
    <w:abstractNumId w:val="30"/>
  </w:num>
  <w:num w:numId="129" w16cid:durableId="911624050">
    <w:abstractNumId w:val="36"/>
  </w:num>
  <w:num w:numId="130" w16cid:durableId="1443383002">
    <w:abstractNumId w:val="34"/>
  </w:num>
  <w:num w:numId="131" w16cid:durableId="398290639">
    <w:abstractNumId w:val="120"/>
  </w:num>
  <w:num w:numId="132" w16cid:durableId="1439373890">
    <w:abstractNumId w:val="115"/>
  </w:num>
  <w:num w:numId="133" w16cid:durableId="1942760179">
    <w:abstractNumId w:val="122"/>
  </w:num>
  <w:num w:numId="134" w16cid:durableId="1857040653">
    <w:abstractNumId w:val="119"/>
  </w:num>
  <w:num w:numId="135" w16cid:durableId="1534878278">
    <w:abstractNumId w:val="52"/>
  </w:num>
  <w:num w:numId="136" w16cid:durableId="795564733">
    <w:abstractNumId w:val="57"/>
  </w:num>
  <w:num w:numId="137" w16cid:durableId="74014393">
    <w:abstractNumId w:val="24"/>
  </w:num>
  <w:num w:numId="138" w16cid:durableId="84688458">
    <w:abstractNumId w:val="12"/>
  </w:num>
  <w:num w:numId="139" w16cid:durableId="184103534">
    <w:abstractNumId w:val="78"/>
  </w:num>
  <w:num w:numId="140" w16cid:durableId="1962418580">
    <w:abstractNumId w:val="136"/>
  </w:num>
  <w:num w:numId="141" w16cid:durableId="1324703713">
    <w:abstractNumId w:val="81"/>
  </w:num>
  <w:num w:numId="142" w16cid:durableId="524292262">
    <w:abstractNumId w:val="17"/>
  </w:num>
  <w:num w:numId="143" w16cid:durableId="1614366470">
    <w:abstractNumId w:val="12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F7"/>
    <w:rsid w:val="00002792"/>
    <w:rsid w:val="00003364"/>
    <w:rsid w:val="00004B28"/>
    <w:rsid w:val="0000515D"/>
    <w:rsid w:val="000054CE"/>
    <w:rsid w:val="00005B44"/>
    <w:rsid w:val="000075B1"/>
    <w:rsid w:val="00007C9C"/>
    <w:rsid w:val="00010611"/>
    <w:rsid w:val="00010681"/>
    <w:rsid w:val="00010C12"/>
    <w:rsid w:val="00010F77"/>
    <w:rsid w:val="00010FA6"/>
    <w:rsid w:val="000134AA"/>
    <w:rsid w:val="00014C17"/>
    <w:rsid w:val="00014D88"/>
    <w:rsid w:val="00015A2E"/>
    <w:rsid w:val="00017369"/>
    <w:rsid w:val="000201A8"/>
    <w:rsid w:val="000227E2"/>
    <w:rsid w:val="00023194"/>
    <w:rsid w:val="00025EFD"/>
    <w:rsid w:val="00026BC9"/>
    <w:rsid w:val="00027DA6"/>
    <w:rsid w:val="00031DC2"/>
    <w:rsid w:val="00032032"/>
    <w:rsid w:val="00032400"/>
    <w:rsid w:val="000335D9"/>
    <w:rsid w:val="000338DC"/>
    <w:rsid w:val="00034ACB"/>
    <w:rsid w:val="00036C9D"/>
    <w:rsid w:val="00037A58"/>
    <w:rsid w:val="00041AA8"/>
    <w:rsid w:val="00041E0B"/>
    <w:rsid w:val="00042AC2"/>
    <w:rsid w:val="00042CF8"/>
    <w:rsid w:val="00044858"/>
    <w:rsid w:val="00045031"/>
    <w:rsid w:val="00045F69"/>
    <w:rsid w:val="00047C8F"/>
    <w:rsid w:val="00050572"/>
    <w:rsid w:val="00051400"/>
    <w:rsid w:val="0005167B"/>
    <w:rsid w:val="0005195C"/>
    <w:rsid w:val="00052241"/>
    <w:rsid w:val="00052BBC"/>
    <w:rsid w:val="000547CA"/>
    <w:rsid w:val="00055791"/>
    <w:rsid w:val="00056815"/>
    <w:rsid w:val="00056CD2"/>
    <w:rsid w:val="00056CE4"/>
    <w:rsid w:val="000622A5"/>
    <w:rsid w:val="00062302"/>
    <w:rsid w:val="0006245D"/>
    <w:rsid w:val="000625BD"/>
    <w:rsid w:val="0006270F"/>
    <w:rsid w:val="00064602"/>
    <w:rsid w:val="0006474D"/>
    <w:rsid w:val="00064FF2"/>
    <w:rsid w:val="000650AC"/>
    <w:rsid w:val="00066050"/>
    <w:rsid w:val="00071D07"/>
    <w:rsid w:val="00072569"/>
    <w:rsid w:val="00073BC9"/>
    <w:rsid w:val="000749B2"/>
    <w:rsid w:val="00074FA4"/>
    <w:rsid w:val="00076B01"/>
    <w:rsid w:val="000774D3"/>
    <w:rsid w:val="00077C9F"/>
    <w:rsid w:val="00080725"/>
    <w:rsid w:val="00082396"/>
    <w:rsid w:val="0008247E"/>
    <w:rsid w:val="000825E5"/>
    <w:rsid w:val="0008497F"/>
    <w:rsid w:val="00084B4D"/>
    <w:rsid w:val="000865DE"/>
    <w:rsid w:val="0008665F"/>
    <w:rsid w:val="00086C24"/>
    <w:rsid w:val="00086F6D"/>
    <w:rsid w:val="000871E4"/>
    <w:rsid w:val="00087F0B"/>
    <w:rsid w:val="00090296"/>
    <w:rsid w:val="00090565"/>
    <w:rsid w:val="00090879"/>
    <w:rsid w:val="00090B98"/>
    <w:rsid w:val="00090BC9"/>
    <w:rsid w:val="0009241D"/>
    <w:rsid w:val="00093AB8"/>
    <w:rsid w:val="000941B9"/>
    <w:rsid w:val="0009696D"/>
    <w:rsid w:val="00096E75"/>
    <w:rsid w:val="000A05D9"/>
    <w:rsid w:val="000A2255"/>
    <w:rsid w:val="000A2518"/>
    <w:rsid w:val="000A7970"/>
    <w:rsid w:val="000B03DF"/>
    <w:rsid w:val="000B0EE5"/>
    <w:rsid w:val="000B1E6F"/>
    <w:rsid w:val="000B2078"/>
    <w:rsid w:val="000B3A78"/>
    <w:rsid w:val="000B3C4C"/>
    <w:rsid w:val="000B5AAA"/>
    <w:rsid w:val="000B5D64"/>
    <w:rsid w:val="000B5EC3"/>
    <w:rsid w:val="000B7FC0"/>
    <w:rsid w:val="000C0E7B"/>
    <w:rsid w:val="000C1DDD"/>
    <w:rsid w:val="000C2425"/>
    <w:rsid w:val="000C311D"/>
    <w:rsid w:val="000C370B"/>
    <w:rsid w:val="000C480B"/>
    <w:rsid w:val="000C49C7"/>
    <w:rsid w:val="000C53B6"/>
    <w:rsid w:val="000C70B2"/>
    <w:rsid w:val="000D13D0"/>
    <w:rsid w:val="000D6714"/>
    <w:rsid w:val="000D79EF"/>
    <w:rsid w:val="000E055D"/>
    <w:rsid w:val="000E0A62"/>
    <w:rsid w:val="000E1315"/>
    <w:rsid w:val="000E26C9"/>
    <w:rsid w:val="000E381B"/>
    <w:rsid w:val="000E3FA8"/>
    <w:rsid w:val="000E6AF5"/>
    <w:rsid w:val="000E6C31"/>
    <w:rsid w:val="000E6FCB"/>
    <w:rsid w:val="000E7B23"/>
    <w:rsid w:val="000F07CA"/>
    <w:rsid w:val="000F2056"/>
    <w:rsid w:val="000F23E8"/>
    <w:rsid w:val="000F3BC0"/>
    <w:rsid w:val="000F4AA7"/>
    <w:rsid w:val="000F710F"/>
    <w:rsid w:val="001017A0"/>
    <w:rsid w:val="00102D43"/>
    <w:rsid w:val="001033BC"/>
    <w:rsid w:val="00104A7D"/>
    <w:rsid w:val="001069EB"/>
    <w:rsid w:val="00111035"/>
    <w:rsid w:val="00111C18"/>
    <w:rsid w:val="0011275E"/>
    <w:rsid w:val="001128CA"/>
    <w:rsid w:val="00112EA0"/>
    <w:rsid w:val="0011383B"/>
    <w:rsid w:val="0011577D"/>
    <w:rsid w:val="00115EF2"/>
    <w:rsid w:val="0012224D"/>
    <w:rsid w:val="00122AB1"/>
    <w:rsid w:val="00122B8F"/>
    <w:rsid w:val="00122E3C"/>
    <w:rsid w:val="001234F8"/>
    <w:rsid w:val="001251F8"/>
    <w:rsid w:val="00127F40"/>
    <w:rsid w:val="0013059A"/>
    <w:rsid w:val="00130E21"/>
    <w:rsid w:val="0013188F"/>
    <w:rsid w:val="00134716"/>
    <w:rsid w:val="00134D7C"/>
    <w:rsid w:val="001358DD"/>
    <w:rsid w:val="00137140"/>
    <w:rsid w:val="001371BC"/>
    <w:rsid w:val="0014205C"/>
    <w:rsid w:val="001421BD"/>
    <w:rsid w:val="0014311F"/>
    <w:rsid w:val="00144859"/>
    <w:rsid w:val="00145ED7"/>
    <w:rsid w:val="0014616D"/>
    <w:rsid w:val="001463FF"/>
    <w:rsid w:val="00147B42"/>
    <w:rsid w:val="00150036"/>
    <w:rsid w:val="001540E4"/>
    <w:rsid w:val="001541C7"/>
    <w:rsid w:val="00155DEB"/>
    <w:rsid w:val="00157785"/>
    <w:rsid w:val="001602C6"/>
    <w:rsid w:val="00161DAC"/>
    <w:rsid w:val="0016221B"/>
    <w:rsid w:val="0016273A"/>
    <w:rsid w:val="00163116"/>
    <w:rsid w:val="00167B21"/>
    <w:rsid w:val="00167CED"/>
    <w:rsid w:val="001736D9"/>
    <w:rsid w:val="00173A9A"/>
    <w:rsid w:val="00173D8A"/>
    <w:rsid w:val="00174371"/>
    <w:rsid w:val="0017769E"/>
    <w:rsid w:val="0018058A"/>
    <w:rsid w:val="00180D96"/>
    <w:rsid w:val="0018240D"/>
    <w:rsid w:val="0018433E"/>
    <w:rsid w:val="00184490"/>
    <w:rsid w:val="00185337"/>
    <w:rsid w:val="00185AB3"/>
    <w:rsid w:val="00185D44"/>
    <w:rsid w:val="001874F5"/>
    <w:rsid w:val="001902FC"/>
    <w:rsid w:val="00190387"/>
    <w:rsid w:val="00190D89"/>
    <w:rsid w:val="00191082"/>
    <w:rsid w:val="001914F7"/>
    <w:rsid w:val="00191C57"/>
    <w:rsid w:val="00191D97"/>
    <w:rsid w:val="001923C2"/>
    <w:rsid w:val="0019353A"/>
    <w:rsid w:val="00197F3D"/>
    <w:rsid w:val="001A0C09"/>
    <w:rsid w:val="001A2FB4"/>
    <w:rsid w:val="001A36CF"/>
    <w:rsid w:val="001A386D"/>
    <w:rsid w:val="001A3FCC"/>
    <w:rsid w:val="001A446E"/>
    <w:rsid w:val="001A5527"/>
    <w:rsid w:val="001A561F"/>
    <w:rsid w:val="001A60A3"/>
    <w:rsid w:val="001A7ABE"/>
    <w:rsid w:val="001B08F6"/>
    <w:rsid w:val="001B0AEC"/>
    <w:rsid w:val="001B12F6"/>
    <w:rsid w:val="001B1CA3"/>
    <w:rsid w:val="001B1F6F"/>
    <w:rsid w:val="001B29ED"/>
    <w:rsid w:val="001B32B4"/>
    <w:rsid w:val="001B356C"/>
    <w:rsid w:val="001B4115"/>
    <w:rsid w:val="001B5416"/>
    <w:rsid w:val="001B619A"/>
    <w:rsid w:val="001B7AB7"/>
    <w:rsid w:val="001C0AEB"/>
    <w:rsid w:val="001C0E63"/>
    <w:rsid w:val="001C1A36"/>
    <w:rsid w:val="001C342D"/>
    <w:rsid w:val="001C358C"/>
    <w:rsid w:val="001C430A"/>
    <w:rsid w:val="001C72FB"/>
    <w:rsid w:val="001D0CC9"/>
    <w:rsid w:val="001D180A"/>
    <w:rsid w:val="001D3359"/>
    <w:rsid w:val="001D3364"/>
    <w:rsid w:val="001D354C"/>
    <w:rsid w:val="001D38AA"/>
    <w:rsid w:val="001D480E"/>
    <w:rsid w:val="001D586C"/>
    <w:rsid w:val="001D5F7C"/>
    <w:rsid w:val="001D76F9"/>
    <w:rsid w:val="001D7BC2"/>
    <w:rsid w:val="001D7DE5"/>
    <w:rsid w:val="001E1F63"/>
    <w:rsid w:val="001E263F"/>
    <w:rsid w:val="001E3A21"/>
    <w:rsid w:val="001F30D9"/>
    <w:rsid w:val="001F37C3"/>
    <w:rsid w:val="001F4265"/>
    <w:rsid w:val="001F4A1D"/>
    <w:rsid w:val="001F4EAD"/>
    <w:rsid w:val="001F70A8"/>
    <w:rsid w:val="001F76B7"/>
    <w:rsid w:val="00200BF9"/>
    <w:rsid w:val="002016B4"/>
    <w:rsid w:val="002026D3"/>
    <w:rsid w:val="0020323F"/>
    <w:rsid w:val="00203474"/>
    <w:rsid w:val="00204294"/>
    <w:rsid w:val="00205A1D"/>
    <w:rsid w:val="00205AFA"/>
    <w:rsid w:val="00206165"/>
    <w:rsid w:val="00207C7B"/>
    <w:rsid w:val="00210090"/>
    <w:rsid w:val="00210A1A"/>
    <w:rsid w:val="00210B00"/>
    <w:rsid w:val="00210D2C"/>
    <w:rsid w:val="00210F5C"/>
    <w:rsid w:val="00211238"/>
    <w:rsid w:val="00211E25"/>
    <w:rsid w:val="0021213A"/>
    <w:rsid w:val="0021326B"/>
    <w:rsid w:val="00213500"/>
    <w:rsid w:val="00213A73"/>
    <w:rsid w:val="002142D2"/>
    <w:rsid w:val="00214464"/>
    <w:rsid w:val="00214AB9"/>
    <w:rsid w:val="00215763"/>
    <w:rsid w:val="00215AC2"/>
    <w:rsid w:val="002160AF"/>
    <w:rsid w:val="00216B1A"/>
    <w:rsid w:val="00220D9D"/>
    <w:rsid w:val="002211BC"/>
    <w:rsid w:val="0022153E"/>
    <w:rsid w:val="00221600"/>
    <w:rsid w:val="002217A5"/>
    <w:rsid w:val="00222DB1"/>
    <w:rsid w:val="00223AE5"/>
    <w:rsid w:val="00224439"/>
    <w:rsid w:val="00224B19"/>
    <w:rsid w:val="00226C9F"/>
    <w:rsid w:val="00226CDD"/>
    <w:rsid w:val="00226E43"/>
    <w:rsid w:val="002272AF"/>
    <w:rsid w:val="002303F3"/>
    <w:rsid w:val="002310B0"/>
    <w:rsid w:val="00231F03"/>
    <w:rsid w:val="00232BCC"/>
    <w:rsid w:val="00233067"/>
    <w:rsid w:val="00233B04"/>
    <w:rsid w:val="00234586"/>
    <w:rsid w:val="002366F5"/>
    <w:rsid w:val="0024083A"/>
    <w:rsid w:val="002412C0"/>
    <w:rsid w:val="0024332A"/>
    <w:rsid w:val="002433B0"/>
    <w:rsid w:val="00243B19"/>
    <w:rsid w:val="002455B6"/>
    <w:rsid w:val="002467D2"/>
    <w:rsid w:val="00247342"/>
    <w:rsid w:val="00247B66"/>
    <w:rsid w:val="00251923"/>
    <w:rsid w:val="00251FEE"/>
    <w:rsid w:val="00252174"/>
    <w:rsid w:val="00254E5B"/>
    <w:rsid w:val="0025651E"/>
    <w:rsid w:val="002566E3"/>
    <w:rsid w:val="0025798A"/>
    <w:rsid w:val="002609A1"/>
    <w:rsid w:val="00260AAA"/>
    <w:rsid w:val="002619B4"/>
    <w:rsid w:val="002619E3"/>
    <w:rsid w:val="002636CD"/>
    <w:rsid w:val="00263706"/>
    <w:rsid w:val="00263A89"/>
    <w:rsid w:val="00263F14"/>
    <w:rsid w:val="00264F0F"/>
    <w:rsid w:val="002659D1"/>
    <w:rsid w:val="00266CC3"/>
    <w:rsid w:val="00267133"/>
    <w:rsid w:val="00267BCB"/>
    <w:rsid w:val="00270370"/>
    <w:rsid w:val="002708A6"/>
    <w:rsid w:val="0027147F"/>
    <w:rsid w:val="00271E64"/>
    <w:rsid w:val="00275183"/>
    <w:rsid w:val="002762C2"/>
    <w:rsid w:val="00276698"/>
    <w:rsid w:val="00284992"/>
    <w:rsid w:val="00284AA7"/>
    <w:rsid w:val="00285062"/>
    <w:rsid w:val="00287EB6"/>
    <w:rsid w:val="002905FA"/>
    <w:rsid w:val="00292101"/>
    <w:rsid w:val="00292EB4"/>
    <w:rsid w:val="00293A8B"/>
    <w:rsid w:val="00294613"/>
    <w:rsid w:val="00294EED"/>
    <w:rsid w:val="0029544C"/>
    <w:rsid w:val="00296D87"/>
    <w:rsid w:val="002971C0"/>
    <w:rsid w:val="0029786C"/>
    <w:rsid w:val="002A08D6"/>
    <w:rsid w:val="002A180D"/>
    <w:rsid w:val="002A3B83"/>
    <w:rsid w:val="002A4437"/>
    <w:rsid w:val="002A5D8E"/>
    <w:rsid w:val="002A683B"/>
    <w:rsid w:val="002A6883"/>
    <w:rsid w:val="002B07E8"/>
    <w:rsid w:val="002B0BF7"/>
    <w:rsid w:val="002B1ECF"/>
    <w:rsid w:val="002B2BB0"/>
    <w:rsid w:val="002B3DDB"/>
    <w:rsid w:val="002B593E"/>
    <w:rsid w:val="002B5DF9"/>
    <w:rsid w:val="002B7102"/>
    <w:rsid w:val="002B7629"/>
    <w:rsid w:val="002C0572"/>
    <w:rsid w:val="002C1868"/>
    <w:rsid w:val="002C228F"/>
    <w:rsid w:val="002C2849"/>
    <w:rsid w:val="002C29DE"/>
    <w:rsid w:val="002C36C7"/>
    <w:rsid w:val="002C4B07"/>
    <w:rsid w:val="002C4F40"/>
    <w:rsid w:val="002C54EA"/>
    <w:rsid w:val="002C6D10"/>
    <w:rsid w:val="002C7767"/>
    <w:rsid w:val="002D06CE"/>
    <w:rsid w:val="002D0E33"/>
    <w:rsid w:val="002D0F23"/>
    <w:rsid w:val="002D1D3C"/>
    <w:rsid w:val="002D210E"/>
    <w:rsid w:val="002D2D8D"/>
    <w:rsid w:val="002D36A1"/>
    <w:rsid w:val="002D3B34"/>
    <w:rsid w:val="002D4B52"/>
    <w:rsid w:val="002D5C8D"/>
    <w:rsid w:val="002D5D79"/>
    <w:rsid w:val="002D6437"/>
    <w:rsid w:val="002D65B1"/>
    <w:rsid w:val="002D76F6"/>
    <w:rsid w:val="002D7736"/>
    <w:rsid w:val="002D79EF"/>
    <w:rsid w:val="002E1608"/>
    <w:rsid w:val="002E25BB"/>
    <w:rsid w:val="002E28ED"/>
    <w:rsid w:val="002E4276"/>
    <w:rsid w:val="002E4290"/>
    <w:rsid w:val="002E42B3"/>
    <w:rsid w:val="002E55E2"/>
    <w:rsid w:val="002E5C47"/>
    <w:rsid w:val="002E6108"/>
    <w:rsid w:val="002F01C7"/>
    <w:rsid w:val="002F06C9"/>
    <w:rsid w:val="002F0A9A"/>
    <w:rsid w:val="002F0B3F"/>
    <w:rsid w:val="002F1216"/>
    <w:rsid w:val="002F2CD6"/>
    <w:rsid w:val="002F4ACC"/>
    <w:rsid w:val="002F4C62"/>
    <w:rsid w:val="002F544B"/>
    <w:rsid w:val="002F62CD"/>
    <w:rsid w:val="002F69F2"/>
    <w:rsid w:val="002F784B"/>
    <w:rsid w:val="002F7FC8"/>
    <w:rsid w:val="00302C87"/>
    <w:rsid w:val="00303797"/>
    <w:rsid w:val="00303F88"/>
    <w:rsid w:val="003041D8"/>
    <w:rsid w:val="00305B05"/>
    <w:rsid w:val="00306638"/>
    <w:rsid w:val="0031097D"/>
    <w:rsid w:val="00311F4B"/>
    <w:rsid w:val="0031372D"/>
    <w:rsid w:val="00314F5E"/>
    <w:rsid w:val="00315000"/>
    <w:rsid w:val="00315494"/>
    <w:rsid w:val="003155AF"/>
    <w:rsid w:val="00315A3A"/>
    <w:rsid w:val="00315CAA"/>
    <w:rsid w:val="00315FF6"/>
    <w:rsid w:val="00316658"/>
    <w:rsid w:val="00316D1A"/>
    <w:rsid w:val="00320F1B"/>
    <w:rsid w:val="0032180F"/>
    <w:rsid w:val="00321A94"/>
    <w:rsid w:val="00321AB2"/>
    <w:rsid w:val="00321B36"/>
    <w:rsid w:val="003237B0"/>
    <w:rsid w:val="00325394"/>
    <w:rsid w:val="003270B3"/>
    <w:rsid w:val="00327435"/>
    <w:rsid w:val="0033007A"/>
    <w:rsid w:val="0033062C"/>
    <w:rsid w:val="00330FD0"/>
    <w:rsid w:val="003324B9"/>
    <w:rsid w:val="00332961"/>
    <w:rsid w:val="00336C60"/>
    <w:rsid w:val="0033787B"/>
    <w:rsid w:val="00337E37"/>
    <w:rsid w:val="003405F9"/>
    <w:rsid w:val="00341A97"/>
    <w:rsid w:val="00342A8A"/>
    <w:rsid w:val="003437C2"/>
    <w:rsid w:val="00344E15"/>
    <w:rsid w:val="00345335"/>
    <w:rsid w:val="00345A43"/>
    <w:rsid w:val="003461AA"/>
    <w:rsid w:val="00346385"/>
    <w:rsid w:val="00346731"/>
    <w:rsid w:val="00346AAA"/>
    <w:rsid w:val="00346AD1"/>
    <w:rsid w:val="003472E6"/>
    <w:rsid w:val="003473BA"/>
    <w:rsid w:val="00347AB2"/>
    <w:rsid w:val="003527E0"/>
    <w:rsid w:val="00354E8E"/>
    <w:rsid w:val="00357199"/>
    <w:rsid w:val="00362466"/>
    <w:rsid w:val="00363086"/>
    <w:rsid w:val="00364357"/>
    <w:rsid w:val="00365C0D"/>
    <w:rsid w:val="00367A2B"/>
    <w:rsid w:val="00367A49"/>
    <w:rsid w:val="00373AD8"/>
    <w:rsid w:val="003740E3"/>
    <w:rsid w:val="00374494"/>
    <w:rsid w:val="003746C3"/>
    <w:rsid w:val="00375E2C"/>
    <w:rsid w:val="0037627E"/>
    <w:rsid w:val="00376810"/>
    <w:rsid w:val="003801EA"/>
    <w:rsid w:val="0038087E"/>
    <w:rsid w:val="0038169E"/>
    <w:rsid w:val="00383D85"/>
    <w:rsid w:val="0038596E"/>
    <w:rsid w:val="00387D5D"/>
    <w:rsid w:val="00390AAA"/>
    <w:rsid w:val="00392867"/>
    <w:rsid w:val="00393FB2"/>
    <w:rsid w:val="00394B2D"/>
    <w:rsid w:val="00396146"/>
    <w:rsid w:val="00397229"/>
    <w:rsid w:val="00397BE0"/>
    <w:rsid w:val="003A0007"/>
    <w:rsid w:val="003A027D"/>
    <w:rsid w:val="003A063F"/>
    <w:rsid w:val="003A116B"/>
    <w:rsid w:val="003A11FC"/>
    <w:rsid w:val="003A18AC"/>
    <w:rsid w:val="003A28F2"/>
    <w:rsid w:val="003A2BEC"/>
    <w:rsid w:val="003A4F2D"/>
    <w:rsid w:val="003A4F2E"/>
    <w:rsid w:val="003A63EC"/>
    <w:rsid w:val="003B031C"/>
    <w:rsid w:val="003B16FB"/>
    <w:rsid w:val="003B3337"/>
    <w:rsid w:val="003B4BF5"/>
    <w:rsid w:val="003B4DAA"/>
    <w:rsid w:val="003B5AF7"/>
    <w:rsid w:val="003B6AB1"/>
    <w:rsid w:val="003B7947"/>
    <w:rsid w:val="003C003A"/>
    <w:rsid w:val="003C027A"/>
    <w:rsid w:val="003C04D7"/>
    <w:rsid w:val="003C06CF"/>
    <w:rsid w:val="003C3A53"/>
    <w:rsid w:val="003C46C8"/>
    <w:rsid w:val="003C5063"/>
    <w:rsid w:val="003C5837"/>
    <w:rsid w:val="003C66D9"/>
    <w:rsid w:val="003C67D7"/>
    <w:rsid w:val="003C69B6"/>
    <w:rsid w:val="003C75ED"/>
    <w:rsid w:val="003D1354"/>
    <w:rsid w:val="003D15F3"/>
    <w:rsid w:val="003D1D39"/>
    <w:rsid w:val="003D1F31"/>
    <w:rsid w:val="003D4683"/>
    <w:rsid w:val="003D4CF4"/>
    <w:rsid w:val="003D4FF7"/>
    <w:rsid w:val="003E09FD"/>
    <w:rsid w:val="003E0D0B"/>
    <w:rsid w:val="003E1A4B"/>
    <w:rsid w:val="003E2B88"/>
    <w:rsid w:val="003E3504"/>
    <w:rsid w:val="003E3D95"/>
    <w:rsid w:val="003E4CAB"/>
    <w:rsid w:val="003E6CFE"/>
    <w:rsid w:val="003E7859"/>
    <w:rsid w:val="003E7B74"/>
    <w:rsid w:val="003E7D51"/>
    <w:rsid w:val="003F03BE"/>
    <w:rsid w:val="003F0922"/>
    <w:rsid w:val="003F2BCC"/>
    <w:rsid w:val="003F5DFD"/>
    <w:rsid w:val="003F5E35"/>
    <w:rsid w:val="003F72DB"/>
    <w:rsid w:val="00404816"/>
    <w:rsid w:val="00405C60"/>
    <w:rsid w:val="00405CC9"/>
    <w:rsid w:val="00406DB5"/>
    <w:rsid w:val="00410D46"/>
    <w:rsid w:val="004121A5"/>
    <w:rsid w:val="004142F4"/>
    <w:rsid w:val="00417019"/>
    <w:rsid w:val="0041743C"/>
    <w:rsid w:val="00422168"/>
    <w:rsid w:val="00422E2B"/>
    <w:rsid w:val="0042344D"/>
    <w:rsid w:val="004236AA"/>
    <w:rsid w:val="00423E87"/>
    <w:rsid w:val="00425288"/>
    <w:rsid w:val="00426062"/>
    <w:rsid w:val="004300BA"/>
    <w:rsid w:val="00430E41"/>
    <w:rsid w:val="004318E4"/>
    <w:rsid w:val="00431BF4"/>
    <w:rsid w:val="00432844"/>
    <w:rsid w:val="00433B1A"/>
    <w:rsid w:val="00433F25"/>
    <w:rsid w:val="0043478C"/>
    <w:rsid w:val="0043497C"/>
    <w:rsid w:val="00435D4B"/>
    <w:rsid w:val="00441873"/>
    <w:rsid w:val="00441956"/>
    <w:rsid w:val="00442614"/>
    <w:rsid w:val="004429A0"/>
    <w:rsid w:val="0044457D"/>
    <w:rsid w:val="004448F6"/>
    <w:rsid w:val="004454B4"/>
    <w:rsid w:val="00445E06"/>
    <w:rsid w:val="00446282"/>
    <w:rsid w:val="0044739F"/>
    <w:rsid w:val="00450646"/>
    <w:rsid w:val="004512A1"/>
    <w:rsid w:val="004517A6"/>
    <w:rsid w:val="00453F34"/>
    <w:rsid w:val="00456C4E"/>
    <w:rsid w:val="00456F41"/>
    <w:rsid w:val="0045711B"/>
    <w:rsid w:val="0045780A"/>
    <w:rsid w:val="00457EAE"/>
    <w:rsid w:val="00460203"/>
    <w:rsid w:val="00460722"/>
    <w:rsid w:val="004612D8"/>
    <w:rsid w:val="00461A82"/>
    <w:rsid w:val="00462E23"/>
    <w:rsid w:val="00462E9D"/>
    <w:rsid w:val="0046461C"/>
    <w:rsid w:val="00466D24"/>
    <w:rsid w:val="004674BD"/>
    <w:rsid w:val="00471F16"/>
    <w:rsid w:val="00473750"/>
    <w:rsid w:val="00473C32"/>
    <w:rsid w:val="00473C5E"/>
    <w:rsid w:val="00474E7C"/>
    <w:rsid w:val="0047549A"/>
    <w:rsid w:val="004764BB"/>
    <w:rsid w:val="004767EC"/>
    <w:rsid w:val="00477426"/>
    <w:rsid w:val="00477ADA"/>
    <w:rsid w:val="00477F32"/>
    <w:rsid w:val="0048102F"/>
    <w:rsid w:val="0048118C"/>
    <w:rsid w:val="00481677"/>
    <w:rsid w:val="00481AC5"/>
    <w:rsid w:val="0048347A"/>
    <w:rsid w:val="00485A27"/>
    <w:rsid w:val="00485B44"/>
    <w:rsid w:val="00490036"/>
    <w:rsid w:val="00490172"/>
    <w:rsid w:val="00490676"/>
    <w:rsid w:val="0049205C"/>
    <w:rsid w:val="00492890"/>
    <w:rsid w:val="004930C5"/>
    <w:rsid w:val="00493E6A"/>
    <w:rsid w:val="00493EFB"/>
    <w:rsid w:val="004946A2"/>
    <w:rsid w:val="00494AF4"/>
    <w:rsid w:val="00494C63"/>
    <w:rsid w:val="00496C7F"/>
    <w:rsid w:val="004A0083"/>
    <w:rsid w:val="004A1C82"/>
    <w:rsid w:val="004A1E8E"/>
    <w:rsid w:val="004A1ECB"/>
    <w:rsid w:val="004A338A"/>
    <w:rsid w:val="004A3C48"/>
    <w:rsid w:val="004A409E"/>
    <w:rsid w:val="004A475B"/>
    <w:rsid w:val="004A5A08"/>
    <w:rsid w:val="004A7E6D"/>
    <w:rsid w:val="004B0652"/>
    <w:rsid w:val="004B0E32"/>
    <w:rsid w:val="004B198D"/>
    <w:rsid w:val="004B2626"/>
    <w:rsid w:val="004B37EC"/>
    <w:rsid w:val="004B37FD"/>
    <w:rsid w:val="004B3884"/>
    <w:rsid w:val="004B5249"/>
    <w:rsid w:val="004B6956"/>
    <w:rsid w:val="004C184C"/>
    <w:rsid w:val="004C280B"/>
    <w:rsid w:val="004C31E0"/>
    <w:rsid w:val="004C647F"/>
    <w:rsid w:val="004C6E91"/>
    <w:rsid w:val="004C73F8"/>
    <w:rsid w:val="004C7705"/>
    <w:rsid w:val="004D05B6"/>
    <w:rsid w:val="004D09FC"/>
    <w:rsid w:val="004D2D8D"/>
    <w:rsid w:val="004D2F12"/>
    <w:rsid w:val="004D3B8D"/>
    <w:rsid w:val="004D43CB"/>
    <w:rsid w:val="004D490C"/>
    <w:rsid w:val="004D59ED"/>
    <w:rsid w:val="004D5C3B"/>
    <w:rsid w:val="004D64B1"/>
    <w:rsid w:val="004D732A"/>
    <w:rsid w:val="004E00B6"/>
    <w:rsid w:val="004E0273"/>
    <w:rsid w:val="004E0B1E"/>
    <w:rsid w:val="004E150A"/>
    <w:rsid w:val="004E1F93"/>
    <w:rsid w:val="004E2580"/>
    <w:rsid w:val="004E3EF1"/>
    <w:rsid w:val="004E440D"/>
    <w:rsid w:val="004E618E"/>
    <w:rsid w:val="004E6199"/>
    <w:rsid w:val="004E645B"/>
    <w:rsid w:val="004E6930"/>
    <w:rsid w:val="004F003E"/>
    <w:rsid w:val="004F7221"/>
    <w:rsid w:val="005006EA"/>
    <w:rsid w:val="005013F3"/>
    <w:rsid w:val="00502CA5"/>
    <w:rsid w:val="00503345"/>
    <w:rsid w:val="00505061"/>
    <w:rsid w:val="005051D3"/>
    <w:rsid w:val="0050535E"/>
    <w:rsid w:val="00505F78"/>
    <w:rsid w:val="00506F29"/>
    <w:rsid w:val="005108D7"/>
    <w:rsid w:val="005111E6"/>
    <w:rsid w:val="00511E85"/>
    <w:rsid w:val="00512C52"/>
    <w:rsid w:val="005132F6"/>
    <w:rsid w:val="00513A08"/>
    <w:rsid w:val="00514809"/>
    <w:rsid w:val="00515FDC"/>
    <w:rsid w:val="005171D1"/>
    <w:rsid w:val="005206FA"/>
    <w:rsid w:val="00520CC8"/>
    <w:rsid w:val="005212F0"/>
    <w:rsid w:val="0052170E"/>
    <w:rsid w:val="00522E77"/>
    <w:rsid w:val="00524CDD"/>
    <w:rsid w:val="00524FE7"/>
    <w:rsid w:val="005252CB"/>
    <w:rsid w:val="0052791A"/>
    <w:rsid w:val="00530089"/>
    <w:rsid w:val="00531298"/>
    <w:rsid w:val="00531786"/>
    <w:rsid w:val="005323C8"/>
    <w:rsid w:val="005333A8"/>
    <w:rsid w:val="00536752"/>
    <w:rsid w:val="00537581"/>
    <w:rsid w:val="0054227A"/>
    <w:rsid w:val="00543EAA"/>
    <w:rsid w:val="0054427D"/>
    <w:rsid w:val="005455EE"/>
    <w:rsid w:val="00545CFB"/>
    <w:rsid w:val="005509DE"/>
    <w:rsid w:val="005533C5"/>
    <w:rsid w:val="005543ED"/>
    <w:rsid w:val="00554C3A"/>
    <w:rsid w:val="00554C54"/>
    <w:rsid w:val="00556139"/>
    <w:rsid w:val="00556A35"/>
    <w:rsid w:val="00560250"/>
    <w:rsid w:val="00560C74"/>
    <w:rsid w:val="00562B84"/>
    <w:rsid w:val="00564401"/>
    <w:rsid w:val="00564F39"/>
    <w:rsid w:val="0056649B"/>
    <w:rsid w:val="00566EBE"/>
    <w:rsid w:val="0057178A"/>
    <w:rsid w:val="00571EA9"/>
    <w:rsid w:val="0057253A"/>
    <w:rsid w:val="00573712"/>
    <w:rsid w:val="005744DC"/>
    <w:rsid w:val="0057499A"/>
    <w:rsid w:val="0057615C"/>
    <w:rsid w:val="0057737B"/>
    <w:rsid w:val="005779C6"/>
    <w:rsid w:val="00581225"/>
    <w:rsid w:val="00581A54"/>
    <w:rsid w:val="00581C8B"/>
    <w:rsid w:val="00582439"/>
    <w:rsid w:val="0058658C"/>
    <w:rsid w:val="00586E42"/>
    <w:rsid w:val="00587960"/>
    <w:rsid w:val="00587AD5"/>
    <w:rsid w:val="00590FF1"/>
    <w:rsid w:val="005910B5"/>
    <w:rsid w:val="00591B48"/>
    <w:rsid w:val="0059273D"/>
    <w:rsid w:val="005935B8"/>
    <w:rsid w:val="00593E04"/>
    <w:rsid w:val="00596803"/>
    <w:rsid w:val="00597205"/>
    <w:rsid w:val="005A1AE1"/>
    <w:rsid w:val="005A25C7"/>
    <w:rsid w:val="005A46A7"/>
    <w:rsid w:val="005A50FA"/>
    <w:rsid w:val="005A7377"/>
    <w:rsid w:val="005B0A9E"/>
    <w:rsid w:val="005B0C21"/>
    <w:rsid w:val="005B0CE8"/>
    <w:rsid w:val="005B11D0"/>
    <w:rsid w:val="005B1530"/>
    <w:rsid w:val="005B1A46"/>
    <w:rsid w:val="005B3CEE"/>
    <w:rsid w:val="005B4747"/>
    <w:rsid w:val="005B4AC6"/>
    <w:rsid w:val="005B7389"/>
    <w:rsid w:val="005C0386"/>
    <w:rsid w:val="005C0B03"/>
    <w:rsid w:val="005C13AB"/>
    <w:rsid w:val="005C31F9"/>
    <w:rsid w:val="005C3397"/>
    <w:rsid w:val="005C3A17"/>
    <w:rsid w:val="005C429C"/>
    <w:rsid w:val="005C431C"/>
    <w:rsid w:val="005C4DA2"/>
    <w:rsid w:val="005C7484"/>
    <w:rsid w:val="005C7D92"/>
    <w:rsid w:val="005D11F5"/>
    <w:rsid w:val="005D1A75"/>
    <w:rsid w:val="005D1BCC"/>
    <w:rsid w:val="005D266A"/>
    <w:rsid w:val="005D26B0"/>
    <w:rsid w:val="005D41FB"/>
    <w:rsid w:val="005D5B64"/>
    <w:rsid w:val="005D5B6D"/>
    <w:rsid w:val="005D5BE6"/>
    <w:rsid w:val="005E0154"/>
    <w:rsid w:val="005E168F"/>
    <w:rsid w:val="005E2F78"/>
    <w:rsid w:val="005E3E70"/>
    <w:rsid w:val="005E6394"/>
    <w:rsid w:val="005E6AC9"/>
    <w:rsid w:val="005E76BF"/>
    <w:rsid w:val="005F13C5"/>
    <w:rsid w:val="005F1746"/>
    <w:rsid w:val="005F2010"/>
    <w:rsid w:val="005F301E"/>
    <w:rsid w:val="005F39BA"/>
    <w:rsid w:val="005F42B4"/>
    <w:rsid w:val="005F5B90"/>
    <w:rsid w:val="005F63B0"/>
    <w:rsid w:val="005F69C0"/>
    <w:rsid w:val="0060150F"/>
    <w:rsid w:val="0060220C"/>
    <w:rsid w:val="0060252B"/>
    <w:rsid w:val="006027AA"/>
    <w:rsid w:val="00603F21"/>
    <w:rsid w:val="00605403"/>
    <w:rsid w:val="0060683E"/>
    <w:rsid w:val="00607515"/>
    <w:rsid w:val="00607DB2"/>
    <w:rsid w:val="00610646"/>
    <w:rsid w:val="00610CF8"/>
    <w:rsid w:val="00610D01"/>
    <w:rsid w:val="00611B1F"/>
    <w:rsid w:val="00612BB2"/>
    <w:rsid w:val="00612CA5"/>
    <w:rsid w:val="00612F34"/>
    <w:rsid w:val="0061352A"/>
    <w:rsid w:val="00613A94"/>
    <w:rsid w:val="00613CF7"/>
    <w:rsid w:val="00614114"/>
    <w:rsid w:val="006158B6"/>
    <w:rsid w:val="00616034"/>
    <w:rsid w:val="0061711B"/>
    <w:rsid w:val="006206BF"/>
    <w:rsid w:val="00622228"/>
    <w:rsid w:val="00622D77"/>
    <w:rsid w:val="00622EE7"/>
    <w:rsid w:val="00623818"/>
    <w:rsid w:val="0062432C"/>
    <w:rsid w:val="00624EB8"/>
    <w:rsid w:val="00625247"/>
    <w:rsid w:val="00626804"/>
    <w:rsid w:val="00626A6A"/>
    <w:rsid w:val="00627D1F"/>
    <w:rsid w:val="00627FF2"/>
    <w:rsid w:val="00630550"/>
    <w:rsid w:val="00631327"/>
    <w:rsid w:val="00631394"/>
    <w:rsid w:val="0063204E"/>
    <w:rsid w:val="0063292F"/>
    <w:rsid w:val="006335A5"/>
    <w:rsid w:val="00633F48"/>
    <w:rsid w:val="00635ED9"/>
    <w:rsid w:val="00636078"/>
    <w:rsid w:val="00636B18"/>
    <w:rsid w:val="00637C21"/>
    <w:rsid w:val="00637CA1"/>
    <w:rsid w:val="0064290A"/>
    <w:rsid w:val="00642926"/>
    <w:rsid w:val="00643126"/>
    <w:rsid w:val="00644E7C"/>
    <w:rsid w:val="00645492"/>
    <w:rsid w:val="00645F68"/>
    <w:rsid w:val="006472E6"/>
    <w:rsid w:val="0064734C"/>
    <w:rsid w:val="00650634"/>
    <w:rsid w:val="00652F46"/>
    <w:rsid w:val="0065471A"/>
    <w:rsid w:val="00654A2D"/>
    <w:rsid w:val="006557FE"/>
    <w:rsid w:val="00656928"/>
    <w:rsid w:val="00656E7C"/>
    <w:rsid w:val="00656EAF"/>
    <w:rsid w:val="00661CDC"/>
    <w:rsid w:val="006622F8"/>
    <w:rsid w:val="00663675"/>
    <w:rsid w:val="00663F2C"/>
    <w:rsid w:val="00664480"/>
    <w:rsid w:val="00666CFF"/>
    <w:rsid w:val="006723B0"/>
    <w:rsid w:val="00672E75"/>
    <w:rsid w:val="00674CF6"/>
    <w:rsid w:val="00675566"/>
    <w:rsid w:val="00675E53"/>
    <w:rsid w:val="006778B7"/>
    <w:rsid w:val="00680781"/>
    <w:rsid w:val="00680C5C"/>
    <w:rsid w:val="00680D12"/>
    <w:rsid w:val="0068162D"/>
    <w:rsid w:val="006824AE"/>
    <w:rsid w:val="00684A2A"/>
    <w:rsid w:val="00684B06"/>
    <w:rsid w:val="00686C7B"/>
    <w:rsid w:val="00691C74"/>
    <w:rsid w:val="00691C97"/>
    <w:rsid w:val="0069312A"/>
    <w:rsid w:val="006959BE"/>
    <w:rsid w:val="006A0076"/>
    <w:rsid w:val="006A0481"/>
    <w:rsid w:val="006A26F0"/>
    <w:rsid w:val="006A2AF1"/>
    <w:rsid w:val="006A3D55"/>
    <w:rsid w:val="006A612D"/>
    <w:rsid w:val="006A76E4"/>
    <w:rsid w:val="006A7D08"/>
    <w:rsid w:val="006B1BEC"/>
    <w:rsid w:val="006B26F8"/>
    <w:rsid w:val="006B3418"/>
    <w:rsid w:val="006B3880"/>
    <w:rsid w:val="006B4FEC"/>
    <w:rsid w:val="006B5F05"/>
    <w:rsid w:val="006B60A6"/>
    <w:rsid w:val="006B619A"/>
    <w:rsid w:val="006B635B"/>
    <w:rsid w:val="006B6B6D"/>
    <w:rsid w:val="006B715B"/>
    <w:rsid w:val="006B7523"/>
    <w:rsid w:val="006B7F9F"/>
    <w:rsid w:val="006C3958"/>
    <w:rsid w:val="006C4483"/>
    <w:rsid w:val="006C5FF7"/>
    <w:rsid w:val="006D09FF"/>
    <w:rsid w:val="006D15FC"/>
    <w:rsid w:val="006D3B4C"/>
    <w:rsid w:val="006D3CFB"/>
    <w:rsid w:val="006D66A0"/>
    <w:rsid w:val="006D6DE2"/>
    <w:rsid w:val="006D73FF"/>
    <w:rsid w:val="006E03E5"/>
    <w:rsid w:val="006E1C3B"/>
    <w:rsid w:val="006E2D78"/>
    <w:rsid w:val="006E3006"/>
    <w:rsid w:val="006E4AC9"/>
    <w:rsid w:val="006E4C25"/>
    <w:rsid w:val="006E6B3F"/>
    <w:rsid w:val="006E70EB"/>
    <w:rsid w:val="006E716F"/>
    <w:rsid w:val="006E78D8"/>
    <w:rsid w:val="006F0949"/>
    <w:rsid w:val="006F1CC7"/>
    <w:rsid w:val="006F3332"/>
    <w:rsid w:val="006F37B4"/>
    <w:rsid w:val="006F4838"/>
    <w:rsid w:val="006F4912"/>
    <w:rsid w:val="006F49F1"/>
    <w:rsid w:val="006F4F32"/>
    <w:rsid w:val="006F581F"/>
    <w:rsid w:val="006F6CD3"/>
    <w:rsid w:val="006F7514"/>
    <w:rsid w:val="007009EF"/>
    <w:rsid w:val="0070204E"/>
    <w:rsid w:val="00704AF2"/>
    <w:rsid w:val="00705146"/>
    <w:rsid w:val="00705631"/>
    <w:rsid w:val="00706591"/>
    <w:rsid w:val="0070667E"/>
    <w:rsid w:val="00707590"/>
    <w:rsid w:val="00707774"/>
    <w:rsid w:val="0071063A"/>
    <w:rsid w:val="007118FF"/>
    <w:rsid w:val="00711EDD"/>
    <w:rsid w:val="007140A6"/>
    <w:rsid w:val="00714B11"/>
    <w:rsid w:val="00714B8D"/>
    <w:rsid w:val="00714FC3"/>
    <w:rsid w:val="00716BC6"/>
    <w:rsid w:val="00720C9D"/>
    <w:rsid w:val="00720FC8"/>
    <w:rsid w:val="007210FC"/>
    <w:rsid w:val="00721303"/>
    <w:rsid w:val="00722B5B"/>
    <w:rsid w:val="00723D71"/>
    <w:rsid w:val="0072400D"/>
    <w:rsid w:val="00730C91"/>
    <w:rsid w:val="0073176B"/>
    <w:rsid w:val="007323B4"/>
    <w:rsid w:val="0073294A"/>
    <w:rsid w:val="00733608"/>
    <w:rsid w:val="00733AE2"/>
    <w:rsid w:val="00733E54"/>
    <w:rsid w:val="00734DE6"/>
    <w:rsid w:val="007354ED"/>
    <w:rsid w:val="007370DF"/>
    <w:rsid w:val="007376B5"/>
    <w:rsid w:val="00737883"/>
    <w:rsid w:val="00742761"/>
    <w:rsid w:val="00742E85"/>
    <w:rsid w:val="00744053"/>
    <w:rsid w:val="007456D0"/>
    <w:rsid w:val="00747494"/>
    <w:rsid w:val="00747E38"/>
    <w:rsid w:val="0075011F"/>
    <w:rsid w:val="00751453"/>
    <w:rsid w:val="00752019"/>
    <w:rsid w:val="007526AC"/>
    <w:rsid w:val="00752801"/>
    <w:rsid w:val="007531EB"/>
    <w:rsid w:val="007539BC"/>
    <w:rsid w:val="00753D67"/>
    <w:rsid w:val="00754123"/>
    <w:rsid w:val="00754728"/>
    <w:rsid w:val="007549C5"/>
    <w:rsid w:val="00754DBD"/>
    <w:rsid w:val="007558CB"/>
    <w:rsid w:val="00757DE6"/>
    <w:rsid w:val="0076110B"/>
    <w:rsid w:val="00761653"/>
    <w:rsid w:val="00761BC5"/>
    <w:rsid w:val="00762A47"/>
    <w:rsid w:val="00762C77"/>
    <w:rsid w:val="0076344C"/>
    <w:rsid w:val="00765CE3"/>
    <w:rsid w:val="007666DD"/>
    <w:rsid w:val="00767853"/>
    <w:rsid w:val="00767C80"/>
    <w:rsid w:val="0077073C"/>
    <w:rsid w:val="00770A8D"/>
    <w:rsid w:val="00770F0C"/>
    <w:rsid w:val="007711BA"/>
    <w:rsid w:val="007719B2"/>
    <w:rsid w:val="007724CB"/>
    <w:rsid w:val="00772E5E"/>
    <w:rsid w:val="00774A7F"/>
    <w:rsid w:val="007752BC"/>
    <w:rsid w:val="00775ACA"/>
    <w:rsid w:val="00775E8D"/>
    <w:rsid w:val="007762DF"/>
    <w:rsid w:val="007802B6"/>
    <w:rsid w:val="0078128E"/>
    <w:rsid w:val="00783B39"/>
    <w:rsid w:val="00785C32"/>
    <w:rsid w:val="00786BEB"/>
    <w:rsid w:val="00791858"/>
    <w:rsid w:val="007922C0"/>
    <w:rsid w:val="0079353D"/>
    <w:rsid w:val="00793FAE"/>
    <w:rsid w:val="00794628"/>
    <w:rsid w:val="007948B6"/>
    <w:rsid w:val="00795509"/>
    <w:rsid w:val="00795C26"/>
    <w:rsid w:val="00795C2C"/>
    <w:rsid w:val="00796611"/>
    <w:rsid w:val="00797157"/>
    <w:rsid w:val="00797908"/>
    <w:rsid w:val="007A1578"/>
    <w:rsid w:val="007A2CA6"/>
    <w:rsid w:val="007A433E"/>
    <w:rsid w:val="007A4371"/>
    <w:rsid w:val="007A652B"/>
    <w:rsid w:val="007A7A36"/>
    <w:rsid w:val="007B024D"/>
    <w:rsid w:val="007B07F8"/>
    <w:rsid w:val="007B0FC0"/>
    <w:rsid w:val="007B1E8C"/>
    <w:rsid w:val="007B40D2"/>
    <w:rsid w:val="007B539E"/>
    <w:rsid w:val="007B5947"/>
    <w:rsid w:val="007B6023"/>
    <w:rsid w:val="007B6786"/>
    <w:rsid w:val="007B79C8"/>
    <w:rsid w:val="007B7F27"/>
    <w:rsid w:val="007C094E"/>
    <w:rsid w:val="007C1015"/>
    <w:rsid w:val="007C2A53"/>
    <w:rsid w:val="007C31BC"/>
    <w:rsid w:val="007C3B51"/>
    <w:rsid w:val="007C5BD1"/>
    <w:rsid w:val="007C664F"/>
    <w:rsid w:val="007D1060"/>
    <w:rsid w:val="007D1823"/>
    <w:rsid w:val="007D1ACB"/>
    <w:rsid w:val="007D1E52"/>
    <w:rsid w:val="007D3A6C"/>
    <w:rsid w:val="007D561D"/>
    <w:rsid w:val="007D58C5"/>
    <w:rsid w:val="007D7F69"/>
    <w:rsid w:val="007E1D22"/>
    <w:rsid w:val="007E2089"/>
    <w:rsid w:val="007E2467"/>
    <w:rsid w:val="007E2F4A"/>
    <w:rsid w:val="007E4BF6"/>
    <w:rsid w:val="007E5843"/>
    <w:rsid w:val="007E6730"/>
    <w:rsid w:val="007E6756"/>
    <w:rsid w:val="007E6C1A"/>
    <w:rsid w:val="007E73A8"/>
    <w:rsid w:val="007E7796"/>
    <w:rsid w:val="007F08D2"/>
    <w:rsid w:val="007F0C10"/>
    <w:rsid w:val="007F1735"/>
    <w:rsid w:val="007F1CC2"/>
    <w:rsid w:val="007F312D"/>
    <w:rsid w:val="007F37D4"/>
    <w:rsid w:val="007F451C"/>
    <w:rsid w:val="008007C6"/>
    <w:rsid w:val="00801B80"/>
    <w:rsid w:val="00801C88"/>
    <w:rsid w:val="00803C9D"/>
    <w:rsid w:val="008066B6"/>
    <w:rsid w:val="00806B9D"/>
    <w:rsid w:val="00806E5B"/>
    <w:rsid w:val="0081050B"/>
    <w:rsid w:val="00812BF6"/>
    <w:rsid w:val="00813096"/>
    <w:rsid w:val="00815666"/>
    <w:rsid w:val="0081594A"/>
    <w:rsid w:val="00817AC4"/>
    <w:rsid w:val="008209A4"/>
    <w:rsid w:val="00821310"/>
    <w:rsid w:val="00821A52"/>
    <w:rsid w:val="00823E5F"/>
    <w:rsid w:val="0082504D"/>
    <w:rsid w:val="008266C3"/>
    <w:rsid w:val="00826CC2"/>
    <w:rsid w:val="0083175B"/>
    <w:rsid w:val="00832690"/>
    <w:rsid w:val="008326E5"/>
    <w:rsid w:val="00836201"/>
    <w:rsid w:val="008379A9"/>
    <w:rsid w:val="0084038B"/>
    <w:rsid w:val="0084226E"/>
    <w:rsid w:val="0084421F"/>
    <w:rsid w:val="00844A09"/>
    <w:rsid w:val="008468F7"/>
    <w:rsid w:val="008471A3"/>
    <w:rsid w:val="0085126F"/>
    <w:rsid w:val="008513A9"/>
    <w:rsid w:val="0085281C"/>
    <w:rsid w:val="00854A9B"/>
    <w:rsid w:val="00854CE2"/>
    <w:rsid w:val="008562EC"/>
    <w:rsid w:val="00857E87"/>
    <w:rsid w:val="00857FB7"/>
    <w:rsid w:val="00861027"/>
    <w:rsid w:val="0086148F"/>
    <w:rsid w:val="00861910"/>
    <w:rsid w:val="00861AE7"/>
    <w:rsid w:val="008630AE"/>
    <w:rsid w:val="0086318F"/>
    <w:rsid w:val="00863B6D"/>
    <w:rsid w:val="00864785"/>
    <w:rsid w:val="00864F02"/>
    <w:rsid w:val="00866BB6"/>
    <w:rsid w:val="00866D9C"/>
    <w:rsid w:val="008726F0"/>
    <w:rsid w:val="00872C5D"/>
    <w:rsid w:val="00872E38"/>
    <w:rsid w:val="008739E5"/>
    <w:rsid w:val="00873C48"/>
    <w:rsid w:val="00874513"/>
    <w:rsid w:val="0087688E"/>
    <w:rsid w:val="00877414"/>
    <w:rsid w:val="00880264"/>
    <w:rsid w:val="00880B34"/>
    <w:rsid w:val="00880D3D"/>
    <w:rsid w:val="008818FD"/>
    <w:rsid w:val="00881AAB"/>
    <w:rsid w:val="008823B8"/>
    <w:rsid w:val="00883078"/>
    <w:rsid w:val="008841A4"/>
    <w:rsid w:val="00885383"/>
    <w:rsid w:val="00885729"/>
    <w:rsid w:val="0088699A"/>
    <w:rsid w:val="00890E8C"/>
    <w:rsid w:val="0089269E"/>
    <w:rsid w:val="00896182"/>
    <w:rsid w:val="008976F4"/>
    <w:rsid w:val="00897FE8"/>
    <w:rsid w:val="008A0A05"/>
    <w:rsid w:val="008A1E86"/>
    <w:rsid w:val="008A3CF7"/>
    <w:rsid w:val="008A3E3E"/>
    <w:rsid w:val="008A4081"/>
    <w:rsid w:val="008A42DB"/>
    <w:rsid w:val="008A519C"/>
    <w:rsid w:val="008A6BEF"/>
    <w:rsid w:val="008B158D"/>
    <w:rsid w:val="008B5686"/>
    <w:rsid w:val="008B5D87"/>
    <w:rsid w:val="008B6486"/>
    <w:rsid w:val="008B6773"/>
    <w:rsid w:val="008B6FAC"/>
    <w:rsid w:val="008B7300"/>
    <w:rsid w:val="008C2197"/>
    <w:rsid w:val="008C28D5"/>
    <w:rsid w:val="008C3204"/>
    <w:rsid w:val="008C3493"/>
    <w:rsid w:val="008C4E29"/>
    <w:rsid w:val="008C760D"/>
    <w:rsid w:val="008C7A67"/>
    <w:rsid w:val="008D11A6"/>
    <w:rsid w:val="008D201F"/>
    <w:rsid w:val="008D2D64"/>
    <w:rsid w:val="008D415F"/>
    <w:rsid w:val="008D46DE"/>
    <w:rsid w:val="008D4C74"/>
    <w:rsid w:val="008D4CE0"/>
    <w:rsid w:val="008D5ADB"/>
    <w:rsid w:val="008D72A9"/>
    <w:rsid w:val="008D7599"/>
    <w:rsid w:val="008E02A7"/>
    <w:rsid w:val="008E0491"/>
    <w:rsid w:val="008E1D59"/>
    <w:rsid w:val="008E22E2"/>
    <w:rsid w:val="008E2938"/>
    <w:rsid w:val="008E38D0"/>
    <w:rsid w:val="008E3F13"/>
    <w:rsid w:val="008E42C1"/>
    <w:rsid w:val="008E57B8"/>
    <w:rsid w:val="008E5D28"/>
    <w:rsid w:val="008E6952"/>
    <w:rsid w:val="008F0229"/>
    <w:rsid w:val="008F0434"/>
    <w:rsid w:val="008F0BBE"/>
    <w:rsid w:val="008F14B5"/>
    <w:rsid w:val="008F2025"/>
    <w:rsid w:val="008F32F4"/>
    <w:rsid w:val="008F4614"/>
    <w:rsid w:val="008F4EB8"/>
    <w:rsid w:val="008F585C"/>
    <w:rsid w:val="008F6B40"/>
    <w:rsid w:val="008F6B5A"/>
    <w:rsid w:val="009015B8"/>
    <w:rsid w:val="00902122"/>
    <w:rsid w:val="00902E07"/>
    <w:rsid w:val="00902EE9"/>
    <w:rsid w:val="0090383C"/>
    <w:rsid w:val="009044C2"/>
    <w:rsid w:val="0090482D"/>
    <w:rsid w:val="00904AD5"/>
    <w:rsid w:val="0090754C"/>
    <w:rsid w:val="0091173D"/>
    <w:rsid w:val="00911D78"/>
    <w:rsid w:val="0091309E"/>
    <w:rsid w:val="00913308"/>
    <w:rsid w:val="00914311"/>
    <w:rsid w:val="00914C1B"/>
    <w:rsid w:val="00915323"/>
    <w:rsid w:val="009158EA"/>
    <w:rsid w:val="009171F3"/>
    <w:rsid w:val="00917DED"/>
    <w:rsid w:val="0092006D"/>
    <w:rsid w:val="009210D2"/>
    <w:rsid w:val="00921453"/>
    <w:rsid w:val="0092225B"/>
    <w:rsid w:val="00923E67"/>
    <w:rsid w:val="009246BA"/>
    <w:rsid w:val="00924BED"/>
    <w:rsid w:val="009253B2"/>
    <w:rsid w:val="009266F9"/>
    <w:rsid w:val="00927694"/>
    <w:rsid w:val="00930A3C"/>
    <w:rsid w:val="00930ECB"/>
    <w:rsid w:val="00931D17"/>
    <w:rsid w:val="00931D2F"/>
    <w:rsid w:val="00932AD6"/>
    <w:rsid w:val="009339B8"/>
    <w:rsid w:val="009349ED"/>
    <w:rsid w:val="00934C9A"/>
    <w:rsid w:val="00934DD7"/>
    <w:rsid w:val="0093593A"/>
    <w:rsid w:val="0093667D"/>
    <w:rsid w:val="00937948"/>
    <w:rsid w:val="00940A2E"/>
    <w:rsid w:val="00940BB0"/>
    <w:rsid w:val="0094146F"/>
    <w:rsid w:val="009418C6"/>
    <w:rsid w:val="00941BB5"/>
    <w:rsid w:val="00942291"/>
    <w:rsid w:val="00942407"/>
    <w:rsid w:val="0094299E"/>
    <w:rsid w:val="00942D87"/>
    <w:rsid w:val="009441E4"/>
    <w:rsid w:val="0094531B"/>
    <w:rsid w:val="00945E5C"/>
    <w:rsid w:val="0094613C"/>
    <w:rsid w:val="00947C4B"/>
    <w:rsid w:val="00947CB0"/>
    <w:rsid w:val="009514B7"/>
    <w:rsid w:val="00951607"/>
    <w:rsid w:val="00951790"/>
    <w:rsid w:val="00951CD9"/>
    <w:rsid w:val="00955269"/>
    <w:rsid w:val="00955E87"/>
    <w:rsid w:val="00956016"/>
    <w:rsid w:val="00957B4F"/>
    <w:rsid w:val="00957F20"/>
    <w:rsid w:val="0096036D"/>
    <w:rsid w:val="0096151A"/>
    <w:rsid w:val="009619DB"/>
    <w:rsid w:val="009622CF"/>
    <w:rsid w:val="009627DB"/>
    <w:rsid w:val="0096352C"/>
    <w:rsid w:val="0096455F"/>
    <w:rsid w:val="00964D7A"/>
    <w:rsid w:val="00964E9D"/>
    <w:rsid w:val="00965884"/>
    <w:rsid w:val="0096590E"/>
    <w:rsid w:val="009659F2"/>
    <w:rsid w:val="0096604E"/>
    <w:rsid w:val="00967195"/>
    <w:rsid w:val="00967F3C"/>
    <w:rsid w:val="00971D57"/>
    <w:rsid w:val="00974346"/>
    <w:rsid w:val="0097458D"/>
    <w:rsid w:val="0097481B"/>
    <w:rsid w:val="00975349"/>
    <w:rsid w:val="009755D4"/>
    <w:rsid w:val="00975C48"/>
    <w:rsid w:val="00975E1C"/>
    <w:rsid w:val="0097752B"/>
    <w:rsid w:val="00977ABE"/>
    <w:rsid w:val="009806B5"/>
    <w:rsid w:val="009812BA"/>
    <w:rsid w:val="00981736"/>
    <w:rsid w:val="009820F9"/>
    <w:rsid w:val="0098222A"/>
    <w:rsid w:val="0098373A"/>
    <w:rsid w:val="00983A80"/>
    <w:rsid w:val="0098541D"/>
    <w:rsid w:val="009902FC"/>
    <w:rsid w:val="00990D16"/>
    <w:rsid w:val="00990E74"/>
    <w:rsid w:val="00991B81"/>
    <w:rsid w:val="00992E2D"/>
    <w:rsid w:val="00993B95"/>
    <w:rsid w:val="00993CF8"/>
    <w:rsid w:val="00993D2F"/>
    <w:rsid w:val="00995A54"/>
    <w:rsid w:val="00996A7B"/>
    <w:rsid w:val="009A067A"/>
    <w:rsid w:val="009A0EF7"/>
    <w:rsid w:val="009A2795"/>
    <w:rsid w:val="009A4F5E"/>
    <w:rsid w:val="009A66D7"/>
    <w:rsid w:val="009A688C"/>
    <w:rsid w:val="009A7882"/>
    <w:rsid w:val="009B1178"/>
    <w:rsid w:val="009B1C3D"/>
    <w:rsid w:val="009B28A2"/>
    <w:rsid w:val="009B36DD"/>
    <w:rsid w:val="009B3EDF"/>
    <w:rsid w:val="009B4010"/>
    <w:rsid w:val="009B42FF"/>
    <w:rsid w:val="009B709C"/>
    <w:rsid w:val="009B7A24"/>
    <w:rsid w:val="009B7CC7"/>
    <w:rsid w:val="009C2AC6"/>
    <w:rsid w:val="009C2C76"/>
    <w:rsid w:val="009C3BF3"/>
    <w:rsid w:val="009C4190"/>
    <w:rsid w:val="009C55E4"/>
    <w:rsid w:val="009C638D"/>
    <w:rsid w:val="009C7202"/>
    <w:rsid w:val="009C7A0E"/>
    <w:rsid w:val="009C7C91"/>
    <w:rsid w:val="009D14C0"/>
    <w:rsid w:val="009D1561"/>
    <w:rsid w:val="009D2102"/>
    <w:rsid w:val="009D3E31"/>
    <w:rsid w:val="009D521B"/>
    <w:rsid w:val="009D6B35"/>
    <w:rsid w:val="009D6FD7"/>
    <w:rsid w:val="009D74C5"/>
    <w:rsid w:val="009D77AC"/>
    <w:rsid w:val="009E1512"/>
    <w:rsid w:val="009E23A4"/>
    <w:rsid w:val="009E24E9"/>
    <w:rsid w:val="009E2FD7"/>
    <w:rsid w:val="009E4D46"/>
    <w:rsid w:val="009E50DB"/>
    <w:rsid w:val="009E5657"/>
    <w:rsid w:val="009E56D8"/>
    <w:rsid w:val="009E5748"/>
    <w:rsid w:val="009E6055"/>
    <w:rsid w:val="009E61E9"/>
    <w:rsid w:val="009E6F64"/>
    <w:rsid w:val="009E7815"/>
    <w:rsid w:val="009F2CE4"/>
    <w:rsid w:val="009F2F81"/>
    <w:rsid w:val="009F3020"/>
    <w:rsid w:val="009F44C5"/>
    <w:rsid w:val="009F4540"/>
    <w:rsid w:val="009F4CD6"/>
    <w:rsid w:val="009F5D47"/>
    <w:rsid w:val="009F6B5A"/>
    <w:rsid w:val="009F705D"/>
    <w:rsid w:val="009F7199"/>
    <w:rsid w:val="009F7CF2"/>
    <w:rsid w:val="00A00BEB"/>
    <w:rsid w:val="00A020F5"/>
    <w:rsid w:val="00A03B9D"/>
    <w:rsid w:val="00A06145"/>
    <w:rsid w:val="00A06C42"/>
    <w:rsid w:val="00A07033"/>
    <w:rsid w:val="00A076B6"/>
    <w:rsid w:val="00A109F5"/>
    <w:rsid w:val="00A10F58"/>
    <w:rsid w:val="00A11658"/>
    <w:rsid w:val="00A135A9"/>
    <w:rsid w:val="00A141FD"/>
    <w:rsid w:val="00A16111"/>
    <w:rsid w:val="00A16A2F"/>
    <w:rsid w:val="00A207BF"/>
    <w:rsid w:val="00A215AF"/>
    <w:rsid w:val="00A21985"/>
    <w:rsid w:val="00A21F36"/>
    <w:rsid w:val="00A230D4"/>
    <w:rsid w:val="00A2364A"/>
    <w:rsid w:val="00A23FFC"/>
    <w:rsid w:val="00A242FD"/>
    <w:rsid w:val="00A24566"/>
    <w:rsid w:val="00A26301"/>
    <w:rsid w:val="00A279D2"/>
    <w:rsid w:val="00A302CF"/>
    <w:rsid w:val="00A32031"/>
    <w:rsid w:val="00A332A5"/>
    <w:rsid w:val="00A3399C"/>
    <w:rsid w:val="00A357F1"/>
    <w:rsid w:val="00A35BA2"/>
    <w:rsid w:val="00A379E8"/>
    <w:rsid w:val="00A37FD9"/>
    <w:rsid w:val="00A40E31"/>
    <w:rsid w:val="00A418DE"/>
    <w:rsid w:val="00A419F4"/>
    <w:rsid w:val="00A431DD"/>
    <w:rsid w:val="00A46385"/>
    <w:rsid w:val="00A4687B"/>
    <w:rsid w:val="00A47393"/>
    <w:rsid w:val="00A47BD9"/>
    <w:rsid w:val="00A47CB1"/>
    <w:rsid w:val="00A529B6"/>
    <w:rsid w:val="00A5389F"/>
    <w:rsid w:val="00A54108"/>
    <w:rsid w:val="00A54650"/>
    <w:rsid w:val="00A54B44"/>
    <w:rsid w:val="00A54EEF"/>
    <w:rsid w:val="00A5761B"/>
    <w:rsid w:val="00A57C54"/>
    <w:rsid w:val="00A57EE8"/>
    <w:rsid w:val="00A636B0"/>
    <w:rsid w:val="00A63889"/>
    <w:rsid w:val="00A64111"/>
    <w:rsid w:val="00A64541"/>
    <w:rsid w:val="00A6499F"/>
    <w:rsid w:val="00A66729"/>
    <w:rsid w:val="00A70518"/>
    <w:rsid w:val="00A7166B"/>
    <w:rsid w:val="00A72B7F"/>
    <w:rsid w:val="00A733A9"/>
    <w:rsid w:val="00A755F9"/>
    <w:rsid w:val="00A76FA7"/>
    <w:rsid w:val="00A77BC5"/>
    <w:rsid w:val="00A8067B"/>
    <w:rsid w:val="00A80816"/>
    <w:rsid w:val="00A813F7"/>
    <w:rsid w:val="00A8184A"/>
    <w:rsid w:val="00A825AC"/>
    <w:rsid w:val="00A8428E"/>
    <w:rsid w:val="00A85045"/>
    <w:rsid w:val="00A85582"/>
    <w:rsid w:val="00A856C3"/>
    <w:rsid w:val="00A85803"/>
    <w:rsid w:val="00A8689A"/>
    <w:rsid w:val="00A91637"/>
    <w:rsid w:val="00A9262E"/>
    <w:rsid w:val="00A92C20"/>
    <w:rsid w:val="00A93974"/>
    <w:rsid w:val="00A93BAA"/>
    <w:rsid w:val="00A94747"/>
    <w:rsid w:val="00A95AD8"/>
    <w:rsid w:val="00A964A6"/>
    <w:rsid w:val="00A97223"/>
    <w:rsid w:val="00A97B7D"/>
    <w:rsid w:val="00A97EED"/>
    <w:rsid w:val="00AA13C3"/>
    <w:rsid w:val="00AA14B5"/>
    <w:rsid w:val="00AA1EFD"/>
    <w:rsid w:val="00AA459F"/>
    <w:rsid w:val="00AA493C"/>
    <w:rsid w:val="00AA4F51"/>
    <w:rsid w:val="00AA6C8C"/>
    <w:rsid w:val="00AB0EEA"/>
    <w:rsid w:val="00AB2634"/>
    <w:rsid w:val="00AB2645"/>
    <w:rsid w:val="00AB2790"/>
    <w:rsid w:val="00AB2929"/>
    <w:rsid w:val="00AB2A7E"/>
    <w:rsid w:val="00AB2F33"/>
    <w:rsid w:val="00AB33E1"/>
    <w:rsid w:val="00AB44D1"/>
    <w:rsid w:val="00AB4BB3"/>
    <w:rsid w:val="00AB50ED"/>
    <w:rsid w:val="00AB5149"/>
    <w:rsid w:val="00AB5E03"/>
    <w:rsid w:val="00AB692C"/>
    <w:rsid w:val="00AB6DFA"/>
    <w:rsid w:val="00AB7CF0"/>
    <w:rsid w:val="00AC0980"/>
    <w:rsid w:val="00AC1291"/>
    <w:rsid w:val="00AC2211"/>
    <w:rsid w:val="00AC24FB"/>
    <w:rsid w:val="00AC2A58"/>
    <w:rsid w:val="00AC40D4"/>
    <w:rsid w:val="00AC4CD7"/>
    <w:rsid w:val="00AC525F"/>
    <w:rsid w:val="00AC602B"/>
    <w:rsid w:val="00AD0889"/>
    <w:rsid w:val="00AD1646"/>
    <w:rsid w:val="00AD1A5E"/>
    <w:rsid w:val="00AD2DE2"/>
    <w:rsid w:val="00AD3043"/>
    <w:rsid w:val="00AD36B2"/>
    <w:rsid w:val="00AD4D8B"/>
    <w:rsid w:val="00AD6442"/>
    <w:rsid w:val="00AE0FC6"/>
    <w:rsid w:val="00AE12E3"/>
    <w:rsid w:val="00AE1B97"/>
    <w:rsid w:val="00AE6059"/>
    <w:rsid w:val="00AE672A"/>
    <w:rsid w:val="00AE7067"/>
    <w:rsid w:val="00AF0A29"/>
    <w:rsid w:val="00AF4C92"/>
    <w:rsid w:val="00AF61C9"/>
    <w:rsid w:val="00AF653D"/>
    <w:rsid w:val="00AF73B4"/>
    <w:rsid w:val="00B015E8"/>
    <w:rsid w:val="00B01917"/>
    <w:rsid w:val="00B0262B"/>
    <w:rsid w:val="00B0332E"/>
    <w:rsid w:val="00B04C53"/>
    <w:rsid w:val="00B04C7D"/>
    <w:rsid w:val="00B073A3"/>
    <w:rsid w:val="00B10176"/>
    <w:rsid w:val="00B10EC2"/>
    <w:rsid w:val="00B1137C"/>
    <w:rsid w:val="00B11DF8"/>
    <w:rsid w:val="00B12727"/>
    <w:rsid w:val="00B1305F"/>
    <w:rsid w:val="00B1476F"/>
    <w:rsid w:val="00B14F9B"/>
    <w:rsid w:val="00B15BC3"/>
    <w:rsid w:val="00B17352"/>
    <w:rsid w:val="00B20EBD"/>
    <w:rsid w:val="00B20ED3"/>
    <w:rsid w:val="00B2176D"/>
    <w:rsid w:val="00B224A0"/>
    <w:rsid w:val="00B225E3"/>
    <w:rsid w:val="00B2268E"/>
    <w:rsid w:val="00B22BF1"/>
    <w:rsid w:val="00B24122"/>
    <w:rsid w:val="00B24544"/>
    <w:rsid w:val="00B246E4"/>
    <w:rsid w:val="00B248AC"/>
    <w:rsid w:val="00B24A69"/>
    <w:rsid w:val="00B24F52"/>
    <w:rsid w:val="00B26045"/>
    <w:rsid w:val="00B260BF"/>
    <w:rsid w:val="00B265B7"/>
    <w:rsid w:val="00B26E99"/>
    <w:rsid w:val="00B27A33"/>
    <w:rsid w:val="00B300AA"/>
    <w:rsid w:val="00B3071F"/>
    <w:rsid w:val="00B3251F"/>
    <w:rsid w:val="00B33A73"/>
    <w:rsid w:val="00B34F67"/>
    <w:rsid w:val="00B377CA"/>
    <w:rsid w:val="00B37A75"/>
    <w:rsid w:val="00B37C83"/>
    <w:rsid w:val="00B41D1C"/>
    <w:rsid w:val="00B43338"/>
    <w:rsid w:val="00B4339F"/>
    <w:rsid w:val="00B46A95"/>
    <w:rsid w:val="00B46DC7"/>
    <w:rsid w:val="00B50DC3"/>
    <w:rsid w:val="00B5152B"/>
    <w:rsid w:val="00B516F3"/>
    <w:rsid w:val="00B519EF"/>
    <w:rsid w:val="00B535CF"/>
    <w:rsid w:val="00B5441D"/>
    <w:rsid w:val="00B54492"/>
    <w:rsid w:val="00B548B1"/>
    <w:rsid w:val="00B54C9B"/>
    <w:rsid w:val="00B56A3F"/>
    <w:rsid w:val="00B570A0"/>
    <w:rsid w:val="00B60F39"/>
    <w:rsid w:val="00B619FA"/>
    <w:rsid w:val="00B6209E"/>
    <w:rsid w:val="00B62B2B"/>
    <w:rsid w:val="00B6394D"/>
    <w:rsid w:val="00B65DC0"/>
    <w:rsid w:val="00B65DF9"/>
    <w:rsid w:val="00B65F43"/>
    <w:rsid w:val="00B65FA5"/>
    <w:rsid w:val="00B66786"/>
    <w:rsid w:val="00B66D2E"/>
    <w:rsid w:val="00B70130"/>
    <w:rsid w:val="00B70A4A"/>
    <w:rsid w:val="00B7173B"/>
    <w:rsid w:val="00B73FE9"/>
    <w:rsid w:val="00B7487A"/>
    <w:rsid w:val="00B84CA6"/>
    <w:rsid w:val="00B85B3D"/>
    <w:rsid w:val="00B85C63"/>
    <w:rsid w:val="00B8600E"/>
    <w:rsid w:val="00B86C8E"/>
    <w:rsid w:val="00B875DA"/>
    <w:rsid w:val="00B90103"/>
    <w:rsid w:val="00B91F5A"/>
    <w:rsid w:val="00B92265"/>
    <w:rsid w:val="00B92B4B"/>
    <w:rsid w:val="00B92FBD"/>
    <w:rsid w:val="00B93477"/>
    <w:rsid w:val="00B93CC9"/>
    <w:rsid w:val="00B956D9"/>
    <w:rsid w:val="00B97B33"/>
    <w:rsid w:val="00BA090E"/>
    <w:rsid w:val="00BA0993"/>
    <w:rsid w:val="00BA1D37"/>
    <w:rsid w:val="00BA31B0"/>
    <w:rsid w:val="00BA392E"/>
    <w:rsid w:val="00BA4A3A"/>
    <w:rsid w:val="00BA582D"/>
    <w:rsid w:val="00BA7C48"/>
    <w:rsid w:val="00BA7FD1"/>
    <w:rsid w:val="00BB143A"/>
    <w:rsid w:val="00BB1AAB"/>
    <w:rsid w:val="00BB2A2A"/>
    <w:rsid w:val="00BB371A"/>
    <w:rsid w:val="00BB42E7"/>
    <w:rsid w:val="00BB5D24"/>
    <w:rsid w:val="00BB5EBB"/>
    <w:rsid w:val="00BB6701"/>
    <w:rsid w:val="00BB7658"/>
    <w:rsid w:val="00BC0DB3"/>
    <w:rsid w:val="00BC42A9"/>
    <w:rsid w:val="00BC46DA"/>
    <w:rsid w:val="00BC5120"/>
    <w:rsid w:val="00BC5433"/>
    <w:rsid w:val="00BC54C8"/>
    <w:rsid w:val="00BD1220"/>
    <w:rsid w:val="00BD13FA"/>
    <w:rsid w:val="00BD445C"/>
    <w:rsid w:val="00BD481D"/>
    <w:rsid w:val="00BD4939"/>
    <w:rsid w:val="00BD5AF6"/>
    <w:rsid w:val="00BD5DC8"/>
    <w:rsid w:val="00BD6A37"/>
    <w:rsid w:val="00BE03DC"/>
    <w:rsid w:val="00BE1D79"/>
    <w:rsid w:val="00BE20B1"/>
    <w:rsid w:val="00BE31AE"/>
    <w:rsid w:val="00BE35CC"/>
    <w:rsid w:val="00BE7F3E"/>
    <w:rsid w:val="00BF0186"/>
    <w:rsid w:val="00BF1724"/>
    <w:rsid w:val="00BF39F0"/>
    <w:rsid w:val="00BF6455"/>
    <w:rsid w:val="00BF661E"/>
    <w:rsid w:val="00BF685D"/>
    <w:rsid w:val="00BF74E9"/>
    <w:rsid w:val="00BF7E49"/>
    <w:rsid w:val="00C00137"/>
    <w:rsid w:val="00C0133D"/>
    <w:rsid w:val="00C01392"/>
    <w:rsid w:val="00C016CD"/>
    <w:rsid w:val="00C03485"/>
    <w:rsid w:val="00C03C70"/>
    <w:rsid w:val="00C04719"/>
    <w:rsid w:val="00C05498"/>
    <w:rsid w:val="00C066CB"/>
    <w:rsid w:val="00C067D3"/>
    <w:rsid w:val="00C07E61"/>
    <w:rsid w:val="00C12018"/>
    <w:rsid w:val="00C12046"/>
    <w:rsid w:val="00C12819"/>
    <w:rsid w:val="00C13E5C"/>
    <w:rsid w:val="00C1404F"/>
    <w:rsid w:val="00C140F0"/>
    <w:rsid w:val="00C15FCC"/>
    <w:rsid w:val="00C16CF3"/>
    <w:rsid w:val="00C1746C"/>
    <w:rsid w:val="00C17C58"/>
    <w:rsid w:val="00C200B1"/>
    <w:rsid w:val="00C20293"/>
    <w:rsid w:val="00C21C38"/>
    <w:rsid w:val="00C2210D"/>
    <w:rsid w:val="00C22B9F"/>
    <w:rsid w:val="00C23651"/>
    <w:rsid w:val="00C247EA"/>
    <w:rsid w:val="00C25AD6"/>
    <w:rsid w:val="00C26773"/>
    <w:rsid w:val="00C27530"/>
    <w:rsid w:val="00C2764F"/>
    <w:rsid w:val="00C30526"/>
    <w:rsid w:val="00C30B80"/>
    <w:rsid w:val="00C30C41"/>
    <w:rsid w:val="00C31094"/>
    <w:rsid w:val="00C31276"/>
    <w:rsid w:val="00C322E8"/>
    <w:rsid w:val="00C3284F"/>
    <w:rsid w:val="00C32ED7"/>
    <w:rsid w:val="00C33261"/>
    <w:rsid w:val="00C34314"/>
    <w:rsid w:val="00C3484F"/>
    <w:rsid w:val="00C360FD"/>
    <w:rsid w:val="00C36518"/>
    <w:rsid w:val="00C4043B"/>
    <w:rsid w:val="00C40AD8"/>
    <w:rsid w:val="00C42496"/>
    <w:rsid w:val="00C42C84"/>
    <w:rsid w:val="00C43B16"/>
    <w:rsid w:val="00C44BAB"/>
    <w:rsid w:val="00C45D36"/>
    <w:rsid w:val="00C47962"/>
    <w:rsid w:val="00C51DBD"/>
    <w:rsid w:val="00C52F78"/>
    <w:rsid w:val="00C53542"/>
    <w:rsid w:val="00C53BF2"/>
    <w:rsid w:val="00C540AC"/>
    <w:rsid w:val="00C54BB2"/>
    <w:rsid w:val="00C55209"/>
    <w:rsid w:val="00C566B3"/>
    <w:rsid w:val="00C56CEF"/>
    <w:rsid w:val="00C57A62"/>
    <w:rsid w:val="00C57AD3"/>
    <w:rsid w:val="00C57C69"/>
    <w:rsid w:val="00C608EA"/>
    <w:rsid w:val="00C63086"/>
    <w:rsid w:val="00C63F30"/>
    <w:rsid w:val="00C66D1C"/>
    <w:rsid w:val="00C678D3"/>
    <w:rsid w:val="00C67B0D"/>
    <w:rsid w:val="00C67B32"/>
    <w:rsid w:val="00C70265"/>
    <w:rsid w:val="00C70398"/>
    <w:rsid w:val="00C70622"/>
    <w:rsid w:val="00C70D67"/>
    <w:rsid w:val="00C716DA"/>
    <w:rsid w:val="00C72104"/>
    <w:rsid w:val="00C725A0"/>
    <w:rsid w:val="00C762A6"/>
    <w:rsid w:val="00C77063"/>
    <w:rsid w:val="00C80A3A"/>
    <w:rsid w:val="00C81823"/>
    <w:rsid w:val="00C81A21"/>
    <w:rsid w:val="00C821CD"/>
    <w:rsid w:val="00C833AC"/>
    <w:rsid w:val="00C8393B"/>
    <w:rsid w:val="00C873EC"/>
    <w:rsid w:val="00C87480"/>
    <w:rsid w:val="00C8772A"/>
    <w:rsid w:val="00C909FD"/>
    <w:rsid w:val="00C91884"/>
    <w:rsid w:val="00C92C8F"/>
    <w:rsid w:val="00C92E4D"/>
    <w:rsid w:val="00C93102"/>
    <w:rsid w:val="00C9380B"/>
    <w:rsid w:val="00C943FA"/>
    <w:rsid w:val="00C94E78"/>
    <w:rsid w:val="00C94F96"/>
    <w:rsid w:val="00C9521A"/>
    <w:rsid w:val="00C95DDC"/>
    <w:rsid w:val="00C95DFC"/>
    <w:rsid w:val="00C9627D"/>
    <w:rsid w:val="00C966AB"/>
    <w:rsid w:val="00C9674B"/>
    <w:rsid w:val="00C96B95"/>
    <w:rsid w:val="00C96D91"/>
    <w:rsid w:val="00C96EA5"/>
    <w:rsid w:val="00C96F93"/>
    <w:rsid w:val="00CA145F"/>
    <w:rsid w:val="00CA1D0A"/>
    <w:rsid w:val="00CA1F1D"/>
    <w:rsid w:val="00CA3DCB"/>
    <w:rsid w:val="00CA4359"/>
    <w:rsid w:val="00CB0765"/>
    <w:rsid w:val="00CB0C1D"/>
    <w:rsid w:val="00CB1937"/>
    <w:rsid w:val="00CB25D1"/>
    <w:rsid w:val="00CB40BB"/>
    <w:rsid w:val="00CB4965"/>
    <w:rsid w:val="00CB4B07"/>
    <w:rsid w:val="00CB5B1D"/>
    <w:rsid w:val="00CB65FF"/>
    <w:rsid w:val="00CC1AE1"/>
    <w:rsid w:val="00CC2209"/>
    <w:rsid w:val="00CC2958"/>
    <w:rsid w:val="00CC4504"/>
    <w:rsid w:val="00CC4BFE"/>
    <w:rsid w:val="00CC4C95"/>
    <w:rsid w:val="00CC4F3A"/>
    <w:rsid w:val="00CC5320"/>
    <w:rsid w:val="00CD0384"/>
    <w:rsid w:val="00CD17D5"/>
    <w:rsid w:val="00CD19A3"/>
    <w:rsid w:val="00CD2058"/>
    <w:rsid w:val="00CD225C"/>
    <w:rsid w:val="00CD27B9"/>
    <w:rsid w:val="00CD28E0"/>
    <w:rsid w:val="00CD2BA1"/>
    <w:rsid w:val="00CD331E"/>
    <w:rsid w:val="00CD384B"/>
    <w:rsid w:val="00CD44A0"/>
    <w:rsid w:val="00CD4EBB"/>
    <w:rsid w:val="00CD5868"/>
    <w:rsid w:val="00CD71A0"/>
    <w:rsid w:val="00CD79A8"/>
    <w:rsid w:val="00CD7A95"/>
    <w:rsid w:val="00CE02C8"/>
    <w:rsid w:val="00CE1DFE"/>
    <w:rsid w:val="00CE205A"/>
    <w:rsid w:val="00CE2D97"/>
    <w:rsid w:val="00CE37ED"/>
    <w:rsid w:val="00CE4237"/>
    <w:rsid w:val="00CE4669"/>
    <w:rsid w:val="00CE47D7"/>
    <w:rsid w:val="00CE6EAB"/>
    <w:rsid w:val="00CE75ED"/>
    <w:rsid w:val="00CE7845"/>
    <w:rsid w:val="00CF0337"/>
    <w:rsid w:val="00CF1FBA"/>
    <w:rsid w:val="00CF2B94"/>
    <w:rsid w:val="00CF3459"/>
    <w:rsid w:val="00CF3587"/>
    <w:rsid w:val="00CF4320"/>
    <w:rsid w:val="00CF5075"/>
    <w:rsid w:val="00CF74F1"/>
    <w:rsid w:val="00D00111"/>
    <w:rsid w:val="00D003E2"/>
    <w:rsid w:val="00D00690"/>
    <w:rsid w:val="00D00CF4"/>
    <w:rsid w:val="00D02312"/>
    <w:rsid w:val="00D02EBE"/>
    <w:rsid w:val="00D05247"/>
    <w:rsid w:val="00D06262"/>
    <w:rsid w:val="00D070EE"/>
    <w:rsid w:val="00D07B96"/>
    <w:rsid w:val="00D102FF"/>
    <w:rsid w:val="00D1062A"/>
    <w:rsid w:val="00D16686"/>
    <w:rsid w:val="00D17C56"/>
    <w:rsid w:val="00D17CE4"/>
    <w:rsid w:val="00D20E02"/>
    <w:rsid w:val="00D21E42"/>
    <w:rsid w:val="00D226FE"/>
    <w:rsid w:val="00D22D79"/>
    <w:rsid w:val="00D2338D"/>
    <w:rsid w:val="00D240B8"/>
    <w:rsid w:val="00D2641E"/>
    <w:rsid w:val="00D2714D"/>
    <w:rsid w:val="00D2750A"/>
    <w:rsid w:val="00D27763"/>
    <w:rsid w:val="00D306A9"/>
    <w:rsid w:val="00D313E0"/>
    <w:rsid w:val="00D31731"/>
    <w:rsid w:val="00D319C9"/>
    <w:rsid w:val="00D33489"/>
    <w:rsid w:val="00D36733"/>
    <w:rsid w:val="00D377DB"/>
    <w:rsid w:val="00D37BD6"/>
    <w:rsid w:val="00D41508"/>
    <w:rsid w:val="00D461A6"/>
    <w:rsid w:val="00D46C61"/>
    <w:rsid w:val="00D471B5"/>
    <w:rsid w:val="00D5253F"/>
    <w:rsid w:val="00D52D91"/>
    <w:rsid w:val="00D53948"/>
    <w:rsid w:val="00D53D0B"/>
    <w:rsid w:val="00D542AB"/>
    <w:rsid w:val="00D54846"/>
    <w:rsid w:val="00D55087"/>
    <w:rsid w:val="00D551C9"/>
    <w:rsid w:val="00D571DB"/>
    <w:rsid w:val="00D57C54"/>
    <w:rsid w:val="00D60223"/>
    <w:rsid w:val="00D61F30"/>
    <w:rsid w:val="00D6205D"/>
    <w:rsid w:val="00D62FEE"/>
    <w:rsid w:val="00D64E81"/>
    <w:rsid w:val="00D64F21"/>
    <w:rsid w:val="00D669B8"/>
    <w:rsid w:val="00D67245"/>
    <w:rsid w:val="00D72B6E"/>
    <w:rsid w:val="00D73804"/>
    <w:rsid w:val="00D74426"/>
    <w:rsid w:val="00D74A26"/>
    <w:rsid w:val="00D75D82"/>
    <w:rsid w:val="00D760CA"/>
    <w:rsid w:val="00D762E4"/>
    <w:rsid w:val="00D77C1B"/>
    <w:rsid w:val="00D805E3"/>
    <w:rsid w:val="00D808A4"/>
    <w:rsid w:val="00D80EB9"/>
    <w:rsid w:val="00D82AA1"/>
    <w:rsid w:val="00D83530"/>
    <w:rsid w:val="00D83571"/>
    <w:rsid w:val="00D8431F"/>
    <w:rsid w:val="00D84489"/>
    <w:rsid w:val="00D84DF6"/>
    <w:rsid w:val="00D85254"/>
    <w:rsid w:val="00D8531B"/>
    <w:rsid w:val="00D858E1"/>
    <w:rsid w:val="00D87929"/>
    <w:rsid w:val="00D8794D"/>
    <w:rsid w:val="00D90BC0"/>
    <w:rsid w:val="00D9300C"/>
    <w:rsid w:val="00D94A25"/>
    <w:rsid w:val="00D97A3C"/>
    <w:rsid w:val="00D97AD8"/>
    <w:rsid w:val="00DA0D0F"/>
    <w:rsid w:val="00DA1A50"/>
    <w:rsid w:val="00DA1E95"/>
    <w:rsid w:val="00DA1F95"/>
    <w:rsid w:val="00DA25D7"/>
    <w:rsid w:val="00DA4815"/>
    <w:rsid w:val="00DA4C6F"/>
    <w:rsid w:val="00DA6198"/>
    <w:rsid w:val="00DA64CB"/>
    <w:rsid w:val="00DA70DA"/>
    <w:rsid w:val="00DA7E4E"/>
    <w:rsid w:val="00DB04F0"/>
    <w:rsid w:val="00DB055F"/>
    <w:rsid w:val="00DB0D76"/>
    <w:rsid w:val="00DB0F83"/>
    <w:rsid w:val="00DB16EE"/>
    <w:rsid w:val="00DB1A5A"/>
    <w:rsid w:val="00DB2503"/>
    <w:rsid w:val="00DB28F5"/>
    <w:rsid w:val="00DB2B22"/>
    <w:rsid w:val="00DB48C7"/>
    <w:rsid w:val="00DB54F8"/>
    <w:rsid w:val="00DB596E"/>
    <w:rsid w:val="00DB64A9"/>
    <w:rsid w:val="00DB67E4"/>
    <w:rsid w:val="00DB6981"/>
    <w:rsid w:val="00DB7360"/>
    <w:rsid w:val="00DB7A5B"/>
    <w:rsid w:val="00DC03D3"/>
    <w:rsid w:val="00DC09BA"/>
    <w:rsid w:val="00DC11CF"/>
    <w:rsid w:val="00DC1B50"/>
    <w:rsid w:val="00DC2EB9"/>
    <w:rsid w:val="00DC2EC3"/>
    <w:rsid w:val="00DC3DB4"/>
    <w:rsid w:val="00DC481B"/>
    <w:rsid w:val="00DC57F9"/>
    <w:rsid w:val="00DC6D50"/>
    <w:rsid w:val="00DD0A19"/>
    <w:rsid w:val="00DD15CC"/>
    <w:rsid w:val="00DD1AFC"/>
    <w:rsid w:val="00DD2D02"/>
    <w:rsid w:val="00DD3455"/>
    <w:rsid w:val="00DD4774"/>
    <w:rsid w:val="00DE205F"/>
    <w:rsid w:val="00DE2D0E"/>
    <w:rsid w:val="00DE43F6"/>
    <w:rsid w:val="00DE4731"/>
    <w:rsid w:val="00DE4EF5"/>
    <w:rsid w:val="00DE5BB1"/>
    <w:rsid w:val="00DE606A"/>
    <w:rsid w:val="00DE675E"/>
    <w:rsid w:val="00DE6909"/>
    <w:rsid w:val="00DE6AE5"/>
    <w:rsid w:val="00DE713C"/>
    <w:rsid w:val="00DE7786"/>
    <w:rsid w:val="00DF1ACB"/>
    <w:rsid w:val="00DF261E"/>
    <w:rsid w:val="00DF2804"/>
    <w:rsid w:val="00DF2CD2"/>
    <w:rsid w:val="00DF3A98"/>
    <w:rsid w:val="00DF3B63"/>
    <w:rsid w:val="00DF4400"/>
    <w:rsid w:val="00DF470B"/>
    <w:rsid w:val="00DF4D38"/>
    <w:rsid w:val="00DF4FFD"/>
    <w:rsid w:val="00DF555D"/>
    <w:rsid w:val="00DF5881"/>
    <w:rsid w:val="00DF5CE1"/>
    <w:rsid w:val="00DF6EA6"/>
    <w:rsid w:val="00DF7528"/>
    <w:rsid w:val="00DF7796"/>
    <w:rsid w:val="00DF7837"/>
    <w:rsid w:val="00DF7D6E"/>
    <w:rsid w:val="00E03031"/>
    <w:rsid w:val="00E041FD"/>
    <w:rsid w:val="00E04D7B"/>
    <w:rsid w:val="00E05BAE"/>
    <w:rsid w:val="00E075A6"/>
    <w:rsid w:val="00E10687"/>
    <w:rsid w:val="00E10AA5"/>
    <w:rsid w:val="00E12038"/>
    <w:rsid w:val="00E123A9"/>
    <w:rsid w:val="00E12AC3"/>
    <w:rsid w:val="00E1365B"/>
    <w:rsid w:val="00E2026D"/>
    <w:rsid w:val="00E214B3"/>
    <w:rsid w:val="00E242C2"/>
    <w:rsid w:val="00E256ED"/>
    <w:rsid w:val="00E25BEC"/>
    <w:rsid w:val="00E26006"/>
    <w:rsid w:val="00E277A5"/>
    <w:rsid w:val="00E30334"/>
    <w:rsid w:val="00E31756"/>
    <w:rsid w:val="00E31EAD"/>
    <w:rsid w:val="00E3226C"/>
    <w:rsid w:val="00E33869"/>
    <w:rsid w:val="00E347BE"/>
    <w:rsid w:val="00E34A76"/>
    <w:rsid w:val="00E34AC7"/>
    <w:rsid w:val="00E36029"/>
    <w:rsid w:val="00E36810"/>
    <w:rsid w:val="00E36904"/>
    <w:rsid w:val="00E371ED"/>
    <w:rsid w:val="00E40346"/>
    <w:rsid w:val="00E40916"/>
    <w:rsid w:val="00E410D9"/>
    <w:rsid w:val="00E41186"/>
    <w:rsid w:val="00E42511"/>
    <w:rsid w:val="00E42B67"/>
    <w:rsid w:val="00E42DDC"/>
    <w:rsid w:val="00E43758"/>
    <w:rsid w:val="00E44445"/>
    <w:rsid w:val="00E453CD"/>
    <w:rsid w:val="00E4587D"/>
    <w:rsid w:val="00E46115"/>
    <w:rsid w:val="00E47400"/>
    <w:rsid w:val="00E47690"/>
    <w:rsid w:val="00E50D46"/>
    <w:rsid w:val="00E51423"/>
    <w:rsid w:val="00E517E4"/>
    <w:rsid w:val="00E51A62"/>
    <w:rsid w:val="00E51D5A"/>
    <w:rsid w:val="00E520D8"/>
    <w:rsid w:val="00E527C6"/>
    <w:rsid w:val="00E54A35"/>
    <w:rsid w:val="00E556CD"/>
    <w:rsid w:val="00E55B3A"/>
    <w:rsid w:val="00E568AB"/>
    <w:rsid w:val="00E56DAC"/>
    <w:rsid w:val="00E5752D"/>
    <w:rsid w:val="00E57C27"/>
    <w:rsid w:val="00E60315"/>
    <w:rsid w:val="00E60955"/>
    <w:rsid w:val="00E6235B"/>
    <w:rsid w:val="00E6283D"/>
    <w:rsid w:val="00E6456A"/>
    <w:rsid w:val="00E64FFD"/>
    <w:rsid w:val="00E64FFE"/>
    <w:rsid w:val="00E664D6"/>
    <w:rsid w:val="00E66DC6"/>
    <w:rsid w:val="00E7226C"/>
    <w:rsid w:val="00E72694"/>
    <w:rsid w:val="00E744DF"/>
    <w:rsid w:val="00E74A33"/>
    <w:rsid w:val="00E74D07"/>
    <w:rsid w:val="00E755C8"/>
    <w:rsid w:val="00E76C94"/>
    <w:rsid w:val="00E773C4"/>
    <w:rsid w:val="00E809CA"/>
    <w:rsid w:val="00E80AEF"/>
    <w:rsid w:val="00E81024"/>
    <w:rsid w:val="00E81C67"/>
    <w:rsid w:val="00E81F9E"/>
    <w:rsid w:val="00E82F93"/>
    <w:rsid w:val="00E83962"/>
    <w:rsid w:val="00E83A0A"/>
    <w:rsid w:val="00E84E23"/>
    <w:rsid w:val="00E87251"/>
    <w:rsid w:val="00E90D70"/>
    <w:rsid w:val="00E926E1"/>
    <w:rsid w:val="00E92999"/>
    <w:rsid w:val="00E94460"/>
    <w:rsid w:val="00E94C36"/>
    <w:rsid w:val="00E94C3E"/>
    <w:rsid w:val="00E95BCD"/>
    <w:rsid w:val="00E96BA9"/>
    <w:rsid w:val="00E97EC3"/>
    <w:rsid w:val="00EA00FA"/>
    <w:rsid w:val="00EA0B33"/>
    <w:rsid w:val="00EA160D"/>
    <w:rsid w:val="00EA2559"/>
    <w:rsid w:val="00EA39DB"/>
    <w:rsid w:val="00EA4A50"/>
    <w:rsid w:val="00EA754B"/>
    <w:rsid w:val="00EA7804"/>
    <w:rsid w:val="00EB0402"/>
    <w:rsid w:val="00EB084E"/>
    <w:rsid w:val="00EB131A"/>
    <w:rsid w:val="00EB226D"/>
    <w:rsid w:val="00EB247C"/>
    <w:rsid w:val="00EB26B3"/>
    <w:rsid w:val="00EB273F"/>
    <w:rsid w:val="00EB2985"/>
    <w:rsid w:val="00EB3533"/>
    <w:rsid w:val="00EB41A2"/>
    <w:rsid w:val="00EB4618"/>
    <w:rsid w:val="00EB4741"/>
    <w:rsid w:val="00EB52F0"/>
    <w:rsid w:val="00EB57EB"/>
    <w:rsid w:val="00EB5CD8"/>
    <w:rsid w:val="00EB6B19"/>
    <w:rsid w:val="00EB6C30"/>
    <w:rsid w:val="00EB7F36"/>
    <w:rsid w:val="00EC1D6B"/>
    <w:rsid w:val="00EC1F58"/>
    <w:rsid w:val="00EC7C86"/>
    <w:rsid w:val="00ED0A3A"/>
    <w:rsid w:val="00ED0B54"/>
    <w:rsid w:val="00ED2382"/>
    <w:rsid w:val="00ED24FE"/>
    <w:rsid w:val="00ED3257"/>
    <w:rsid w:val="00ED3899"/>
    <w:rsid w:val="00ED4CFD"/>
    <w:rsid w:val="00ED60C4"/>
    <w:rsid w:val="00ED776F"/>
    <w:rsid w:val="00EE21F3"/>
    <w:rsid w:val="00EE2419"/>
    <w:rsid w:val="00EE2561"/>
    <w:rsid w:val="00EE25B1"/>
    <w:rsid w:val="00EE4E0F"/>
    <w:rsid w:val="00EE518E"/>
    <w:rsid w:val="00EE54FC"/>
    <w:rsid w:val="00EE63A6"/>
    <w:rsid w:val="00EE70B5"/>
    <w:rsid w:val="00EE7554"/>
    <w:rsid w:val="00EE7935"/>
    <w:rsid w:val="00EF1FBB"/>
    <w:rsid w:val="00EF2B24"/>
    <w:rsid w:val="00EF536B"/>
    <w:rsid w:val="00EF65FB"/>
    <w:rsid w:val="00EF69F3"/>
    <w:rsid w:val="00EF783C"/>
    <w:rsid w:val="00EF7B7B"/>
    <w:rsid w:val="00F00265"/>
    <w:rsid w:val="00F012BE"/>
    <w:rsid w:val="00F01B3A"/>
    <w:rsid w:val="00F02124"/>
    <w:rsid w:val="00F0702E"/>
    <w:rsid w:val="00F0736A"/>
    <w:rsid w:val="00F1064D"/>
    <w:rsid w:val="00F11D4B"/>
    <w:rsid w:val="00F1283B"/>
    <w:rsid w:val="00F13693"/>
    <w:rsid w:val="00F15231"/>
    <w:rsid w:val="00F155A4"/>
    <w:rsid w:val="00F15AAE"/>
    <w:rsid w:val="00F1687F"/>
    <w:rsid w:val="00F170BE"/>
    <w:rsid w:val="00F2072D"/>
    <w:rsid w:val="00F207C6"/>
    <w:rsid w:val="00F21458"/>
    <w:rsid w:val="00F21DA8"/>
    <w:rsid w:val="00F24374"/>
    <w:rsid w:val="00F24CF0"/>
    <w:rsid w:val="00F25025"/>
    <w:rsid w:val="00F25590"/>
    <w:rsid w:val="00F25D74"/>
    <w:rsid w:val="00F26A72"/>
    <w:rsid w:val="00F31B4A"/>
    <w:rsid w:val="00F328D0"/>
    <w:rsid w:val="00F33DC0"/>
    <w:rsid w:val="00F3665A"/>
    <w:rsid w:val="00F373D9"/>
    <w:rsid w:val="00F37911"/>
    <w:rsid w:val="00F37FA0"/>
    <w:rsid w:val="00F40BB6"/>
    <w:rsid w:val="00F40DD8"/>
    <w:rsid w:val="00F41638"/>
    <w:rsid w:val="00F4232F"/>
    <w:rsid w:val="00F42B48"/>
    <w:rsid w:val="00F43E4B"/>
    <w:rsid w:val="00F4496C"/>
    <w:rsid w:val="00F44E3B"/>
    <w:rsid w:val="00F44F76"/>
    <w:rsid w:val="00F4531F"/>
    <w:rsid w:val="00F45562"/>
    <w:rsid w:val="00F51150"/>
    <w:rsid w:val="00F5172F"/>
    <w:rsid w:val="00F52014"/>
    <w:rsid w:val="00F522A8"/>
    <w:rsid w:val="00F552E2"/>
    <w:rsid w:val="00F55FA3"/>
    <w:rsid w:val="00F56005"/>
    <w:rsid w:val="00F5712A"/>
    <w:rsid w:val="00F573B5"/>
    <w:rsid w:val="00F5780E"/>
    <w:rsid w:val="00F603E4"/>
    <w:rsid w:val="00F6085F"/>
    <w:rsid w:val="00F61B42"/>
    <w:rsid w:val="00F6292E"/>
    <w:rsid w:val="00F62A35"/>
    <w:rsid w:val="00F641E7"/>
    <w:rsid w:val="00F6427E"/>
    <w:rsid w:val="00F64286"/>
    <w:rsid w:val="00F64382"/>
    <w:rsid w:val="00F655F6"/>
    <w:rsid w:val="00F67BD0"/>
    <w:rsid w:val="00F70760"/>
    <w:rsid w:val="00F72B42"/>
    <w:rsid w:val="00F72D5D"/>
    <w:rsid w:val="00F743F1"/>
    <w:rsid w:val="00F74BF4"/>
    <w:rsid w:val="00F754E2"/>
    <w:rsid w:val="00F755F1"/>
    <w:rsid w:val="00F75686"/>
    <w:rsid w:val="00F7570D"/>
    <w:rsid w:val="00F809AB"/>
    <w:rsid w:val="00F80DFE"/>
    <w:rsid w:val="00F8114A"/>
    <w:rsid w:val="00F83F71"/>
    <w:rsid w:val="00F84061"/>
    <w:rsid w:val="00F859B7"/>
    <w:rsid w:val="00F85B1A"/>
    <w:rsid w:val="00F864A9"/>
    <w:rsid w:val="00F86918"/>
    <w:rsid w:val="00F86A41"/>
    <w:rsid w:val="00F8785E"/>
    <w:rsid w:val="00F9146A"/>
    <w:rsid w:val="00F9340B"/>
    <w:rsid w:val="00F93455"/>
    <w:rsid w:val="00F93789"/>
    <w:rsid w:val="00F93A35"/>
    <w:rsid w:val="00F93B44"/>
    <w:rsid w:val="00F948A6"/>
    <w:rsid w:val="00F96254"/>
    <w:rsid w:val="00F96DBF"/>
    <w:rsid w:val="00F972E5"/>
    <w:rsid w:val="00F97EA5"/>
    <w:rsid w:val="00FA0E70"/>
    <w:rsid w:val="00FA2127"/>
    <w:rsid w:val="00FA2412"/>
    <w:rsid w:val="00FA414B"/>
    <w:rsid w:val="00FA4651"/>
    <w:rsid w:val="00FA5767"/>
    <w:rsid w:val="00FA70A2"/>
    <w:rsid w:val="00FB12D3"/>
    <w:rsid w:val="00FB13A6"/>
    <w:rsid w:val="00FB4564"/>
    <w:rsid w:val="00FB500C"/>
    <w:rsid w:val="00FB7618"/>
    <w:rsid w:val="00FC0B06"/>
    <w:rsid w:val="00FC13AB"/>
    <w:rsid w:val="00FC1C44"/>
    <w:rsid w:val="00FC1DB3"/>
    <w:rsid w:val="00FC2647"/>
    <w:rsid w:val="00FC49D1"/>
    <w:rsid w:val="00FC5F75"/>
    <w:rsid w:val="00FC774F"/>
    <w:rsid w:val="00FD0D61"/>
    <w:rsid w:val="00FD30E6"/>
    <w:rsid w:val="00FD5D31"/>
    <w:rsid w:val="00FD688F"/>
    <w:rsid w:val="00FD69E0"/>
    <w:rsid w:val="00FD70DE"/>
    <w:rsid w:val="00FD797E"/>
    <w:rsid w:val="00FD79CB"/>
    <w:rsid w:val="00FD7EB8"/>
    <w:rsid w:val="00FE05CF"/>
    <w:rsid w:val="00FE2BA3"/>
    <w:rsid w:val="00FE2F1D"/>
    <w:rsid w:val="00FE2FBC"/>
    <w:rsid w:val="00FE3B4A"/>
    <w:rsid w:val="00FE4F7F"/>
    <w:rsid w:val="00FE693F"/>
    <w:rsid w:val="00FE6DED"/>
    <w:rsid w:val="00FF0936"/>
    <w:rsid w:val="00FF1150"/>
    <w:rsid w:val="00FF2EF0"/>
    <w:rsid w:val="00FF5A0D"/>
    <w:rsid w:val="00FF5AE6"/>
    <w:rsid w:val="0921A505"/>
    <w:rsid w:val="0C98148A"/>
    <w:rsid w:val="42C1190B"/>
    <w:rsid w:val="46D491D5"/>
    <w:rsid w:val="49C4C985"/>
    <w:rsid w:val="4ED82D79"/>
    <w:rsid w:val="6189C9EF"/>
    <w:rsid w:val="66F9EF6E"/>
    <w:rsid w:val="67F12BAC"/>
    <w:rsid w:val="70E4A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3913A"/>
  <w15:chartTrackingRefBased/>
  <w15:docId w15:val="{116C7657-266F-49FF-A07F-FE6E861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Level1">
    <w:name w:val="BodyLevel1"/>
    <w:basedOn w:val="Normal"/>
    <w:link w:val="BodyLevel1Char"/>
    <w:rsid w:val="005935B8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5935B8"/>
    <w:rPr>
      <w:rFonts w:ascii="Arial" w:hAnsi="Arial"/>
      <w:color w:val="000000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57499A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bold1">
    <w:name w:val="bodybold1"/>
    <w:rsid w:val="006206BF"/>
    <w:rPr>
      <w:b/>
      <w:bCs/>
    </w:rPr>
  </w:style>
  <w:style w:type="paragraph" w:customStyle="1" w:styleId="BulletText1">
    <w:name w:val="Bullet Text 1"/>
    <w:basedOn w:val="Normal"/>
    <w:rsid w:val="00F170BE"/>
    <w:pPr>
      <w:numPr>
        <w:numId w:val="2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F170BE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odyTextIndent">
    <w:name w:val="Body Text Indent"/>
    <w:basedOn w:val="Normal"/>
    <w:rsid w:val="00F13693"/>
    <w:pPr>
      <w:ind w:left="2070" w:hanging="2070"/>
    </w:pPr>
    <w:rPr>
      <w:rFonts w:ascii="Arial" w:hAnsi="Arial"/>
      <w:szCs w:val="20"/>
    </w:rPr>
  </w:style>
  <w:style w:type="paragraph" w:customStyle="1" w:styleId="Default">
    <w:name w:val="Default"/>
    <w:rsid w:val="00F44E3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A47CB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3EDF"/>
    <w:rPr>
      <w:b/>
      <w:bCs/>
      <w:i w:val="0"/>
      <w:iCs w:val="0"/>
    </w:rPr>
  </w:style>
  <w:style w:type="paragraph" w:styleId="PlainText">
    <w:name w:val="Plain Text"/>
    <w:basedOn w:val="Normal"/>
    <w:link w:val="PlainTextChar"/>
    <w:uiPriority w:val="99"/>
    <w:unhideWhenUsed/>
    <w:rsid w:val="00B56A3F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56A3F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D21E42"/>
    <w:rPr>
      <w:sz w:val="24"/>
      <w:szCs w:val="24"/>
    </w:rPr>
  </w:style>
  <w:style w:type="character" w:styleId="CommentReference">
    <w:name w:val="annotation reference"/>
    <w:rsid w:val="007A7A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7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7A36"/>
  </w:style>
  <w:style w:type="paragraph" w:styleId="CommentSubject">
    <w:name w:val="annotation subject"/>
    <w:basedOn w:val="CommentText"/>
    <w:next w:val="CommentText"/>
    <w:link w:val="CommentSubjectChar"/>
    <w:rsid w:val="007A7A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A7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46AAA"/>
    <w:rPr>
      <w:rFonts w:ascii="Courier New" w:eastAsia="Calibri" w:hAnsi="Courier New" w:cs="Courier New"/>
    </w:rPr>
  </w:style>
  <w:style w:type="character" w:customStyle="1" w:styleId="st1">
    <w:name w:val="st1"/>
    <w:rsid w:val="007711BA"/>
    <w:rPr>
      <w:rFonts w:ascii="Times New Roman" w:hAnsi="Times New Roman" w:cs="Times New Roman" w:hint="default"/>
    </w:rPr>
  </w:style>
  <w:style w:type="paragraph" w:customStyle="1" w:styleId="Dotbullet">
    <w:name w:val="Dot bullet"/>
    <w:basedOn w:val="Normal"/>
    <w:rsid w:val="00BF39F0"/>
    <w:pPr>
      <w:widowControl w:val="0"/>
      <w:numPr>
        <w:numId w:val="43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B535CF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91309E"/>
    <w:rPr>
      <w:sz w:val="24"/>
      <w:szCs w:val="24"/>
    </w:rPr>
  </w:style>
  <w:style w:type="paragraph" w:customStyle="1" w:styleId="BulletText2">
    <w:name w:val="Bullet Text 2"/>
    <w:basedOn w:val="Normal"/>
    <w:rsid w:val="00EA39DB"/>
    <w:pPr>
      <w:numPr>
        <w:numId w:val="105"/>
      </w:numPr>
    </w:pPr>
    <w:rPr>
      <w:color w:val="000000"/>
      <w:szCs w:val="20"/>
    </w:rPr>
  </w:style>
  <w:style w:type="paragraph" w:customStyle="1" w:styleId="cont">
    <w:name w:val="cont"/>
    <w:basedOn w:val="Normal"/>
    <w:rsid w:val="0043478C"/>
    <w:rPr>
      <w:rFonts w:ascii="Arial" w:hAnsi="Arial" w:cs="Arial"/>
      <w:color w:val="56595C"/>
      <w:sz w:val="21"/>
      <w:szCs w:val="21"/>
    </w:rPr>
  </w:style>
  <w:style w:type="character" w:styleId="UnresolvedMention">
    <w:name w:val="Unresolved Mention"/>
    <w:uiPriority w:val="99"/>
    <w:semiHidden/>
    <w:unhideWhenUsed/>
    <w:rsid w:val="002905F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C0980"/>
  </w:style>
  <w:style w:type="numbering" w:customStyle="1" w:styleId="NoList2">
    <w:name w:val="No List2"/>
    <w:next w:val="NoList"/>
    <w:uiPriority w:val="99"/>
    <w:semiHidden/>
    <w:unhideWhenUsed/>
    <w:rsid w:val="00345A43"/>
  </w:style>
  <w:style w:type="character" w:customStyle="1" w:styleId="glossarylink">
    <w:name w:val="glossarylink"/>
    <w:basedOn w:val="DefaultParagraphFont"/>
    <w:rsid w:val="00931D17"/>
  </w:style>
  <w:style w:type="character" w:customStyle="1" w:styleId="jpfdse">
    <w:name w:val="jpfdse"/>
    <w:basedOn w:val="DefaultParagraphFont"/>
    <w:rsid w:val="008B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2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32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20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2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BCBE75F4B84393620F312955E8F3" ma:contentTypeVersion="2" ma:contentTypeDescription="Create a new document." ma:contentTypeScope="" ma:versionID="53dc523801e5c5ebd63be17199f6ad92">
  <xsd:schema xmlns:xsd="http://www.w3.org/2001/XMLSchema" xmlns:xs="http://www.w3.org/2001/XMLSchema" xmlns:p="http://schemas.microsoft.com/office/2006/metadata/properties" xmlns:ns3="af49b599-6b15-4762-aa21-76aeb0ef36d5" targetNamespace="http://schemas.microsoft.com/office/2006/metadata/properties" ma:root="true" ma:fieldsID="e05ff69e9cdceaedf3e5303fa17b19ad" ns3:_="">
    <xsd:import namespace="af49b599-6b15-4762-aa21-76aeb0ef3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b599-6b15-4762-aa21-76aeb0ef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F379A-AAAF-42CD-91D7-8E1C28A1D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0E6C7D-7CC6-4D5C-9E48-452AEDF32D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D64E6-75AA-4C06-BDC0-7F621C63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b599-6b15-4762-aa21-76aeb0ef3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5945F-918D-477B-925A-C7786F88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1573</Words>
  <Characters>8968</Characters>
  <Application>Microsoft Office Word</Application>
  <DocSecurity>0</DocSecurity>
  <Lines>74</Lines>
  <Paragraphs>21</Paragraphs>
  <ScaleCrop>false</ScaleCrop>
  <Company>Caremark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6</cp:revision>
  <dcterms:created xsi:type="dcterms:W3CDTF">2025-07-21T22:14:00Z</dcterms:created>
  <dcterms:modified xsi:type="dcterms:W3CDTF">2025-07-21T22:21:00Z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1670122802</vt:i4>
  </property>
  <property fmtid="{D5CDD505-2E9C-101B-9397-08002B2CF9AE}" pid="3" name="_ReviewCycleID">
    <vt:i4>1670122802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000000000686971C48ACC94DBA1F73F08C35D9E2070074003E8994FF8D43BBFD4581006EFC97000000000109000074003E8994FF8D43BBFD4581006EFC970000E87442A20000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0000000038A1BB1005E5101AA1BB08002B2A56C20000454D534D44422E444C4C00000000000000001B55FA20AA6611CD9BC800AA002FC45A0C000000457A656B69656C2E4B72697374656B404356534865616C74682E636F6D002F6F3D45786368616E67654C6162732F6F753D45786368616E67652041646D696E697374726</vt:lpwstr>
  </property>
  <property fmtid="{D5CDD505-2E9C-101B-9397-08002B2CF9AE}" pid="7" name="_EmailStoreID1">
    <vt:lpwstr>1746976652047726F7570202846594449424F484632335350444C54292F636E3D526563697069656E74732F636E3D63323935303662616536336634626666393337303035653134663964383531362D3136393735303800E94632F44E000000020000001000000045007A0065006B00690065006C002E004B00720069007300</vt:lpwstr>
  </property>
  <property fmtid="{D5CDD505-2E9C-101B-9397-08002B2CF9AE}" pid="8" name="_EmailStoreID2">
    <vt:lpwstr>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2022-01-04T13:40:54Z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b58f1d2e-3022-4041-b613-a339fbf7307b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0x01010077FEBCBE75F4B84393620F312955E8F3</vt:lpwstr>
  </property>
  <property fmtid="{D5CDD505-2E9C-101B-9397-08002B2CF9AE}" pid="17" name="_ReviewingToolsShownOnce">
    <vt:lpwstr/>
  </property>
</Properties>
</file>