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684F" w14:textId="6C539837" w:rsidR="00524CDD" w:rsidRPr="00CC4BFE" w:rsidRDefault="008976F4" w:rsidP="001874F5">
      <w:pPr>
        <w:pStyle w:val="Heading1"/>
        <w:rPr>
          <w:rFonts w:ascii="Verdana" w:hAnsi="Verdana"/>
          <w:bCs/>
          <w:color w:val="auto"/>
          <w:sz w:val="36"/>
          <w:szCs w:val="36"/>
        </w:rPr>
      </w:pPr>
      <w:bookmarkStart w:id="0" w:name="_OneSource_Glossary_of"/>
      <w:bookmarkStart w:id="1" w:name="_Customer_Care_Abbreviations,"/>
      <w:bookmarkEnd w:id="0"/>
      <w:bookmarkEnd w:id="1"/>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93500F">
        <w:rPr>
          <w:rFonts w:ascii="Verdana" w:hAnsi="Verdana"/>
          <w:bCs/>
          <w:color w:val="auto"/>
          <w:sz w:val="36"/>
          <w:szCs w:val="36"/>
        </w:rPr>
        <w:t>- H</w:t>
      </w:r>
    </w:p>
    <w:p w14:paraId="330CAF23" w14:textId="2E0352F3" w:rsidR="005C429C" w:rsidRPr="003F25CD" w:rsidRDefault="005C429C" w:rsidP="00F15AAE">
      <w:pPr>
        <w:rPr>
          <w:rFonts w:ascii="Verdana" w:hAnsi="Verdana"/>
          <w:b/>
        </w:rPr>
      </w:pPr>
    </w:p>
    <w:p w14:paraId="018813C1" w14:textId="77777777" w:rsidR="00494AF4" w:rsidRPr="004E00B6" w:rsidRDefault="00494AF4" w:rsidP="00F15AAE">
      <w:pPr>
        <w:jc w:val="center"/>
        <w:rPr>
          <w:rFonts w:ascii="Verdana" w:hAnsi="Verdana"/>
          <w:color w:val="0000FF"/>
        </w:rPr>
      </w:pPr>
    </w:p>
    <w:p w14:paraId="651F8FD8" w14:textId="1A242147" w:rsidR="00930A3C" w:rsidRPr="00184490" w:rsidRDefault="00233B04" w:rsidP="00F15AAE">
      <w:pPr>
        <w:jc w:val="both"/>
        <w:rPr>
          <w:rFonts w:ascii="Verdana" w:hAnsi="Verdana"/>
          <w:b/>
          <w:color w:val="000000"/>
          <w14:shadow w14:blurRad="50800" w14:dist="38100" w14:dir="2700000" w14:sx="100000" w14:sy="100000" w14:kx="0" w14:ky="0" w14:algn="tl">
            <w14:srgbClr w14:val="000000">
              <w14:alpha w14:val="60000"/>
            </w14:srgbClr>
          </w14:shadow>
        </w:rPr>
      </w:pPr>
      <w:r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00930A3C" w:rsidRPr="00184490">
        <w:rPr>
          <w:rFonts w:ascii="Verdana" w:hAnsi="Verdana"/>
          <w:b/>
          <w:color w:val="000000"/>
          <w14:shadow w14:blurRad="50800" w14:dist="38100" w14:dir="2700000" w14:sx="100000" w14:sy="100000" w14:kx="0" w14:ky="0" w14:algn="tl">
            <w14:srgbClr w14:val="000000">
              <w14:alpha w14:val="60000"/>
            </w14:srgbClr>
          </w14:shadow>
        </w:rPr>
        <w:t xml:space="preserve">Each Alpha section </w:t>
      </w:r>
      <w:r w:rsidR="00C9521A" w:rsidRPr="00184490">
        <w:rPr>
          <w:rFonts w:ascii="Verdana" w:hAnsi="Verdana"/>
          <w:b/>
          <w:color w:val="000000"/>
          <w14:shadow w14:blurRad="50800" w14:dist="38100" w14:dir="2700000" w14:sx="100000" w14:sy="100000" w14:kx="0" w14:ky="0" w14:algn="tl">
            <w14:srgbClr w14:val="000000">
              <w14:alpha w14:val="60000"/>
            </w14:srgbClr>
          </w14:shadow>
        </w:rPr>
        <w:t>will have</w:t>
      </w:r>
      <w:r w:rsidR="00930A3C" w:rsidRPr="00184490">
        <w:rPr>
          <w:rFonts w:ascii="Verdana" w:hAnsi="Verdana"/>
          <w:b/>
          <w:color w:val="000000"/>
          <w14:shadow w14:blurRad="50800" w14:dist="38100" w14:dir="2700000" w14:sx="100000" w14:sy="100000" w14:kx="0" w14:ky="0" w14:algn="tl">
            <w14:srgbClr w14:val="000000">
              <w14:alpha w14:val="60000"/>
            </w14:srgbClr>
          </w14:shadow>
        </w:rPr>
        <w:t xml:space="preserve"> two</w:t>
      </w:r>
      <w:r w:rsidR="00E347BE"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00AB2929" w:rsidRPr="00184490">
        <w:rPr>
          <w:rFonts w:ascii="Verdana" w:hAnsi="Verdana"/>
          <w:b/>
          <w:color w:val="000000"/>
          <w14:shadow w14:blurRad="50800" w14:dist="38100" w14:dir="2700000" w14:sx="100000" w14:sy="100000" w14:kx="0" w14:ky="0" w14:algn="tl">
            <w14:srgbClr w14:val="000000">
              <w14:alpha w14:val="60000"/>
            </w14:srgbClr>
          </w14:shadow>
        </w:rPr>
        <w:t xml:space="preserve">separate tables:  </w:t>
      </w:r>
    </w:p>
    <w:p w14:paraId="2816E4AE" w14:textId="7B372789" w:rsidR="00930A3C" w:rsidRPr="00184490" w:rsidRDefault="00930A3C" w:rsidP="00180D96">
      <w:pPr>
        <w:numPr>
          <w:ilvl w:val="0"/>
          <w:numId w:val="118"/>
        </w:numPr>
        <w:jc w:val="both"/>
        <w:rPr>
          <w:rFonts w:ascii="Verdana" w:hAnsi="Verdana"/>
          <w:bCs/>
          <w:color w:val="000000"/>
          <w14:shadow w14:blurRad="50800" w14:dist="38100" w14:dir="2700000" w14:sx="100000" w14:sy="100000" w14:kx="0" w14:ky="0" w14:algn="tl">
            <w14:srgbClr w14:val="000000">
              <w14:alpha w14:val="60000"/>
            </w14:srgbClr>
          </w14:shadow>
        </w:rPr>
      </w:pPr>
      <w:r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Pr="00184490">
        <w:rPr>
          <w:rFonts w:ascii="Verdana" w:hAnsi="Verdana"/>
          <w:bCs/>
          <w:color w:val="000000"/>
          <w14:shadow w14:blurRad="50800" w14:dist="38100" w14:dir="2700000" w14:sx="100000" w14:sy="100000" w14:kx="0" w14:ky="0" w14:algn="tl">
            <w14:srgbClr w14:val="000000">
              <w14:alpha w14:val="60000"/>
            </w14:srgbClr>
          </w14:shadow>
        </w:rPr>
        <w:t>Abbreviation, Term and Definition</w:t>
      </w:r>
    </w:p>
    <w:p w14:paraId="4093D2D2" w14:textId="1B79583B" w:rsidR="00930A3C" w:rsidRPr="00184490" w:rsidRDefault="00930A3C" w:rsidP="00180D96">
      <w:pPr>
        <w:numPr>
          <w:ilvl w:val="0"/>
          <w:numId w:val="118"/>
        </w:numPr>
        <w:jc w:val="both"/>
        <w:rPr>
          <w:rFonts w:ascii="Verdana" w:hAnsi="Verdana"/>
          <w:bCs/>
          <w:color w:val="000000"/>
          <w14:shadow w14:blurRad="50800" w14:dist="38100" w14:dir="2700000" w14:sx="100000" w14:sy="100000" w14:kx="0" w14:ky="0" w14:algn="tl">
            <w14:srgbClr w14:val="000000">
              <w14:alpha w14:val="60000"/>
            </w14:srgbClr>
          </w14:shadow>
        </w:rPr>
      </w:pPr>
      <w:r w:rsidRPr="00184490">
        <w:rPr>
          <w:rFonts w:ascii="Verdana" w:hAnsi="Verdana"/>
          <w:bCs/>
          <w:color w:val="000000"/>
          <w14:shadow w14:blurRad="50800" w14:dist="38100" w14:dir="2700000" w14:sx="100000" w14:sy="100000" w14:kx="0" w14:ky="0" w14:algn="tl">
            <w14:srgbClr w14:val="000000">
              <w14:alpha w14:val="60000"/>
            </w14:srgbClr>
          </w14:shadow>
        </w:rPr>
        <w:t xml:space="preserve"> Term and Definition </w:t>
      </w:r>
    </w:p>
    <w:p w14:paraId="7A90F651" w14:textId="264679D6" w:rsidR="00930A3C" w:rsidRPr="009E5748" w:rsidRDefault="00930A3C" w:rsidP="00930A3C">
      <w:pPr>
        <w:jc w:val="both"/>
        <w:rPr>
          <w:rFonts w:ascii="Verdana" w:hAnsi="Verdana"/>
          <w:b/>
          <w:color w:val="000000"/>
          <w14:shadow w14:blurRad="50800" w14:dist="38100" w14:dir="2700000" w14:sx="100000" w14:sy="100000" w14:kx="0" w14:ky="0" w14:algn="tl">
            <w14:srgbClr w14:val="000000">
              <w14:alpha w14:val="60000"/>
            </w14:srgbClr>
          </w14:shadow>
        </w:rPr>
      </w:pPr>
    </w:p>
    <w:p w14:paraId="78BCDCAF" w14:textId="23CCB8D3" w:rsidR="00930A3C" w:rsidRPr="009E5748" w:rsidRDefault="00930A3C" w:rsidP="00930A3C">
      <w:pPr>
        <w:jc w:val="both"/>
        <w:rPr>
          <w:rFonts w:ascii="Verdana" w:hAnsi="Verdana"/>
          <w:b/>
          <w:color w:val="000000"/>
          <w14:shadow w14:blurRad="50800" w14:dist="38100" w14:dir="2700000" w14:sx="100000" w14:sy="100000" w14:kx="0" w14:ky="0" w14:algn="tl">
            <w14:srgbClr w14:val="000000">
              <w14:alpha w14:val="60000"/>
            </w14:srgbClr>
          </w14:shadow>
        </w:rPr>
      </w:pPr>
      <w:r w:rsidRPr="009E5748">
        <w:rPr>
          <w:rFonts w:ascii="Verdana" w:hAnsi="Verdana"/>
          <w:b/>
          <w:color w:val="000000"/>
          <w14:shadow w14:blurRad="50800" w14:dist="38100" w14:dir="2700000" w14:sx="100000" w14:sy="100000" w14:kx="0" w14:ky="0" w14:algn="tl">
            <w14:srgbClr w14:val="000000">
              <w14:alpha w14:val="60000"/>
            </w14:srgbClr>
          </w14:shadow>
        </w:rPr>
        <w:t xml:space="preserve">Note:  </w:t>
      </w:r>
      <w:r w:rsidRPr="009E5748">
        <w:rPr>
          <w:rFonts w:ascii="Verdana" w:hAnsi="Verdana"/>
          <w:bCs/>
          <w:color w:val="000000"/>
          <w14:shadow w14:blurRad="50800" w14:dist="38100" w14:dir="2700000" w14:sx="100000" w14:sy="100000" w14:kx="0" w14:ky="0" w14:algn="tl">
            <w14:srgbClr w14:val="000000">
              <w14:alpha w14:val="60000"/>
            </w14:srgbClr>
          </w14:shadow>
        </w:rPr>
        <w:t xml:space="preserve">Terms </w:t>
      </w:r>
      <w:r w:rsidR="00AB2929" w:rsidRPr="009E5748">
        <w:rPr>
          <w:rFonts w:ascii="Verdana" w:hAnsi="Verdana"/>
          <w:bCs/>
          <w:color w:val="000000"/>
          <w14:shadow w14:blurRad="50800" w14:dist="38100" w14:dir="2700000" w14:sx="100000" w14:sy="100000" w14:kx="0" w14:ky="0" w14:algn="tl">
            <w14:srgbClr w14:val="000000">
              <w14:alpha w14:val="60000"/>
            </w14:srgbClr>
          </w14:shadow>
        </w:rPr>
        <w:t>are</w:t>
      </w:r>
      <w:r w:rsidRPr="009E5748">
        <w:rPr>
          <w:rFonts w:ascii="Verdana" w:hAnsi="Verdana"/>
          <w:bCs/>
          <w:color w:val="000000"/>
          <w14:shadow w14:blurRad="50800" w14:dist="38100" w14:dir="2700000" w14:sx="100000" w14:sy="100000" w14:kx="0" w14:ky="0" w14:algn="tl">
            <w14:srgbClr w14:val="000000">
              <w14:alpha w14:val="60000"/>
            </w14:srgbClr>
          </w14:shadow>
        </w:rPr>
        <w:t xml:space="preserve"> not be duplicated in</w:t>
      </w:r>
      <w:r w:rsidR="00AB2929" w:rsidRPr="009E5748">
        <w:rPr>
          <w:rFonts w:ascii="Verdana" w:hAnsi="Verdana"/>
          <w:bCs/>
          <w:color w:val="000000"/>
          <w14:shadow w14:blurRad="50800" w14:dist="38100" w14:dir="2700000" w14:sx="100000" w14:sy="100000" w14:kx="0" w14:ky="0" w14:algn="tl">
            <w14:srgbClr w14:val="000000">
              <w14:alpha w14:val="60000"/>
            </w14:srgbClr>
          </w14:shadow>
        </w:rPr>
        <w:t xml:space="preserve"> </w:t>
      </w:r>
      <w:r w:rsidRPr="009E5748">
        <w:rPr>
          <w:rFonts w:ascii="Verdana" w:hAnsi="Verdana"/>
          <w:bCs/>
          <w:color w:val="000000"/>
          <w14:shadow w14:blurRad="50800" w14:dist="38100" w14:dir="2700000" w14:sx="100000" w14:sy="100000" w14:kx="0" w14:ky="0" w14:algn="tl">
            <w14:srgbClr w14:val="000000">
              <w14:alpha w14:val="60000"/>
            </w14:srgbClr>
          </w14:shadow>
        </w:rPr>
        <w:t>both lists</w:t>
      </w:r>
      <w:r w:rsidRPr="009E5748">
        <w:rPr>
          <w:rFonts w:ascii="Verdana" w:hAnsi="Verdana"/>
          <w:b/>
          <w:color w:val="000000"/>
          <w14:shadow w14:blurRad="50800" w14:dist="38100" w14:dir="2700000" w14:sx="100000" w14:sy="100000" w14:kx="0" w14:ky="0" w14:algn="tl">
            <w14:srgbClr w14:val="000000">
              <w14:alpha w14:val="60000"/>
            </w14:srgbClr>
          </w14:shadow>
        </w:rPr>
        <w:t>.</w:t>
      </w:r>
    </w:p>
    <w:p w14:paraId="13BD45E6" w14:textId="77777777" w:rsidR="00930A3C" w:rsidRPr="009E5748" w:rsidRDefault="00930A3C" w:rsidP="00F15AAE">
      <w:pPr>
        <w:jc w:val="both"/>
        <w:rPr>
          <w:rFonts w:ascii="Verdana" w:hAnsi="Verdana"/>
          <w:b/>
          <w:color w:val="000000"/>
          <w14:shadow w14:blurRad="50800" w14:dist="38100" w14:dir="2700000" w14:sx="100000" w14:sy="100000" w14:kx="0" w14:ky="0" w14:algn="tl">
            <w14:srgbClr w14:val="000000">
              <w14:alpha w14:val="60000"/>
            </w14:srgbClr>
          </w14:shadow>
        </w:rPr>
      </w:pPr>
    </w:p>
    <w:p w14:paraId="5E9D3436" w14:textId="0F328BDC" w:rsidR="00F25025" w:rsidRPr="003F31CC" w:rsidRDefault="00B66786" w:rsidP="003F31CC">
      <w:pPr>
        <w:jc w:val="both"/>
        <w:rPr>
          <w:rFonts w:ascii="Verdana" w:hAnsi="Verdana"/>
          <w:b/>
        </w:rPr>
      </w:pPr>
      <w:r w:rsidRPr="009E5748">
        <w:rPr>
          <w:rFonts w:ascii="Verdana" w:hAnsi="Verdana"/>
          <w:b/>
          <w:color w:val="000000"/>
          <w14:shadow w14:blurRad="50800" w14:dist="38100" w14:dir="2700000" w14:sx="100000" w14:sy="100000" w14:kx="0" w14:ky="0" w14:algn="tl">
            <w14:srgbClr w14:val="000000">
              <w14:alpha w14:val="60000"/>
            </w14:srgbClr>
          </w14:shadow>
        </w:rPr>
        <w:t>Quicker Search Results</w:t>
      </w:r>
      <w:r w:rsidRPr="009E5748">
        <w:rPr>
          <w:rFonts w:ascii="Verdana" w:hAnsi="Verdana"/>
          <w:color w:val="000000"/>
          <w14:shadow w14:blurRad="50800" w14:dist="38100" w14:dir="2700000" w14:sx="100000" w14:sy="100000" w14:kx="0" w14:ky="0" w14:algn="tl">
            <w14:srgbClr w14:val="000000">
              <w14:alpha w14:val="60000"/>
            </w14:srgbClr>
          </w14:shadow>
        </w:rPr>
        <w:t>:</w:t>
      </w:r>
      <w:r w:rsidRPr="004E00B6">
        <w:rPr>
          <w:rFonts w:ascii="Verdana" w:hAnsi="Verdana"/>
          <w:b/>
        </w:rPr>
        <w:t xml:space="preserve"> Depress </w:t>
      </w:r>
      <w:proofErr w:type="spellStart"/>
      <w:r w:rsidRPr="004E00B6">
        <w:rPr>
          <w:rFonts w:ascii="Verdana" w:hAnsi="Verdana"/>
          <w:b/>
        </w:rPr>
        <w:t>Ctrl+F</w:t>
      </w:r>
      <w:proofErr w:type="spellEnd"/>
      <w:r w:rsidRPr="004E00B6">
        <w:rPr>
          <w:rFonts w:ascii="Verdana" w:hAnsi="Verdana"/>
          <w:b/>
        </w:rPr>
        <w:t xml:space="preserve"> </w:t>
      </w:r>
      <w:r w:rsidRPr="004E00B6">
        <w:rPr>
          <w:b/>
        </w:rPr>
        <w:t>→</w:t>
      </w:r>
      <w:r w:rsidRPr="004E00B6">
        <w:rPr>
          <w:rFonts w:ascii="Verdana" w:hAnsi="Verdana"/>
          <w:b/>
        </w:rPr>
        <w:t xml:space="preserve"> Type in Keyword </w:t>
      </w:r>
      <w:r w:rsidRPr="004E00B6">
        <w:rPr>
          <w:b/>
        </w:rPr>
        <w:t>→</w:t>
      </w:r>
      <w:r w:rsidRPr="004E00B6">
        <w:rPr>
          <w:rFonts w:ascii="Verdana" w:hAnsi="Verdana"/>
          <w:b/>
        </w:rPr>
        <w:t xml:space="preserve"> Click Find Next</w:t>
      </w:r>
      <w:bookmarkStart w:id="2" w:name="_A_1"/>
      <w:bookmarkEnd w:id="2"/>
    </w:p>
    <w:p w14:paraId="25182416" w14:textId="4EA90029" w:rsidR="00F25025" w:rsidRDefault="00F25025" w:rsidP="00F15AAE">
      <w:bookmarkStart w:id="3" w:name="_E_1"/>
      <w:bookmarkEnd w:id="3"/>
    </w:p>
    <w:tbl>
      <w:tblPr>
        <w:tblW w:w="4974" w:type="pct"/>
        <w:tblInd w:w="-230" w:type="dxa"/>
        <w:tblCellMar>
          <w:left w:w="0" w:type="dxa"/>
          <w:right w:w="0" w:type="dxa"/>
        </w:tblCellMar>
        <w:tblLook w:val="04A0" w:firstRow="1" w:lastRow="0" w:firstColumn="1" w:lastColumn="0" w:noHBand="0" w:noVBand="1"/>
      </w:tblPr>
      <w:tblGrid>
        <w:gridCol w:w="1943"/>
        <w:gridCol w:w="2670"/>
        <w:gridCol w:w="8260"/>
      </w:tblGrid>
      <w:tr w:rsidR="00834D9E" w:rsidRPr="00AB2929" w14:paraId="43F516CB" w14:textId="77777777" w:rsidTr="00341FB3">
        <w:tc>
          <w:tcPr>
            <w:tcW w:w="729" w:type="pct"/>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68B6484" w14:textId="77777777" w:rsidR="00AB2929" w:rsidRPr="00AB2929" w:rsidRDefault="00AB2929" w:rsidP="00834D9E">
            <w:pPr>
              <w:spacing w:before="120" w:after="120"/>
              <w:jc w:val="center"/>
              <w:rPr>
                <w:rFonts w:ascii="Verdana" w:hAnsi="Verdana"/>
                <w:b/>
                <w:bCs/>
                <w:color w:val="000000"/>
              </w:rPr>
            </w:pPr>
            <w:bookmarkStart w:id="4" w:name="_Hlk74132419"/>
            <w:r w:rsidRPr="00AB2929">
              <w:rPr>
                <w:rFonts w:ascii="Verdana" w:hAnsi="Verdana"/>
                <w:b/>
                <w:bCs/>
                <w:color w:val="000000"/>
              </w:rPr>
              <w:t>Abbreviation</w:t>
            </w:r>
          </w:p>
        </w:tc>
        <w:tc>
          <w:tcPr>
            <w:tcW w:w="1050" w:type="pct"/>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0C9BF98B" w14:textId="77777777" w:rsidR="00AB2929" w:rsidRPr="00AB2929" w:rsidRDefault="00AB2929" w:rsidP="00834D9E">
            <w:pPr>
              <w:spacing w:before="120" w:after="120"/>
              <w:jc w:val="center"/>
              <w:rPr>
                <w:rFonts w:ascii="Verdana" w:hAnsi="Verdana"/>
                <w:b/>
                <w:bCs/>
                <w:color w:val="000000"/>
              </w:rPr>
            </w:pPr>
            <w:r w:rsidRPr="00AB2929">
              <w:rPr>
                <w:rFonts w:ascii="Verdana" w:hAnsi="Verdana"/>
                <w:b/>
                <w:bCs/>
                <w:color w:val="000000"/>
              </w:rPr>
              <w:t>Term</w:t>
            </w:r>
          </w:p>
        </w:tc>
        <w:tc>
          <w:tcPr>
            <w:tcW w:w="3222" w:type="pct"/>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56C0F7F3" w14:textId="77777777" w:rsidR="00AB2929" w:rsidRPr="00AB2929" w:rsidRDefault="00AB2929" w:rsidP="00834D9E">
            <w:pPr>
              <w:spacing w:before="120" w:after="120"/>
              <w:jc w:val="center"/>
              <w:rPr>
                <w:rFonts w:ascii="Verdana" w:hAnsi="Verdana"/>
                <w:b/>
                <w:bCs/>
                <w:color w:val="000000"/>
              </w:rPr>
            </w:pPr>
            <w:r w:rsidRPr="00AB2929">
              <w:rPr>
                <w:rFonts w:ascii="Verdana" w:hAnsi="Verdana"/>
                <w:b/>
                <w:bCs/>
                <w:color w:val="000000"/>
              </w:rPr>
              <w:t>Definition</w:t>
            </w:r>
          </w:p>
        </w:tc>
      </w:tr>
      <w:tr w:rsidR="00341FB3" w:rsidRPr="0025615F" w14:paraId="785DEA02"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080A94C4"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w:t>
            </w:r>
          </w:p>
        </w:tc>
        <w:tc>
          <w:tcPr>
            <w:tcW w:w="1050" w:type="pct"/>
          </w:tcPr>
          <w:p w14:paraId="18F9E751" w14:textId="77777777" w:rsidR="00967195" w:rsidRPr="0025615F" w:rsidRDefault="00967195" w:rsidP="00834D9E">
            <w:pPr>
              <w:spacing w:before="120" w:after="120"/>
              <w:rPr>
                <w:rFonts w:ascii="Verdana" w:hAnsi="Verdana"/>
              </w:rPr>
            </w:pPr>
            <w:r w:rsidRPr="0025615F">
              <w:rPr>
                <w:rFonts w:ascii="Verdana" w:hAnsi="Verdana"/>
              </w:rPr>
              <w:t>Hour</w:t>
            </w:r>
          </w:p>
        </w:tc>
        <w:tc>
          <w:tcPr>
            <w:tcW w:w="3222" w:type="pct"/>
          </w:tcPr>
          <w:p w14:paraId="462BC62C" w14:textId="77777777" w:rsidR="00967195" w:rsidRDefault="00967195" w:rsidP="00834D9E">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measurement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time</w:t>
            </w:r>
            <w:r>
              <w:rPr>
                <w:rFonts w:ascii="Verdana" w:hAnsi="Verdana"/>
              </w:rPr>
              <w:t>.</w:t>
            </w:r>
          </w:p>
          <w:p w14:paraId="185E6539" w14:textId="77777777" w:rsidR="00967195" w:rsidRPr="0025615F" w:rsidRDefault="00967195" w:rsidP="00834D9E">
            <w:pPr>
              <w:spacing w:before="120" w:after="120"/>
              <w:rPr>
                <w:rFonts w:ascii="Verdana" w:hAnsi="Verdana"/>
              </w:rPr>
            </w:pPr>
          </w:p>
        </w:tc>
      </w:tr>
      <w:tr w:rsidR="00341FB3" w:rsidRPr="0025615F" w14:paraId="48A72F2D"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45E758AB"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HBS</w:t>
            </w:r>
          </w:p>
        </w:tc>
        <w:tc>
          <w:tcPr>
            <w:tcW w:w="1050" w:type="pct"/>
          </w:tcPr>
          <w:p w14:paraId="57418165" w14:textId="77777777" w:rsidR="00967195" w:rsidRPr="0025615F" w:rsidRDefault="00967195" w:rsidP="00834D9E">
            <w:pPr>
              <w:spacing w:before="120" w:after="120"/>
              <w:rPr>
                <w:rFonts w:ascii="Verdana" w:hAnsi="Verdana"/>
              </w:rPr>
            </w:pPr>
            <w:r w:rsidRPr="0025615F">
              <w:rPr>
                <w:rFonts w:ascii="Verdana" w:hAnsi="Verdana"/>
              </w:rPr>
              <w:t>Health</w:t>
            </w:r>
            <w:r>
              <w:rPr>
                <w:rFonts w:ascii="Verdana" w:hAnsi="Verdana"/>
              </w:rPr>
              <w:t xml:space="preserve"> </w:t>
            </w:r>
            <w:r w:rsidRPr="0025615F">
              <w:rPr>
                <w:rFonts w:ascii="Verdana" w:hAnsi="Verdana"/>
              </w:rPr>
              <w:t>Business</w:t>
            </w:r>
            <w:r>
              <w:rPr>
                <w:rFonts w:ascii="Verdana" w:hAnsi="Verdana"/>
              </w:rPr>
              <w:t xml:space="preserve"> </w:t>
            </w:r>
            <w:r w:rsidRPr="0025615F">
              <w:rPr>
                <w:rFonts w:ascii="Verdana" w:hAnsi="Verdana"/>
              </w:rPr>
              <w:t>Systems</w:t>
            </w:r>
            <w:r>
              <w:rPr>
                <w:rFonts w:ascii="Verdana" w:hAnsi="Verdana"/>
              </w:rPr>
              <w:t>/</w:t>
            </w:r>
            <w:r w:rsidRPr="0025615F">
              <w:rPr>
                <w:rFonts w:ascii="Verdana" w:hAnsi="Verdana"/>
              </w:rPr>
              <w:t>SPARCS</w:t>
            </w:r>
          </w:p>
        </w:tc>
        <w:tc>
          <w:tcPr>
            <w:tcW w:w="3222" w:type="pct"/>
          </w:tcPr>
          <w:p w14:paraId="070DE167" w14:textId="77777777" w:rsidR="00967195" w:rsidRDefault="00967195" w:rsidP="00834D9E">
            <w:pPr>
              <w:spacing w:before="120" w:after="120"/>
              <w:rPr>
                <w:rFonts w:ascii="Verdana" w:hAnsi="Verdana"/>
              </w:rPr>
            </w:pPr>
            <w:r w:rsidRPr="0025615F">
              <w:rPr>
                <w:rFonts w:ascii="Verdana" w:hAnsi="Verdana"/>
              </w:rPr>
              <w:t>Specialty</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new</w:t>
            </w:r>
            <w:r>
              <w:rPr>
                <w:rFonts w:ascii="Verdana" w:hAnsi="Verdana"/>
              </w:rPr>
              <w:t xml:space="preserve"> </w:t>
            </w:r>
            <w:r w:rsidRPr="0025615F">
              <w:rPr>
                <w:rFonts w:ascii="Verdana" w:hAnsi="Verdana"/>
              </w:rPr>
              <w:t>patient</w:t>
            </w:r>
            <w:r>
              <w:rPr>
                <w:rFonts w:ascii="Verdana" w:hAnsi="Verdana"/>
              </w:rPr>
              <w:t xml:space="preserve"> </w:t>
            </w:r>
            <w:r w:rsidRPr="0025615F">
              <w:rPr>
                <w:rFonts w:ascii="Verdana" w:hAnsi="Verdana"/>
              </w:rPr>
              <w:t>enrollment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ties</w:t>
            </w:r>
            <w:r>
              <w:rPr>
                <w:rFonts w:ascii="Verdana" w:hAnsi="Verdana"/>
              </w:rPr>
              <w:t xml:space="preserve"> </w:t>
            </w:r>
            <w:r w:rsidRPr="0025615F">
              <w:rPr>
                <w:rFonts w:ascii="Verdana" w:hAnsi="Verdana"/>
              </w:rPr>
              <w:t>into</w:t>
            </w:r>
            <w:r>
              <w:rPr>
                <w:rFonts w:ascii="Verdana" w:hAnsi="Verdana"/>
              </w:rPr>
              <w:t xml:space="preserve"> </w:t>
            </w:r>
            <w:r w:rsidRPr="0025615F">
              <w:rPr>
                <w:rFonts w:ascii="Verdana" w:hAnsi="Verdana"/>
              </w:rPr>
              <w:t>HBS).</w:t>
            </w:r>
            <w:r>
              <w:rPr>
                <w:rFonts w:ascii="Verdana" w:hAnsi="Verdana"/>
              </w:rPr>
              <w:t xml:space="preserve">  </w:t>
            </w:r>
            <w:r w:rsidRPr="0025615F">
              <w:rPr>
                <w:rFonts w:ascii="Verdana" w:hAnsi="Verdana"/>
              </w:rPr>
              <w:t>Main</w:t>
            </w:r>
            <w:r>
              <w:rPr>
                <w:rFonts w:ascii="Verdana" w:hAnsi="Verdana"/>
              </w:rPr>
              <w:t xml:space="preserve"> </w:t>
            </w:r>
            <w:r w:rsidRPr="0025615F">
              <w:rPr>
                <w:rFonts w:ascii="Verdana" w:hAnsi="Verdana"/>
              </w:rPr>
              <w:t>platform</w:t>
            </w:r>
            <w:r>
              <w:rPr>
                <w:rFonts w:ascii="Verdana" w:hAnsi="Verdana"/>
              </w:rPr>
              <w:t xml:space="preserve"> </w:t>
            </w:r>
            <w:r w:rsidRPr="0025615F">
              <w:rPr>
                <w:rFonts w:ascii="Verdana" w:hAnsi="Verdana"/>
              </w:rPr>
              <w:t>where</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entered</w:t>
            </w:r>
            <w:r>
              <w:rPr>
                <w:rFonts w:ascii="Verdana" w:hAnsi="Verdana"/>
              </w:rPr>
              <w:t xml:space="preserve"> </w:t>
            </w:r>
            <w:r w:rsidRPr="0025615F">
              <w:rPr>
                <w:rFonts w:ascii="Verdana" w:hAnsi="Verdana"/>
              </w:rPr>
              <w:t>manually</w:t>
            </w:r>
            <w:r>
              <w:rPr>
                <w:rFonts w:ascii="Verdana" w:hAnsi="Verdana"/>
              </w:rPr>
              <w:t xml:space="preserve"> </w:t>
            </w:r>
            <w:r w:rsidRPr="0025615F">
              <w:rPr>
                <w:rFonts w:ascii="Verdana" w:hAnsi="Verdana"/>
              </w:rPr>
              <w:t>into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Monroeville</w:t>
            </w:r>
            <w:r>
              <w:rPr>
                <w:rFonts w:ascii="Verdana" w:hAnsi="Verdana"/>
              </w:rPr>
              <w:t xml:space="preserve"> </w:t>
            </w:r>
            <w:r w:rsidRPr="0025615F">
              <w:rPr>
                <w:rFonts w:ascii="Verdana" w:hAnsi="Verdana"/>
              </w:rPr>
              <w:t>Specialty</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5</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6</w:t>
            </w:r>
            <w:r>
              <w:rPr>
                <w:rFonts w:ascii="Verdana" w:hAnsi="Verdana"/>
              </w:rPr>
              <w:t xml:space="preserve"> </w:t>
            </w:r>
            <w:r w:rsidRPr="0025615F">
              <w:rPr>
                <w:rFonts w:ascii="Verdana" w:hAnsi="Verdana"/>
              </w:rPr>
              <w:t>specialty</w:t>
            </w:r>
            <w:r>
              <w:rPr>
                <w:rFonts w:ascii="Verdana" w:hAnsi="Verdana"/>
              </w:rPr>
              <w:t xml:space="preserve"> </w:t>
            </w:r>
            <w:r w:rsidRPr="0025615F">
              <w:rPr>
                <w:rFonts w:ascii="Verdana" w:hAnsi="Verdana"/>
              </w:rPr>
              <w:t>retail</w:t>
            </w:r>
            <w:r>
              <w:rPr>
                <w:rFonts w:ascii="Verdana" w:hAnsi="Verdana"/>
              </w:rPr>
              <w:t xml:space="preserve"> </w:t>
            </w:r>
            <w:r w:rsidRPr="0025615F">
              <w:rPr>
                <w:rFonts w:ascii="Verdana" w:hAnsi="Verdana"/>
              </w:rPr>
              <w:t>using</w:t>
            </w:r>
            <w:r>
              <w:rPr>
                <w:rFonts w:ascii="Verdana" w:hAnsi="Verdana"/>
              </w:rPr>
              <w:t xml:space="preserve"> </w:t>
            </w:r>
            <w:r w:rsidRPr="0025615F">
              <w:rPr>
                <w:rFonts w:ascii="Verdana" w:hAnsi="Verdana"/>
              </w:rPr>
              <w:t>HBS.</w:t>
            </w:r>
            <w:r>
              <w:rPr>
                <w:rFonts w:ascii="Verdana" w:hAnsi="Verdana"/>
              </w:rPr>
              <w:t xml:space="preserve">  </w:t>
            </w:r>
            <w:r w:rsidRPr="0025615F">
              <w:rPr>
                <w:rFonts w:ascii="Verdana" w:hAnsi="Verdana"/>
              </w:rPr>
              <w:t>Most</w:t>
            </w:r>
            <w:r>
              <w:rPr>
                <w:rFonts w:ascii="Verdana" w:hAnsi="Verdana"/>
              </w:rPr>
              <w:t xml:space="preserve"> </w:t>
            </w:r>
            <w:r w:rsidRPr="0025615F">
              <w:rPr>
                <w:rFonts w:ascii="Verdana" w:hAnsi="Verdana"/>
              </w:rPr>
              <w:t>retail</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using</w:t>
            </w:r>
            <w:r>
              <w:rPr>
                <w:rFonts w:ascii="Verdana" w:hAnsi="Verdana"/>
              </w:rPr>
              <w:t xml:space="preserve"> </w:t>
            </w:r>
            <w:proofErr w:type="spellStart"/>
            <w:r w:rsidRPr="0025615F">
              <w:rPr>
                <w:rFonts w:ascii="Verdana" w:hAnsi="Verdana"/>
              </w:rPr>
              <w:t>Rx</w:t>
            </w:r>
            <w:r>
              <w:rPr>
                <w:rFonts w:ascii="Verdana" w:hAnsi="Verdana"/>
              </w:rPr>
              <w:t>Co</w:t>
            </w:r>
            <w:r w:rsidRPr="0025615F">
              <w:rPr>
                <w:rFonts w:ascii="Verdana" w:hAnsi="Verdana"/>
              </w:rPr>
              <w:t>nnect</w:t>
            </w:r>
            <w:proofErr w:type="spellEnd"/>
            <w:r w:rsidRPr="0025615F">
              <w:rPr>
                <w:rFonts w:ascii="Verdana" w:hAnsi="Verdana"/>
              </w:rPr>
              <w:t>.</w:t>
            </w:r>
          </w:p>
          <w:p w14:paraId="3A8CDA80" w14:textId="77777777" w:rsidR="00967195" w:rsidRPr="0025615F" w:rsidRDefault="00967195" w:rsidP="00834D9E">
            <w:pPr>
              <w:spacing w:before="120" w:after="120"/>
              <w:rPr>
                <w:rFonts w:ascii="Verdana" w:hAnsi="Verdana"/>
              </w:rPr>
            </w:pPr>
          </w:p>
        </w:tc>
      </w:tr>
      <w:tr w:rsidR="00341FB3" w:rsidRPr="0025615F" w14:paraId="7C1696BE"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50C9A08C" w14:textId="5C85B3E6" w:rsidR="00967195" w:rsidRPr="0025615F" w:rsidRDefault="003D4CF4" w:rsidP="00834D9E">
            <w:pPr>
              <w:spacing w:before="120" w:after="120"/>
              <w:jc w:val="center"/>
              <w:rPr>
                <w:rFonts w:ascii="Verdana" w:hAnsi="Verdana"/>
                <w:b/>
                <w:color w:val="000000"/>
              </w:rPr>
            </w:pPr>
            <w:r>
              <w:rPr>
                <w:rFonts w:ascii="Verdana" w:hAnsi="Verdana"/>
                <w:b/>
                <w:color w:val="000000"/>
              </w:rPr>
              <w:t xml:space="preserve"> </w:t>
            </w:r>
            <w:r w:rsidR="00821310">
              <w:rPr>
                <w:rFonts w:ascii="Verdana" w:hAnsi="Verdana"/>
                <w:b/>
                <w:color w:val="000000"/>
              </w:rPr>
              <w:t>HCC</w:t>
            </w:r>
          </w:p>
        </w:tc>
        <w:tc>
          <w:tcPr>
            <w:tcW w:w="1050" w:type="pct"/>
          </w:tcPr>
          <w:p w14:paraId="6220F479" w14:textId="1128A962" w:rsidR="00967195" w:rsidRPr="0025615F" w:rsidRDefault="00821310" w:rsidP="00834D9E">
            <w:pPr>
              <w:spacing w:before="120" w:after="120"/>
              <w:rPr>
                <w:rFonts w:ascii="Verdana" w:hAnsi="Verdana"/>
              </w:rPr>
            </w:pPr>
            <w:r>
              <w:rPr>
                <w:rFonts w:ascii="Verdana" w:hAnsi="Verdana"/>
              </w:rPr>
              <w:t>Hierarchical Condition Category</w:t>
            </w:r>
          </w:p>
        </w:tc>
        <w:tc>
          <w:tcPr>
            <w:tcW w:w="3222" w:type="pct"/>
          </w:tcPr>
          <w:p w14:paraId="254FA917" w14:textId="49DFF946" w:rsidR="00967195" w:rsidRPr="0025615F" w:rsidRDefault="00821310" w:rsidP="00834D9E">
            <w:pPr>
              <w:spacing w:before="120" w:after="120"/>
              <w:rPr>
                <w:rFonts w:ascii="Verdana" w:hAnsi="Verdana"/>
              </w:rPr>
            </w:pPr>
            <w:r>
              <w:rPr>
                <w:rFonts w:ascii="Verdana" w:hAnsi="Verdana"/>
              </w:rPr>
              <w:t>A system that uses ICD-10 coding to assign patients a Risk Adjustment Factor (RAF) score.</w:t>
            </w:r>
          </w:p>
        </w:tc>
      </w:tr>
      <w:tr w:rsidR="00341FB3" w:rsidRPr="0025615F" w14:paraId="6B43F58E"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09A1EA7E"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HCFA</w:t>
            </w:r>
          </w:p>
        </w:tc>
        <w:tc>
          <w:tcPr>
            <w:tcW w:w="1050" w:type="pct"/>
          </w:tcPr>
          <w:p w14:paraId="23AD93CE" w14:textId="77777777" w:rsidR="00967195" w:rsidRPr="0025615F" w:rsidRDefault="00967195" w:rsidP="00834D9E">
            <w:pPr>
              <w:spacing w:before="120" w:after="120"/>
              <w:rPr>
                <w:rFonts w:ascii="Verdana" w:hAnsi="Verdana"/>
              </w:rPr>
            </w:pP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Financial</w:t>
            </w:r>
            <w:r>
              <w:rPr>
                <w:rFonts w:ascii="Verdana" w:hAnsi="Verdana"/>
              </w:rPr>
              <w:t xml:space="preserve"> </w:t>
            </w:r>
            <w:r w:rsidRPr="0025615F">
              <w:rPr>
                <w:rFonts w:ascii="Verdana" w:hAnsi="Verdana"/>
              </w:rPr>
              <w:t>Administration</w:t>
            </w:r>
          </w:p>
        </w:tc>
        <w:tc>
          <w:tcPr>
            <w:tcW w:w="3222" w:type="pct"/>
          </w:tcPr>
          <w:p w14:paraId="550C09DF" w14:textId="77777777" w:rsidR="00967195" w:rsidRPr="0025615F" w:rsidRDefault="00967195" w:rsidP="00834D9E">
            <w:pPr>
              <w:spacing w:before="120" w:after="120"/>
              <w:rPr>
                <w:rFonts w:ascii="Verdana" w:hAnsi="Verdana"/>
              </w:rPr>
            </w:pPr>
            <w:r w:rsidRPr="0025615F">
              <w:rPr>
                <w:rFonts w:ascii="Verdana" w:hAnsi="Verdana"/>
              </w:rPr>
              <w:t>Agency</w:t>
            </w:r>
            <w:r>
              <w:rPr>
                <w:rFonts w:ascii="Verdana" w:hAnsi="Verdana"/>
              </w:rPr>
              <w:t xml:space="preserve"> </w:t>
            </w:r>
            <w:r w:rsidRPr="0025615F">
              <w:rPr>
                <w:rFonts w:ascii="Verdana" w:hAnsi="Verdana"/>
              </w:rPr>
              <w:t>within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Department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Human</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administering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Medicare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Medicaid</w:t>
            </w:r>
            <w:r>
              <w:rPr>
                <w:rFonts w:ascii="Verdana" w:hAnsi="Verdana"/>
              </w:rPr>
              <w:t xml:space="preserve"> </w:t>
            </w:r>
            <w:r w:rsidRPr="0025615F">
              <w:rPr>
                <w:rFonts w:ascii="Verdana" w:hAnsi="Verdana"/>
              </w:rPr>
              <w:t>programs.</w:t>
            </w:r>
          </w:p>
          <w:p w14:paraId="49E38727" w14:textId="77777777" w:rsidR="00967195" w:rsidRPr="0025615F" w:rsidRDefault="00967195" w:rsidP="00834D9E">
            <w:pPr>
              <w:spacing w:before="120" w:after="120"/>
              <w:rPr>
                <w:rFonts w:ascii="Verdana" w:hAnsi="Verdana"/>
              </w:rPr>
            </w:pPr>
          </w:p>
          <w:p w14:paraId="38C4C686" w14:textId="77777777" w:rsidR="00967195" w:rsidRDefault="00967195" w:rsidP="00834D9E">
            <w:pPr>
              <w:spacing w:before="120" w:after="120"/>
              <w:rPr>
                <w:rFonts w:ascii="Verdana" w:hAnsi="Verdana"/>
              </w:rPr>
            </w:pP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division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federal</w:t>
            </w:r>
            <w:r>
              <w:rPr>
                <w:rFonts w:ascii="Verdana" w:hAnsi="Verdana"/>
              </w:rPr>
              <w:t xml:space="preserve"> </w:t>
            </w:r>
            <w:r w:rsidRPr="0025615F">
              <w:rPr>
                <w:rFonts w:ascii="Verdana" w:hAnsi="Verdana"/>
              </w:rPr>
              <w:t>department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human</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oversees</w:t>
            </w:r>
            <w:r>
              <w:rPr>
                <w:rFonts w:ascii="Verdana" w:hAnsi="Verdana"/>
              </w:rPr>
              <w:t xml:space="preserve"> </w:t>
            </w:r>
            <w:r w:rsidRPr="0025615F">
              <w:rPr>
                <w:rFonts w:ascii="Verdana" w:hAnsi="Verdana"/>
              </w:rPr>
              <w:t>administration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Medicare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Medicaid</w:t>
            </w:r>
            <w:r>
              <w:rPr>
                <w:rFonts w:ascii="Verdana" w:hAnsi="Verdana"/>
              </w:rPr>
              <w:t xml:space="preserve"> </w:t>
            </w:r>
            <w:r w:rsidRPr="0025615F">
              <w:rPr>
                <w:rFonts w:ascii="Verdana" w:hAnsi="Verdana"/>
              </w:rPr>
              <w:t>programs.</w:t>
            </w:r>
          </w:p>
          <w:p w14:paraId="7000D6F9" w14:textId="77777777" w:rsidR="00967195" w:rsidRPr="0025615F" w:rsidRDefault="00967195" w:rsidP="00834D9E">
            <w:pPr>
              <w:spacing w:before="120" w:after="120"/>
              <w:rPr>
                <w:rFonts w:ascii="Verdana" w:hAnsi="Verdana"/>
              </w:rPr>
            </w:pPr>
            <w:r>
              <w:rPr>
                <w:rFonts w:ascii="Verdana" w:hAnsi="Verdana"/>
              </w:rPr>
              <w:t xml:space="preserve"> </w:t>
            </w:r>
          </w:p>
        </w:tc>
      </w:tr>
      <w:tr w:rsidR="00341FB3" w:rsidRPr="0025615F" w14:paraId="4B7A6602"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29304664"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HCPCS</w:t>
            </w:r>
          </w:p>
        </w:tc>
        <w:tc>
          <w:tcPr>
            <w:tcW w:w="1050" w:type="pct"/>
          </w:tcPr>
          <w:p w14:paraId="3C094345" w14:textId="77777777" w:rsidR="00967195" w:rsidRPr="0025615F" w:rsidRDefault="00967195" w:rsidP="00834D9E">
            <w:pPr>
              <w:spacing w:before="120" w:after="120"/>
              <w:rPr>
                <w:rFonts w:ascii="Verdana" w:hAnsi="Verdana"/>
              </w:rPr>
            </w:pPr>
            <w:r w:rsidRPr="0025615F">
              <w:rPr>
                <w:rFonts w:ascii="Verdana" w:hAnsi="Verdana"/>
              </w:rPr>
              <w:t>HFCA</w:t>
            </w:r>
            <w:r>
              <w:rPr>
                <w:rFonts w:ascii="Verdana" w:hAnsi="Verdana"/>
              </w:rPr>
              <w:t xml:space="preserve"> Co</w:t>
            </w:r>
            <w:r w:rsidRPr="0025615F">
              <w:rPr>
                <w:rFonts w:ascii="Verdana" w:hAnsi="Verdana"/>
              </w:rPr>
              <w:t>mmon</w:t>
            </w:r>
            <w:r>
              <w:rPr>
                <w:rFonts w:ascii="Verdana" w:hAnsi="Verdana"/>
              </w:rPr>
              <w:t xml:space="preserve"> </w:t>
            </w:r>
            <w:r w:rsidRPr="0025615F">
              <w:rPr>
                <w:rFonts w:ascii="Verdana" w:hAnsi="Verdana"/>
              </w:rPr>
              <w:t>Procedures</w:t>
            </w:r>
            <w:r>
              <w:rPr>
                <w:rFonts w:ascii="Verdana" w:hAnsi="Verdana"/>
              </w:rPr>
              <w:t xml:space="preserve"> Co</w:t>
            </w:r>
            <w:r w:rsidRPr="0025615F">
              <w:rPr>
                <w:rFonts w:ascii="Verdana" w:hAnsi="Verdana"/>
              </w:rPr>
              <w:t>ding</w:t>
            </w:r>
            <w:r>
              <w:rPr>
                <w:rFonts w:ascii="Verdana" w:hAnsi="Verdana"/>
              </w:rPr>
              <w:t xml:space="preserve"> </w:t>
            </w:r>
            <w:r w:rsidRPr="0025615F">
              <w:rPr>
                <w:rFonts w:ascii="Verdana" w:hAnsi="Verdana"/>
              </w:rPr>
              <w:t>Systems</w:t>
            </w:r>
            <w:r>
              <w:rPr>
                <w:rFonts w:ascii="Verdana" w:hAnsi="Verdana"/>
              </w:rPr>
              <w:t xml:space="preserve"> </w:t>
            </w:r>
          </w:p>
        </w:tc>
        <w:tc>
          <w:tcPr>
            <w:tcW w:w="3222" w:type="pct"/>
          </w:tcPr>
          <w:p w14:paraId="4A6678D8" w14:textId="77777777" w:rsidR="00967195" w:rsidRDefault="00967195" w:rsidP="00834D9E">
            <w:pPr>
              <w:spacing w:before="120" w:after="120"/>
              <w:rPr>
                <w:rFonts w:ascii="Verdana" w:hAnsi="Verdana"/>
              </w:rPr>
            </w:pPr>
            <w:r w:rsidRPr="0025615F">
              <w:rPr>
                <w:rFonts w:ascii="Verdana" w:hAnsi="Verdana"/>
              </w:rPr>
              <w:t>List</w:t>
            </w:r>
            <w:r>
              <w:rPr>
                <w:rFonts w:ascii="Verdana" w:hAnsi="Verdana"/>
              </w:rPr>
              <w:t xml:space="preserve"> </w:t>
            </w:r>
            <w:r w:rsidRPr="0025615F">
              <w:rPr>
                <w:rFonts w:ascii="Verdana" w:hAnsi="Verdana"/>
              </w:rPr>
              <w:t>of</w:t>
            </w:r>
            <w:r>
              <w:rPr>
                <w:rFonts w:ascii="Verdana" w:hAnsi="Verdana"/>
              </w:rPr>
              <w:t xml:space="preserve"> co</w:t>
            </w:r>
            <w:r w:rsidRPr="0025615F">
              <w:rPr>
                <w:rFonts w:ascii="Verdana" w:hAnsi="Verdana"/>
              </w:rPr>
              <w:t>des</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providers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describe</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render.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HCPCS,</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gnized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government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private</w:t>
            </w:r>
            <w:r>
              <w:rPr>
                <w:rFonts w:ascii="Verdana" w:hAnsi="Verdana"/>
              </w:rPr>
              <w:t xml:space="preserve"> </w:t>
            </w:r>
            <w:r w:rsidRPr="0025615F">
              <w:rPr>
                <w:rFonts w:ascii="Verdana" w:hAnsi="Verdana"/>
              </w:rPr>
              <w:t>insurers,</w:t>
            </w:r>
            <w:r>
              <w:rPr>
                <w:rFonts w:ascii="Verdana" w:hAnsi="Verdana"/>
              </w:rPr>
              <w:t xml:space="preserve"> </w:t>
            </w:r>
            <w:r w:rsidRPr="0025615F">
              <w:rPr>
                <w:rFonts w:ascii="Verdana" w:hAnsi="Verdana"/>
              </w:rPr>
              <w:t>includes</w:t>
            </w:r>
            <w:r>
              <w:rPr>
                <w:rFonts w:ascii="Verdana" w:hAnsi="Verdana"/>
              </w:rPr>
              <w:t xml:space="preserve"> </w:t>
            </w:r>
            <w:r w:rsidRPr="0025615F">
              <w:rPr>
                <w:rFonts w:ascii="Verdana" w:hAnsi="Verdana"/>
              </w:rPr>
              <w:t>cpt-4</w:t>
            </w:r>
            <w:r>
              <w:rPr>
                <w:rFonts w:ascii="Verdana" w:hAnsi="Verdana"/>
              </w:rPr>
              <w:t xml:space="preserve"> co</w:t>
            </w:r>
            <w:r w:rsidRPr="0025615F">
              <w:rPr>
                <w:rFonts w:ascii="Verdana" w:hAnsi="Verdana"/>
              </w:rPr>
              <w:t>des,</w:t>
            </w:r>
            <w:r>
              <w:rPr>
                <w:rFonts w:ascii="Verdana" w:hAnsi="Verdana"/>
              </w:rPr>
              <w:t xml:space="preserve"> </w:t>
            </w:r>
            <w:r w:rsidRPr="0025615F">
              <w:rPr>
                <w:rFonts w:ascii="Verdana" w:hAnsi="Verdana"/>
              </w:rPr>
              <w:t>supplies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procedures</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listed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cpt-4,</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local</w:t>
            </w:r>
            <w:r>
              <w:rPr>
                <w:rFonts w:ascii="Verdana" w:hAnsi="Verdana"/>
              </w:rPr>
              <w:t xml:space="preserve"> co</w:t>
            </w:r>
            <w:r w:rsidRPr="0025615F">
              <w:rPr>
                <w:rFonts w:ascii="Verdana" w:hAnsi="Verdana"/>
              </w:rPr>
              <w:t>des.</w:t>
            </w:r>
          </w:p>
          <w:p w14:paraId="5836DAF2" w14:textId="77777777" w:rsidR="00967195" w:rsidRPr="0025615F" w:rsidRDefault="00967195" w:rsidP="00834D9E">
            <w:pPr>
              <w:spacing w:before="120" w:after="120"/>
              <w:rPr>
                <w:rFonts w:ascii="Verdana" w:hAnsi="Verdana"/>
              </w:rPr>
            </w:pPr>
          </w:p>
        </w:tc>
      </w:tr>
      <w:tr w:rsidR="00341FB3" w:rsidRPr="0025615F" w14:paraId="44FB25E5"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31A82A60" w14:textId="10536AD4" w:rsidR="00967195" w:rsidRPr="0025615F" w:rsidRDefault="003D4CF4" w:rsidP="00834D9E">
            <w:pPr>
              <w:spacing w:before="120" w:after="120"/>
              <w:jc w:val="center"/>
              <w:rPr>
                <w:rFonts w:ascii="Verdana" w:hAnsi="Verdana"/>
                <w:b/>
                <w:color w:val="000000"/>
              </w:rPr>
            </w:pPr>
            <w:r>
              <w:rPr>
                <w:rFonts w:ascii="Verdana" w:hAnsi="Verdana"/>
                <w:b/>
                <w:color w:val="000000"/>
              </w:rPr>
              <w:t xml:space="preserve"> </w:t>
            </w:r>
            <w:r w:rsidR="00967195" w:rsidRPr="0025615F">
              <w:rPr>
                <w:rFonts w:ascii="Verdana" w:hAnsi="Verdana"/>
                <w:b/>
                <w:color w:val="000000"/>
              </w:rPr>
              <w:t>HCR</w:t>
            </w:r>
          </w:p>
        </w:tc>
        <w:tc>
          <w:tcPr>
            <w:tcW w:w="1050" w:type="pct"/>
          </w:tcPr>
          <w:p w14:paraId="1B6E81F0" w14:textId="77777777" w:rsidR="00967195" w:rsidRDefault="00967195" w:rsidP="00834D9E">
            <w:pPr>
              <w:spacing w:before="120" w:after="120"/>
              <w:rPr>
                <w:rFonts w:ascii="Verdana" w:hAnsi="Verdana"/>
              </w:rPr>
            </w:pP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Reform</w:t>
            </w:r>
          </w:p>
          <w:p w14:paraId="797B9E97" w14:textId="77777777" w:rsidR="00967195" w:rsidRPr="0025615F" w:rsidRDefault="00967195" w:rsidP="00834D9E">
            <w:pPr>
              <w:spacing w:before="120" w:after="120"/>
              <w:rPr>
                <w:rFonts w:ascii="Verdana" w:hAnsi="Verdana"/>
              </w:rPr>
            </w:pPr>
          </w:p>
        </w:tc>
        <w:tc>
          <w:tcPr>
            <w:tcW w:w="3222" w:type="pct"/>
          </w:tcPr>
          <w:p w14:paraId="167FEEDC" w14:textId="2D1CB92C" w:rsidR="00967195" w:rsidRPr="0025615F" w:rsidRDefault="00D1062A" w:rsidP="00834D9E">
            <w:pPr>
              <w:spacing w:before="120" w:after="120"/>
              <w:rPr>
                <w:rFonts w:ascii="Verdana" w:hAnsi="Verdana"/>
              </w:rPr>
            </w:pPr>
            <w:r>
              <w:rPr>
                <w:rFonts w:ascii="Verdana" w:hAnsi="Verdana"/>
              </w:rPr>
              <w:t>Also known as ACA, the Affordable Care Act. G</w:t>
            </w:r>
            <w:r>
              <w:rPr>
                <w:rFonts w:ascii="Verdana" w:hAnsi="Verdana"/>
                <w:color w:val="000000"/>
              </w:rPr>
              <w:t>overnment-regulated Marketplaces are available and offer standardized health care plans that anyone can access to purchase health insurance.  Some people, based on household income, may also be eligible for a federal subsidy to help pay for this coverage.</w:t>
            </w:r>
          </w:p>
        </w:tc>
      </w:tr>
      <w:tr w:rsidR="00341FB3" w:rsidRPr="0025615F" w14:paraId="25F2E0B7"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71E98FF7"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HCTZ</w:t>
            </w:r>
          </w:p>
        </w:tc>
        <w:tc>
          <w:tcPr>
            <w:tcW w:w="1050" w:type="pct"/>
          </w:tcPr>
          <w:p w14:paraId="2844E567" w14:textId="77777777" w:rsidR="00967195" w:rsidRPr="0025615F" w:rsidRDefault="00967195" w:rsidP="00834D9E">
            <w:pPr>
              <w:spacing w:before="120" w:after="120"/>
              <w:rPr>
                <w:rFonts w:ascii="Verdana" w:hAnsi="Verdana"/>
              </w:rPr>
            </w:pPr>
            <w:r w:rsidRPr="0025615F">
              <w:rPr>
                <w:rFonts w:ascii="Verdana" w:hAnsi="Verdana"/>
              </w:rPr>
              <w:t>Hydrochlorothiazide</w:t>
            </w:r>
          </w:p>
        </w:tc>
        <w:tc>
          <w:tcPr>
            <w:tcW w:w="3222" w:type="pct"/>
          </w:tcPr>
          <w:p w14:paraId="76215ED5" w14:textId="77777777" w:rsidR="00967195" w:rsidRDefault="00967195" w:rsidP="00834D9E">
            <w:pPr>
              <w:spacing w:before="120" w:after="120"/>
              <w:rPr>
                <w:rFonts w:ascii="Verdana" w:hAnsi="Verdana"/>
              </w:rPr>
            </w:pP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abbreviation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named</w:t>
            </w:r>
            <w:r>
              <w:rPr>
                <w:rFonts w:ascii="Verdana" w:hAnsi="Verdana"/>
              </w:rPr>
              <w:t xml:space="preserve"> </w:t>
            </w:r>
            <w:r w:rsidRPr="0025615F">
              <w:rPr>
                <w:rFonts w:ascii="Verdana" w:hAnsi="Verdana"/>
              </w:rPr>
              <w:t>hydrochlorothiazide.</w:t>
            </w:r>
          </w:p>
          <w:p w14:paraId="793FF6FA" w14:textId="77777777" w:rsidR="00967195" w:rsidRPr="0025615F" w:rsidRDefault="00967195" w:rsidP="00834D9E">
            <w:pPr>
              <w:spacing w:before="120" w:after="120"/>
              <w:rPr>
                <w:rFonts w:ascii="Verdana" w:hAnsi="Verdana"/>
              </w:rPr>
            </w:pPr>
          </w:p>
        </w:tc>
      </w:tr>
      <w:tr w:rsidR="00341FB3" w:rsidRPr="0025615F" w14:paraId="07474FCB"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7160B13C" w14:textId="77777777" w:rsidR="00967195" w:rsidRPr="0025615F" w:rsidRDefault="00967195" w:rsidP="00834D9E">
            <w:pPr>
              <w:spacing w:before="120" w:after="120"/>
              <w:jc w:val="center"/>
              <w:rPr>
                <w:rFonts w:ascii="Verdana" w:hAnsi="Verdana"/>
                <w:b/>
                <w:color w:val="000000"/>
              </w:rPr>
            </w:pPr>
            <w:r>
              <w:rPr>
                <w:rFonts w:ascii="Verdana" w:hAnsi="Verdana"/>
                <w:b/>
                <w:color w:val="000000"/>
              </w:rPr>
              <w:t xml:space="preserve">HEE </w:t>
            </w:r>
          </w:p>
        </w:tc>
        <w:tc>
          <w:tcPr>
            <w:tcW w:w="1050" w:type="pct"/>
          </w:tcPr>
          <w:p w14:paraId="257C4FCC" w14:textId="77777777" w:rsidR="00967195" w:rsidRPr="0025615F" w:rsidRDefault="00967195" w:rsidP="00834D9E">
            <w:pPr>
              <w:spacing w:before="120" w:after="120"/>
              <w:rPr>
                <w:rFonts w:ascii="Verdana" w:hAnsi="Verdana"/>
              </w:rPr>
            </w:pPr>
            <w:r>
              <w:rPr>
                <w:rFonts w:ascii="Verdana" w:hAnsi="Verdana"/>
              </w:rPr>
              <w:t xml:space="preserve">Health Engagement Engine </w:t>
            </w:r>
          </w:p>
        </w:tc>
        <w:tc>
          <w:tcPr>
            <w:tcW w:w="3222" w:type="pct"/>
          </w:tcPr>
          <w:p w14:paraId="2D0E0879" w14:textId="77777777" w:rsidR="00967195" w:rsidRPr="00B0235C" w:rsidRDefault="00967195" w:rsidP="00834D9E">
            <w:pPr>
              <w:spacing w:before="120" w:after="120"/>
              <w:rPr>
                <w:color w:val="000000"/>
                <w:sz w:val="27"/>
                <w:szCs w:val="27"/>
              </w:rPr>
            </w:pPr>
            <w:r w:rsidRPr="00B0235C">
              <w:rPr>
                <w:rFonts w:ascii="Verdana" w:hAnsi="Verdana"/>
                <w:color w:val="000000"/>
              </w:rPr>
              <w:t>The Health Engagement Engine™ (HEE™) technology helps deliver innovative health care solutions to our members as part of our enterprise goal of being a pharmacy innovation company. The general vision for HEE is to help members on their path to better health by:</w:t>
            </w:r>
          </w:p>
          <w:p w14:paraId="0E67C8C0" w14:textId="77777777" w:rsidR="00967195" w:rsidRPr="00B0235C" w:rsidRDefault="00967195" w:rsidP="00834D9E">
            <w:pPr>
              <w:numPr>
                <w:ilvl w:val="0"/>
                <w:numId w:val="114"/>
              </w:numPr>
              <w:spacing w:before="120" w:after="120"/>
              <w:ind w:left="520" w:firstLine="0"/>
              <w:rPr>
                <w:color w:val="000000"/>
              </w:rPr>
            </w:pPr>
            <w:r w:rsidRPr="00B0235C">
              <w:rPr>
                <w:rFonts w:ascii="Verdana" w:hAnsi="Verdana"/>
                <w:color w:val="000000"/>
              </w:rPr>
              <w:t>Uniquely identifying the patient across the company</w:t>
            </w:r>
          </w:p>
          <w:p w14:paraId="3E8D2978" w14:textId="77777777" w:rsidR="00967195" w:rsidRPr="00B0235C" w:rsidRDefault="00967195" w:rsidP="00834D9E">
            <w:pPr>
              <w:numPr>
                <w:ilvl w:val="0"/>
                <w:numId w:val="114"/>
              </w:numPr>
              <w:spacing w:before="120" w:after="120"/>
              <w:ind w:left="520" w:firstLine="0"/>
              <w:rPr>
                <w:color w:val="000000"/>
              </w:rPr>
            </w:pPr>
            <w:r w:rsidRPr="00B0235C">
              <w:rPr>
                <w:rFonts w:ascii="Verdana" w:hAnsi="Verdana"/>
                <w:color w:val="000000"/>
              </w:rPr>
              <w:t>Understanding their needs</w:t>
            </w:r>
          </w:p>
          <w:p w14:paraId="487CB184" w14:textId="77777777" w:rsidR="00967195" w:rsidRPr="00B0235C" w:rsidRDefault="00967195" w:rsidP="00834D9E">
            <w:pPr>
              <w:numPr>
                <w:ilvl w:val="0"/>
                <w:numId w:val="114"/>
              </w:numPr>
              <w:spacing w:before="120" w:after="120"/>
              <w:ind w:left="520" w:firstLine="0"/>
              <w:rPr>
                <w:color w:val="000000"/>
              </w:rPr>
            </w:pPr>
            <w:r w:rsidRPr="00B0235C">
              <w:rPr>
                <w:rFonts w:ascii="Verdana" w:hAnsi="Verdana"/>
                <w:color w:val="000000"/>
              </w:rPr>
              <w:t>Identifying cost-savings, health improvement and convenience opportunities</w:t>
            </w:r>
          </w:p>
          <w:p w14:paraId="72B2F562" w14:textId="77777777" w:rsidR="00967195" w:rsidRPr="00B0235C" w:rsidRDefault="00967195" w:rsidP="00834D9E">
            <w:pPr>
              <w:numPr>
                <w:ilvl w:val="0"/>
                <w:numId w:val="114"/>
              </w:numPr>
              <w:spacing w:before="120" w:after="120"/>
              <w:ind w:left="520" w:firstLine="0"/>
              <w:rPr>
                <w:color w:val="000000"/>
              </w:rPr>
            </w:pPr>
            <w:r w:rsidRPr="00B0235C">
              <w:rPr>
                <w:rFonts w:ascii="Verdana" w:hAnsi="Verdana"/>
                <w:color w:val="000000"/>
              </w:rPr>
              <w:t>Delivering member-specific opportunities</w:t>
            </w:r>
            <w:r>
              <w:rPr>
                <w:rFonts w:ascii="Verdana" w:hAnsi="Verdana"/>
                <w:color w:val="000000"/>
              </w:rPr>
              <w:t xml:space="preserve"> </w:t>
            </w:r>
          </w:p>
          <w:p w14:paraId="567CA809" w14:textId="77777777" w:rsidR="00967195" w:rsidRPr="0025615F" w:rsidRDefault="00967195" w:rsidP="00834D9E">
            <w:pPr>
              <w:spacing w:before="120" w:after="120"/>
              <w:rPr>
                <w:rFonts w:ascii="Verdana" w:hAnsi="Verdana"/>
              </w:rPr>
            </w:pPr>
          </w:p>
        </w:tc>
      </w:tr>
      <w:tr w:rsidR="00341FB3" w:rsidRPr="0025615F" w14:paraId="2985944D"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vMerge w:val="restart"/>
          </w:tcPr>
          <w:p w14:paraId="39DA9A12" w14:textId="77777777" w:rsidR="00CD199F" w:rsidRDefault="00CD199F" w:rsidP="00834D9E">
            <w:pPr>
              <w:spacing w:before="120" w:after="120"/>
              <w:jc w:val="center"/>
              <w:rPr>
                <w:rFonts w:ascii="Verdana" w:hAnsi="Verdana"/>
                <w:b/>
                <w:color w:val="000000"/>
              </w:rPr>
            </w:pPr>
            <w:r>
              <w:rPr>
                <w:rFonts w:ascii="Verdana" w:hAnsi="Verdana"/>
                <w:b/>
                <w:color w:val="000000"/>
              </w:rPr>
              <w:t>HD</w:t>
            </w:r>
          </w:p>
          <w:p w14:paraId="064685D8" w14:textId="6222E920" w:rsidR="00CD199F" w:rsidRDefault="00CD199F" w:rsidP="00834D9E">
            <w:pPr>
              <w:spacing w:before="120" w:after="120"/>
              <w:jc w:val="center"/>
              <w:rPr>
                <w:rFonts w:ascii="Verdana" w:hAnsi="Verdana"/>
                <w:b/>
                <w:color w:val="000000"/>
              </w:rPr>
            </w:pPr>
          </w:p>
        </w:tc>
        <w:tc>
          <w:tcPr>
            <w:tcW w:w="1050" w:type="pct"/>
          </w:tcPr>
          <w:p w14:paraId="5A895861" w14:textId="43201103" w:rsidR="00CD199F" w:rsidRPr="00E517E4" w:rsidRDefault="00CD199F" w:rsidP="00834D9E">
            <w:pPr>
              <w:spacing w:before="120" w:after="120"/>
              <w:rPr>
                <w:rFonts w:ascii="Verdana" w:hAnsi="Verdana"/>
                <w:bCs/>
                <w:color w:val="000000"/>
              </w:rPr>
            </w:pPr>
            <w:r>
              <w:rPr>
                <w:rFonts w:ascii="Verdana" w:hAnsi="Verdana"/>
                <w:bCs/>
                <w:color w:val="000000"/>
              </w:rPr>
              <w:t>High Dose</w:t>
            </w:r>
          </w:p>
        </w:tc>
        <w:tc>
          <w:tcPr>
            <w:tcW w:w="3222" w:type="pct"/>
          </w:tcPr>
          <w:p w14:paraId="621061D2" w14:textId="08443DAD" w:rsidR="00CD199F" w:rsidRPr="0025615F" w:rsidRDefault="00CD199F" w:rsidP="00834D9E">
            <w:pPr>
              <w:spacing w:before="120" w:after="120"/>
              <w:rPr>
                <w:rFonts w:ascii="Verdana" w:hAnsi="Verdana"/>
              </w:rPr>
            </w:pPr>
            <w:r>
              <w:rPr>
                <w:rFonts w:ascii="Verdana" w:hAnsi="Verdana"/>
              </w:rPr>
              <w:t xml:space="preserve">This is a dose that is above the recommended daily allowance set by the manufacturer. </w:t>
            </w:r>
          </w:p>
        </w:tc>
      </w:tr>
      <w:tr w:rsidR="00341FB3" w:rsidRPr="0025615F" w14:paraId="521CC9A1"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vMerge/>
          </w:tcPr>
          <w:p w14:paraId="2D27252B" w14:textId="5496D79E" w:rsidR="00CD199F" w:rsidRPr="0025615F" w:rsidRDefault="00CD199F" w:rsidP="00834D9E">
            <w:pPr>
              <w:spacing w:before="120" w:after="120"/>
              <w:jc w:val="center"/>
              <w:rPr>
                <w:rFonts w:ascii="Verdana" w:hAnsi="Verdana"/>
                <w:b/>
                <w:color w:val="000000"/>
              </w:rPr>
            </w:pPr>
          </w:p>
        </w:tc>
        <w:tc>
          <w:tcPr>
            <w:tcW w:w="1050" w:type="pct"/>
          </w:tcPr>
          <w:p w14:paraId="51C9A4B5" w14:textId="77777777" w:rsidR="00CD199F" w:rsidRPr="00E517E4" w:rsidRDefault="00CD199F" w:rsidP="00834D9E">
            <w:pPr>
              <w:spacing w:before="120" w:after="120"/>
              <w:rPr>
                <w:rFonts w:ascii="Verdana" w:hAnsi="Verdana"/>
                <w:bCs/>
                <w:color w:val="000000"/>
              </w:rPr>
            </w:pPr>
            <w:r w:rsidRPr="00E517E4">
              <w:rPr>
                <w:rFonts w:ascii="Verdana" w:hAnsi="Verdana"/>
                <w:bCs/>
                <w:color w:val="000000"/>
              </w:rPr>
              <w:t>Help Desk</w:t>
            </w:r>
          </w:p>
        </w:tc>
        <w:tc>
          <w:tcPr>
            <w:tcW w:w="3222" w:type="pct"/>
          </w:tcPr>
          <w:p w14:paraId="3FC09589" w14:textId="77777777" w:rsidR="00CD199F" w:rsidRDefault="00CD199F" w:rsidP="00834D9E">
            <w:pPr>
              <w:spacing w:before="120" w:after="120"/>
              <w:rPr>
                <w:rFonts w:ascii="Verdana" w:hAnsi="Verdana"/>
              </w:rPr>
            </w:pPr>
            <w:r w:rsidRPr="0025615F">
              <w:rPr>
                <w:rFonts w:ascii="Verdana" w:hAnsi="Verdana"/>
              </w:rPr>
              <w:t>Pharmacy</w:t>
            </w:r>
            <w:r>
              <w:rPr>
                <w:rFonts w:ascii="Verdana" w:hAnsi="Verdana"/>
              </w:rPr>
              <w:t xml:space="preserve"> </w:t>
            </w:r>
            <w:r w:rsidRPr="0025615F">
              <w:rPr>
                <w:rFonts w:ascii="Verdana" w:hAnsi="Verdana"/>
              </w:rPr>
              <w:t>Help</w:t>
            </w:r>
            <w:r>
              <w:rPr>
                <w:rFonts w:ascii="Verdana" w:hAnsi="Verdana"/>
              </w:rPr>
              <w:t xml:space="preserve"> </w:t>
            </w:r>
            <w:r w:rsidRPr="0025615F">
              <w:rPr>
                <w:rFonts w:ascii="Verdana" w:hAnsi="Verdana"/>
              </w:rPr>
              <w:t>Desk</w:t>
            </w:r>
            <w:r>
              <w:rPr>
                <w:rFonts w:ascii="Verdana" w:hAnsi="Verdana"/>
              </w:rPr>
              <w:t xml:space="preserve"> </w:t>
            </w:r>
            <w:r w:rsidRPr="0025615F">
              <w:rPr>
                <w:rFonts w:ascii="Verdana" w:hAnsi="Verdana"/>
              </w:rPr>
              <w:t>receives</w:t>
            </w:r>
            <w:r>
              <w:rPr>
                <w:rFonts w:ascii="Verdana" w:hAnsi="Verdana"/>
              </w:rPr>
              <w:t xml:space="preserve"> </w:t>
            </w:r>
            <w:r w:rsidRPr="0025615F">
              <w:rPr>
                <w:rFonts w:ascii="Verdana" w:hAnsi="Verdana"/>
              </w:rPr>
              <w:t>calls</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assists</w:t>
            </w:r>
            <w:r>
              <w:rPr>
                <w:rFonts w:ascii="Verdana" w:hAnsi="Verdana"/>
              </w:rPr>
              <w:t xml:space="preserve"> </w:t>
            </w:r>
            <w:r w:rsidRPr="0025615F">
              <w:rPr>
                <w:rFonts w:ascii="Verdana" w:hAnsi="Verdana"/>
              </w:rPr>
              <w:t>pharmacies</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questions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problems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arise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submitting</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either</w:t>
            </w:r>
            <w:r>
              <w:rPr>
                <w:rFonts w:ascii="Verdana" w:hAnsi="Verdana"/>
              </w:rPr>
              <w:t xml:space="preserve"> our </w:t>
            </w:r>
            <w:r w:rsidRPr="0025615F">
              <w:rPr>
                <w:rFonts w:ascii="Verdana" w:hAnsi="Verdana"/>
              </w:rPr>
              <w:t>RECAP</w:t>
            </w:r>
            <w:r>
              <w:rPr>
                <w:rFonts w:ascii="Verdana" w:hAnsi="Verdana"/>
              </w:rPr>
              <w:t xml:space="preserve"> </w:t>
            </w:r>
            <w:r w:rsidRPr="0025615F">
              <w:rPr>
                <w:rFonts w:ascii="Verdana" w:hAnsi="Verdana"/>
              </w:rPr>
              <w:t>or</w:t>
            </w:r>
            <w:r>
              <w:rPr>
                <w:rFonts w:ascii="Verdana" w:hAnsi="Verdana"/>
              </w:rPr>
              <w:t xml:space="preserve"> </w:t>
            </w:r>
            <w:proofErr w:type="spellStart"/>
            <w:r w:rsidRPr="0025615F">
              <w:rPr>
                <w:rFonts w:ascii="Verdana" w:hAnsi="Verdana"/>
              </w:rPr>
              <w:t>RxClaim</w:t>
            </w:r>
            <w:proofErr w:type="spellEnd"/>
            <w:r>
              <w:rPr>
                <w:rFonts w:ascii="Verdana" w:hAnsi="Verdana"/>
              </w:rPr>
              <w:t xml:space="preserve"> </w:t>
            </w:r>
            <w:r w:rsidRPr="0025615F">
              <w:rPr>
                <w:rFonts w:ascii="Verdana" w:hAnsi="Verdana"/>
              </w:rPr>
              <w:t>system.</w:t>
            </w:r>
          </w:p>
          <w:p w14:paraId="5A35842E" w14:textId="77777777" w:rsidR="00CD199F" w:rsidRPr="0025615F" w:rsidRDefault="00CD199F" w:rsidP="00834D9E">
            <w:pPr>
              <w:spacing w:before="120" w:after="120"/>
              <w:rPr>
                <w:rFonts w:ascii="Verdana" w:hAnsi="Verdana"/>
              </w:rPr>
            </w:pPr>
          </w:p>
        </w:tc>
      </w:tr>
      <w:tr w:rsidR="00341FB3" w:rsidRPr="0025615F" w14:paraId="10058470"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vMerge/>
          </w:tcPr>
          <w:p w14:paraId="42231ABA" w14:textId="5B3CFF44" w:rsidR="00CD199F" w:rsidRDefault="00CD199F" w:rsidP="00834D9E">
            <w:pPr>
              <w:spacing w:before="120" w:after="120"/>
              <w:jc w:val="center"/>
              <w:rPr>
                <w:rFonts w:ascii="Verdana" w:hAnsi="Verdana"/>
                <w:b/>
                <w:color w:val="000000"/>
              </w:rPr>
            </w:pPr>
          </w:p>
        </w:tc>
        <w:tc>
          <w:tcPr>
            <w:tcW w:w="1050" w:type="pct"/>
          </w:tcPr>
          <w:p w14:paraId="57C5226B" w14:textId="5C85049C" w:rsidR="00CD199F" w:rsidRPr="00E517E4" w:rsidRDefault="00CD199F" w:rsidP="00834D9E">
            <w:pPr>
              <w:spacing w:before="120" w:after="120"/>
              <w:rPr>
                <w:rFonts w:ascii="Verdana" w:hAnsi="Verdana"/>
                <w:bCs/>
                <w:color w:val="000000"/>
              </w:rPr>
            </w:pPr>
            <w:r>
              <w:rPr>
                <w:rFonts w:ascii="Verdana" w:hAnsi="Verdana"/>
                <w:bCs/>
                <w:color w:val="000000"/>
              </w:rPr>
              <w:t xml:space="preserve">Home Delivery </w:t>
            </w:r>
          </w:p>
        </w:tc>
        <w:tc>
          <w:tcPr>
            <w:tcW w:w="3222" w:type="pct"/>
          </w:tcPr>
          <w:p w14:paraId="40C63C56" w14:textId="77777777" w:rsidR="00CD199F" w:rsidRPr="0025615F" w:rsidRDefault="00CD199F" w:rsidP="00834D9E">
            <w:pPr>
              <w:spacing w:before="120" w:after="120"/>
              <w:rPr>
                <w:rFonts w:ascii="Verdana" w:hAnsi="Verdana"/>
              </w:rPr>
            </w:pPr>
          </w:p>
        </w:tc>
      </w:tr>
      <w:tr w:rsidR="00341FB3" w:rsidRPr="0025615F" w14:paraId="005970FB"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356FF510"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HHS</w:t>
            </w:r>
            <w:r>
              <w:rPr>
                <w:rFonts w:ascii="Verdana" w:hAnsi="Verdana"/>
                <w:b/>
                <w:color w:val="000000"/>
              </w:rPr>
              <w:t xml:space="preserve"> </w:t>
            </w:r>
          </w:p>
        </w:tc>
        <w:tc>
          <w:tcPr>
            <w:tcW w:w="1050" w:type="pct"/>
          </w:tcPr>
          <w:p w14:paraId="23193CE8" w14:textId="77777777" w:rsidR="00967195" w:rsidRPr="00E517E4" w:rsidRDefault="00967195" w:rsidP="00834D9E">
            <w:pPr>
              <w:spacing w:before="120" w:after="120"/>
              <w:rPr>
                <w:rFonts w:ascii="Verdana" w:hAnsi="Verdana" w:cs="Arial"/>
                <w:bCs/>
              </w:rPr>
            </w:pPr>
            <w:r w:rsidRPr="00E517E4">
              <w:rPr>
                <w:rFonts w:ascii="Verdana" w:hAnsi="Verdana" w:cs="Arial"/>
                <w:bCs/>
              </w:rPr>
              <w:t>Health and Human Services</w:t>
            </w:r>
          </w:p>
        </w:tc>
        <w:tc>
          <w:tcPr>
            <w:tcW w:w="3222" w:type="pct"/>
          </w:tcPr>
          <w:p w14:paraId="1A425ECF" w14:textId="77777777" w:rsidR="00967195" w:rsidRPr="0025615F" w:rsidRDefault="00967195" w:rsidP="00834D9E">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DEPARTMENT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HUMAN</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United</w:t>
            </w:r>
            <w:r>
              <w:rPr>
                <w:rFonts w:ascii="Verdana" w:hAnsi="Verdana"/>
              </w:rPr>
              <w:t xml:space="preserve"> </w:t>
            </w:r>
            <w:r w:rsidRPr="0025615F">
              <w:rPr>
                <w:rFonts w:ascii="Verdana" w:hAnsi="Verdana"/>
              </w:rPr>
              <w:t>States</w:t>
            </w:r>
            <w:r>
              <w:rPr>
                <w:rFonts w:ascii="Verdana" w:hAnsi="Verdana"/>
              </w:rPr>
              <w:t xml:space="preserve"> </w:t>
            </w:r>
            <w:r w:rsidRPr="0025615F">
              <w:rPr>
                <w:rFonts w:ascii="Verdana" w:hAnsi="Verdana"/>
              </w:rPr>
              <w:t>government</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principal</w:t>
            </w:r>
            <w:r>
              <w:rPr>
                <w:rFonts w:ascii="Verdana" w:hAnsi="Verdana"/>
              </w:rPr>
              <w:t xml:space="preserve"> </w:t>
            </w:r>
            <w:r w:rsidRPr="0025615F">
              <w:rPr>
                <w:rFonts w:ascii="Verdana" w:hAnsi="Verdana"/>
              </w:rPr>
              <w:t>agency</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protecting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Americans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providing</w:t>
            </w:r>
            <w:r>
              <w:rPr>
                <w:rFonts w:ascii="Verdana" w:hAnsi="Verdana"/>
              </w:rPr>
              <w:t xml:space="preserve"> </w:t>
            </w:r>
            <w:r w:rsidRPr="0025615F">
              <w:rPr>
                <w:rFonts w:ascii="Verdana" w:hAnsi="Verdana"/>
              </w:rPr>
              <w:t>essential</w:t>
            </w:r>
            <w:r>
              <w:rPr>
                <w:rFonts w:ascii="Verdana" w:hAnsi="Verdana"/>
              </w:rPr>
              <w:t xml:space="preserve"> </w:t>
            </w:r>
            <w:r w:rsidRPr="0025615F">
              <w:rPr>
                <w:rFonts w:ascii="Verdana" w:hAnsi="Verdana"/>
              </w:rPr>
              <w:t>human</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especially</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those</w:t>
            </w:r>
            <w:r>
              <w:rPr>
                <w:rFonts w:ascii="Verdana" w:hAnsi="Verdana"/>
              </w:rPr>
              <w:t xml:space="preserve"> </w:t>
            </w:r>
            <w:r w:rsidRPr="0025615F">
              <w:rPr>
                <w:rFonts w:ascii="Verdana" w:hAnsi="Verdana"/>
              </w:rPr>
              <w:t>who</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least</w:t>
            </w:r>
            <w:r>
              <w:rPr>
                <w:rFonts w:ascii="Verdana" w:hAnsi="Verdana"/>
              </w:rPr>
              <w:t xml:space="preserve"> </w:t>
            </w:r>
            <w:r w:rsidRPr="0025615F">
              <w:rPr>
                <w:rFonts w:ascii="Verdana" w:hAnsi="Verdana"/>
              </w:rPr>
              <w:t>able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help</w:t>
            </w:r>
            <w:r>
              <w:rPr>
                <w:rFonts w:ascii="Verdana" w:hAnsi="Verdana"/>
              </w:rPr>
              <w:t xml:space="preserve"> </w:t>
            </w:r>
            <w:r w:rsidRPr="0025615F">
              <w:rPr>
                <w:rFonts w:ascii="Verdana" w:hAnsi="Verdana"/>
              </w:rPr>
              <w:t>themselves.</w:t>
            </w:r>
          </w:p>
          <w:p w14:paraId="7F3BEC75" w14:textId="77777777" w:rsidR="00967195" w:rsidRPr="0025615F" w:rsidRDefault="00967195" w:rsidP="00834D9E">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DEPARTMENT</w:t>
            </w:r>
            <w:r>
              <w:rPr>
                <w:rFonts w:ascii="Verdana" w:hAnsi="Verdana"/>
              </w:rPr>
              <w:t xml:space="preserve"> </w:t>
            </w:r>
            <w:r w:rsidRPr="0025615F">
              <w:rPr>
                <w:rFonts w:ascii="Verdana" w:hAnsi="Verdana"/>
              </w:rPr>
              <w:t>INCLUDES</w:t>
            </w:r>
            <w:r>
              <w:rPr>
                <w:rFonts w:ascii="Verdana" w:hAnsi="Verdana"/>
              </w:rPr>
              <w:t xml:space="preserve"> </w:t>
            </w:r>
            <w:r w:rsidRPr="0025615F">
              <w:rPr>
                <w:rFonts w:ascii="Verdana" w:hAnsi="Verdana"/>
              </w:rPr>
              <w:t>MORE</w:t>
            </w:r>
            <w:r>
              <w:rPr>
                <w:rFonts w:ascii="Verdana" w:hAnsi="Verdana"/>
              </w:rPr>
              <w:t xml:space="preserve"> </w:t>
            </w:r>
            <w:r w:rsidRPr="0025615F">
              <w:rPr>
                <w:rFonts w:ascii="Verdana" w:hAnsi="Verdana"/>
              </w:rPr>
              <w:t>THAN</w:t>
            </w:r>
            <w:r>
              <w:rPr>
                <w:rFonts w:ascii="Verdana" w:hAnsi="Verdana"/>
              </w:rPr>
              <w:t xml:space="preserve"> </w:t>
            </w:r>
            <w:r w:rsidRPr="0025615F">
              <w:rPr>
                <w:rFonts w:ascii="Verdana" w:hAnsi="Verdana"/>
              </w:rPr>
              <w:t>300</w:t>
            </w:r>
            <w:r>
              <w:rPr>
                <w:rFonts w:ascii="Verdana" w:hAnsi="Verdana"/>
              </w:rPr>
              <w:t xml:space="preserve"> </w:t>
            </w:r>
            <w:r w:rsidRPr="0025615F">
              <w:rPr>
                <w:rFonts w:ascii="Verdana" w:hAnsi="Verdana"/>
              </w:rPr>
              <w:t>PROGRAMS,</w:t>
            </w:r>
            <w:r>
              <w:rPr>
                <w:rFonts w:ascii="Verdana" w:hAnsi="Verdana"/>
              </w:rPr>
              <w:t xml:space="preserve"> co</w:t>
            </w:r>
            <w:r w:rsidRPr="0025615F">
              <w:rPr>
                <w:rFonts w:ascii="Verdana" w:hAnsi="Verdana"/>
              </w:rPr>
              <w:t>vering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wide</w:t>
            </w:r>
            <w:r>
              <w:rPr>
                <w:rFonts w:ascii="Verdana" w:hAnsi="Verdana"/>
              </w:rPr>
              <w:t xml:space="preserve"> </w:t>
            </w:r>
            <w:r w:rsidRPr="0025615F">
              <w:rPr>
                <w:rFonts w:ascii="Verdana" w:hAnsi="Verdana"/>
              </w:rPr>
              <w:t>spectrum</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activities.</w:t>
            </w:r>
            <w:r>
              <w:rPr>
                <w:rFonts w:ascii="Verdana" w:hAnsi="Verdana"/>
              </w:rPr>
              <w:t xml:space="preserve"> </w:t>
            </w:r>
            <w:r w:rsidRPr="0025615F">
              <w:rPr>
                <w:rFonts w:ascii="Verdana" w:hAnsi="Verdana"/>
              </w:rPr>
              <w:t>Some</w:t>
            </w:r>
            <w:r>
              <w:rPr>
                <w:rFonts w:ascii="Verdana" w:hAnsi="Verdana"/>
              </w:rPr>
              <w:t xml:space="preserve"> </w:t>
            </w:r>
            <w:r w:rsidRPr="0025615F">
              <w:rPr>
                <w:rFonts w:ascii="Verdana" w:hAnsi="Verdana"/>
              </w:rPr>
              <w:t>highlights</w:t>
            </w:r>
            <w:r>
              <w:rPr>
                <w:rFonts w:ascii="Verdana" w:hAnsi="Verdana"/>
              </w:rPr>
              <w:t xml:space="preserve"> </w:t>
            </w:r>
            <w:r w:rsidRPr="0025615F">
              <w:rPr>
                <w:rFonts w:ascii="Verdana" w:hAnsi="Verdana"/>
              </w:rPr>
              <w:t>include:</w:t>
            </w:r>
          </w:p>
          <w:p w14:paraId="38EB4CB9"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Health</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social</w:t>
            </w:r>
            <w:r>
              <w:rPr>
                <w:rFonts w:ascii="Verdana" w:hAnsi="Verdana"/>
                <w:iCs/>
              </w:rPr>
              <w:t xml:space="preserve"> </w:t>
            </w:r>
            <w:r w:rsidRPr="0025615F">
              <w:rPr>
                <w:rFonts w:ascii="Verdana" w:hAnsi="Verdana"/>
                <w:iCs/>
              </w:rPr>
              <w:t>science</w:t>
            </w:r>
            <w:r>
              <w:rPr>
                <w:rFonts w:ascii="Verdana" w:hAnsi="Verdana"/>
                <w:iCs/>
              </w:rPr>
              <w:t xml:space="preserve"> </w:t>
            </w:r>
            <w:r w:rsidRPr="0025615F">
              <w:rPr>
                <w:rFonts w:ascii="Verdana" w:hAnsi="Verdana"/>
                <w:iCs/>
              </w:rPr>
              <w:t>research</w:t>
            </w:r>
            <w:r>
              <w:rPr>
                <w:rFonts w:ascii="Verdana" w:hAnsi="Verdana"/>
              </w:rPr>
              <w:t xml:space="preserve"> </w:t>
            </w:r>
          </w:p>
          <w:p w14:paraId="35EB37BD"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Preventing</w:t>
            </w:r>
            <w:r>
              <w:rPr>
                <w:rFonts w:ascii="Verdana" w:hAnsi="Verdana"/>
                <w:iCs/>
              </w:rPr>
              <w:t xml:space="preserve"> </w:t>
            </w:r>
            <w:r w:rsidRPr="0025615F">
              <w:rPr>
                <w:rFonts w:ascii="Verdana" w:hAnsi="Verdana"/>
                <w:iCs/>
              </w:rPr>
              <w:t>disease,</w:t>
            </w:r>
            <w:r>
              <w:rPr>
                <w:rFonts w:ascii="Verdana" w:hAnsi="Verdana"/>
                <w:iCs/>
              </w:rPr>
              <w:t xml:space="preserve"> </w:t>
            </w:r>
            <w:r w:rsidRPr="0025615F">
              <w:rPr>
                <w:rFonts w:ascii="Verdana" w:hAnsi="Verdana"/>
                <w:iCs/>
              </w:rPr>
              <w:t>including</w:t>
            </w:r>
            <w:r>
              <w:rPr>
                <w:rFonts w:ascii="Verdana" w:hAnsi="Verdana"/>
                <w:iCs/>
              </w:rPr>
              <w:t xml:space="preserve"> </w:t>
            </w:r>
            <w:r w:rsidRPr="0025615F">
              <w:rPr>
                <w:rFonts w:ascii="Verdana" w:hAnsi="Verdana"/>
                <w:iCs/>
              </w:rPr>
              <w:t>immunization</w:t>
            </w:r>
            <w:r>
              <w:rPr>
                <w:rFonts w:ascii="Verdana" w:hAnsi="Verdana"/>
                <w:iCs/>
              </w:rPr>
              <w:t xml:space="preserve"> </w:t>
            </w:r>
            <w:r w:rsidRPr="0025615F">
              <w:rPr>
                <w:rFonts w:ascii="Verdana" w:hAnsi="Verdana"/>
                <w:iCs/>
              </w:rPr>
              <w:t>services</w:t>
            </w:r>
            <w:r>
              <w:rPr>
                <w:rFonts w:ascii="Verdana" w:hAnsi="Verdana"/>
              </w:rPr>
              <w:t xml:space="preserve"> </w:t>
            </w:r>
          </w:p>
          <w:p w14:paraId="1BC62208"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Assuring</w:t>
            </w:r>
            <w:r>
              <w:rPr>
                <w:rFonts w:ascii="Verdana" w:hAnsi="Verdana"/>
                <w:iCs/>
              </w:rPr>
              <w:t xml:space="preserve"> </w:t>
            </w:r>
            <w:r w:rsidRPr="0025615F">
              <w:rPr>
                <w:rFonts w:ascii="Verdana" w:hAnsi="Verdana"/>
                <w:iCs/>
              </w:rPr>
              <w:t>food</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drug</w:t>
            </w:r>
            <w:r>
              <w:rPr>
                <w:rFonts w:ascii="Verdana" w:hAnsi="Verdana"/>
                <w:iCs/>
              </w:rPr>
              <w:t xml:space="preserve"> </w:t>
            </w:r>
            <w:r w:rsidRPr="0025615F">
              <w:rPr>
                <w:rFonts w:ascii="Verdana" w:hAnsi="Verdana"/>
                <w:iCs/>
              </w:rPr>
              <w:t>safety</w:t>
            </w:r>
            <w:r>
              <w:rPr>
                <w:rFonts w:ascii="Verdana" w:hAnsi="Verdana"/>
              </w:rPr>
              <w:t xml:space="preserve"> </w:t>
            </w:r>
          </w:p>
          <w:p w14:paraId="1B14549D"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Medicare</w:t>
            </w:r>
            <w:r>
              <w:rPr>
                <w:rFonts w:ascii="Verdana" w:hAnsi="Verdana"/>
                <w:iCs/>
              </w:rPr>
              <w:t xml:space="preserve"> </w:t>
            </w:r>
            <w:r w:rsidRPr="0025615F">
              <w:rPr>
                <w:rFonts w:ascii="Verdana" w:hAnsi="Verdana"/>
                <w:iCs/>
              </w:rPr>
              <w:t>(health</w:t>
            </w:r>
            <w:r>
              <w:rPr>
                <w:rFonts w:ascii="Verdana" w:hAnsi="Verdana"/>
                <w:iCs/>
              </w:rPr>
              <w:t xml:space="preserve"> </w:t>
            </w:r>
            <w:r w:rsidRPr="0025615F">
              <w:rPr>
                <w:rFonts w:ascii="Verdana" w:hAnsi="Verdana"/>
                <w:iCs/>
              </w:rPr>
              <w:t>insurance</w:t>
            </w:r>
            <w:r>
              <w:rPr>
                <w:rFonts w:ascii="Verdana" w:hAnsi="Verdana"/>
                <w:iCs/>
              </w:rPr>
              <w:t xml:space="preserve"> </w:t>
            </w:r>
            <w:r w:rsidRPr="0025615F">
              <w:rPr>
                <w:rFonts w:ascii="Verdana" w:hAnsi="Verdana"/>
                <w:iCs/>
              </w:rPr>
              <w:t>for</w:t>
            </w:r>
            <w:r>
              <w:rPr>
                <w:rFonts w:ascii="Verdana" w:hAnsi="Verdana"/>
                <w:iCs/>
              </w:rPr>
              <w:t xml:space="preserve"> </w:t>
            </w:r>
            <w:r w:rsidRPr="0025615F">
              <w:rPr>
                <w:rFonts w:ascii="Verdana" w:hAnsi="Verdana"/>
                <w:iCs/>
              </w:rPr>
              <w:t>elderly</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disabled</w:t>
            </w:r>
            <w:r>
              <w:rPr>
                <w:rFonts w:ascii="Verdana" w:hAnsi="Verdana"/>
                <w:iCs/>
              </w:rPr>
              <w:t xml:space="preserve"> </w:t>
            </w:r>
            <w:r w:rsidRPr="0025615F">
              <w:rPr>
                <w:rFonts w:ascii="Verdana" w:hAnsi="Verdana"/>
                <w:iCs/>
              </w:rPr>
              <w:t>Americans)</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Medicaid</w:t>
            </w:r>
            <w:r>
              <w:rPr>
                <w:rFonts w:ascii="Verdana" w:hAnsi="Verdana"/>
                <w:iCs/>
              </w:rPr>
              <w:t xml:space="preserve"> </w:t>
            </w:r>
            <w:r w:rsidRPr="0025615F">
              <w:rPr>
                <w:rFonts w:ascii="Verdana" w:hAnsi="Verdana"/>
                <w:iCs/>
              </w:rPr>
              <w:t>(health</w:t>
            </w:r>
            <w:r>
              <w:rPr>
                <w:rFonts w:ascii="Verdana" w:hAnsi="Verdana"/>
                <w:iCs/>
              </w:rPr>
              <w:t xml:space="preserve"> </w:t>
            </w:r>
            <w:r w:rsidRPr="0025615F">
              <w:rPr>
                <w:rFonts w:ascii="Verdana" w:hAnsi="Verdana"/>
                <w:iCs/>
              </w:rPr>
              <w:t>insurance</w:t>
            </w:r>
            <w:r>
              <w:rPr>
                <w:rFonts w:ascii="Verdana" w:hAnsi="Verdana"/>
                <w:iCs/>
              </w:rPr>
              <w:t xml:space="preserve"> </w:t>
            </w:r>
            <w:r w:rsidRPr="0025615F">
              <w:rPr>
                <w:rFonts w:ascii="Verdana" w:hAnsi="Verdana"/>
                <w:iCs/>
              </w:rPr>
              <w:t>for</w:t>
            </w:r>
            <w:r>
              <w:rPr>
                <w:rFonts w:ascii="Verdana" w:hAnsi="Verdana"/>
                <w:iCs/>
              </w:rPr>
              <w:t xml:space="preserve"> </w:t>
            </w:r>
            <w:r w:rsidRPr="0025615F">
              <w:rPr>
                <w:rFonts w:ascii="Verdana" w:hAnsi="Verdana"/>
                <w:iCs/>
              </w:rPr>
              <w:t>low-in</w:t>
            </w:r>
            <w:r>
              <w:rPr>
                <w:rFonts w:ascii="Verdana" w:hAnsi="Verdana"/>
                <w:iCs/>
              </w:rPr>
              <w:t>co</w:t>
            </w:r>
            <w:r w:rsidRPr="0025615F">
              <w:rPr>
                <w:rFonts w:ascii="Verdana" w:hAnsi="Verdana"/>
                <w:iCs/>
              </w:rPr>
              <w:t>me</w:t>
            </w:r>
            <w:r>
              <w:rPr>
                <w:rFonts w:ascii="Verdana" w:hAnsi="Verdana"/>
                <w:iCs/>
              </w:rPr>
              <w:t xml:space="preserve"> </w:t>
            </w:r>
            <w:r w:rsidRPr="0025615F">
              <w:rPr>
                <w:rFonts w:ascii="Verdana" w:hAnsi="Verdana"/>
                <w:iCs/>
              </w:rPr>
              <w:t>people)</w:t>
            </w:r>
            <w:r>
              <w:rPr>
                <w:rFonts w:ascii="Verdana" w:hAnsi="Verdana"/>
              </w:rPr>
              <w:t xml:space="preserve"> </w:t>
            </w:r>
          </w:p>
          <w:p w14:paraId="75FEDE5A"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Health</w:t>
            </w:r>
            <w:r>
              <w:rPr>
                <w:rFonts w:ascii="Verdana" w:hAnsi="Verdana"/>
                <w:iCs/>
              </w:rPr>
              <w:t xml:space="preserve"> </w:t>
            </w:r>
            <w:r w:rsidRPr="0025615F">
              <w:rPr>
                <w:rFonts w:ascii="Verdana" w:hAnsi="Verdana"/>
                <w:iCs/>
              </w:rPr>
              <w:t>information</w:t>
            </w:r>
            <w:r>
              <w:rPr>
                <w:rFonts w:ascii="Verdana" w:hAnsi="Verdana"/>
                <w:iCs/>
              </w:rPr>
              <w:t xml:space="preserve"> </w:t>
            </w:r>
            <w:r w:rsidRPr="0025615F">
              <w:rPr>
                <w:rFonts w:ascii="Verdana" w:hAnsi="Verdana"/>
                <w:iCs/>
              </w:rPr>
              <w:t>technology</w:t>
            </w:r>
            <w:r>
              <w:rPr>
                <w:rFonts w:ascii="Verdana" w:hAnsi="Verdana"/>
              </w:rPr>
              <w:t xml:space="preserve"> </w:t>
            </w:r>
          </w:p>
          <w:p w14:paraId="4DA5224C"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Financial</w:t>
            </w:r>
            <w:r>
              <w:rPr>
                <w:rFonts w:ascii="Verdana" w:hAnsi="Verdana"/>
                <w:iCs/>
              </w:rPr>
              <w:t xml:space="preserve"> </w:t>
            </w:r>
            <w:r w:rsidRPr="0025615F">
              <w:rPr>
                <w:rFonts w:ascii="Verdana" w:hAnsi="Verdana"/>
                <w:iCs/>
              </w:rPr>
              <w:t>assistance</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services</w:t>
            </w:r>
            <w:r>
              <w:rPr>
                <w:rFonts w:ascii="Verdana" w:hAnsi="Verdana"/>
                <w:iCs/>
              </w:rPr>
              <w:t xml:space="preserve"> </w:t>
            </w:r>
            <w:r w:rsidRPr="0025615F">
              <w:rPr>
                <w:rFonts w:ascii="Verdana" w:hAnsi="Verdana"/>
                <w:iCs/>
              </w:rPr>
              <w:t>for</w:t>
            </w:r>
            <w:r>
              <w:rPr>
                <w:rFonts w:ascii="Verdana" w:hAnsi="Verdana"/>
                <w:iCs/>
              </w:rPr>
              <w:t xml:space="preserve"> </w:t>
            </w:r>
            <w:r w:rsidRPr="0025615F">
              <w:rPr>
                <w:rFonts w:ascii="Verdana" w:hAnsi="Verdana"/>
                <w:iCs/>
              </w:rPr>
              <w:t>low-in</w:t>
            </w:r>
            <w:r>
              <w:rPr>
                <w:rFonts w:ascii="Verdana" w:hAnsi="Verdana"/>
                <w:iCs/>
              </w:rPr>
              <w:t>co</w:t>
            </w:r>
            <w:r w:rsidRPr="0025615F">
              <w:rPr>
                <w:rFonts w:ascii="Verdana" w:hAnsi="Verdana"/>
                <w:iCs/>
              </w:rPr>
              <w:t>me</w:t>
            </w:r>
            <w:r>
              <w:rPr>
                <w:rFonts w:ascii="Verdana" w:hAnsi="Verdana"/>
                <w:iCs/>
              </w:rPr>
              <w:t xml:space="preserve"> </w:t>
            </w:r>
            <w:r w:rsidRPr="0025615F">
              <w:rPr>
                <w:rFonts w:ascii="Verdana" w:hAnsi="Verdana"/>
                <w:iCs/>
              </w:rPr>
              <w:t>families</w:t>
            </w:r>
            <w:r>
              <w:rPr>
                <w:rFonts w:ascii="Verdana" w:hAnsi="Verdana"/>
              </w:rPr>
              <w:t xml:space="preserve"> </w:t>
            </w:r>
          </w:p>
          <w:p w14:paraId="5321A456"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Improving</w:t>
            </w:r>
            <w:r>
              <w:rPr>
                <w:rFonts w:ascii="Verdana" w:hAnsi="Verdana"/>
                <w:iCs/>
              </w:rPr>
              <w:t xml:space="preserve"> </w:t>
            </w:r>
            <w:r w:rsidRPr="0025615F">
              <w:rPr>
                <w:rFonts w:ascii="Verdana" w:hAnsi="Verdana"/>
                <w:iCs/>
              </w:rPr>
              <w:t>maternal</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infant</w:t>
            </w:r>
            <w:r>
              <w:rPr>
                <w:rFonts w:ascii="Verdana" w:hAnsi="Verdana"/>
                <w:iCs/>
              </w:rPr>
              <w:t xml:space="preserve"> </w:t>
            </w:r>
            <w:r w:rsidRPr="0025615F">
              <w:rPr>
                <w:rFonts w:ascii="Verdana" w:hAnsi="Verdana"/>
                <w:iCs/>
              </w:rPr>
              <w:t>health</w:t>
            </w:r>
            <w:r>
              <w:rPr>
                <w:rFonts w:ascii="Verdana" w:hAnsi="Verdana"/>
              </w:rPr>
              <w:t xml:space="preserve"> </w:t>
            </w:r>
          </w:p>
          <w:p w14:paraId="4CAA5234"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Head</w:t>
            </w:r>
            <w:r>
              <w:rPr>
                <w:rFonts w:ascii="Verdana" w:hAnsi="Verdana"/>
                <w:iCs/>
              </w:rPr>
              <w:t xml:space="preserve"> </w:t>
            </w:r>
            <w:r w:rsidRPr="0025615F">
              <w:rPr>
                <w:rFonts w:ascii="Verdana" w:hAnsi="Verdana"/>
                <w:iCs/>
              </w:rPr>
              <w:t>Start</w:t>
            </w:r>
            <w:r>
              <w:rPr>
                <w:rFonts w:ascii="Verdana" w:hAnsi="Verdana"/>
                <w:iCs/>
              </w:rPr>
              <w:t xml:space="preserve"> </w:t>
            </w:r>
            <w:r w:rsidRPr="0025615F">
              <w:rPr>
                <w:rFonts w:ascii="Verdana" w:hAnsi="Verdana"/>
                <w:iCs/>
              </w:rPr>
              <w:t>(pre-school</w:t>
            </w:r>
            <w:r>
              <w:rPr>
                <w:rFonts w:ascii="Verdana" w:hAnsi="Verdana"/>
                <w:iCs/>
              </w:rPr>
              <w:t xml:space="preserve"> </w:t>
            </w:r>
            <w:r w:rsidRPr="0025615F">
              <w:rPr>
                <w:rFonts w:ascii="Verdana" w:hAnsi="Verdana"/>
                <w:iCs/>
              </w:rPr>
              <w:t>education</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services)</w:t>
            </w:r>
            <w:r>
              <w:rPr>
                <w:rFonts w:ascii="Verdana" w:hAnsi="Verdana"/>
              </w:rPr>
              <w:t xml:space="preserve"> </w:t>
            </w:r>
          </w:p>
          <w:p w14:paraId="3D20825D"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Faith-based</w:t>
            </w:r>
            <w:r>
              <w:rPr>
                <w:rFonts w:ascii="Verdana" w:hAnsi="Verdana"/>
                <w:iCs/>
              </w:rPr>
              <w:t xml:space="preserve"> </w:t>
            </w:r>
            <w:r w:rsidRPr="0025615F">
              <w:rPr>
                <w:rFonts w:ascii="Verdana" w:hAnsi="Verdana"/>
                <w:iCs/>
              </w:rPr>
              <w:t>and</w:t>
            </w:r>
            <w:r>
              <w:rPr>
                <w:rFonts w:ascii="Verdana" w:hAnsi="Verdana"/>
                <w:iCs/>
              </w:rPr>
              <w:t xml:space="preserve"> co</w:t>
            </w:r>
            <w:r w:rsidRPr="0025615F">
              <w:rPr>
                <w:rFonts w:ascii="Verdana" w:hAnsi="Verdana"/>
                <w:iCs/>
              </w:rPr>
              <w:t>mmunity</w:t>
            </w:r>
            <w:r>
              <w:rPr>
                <w:rFonts w:ascii="Verdana" w:hAnsi="Verdana"/>
                <w:iCs/>
              </w:rPr>
              <w:t xml:space="preserve"> </w:t>
            </w:r>
            <w:r w:rsidRPr="0025615F">
              <w:rPr>
                <w:rFonts w:ascii="Verdana" w:hAnsi="Verdana"/>
                <w:iCs/>
              </w:rPr>
              <w:t>initiatives</w:t>
            </w:r>
            <w:r>
              <w:rPr>
                <w:rFonts w:ascii="Verdana" w:hAnsi="Verdana"/>
              </w:rPr>
              <w:t xml:space="preserve"> </w:t>
            </w:r>
          </w:p>
          <w:p w14:paraId="2335EBB9"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Preventing</w:t>
            </w:r>
            <w:r>
              <w:rPr>
                <w:rFonts w:ascii="Verdana" w:hAnsi="Verdana"/>
                <w:iCs/>
              </w:rPr>
              <w:t xml:space="preserve"> </w:t>
            </w:r>
            <w:r w:rsidRPr="0025615F">
              <w:rPr>
                <w:rFonts w:ascii="Verdana" w:hAnsi="Verdana"/>
                <w:iCs/>
              </w:rPr>
              <w:t>child</w:t>
            </w:r>
            <w:r>
              <w:rPr>
                <w:rFonts w:ascii="Verdana" w:hAnsi="Verdana"/>
                <w:iCs/>
              </w:rPr>
              <w:t xml:space="preserve"> </w:t>
            </w:r>
            <w:r w:rsidRPr="0025615F">
              <w:rPr>
                <w:rFonts w:ascii="Verdana" w:hAnsi="Verdana"/>
                <w:iCs/>
              </w:rPr>
              <w:t>abuse</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domestic</w:t>
            </w:r>
            <w:r>
              <w:rPr>
                <w:rFonts w:ascii="Verdana" w:hAnsi="Verdana"/>
                <w:iCs/>
              </w:rPr>
              <w:t xml:space="preserve"> </w:t>
            </w:r>
            <w:r w:rsidRPr="0025615F">
              <w:rPr>
                <w:rFonts w:ascii="Verdana" w:hAnsi="Verdana"/>
                <w:iCs/>
              </w:rPr>
              <w:t>violence</w:t>
            </w:r>
            <w:r>
              <w:rPr>
                <w:rFonts w:ascii="Verdana" w:hAnsi="Verdana"/>
              </w:rPr>
              <w:t xml:space="preserve"> </w:t>
            </w:r>
          </w:p>
          <w:p w14:paraId="66A0EC0D"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Substance</w:t>
            </w:r>
            <w:r>
              <w:rPr>
                <w:rFonts w:ascii="Verdana" w:hAnsi="Verdana"/>
                <w:iCs/>
              </w:rPr>
              <w:t xml:space="preserve"> </w:t>
            </w:r>
            <w:r w:rsidRPr="0025615F">
              <w:rPr>
                <w:rFonts w:ascii="Verdana" w:hAnsi="Verdana"/>
                <w:iCs/>
              </w:rPr>
              <w:t>abuse</w:t>
            </w:r>
            <w:r>
              <w:rPr>
                <w:rFonts w:ascii="Verdana" w:hAnsi="Verdana"/>
                <w:iCs/>
              </w:rPr>
              <w:t xml:space="preserve"> </w:t>
            </w:r>
            <w:r w:rsidRPr="0025615F">
              <w:rPr>
                <w:rFonts w:ascii="Verdana" w:hAnsi="Verdana"/>
                <w:iCs/>
              </w:rPr>
              <w:t>treatment</w:t>
            </w:r>
            <w:r>
              <w:rPr>
                <w:rFonts w:ascii="Verdana" w:hAnsi="Verdana"/>
                <w:iCs/>
              </w:rPr>
              <w:t xml:space="preserve"> </w:t>
            </w:r>
            <w:r w:rsidRPr="0025615F">
              <w:rPr>
                <w:rFonts w:ascii="Verdana" w:hAnsi="Verdana"/>
                <w:iCs/>
              </w:rPr>
              <w:t>and</w:t>
            </w:r>
            <w:r>
              <w:rPr>
                <w:rFonts w:ascii="Verdana" w:hAnsi="Verdana"/>
                <w:iCs/>
              </w:rPr>
              <w:t xml:space="preserve"> </w:t>
            </w:r>
            <w:r w:rsidRPr="0025615F">
              <w:rPr>
                <w:rFonts w:ascii="Verdana" w:hAnsi="Verdana"/>
                <w:iCs/>
              </w:rPr>
              <w:t>prevention</w:t>
            </w:r>
            <w:r>
              <w:rPr>
                <w:rFonts w:ascii="Verdana" w:hAnsi="Verdana"/>
              </w:rPr>
              <w:t xml:space="preserve"> </w:t>
            </w:r>
          </w:p>
          <w:p w14:paraId="468C9261" w14:textId="77777777" w:rsidR="00967195" w:rsidRPr="0025615F" w:rsidRDefault="00967195" w:rsidP="00834D9E">
            <w:pPr>
              <w:numPr>
                <w:ilvl w:val="0"/>
                <w:numId w:val="28"/>
              </w:numPr>
              <w:tabs>
                <w:tab w:val="clear" w:pos="1080"/>
              </w:tabs>
              <w:spacing w:before="120" w:after="120"/>
              <w:ind w:left="601"/>
              <w:rPr>
                <w:rFonts w:ascii="Verdana" w:hAnsi="Verdana"/>
              </w:rPr>
            </w:pPr>
            <w:r w:rsidRPr="0025615F">
              <w:rPr>
                <w:rFonts w:ascii="Verdana" w:hAnsi="Verdana"/>
                <w:iCs/>
              </w:rPr>
              <w:t>Services</w:t>
            </w:r>
            <w:r>
              <w:rPr>
                <w:rFonts w:ascii="Verdana" w:hAnsi="Verdana"/>
                <w:iCs/>
              </w:rPr>
              <w:t xml:space="preserve"> </w:t>
            </w:r>
            <w:r w:rsidRPr="0025615F">
              <w:rPr>
                <w:rFonts w:ascii="Verdana" w:hAnsi="Verdana"/>
                <w:iCs/>
              </w:rPr>
              <w:t>for</w:t>
            </w:r>
            <w:r>
              <w:rPr>
                <w:rFonts w:ascii="Verdana" w:hAnsi="Verdana"/>
                <w:iCs/>
              </w:rPr>
              <w:t xml:space="preserve"> </w:t>
            </w:r>
            <w:r w:rsidRPr="0025615F">
              <w:rPr>
                <w:rFonts w:ascii="Verdana" w:hAnsi="Verdana"/>
                <w:iCs/>
              </w:rPr>
              <w:t>older</w:t>
            </w:r>
            <w:r>
              <w:rPr>
                <w:rFonts w:ascii="Verdana" w:hAnsi="Verdana"/>
                <w:iCs/>
              </w:rPr>
              <w:t xml:space="preserve"> </w:t>
            </w:r>
            <w:r w:rsidRPr="0025615F">
              <w:rPr>
                <w:rFonts w:ascii="Verdana" w:hAnsi="Verdana"/>
                <w:iCs/>
              </w:rPr>
              <w:t>Americans,</w:t>
            </w:r>
            <w:r>
              <w:rPr>
                <w:rFonts w:ascii="Verdana" w:hAnsi="Verdana"/>
                <w:iCs/>
              </w:rPr>
              <w:t xml:space="preserve"> </w:t>
            </w:r>
            <w:r w:rsidRPr="0025615F">
              <w:rPr>
                <w:rFonts w:ascii="Verdana" w:hAnsi="Verdana"/>
                <w:iCs/>
              </w:rPr>
              <w:t>including</w:t>
            </w:r>
            <w:r>
              <w:rPr>
                <w:rFonts w:ascii="Verdana" w:hAnsi="Verdana"/>
                <w:iCs/>
              </w:rPr>
              <w:t xml:space="preserve"> </w:t>
            </w:r>
            <w:r w:rsidRPr="0025615F">
              <w:rPr>
                <w:rFonts w:ascii="Verdana" w:hAnsi="Verdana"/>
                <w:iCs/>
              </w:rPr>
              <w:t>home-delivered</w:t>
            </w:r>
            <w:r>
              <w:rPr>
                <w:rFonts w:ascii="Verdana" w:hAnsi="Verdana"/>
                <w:iCs/>
              </w:rPr>
              <w:t xml:space="preserve"> </w:t>
            </w:r>
            <w:r w:rsidRPr="0025615F">
              <w:rPr>
                <w:rFonts w:ascii="Verdana" w:hAnsi="Verdana"/>
                <w:iCs/>
              </w:rPr>
              <w:t>meals</w:t>
            </w:r>
            <w:r>
              <w:rPr>
                <w:rFonts w:ascii="Verdana" w:hAnsi="Verdana"/>
              </w:rPr>
              <w:t xml:space="preserve"> </w:t>
            </w:r>
          </w:p>
          <w:p w14:paraId="19D85D0C" w14:textId="77777777" w:rsidR="00967195" w:rsidRPr="0025615F" w:rsidRDefault="00967195" w:rsidP="00834D9E">
            <w:pPr>
              <w:numPr>
                <w:ilvl w:val="0"/>
                <w:numId w:val="28"/>
              </w:numPr>
              <w:tabs>
                <w:tab w:val="clear" w:pos="1080"/>
              </w:tabs>
              <w:spacing w:before="120" w:after="120"/>
              <w:ind w:left="601"/>
              <w:rPr>
                <w:rFonts w:ascii="Verdana" w:hAnsi="Verdana"/>
              </w:rPr>
            </w:pPr>
            <w:r>
              <w:rPr>
                <w:rFonts w:ascii="Verdana" w:hAnsi="Verdana"/>
                <w:iCs/>
              </w:rPr>
              <w:t>Co</w:t>
            </w:r>
            <w:r w:rsidRPr="0025615F">
              <w:rPr>
                <w:rFonts w:ascii="Verdana" w:hAnsi="Verdana"/>
                <w:iCs/>
              </w:rPr>
              <w:t>mprehensive</w:t>
            </w:r>
            <w:r>
              <w:rPr>
                <w:rFonts w:ascii="Verdana" w:hAnsi="Verdana"/>
                <w:iCs/>
              </w:rPr>
              <w:t xml:space="preserve"> </w:t>
            </w:r>
            <w:r w:rsidRPr="0025615F">
              <w:rPr>
                <w:rFonts w:ascii="Verdana" w:hAnsi="Verdana"/>
                <w:iCs/>
              </w:rPr>
              <w:t>health</w:t>
            </w:r>
            <w:r>
              <w:rPr>
                <w:rFonts w:ascii="Verdana" w:hAnsi="Verdana"/>
                <w:iCs/>
              </w:rPr>
              <w:t xml:space="preserve"> </w:t>
            </w:r>
            <w:r w:rsidRPr="0025615F">
              <w:rPr>
                <w:rFonts w:ascii="Verdana" w:hAnsi="Verdana"/>
                <w:iCs/>
              </w:rPr>
              <w:t>services</w:t>
            </w:r>
            <w:r>
              <w:rPr>
                <w:rFonts w:ascii="Verdana" w:hAnsi="Verdana"/>
                <w:iCs/>
              </w:rPr>
              <w:t xml:space="preserve"> </w:t>
            </w:r>
            <w:r w:rsidRPr="0025615F">
              <w:rPr>
                <w:rFonts w:ascii="Verdana" w:hAnsi="Verdana"/>
                <w:iCs/>
              </w:rPr>
              <w:t>for</w:t>
            </w:r>
            <w:r>
              <w:rPr>
                <w:rFonts w:ascii="Verdana" w:hAnsi="Verdana"/>
                <w:iCs/>
              </w:rPr>
              <w:t xml:space="preserve"> </w:t>
            </w:r>
            <w:r w:rsidRPr="0025615F">
              <w:rPr>
                <w:rFonts w:ascii="Verdana" w:hAnsi="Verdana"/>
                <w:iCs/>
              </w:rPr>
              <w:t>Native</w:t>
            </w:r>
            <w:r>
              <w:rPr>
                <w:rFonts w:ascii="Verdana" w:hAnsi="Verdana"/>
                <w:iCs/>
              </w:rPr>
              <w:t xml:space="preserve"> </w:t>
            </w:r>
            <w:r w:rsidRPr="0025615F">
              <w:rPr>
                <w:rFonts w:ascii="Verdana" w:hAnsi="Verdana"/>
                <w:iCs/>
              </w:rPr>
              <w:t>Americans</w:t>
            </w:r>
            <w:r>
              <w:rPr>
                <w:rFonts w:ascii="Verdana" w:hAnsi="Verdana"/>
              </w:rPr>
              <w:t xml:space="preserve"> </w:t>
            </w:r>
          </w:p>
          <w:p w14:paraId="1C76459E" w14:textId="77777777" w:rsidR="00967195" w:rsidRPr="0025615F" w:rsidRDefault="00967195" w:rsidP="00834D9E">
            <w:pPr>
              <w:numPr>
                <w:ilvl w:val="0"/>
                <w:numId w:val="28"/>
              </w:numPr>
              <w:tabs>
                <w:tab w:val="clear" w:pos="1080"/>
              </w:tabs>
              <w:spacing w:before="120" w:after="120"/>
              <w:ind w:left="601"/>
              <w:rPr>
                <w:rFonts w:ascii="Verdana" w:hAnsi="Verdana" w:cs="Arial"/>
              </w:rPr>
            </w:pPr>
            <w:r w:rsidRPr="0025615F">
              <w:rPr>
                <w:rFonts w:ascii="Verdana" w:hAnsi="Verdana"/>
                <w:iCs/>
              </w:rPr>
              <w:t>Medical</w:t>
            </w:r>
            <w:r>
              <w:rPr>
                <w:rFonts w:ascii="Verdana" w:hAnsi="Verdana"/>
                <w:iCs/>
              </w:rPr>
              <w:t xml:space="preserve"> </w:t>
            </w:r>
            <w:r w:rsidRPr="0025615F">
              <w:rPr>
                <w:rFonts w:ascii="Verdana" w:hAnsi="Verdana"/>
                <w:iCs/>
              </w:rPr>
              <w:t>preparedness</w:t>
            </w:r>
            <w:r>
              <w:rPr>
                <w:rFonts w:ascii="Verdana" w:hAnsi="Verdana"/>
                <w:iCs/>
              </w:rPr>
              <w:t xml:space="preserve"> </w:t>
            </w:r>
            <w:r w:rsidRPr="0025615F">
              <w:rPr>
                <w:rFonts w:ascii="Verdana" w:hAnsi="Verdana"/>
                <w:iCs/>
              </w:rPr>
              <w:t>for</w:t>
            </w:r>
            <w:r>
              <w:rPr>
                <w:rFonts w:ascii="Verdana" w:hAnsi="Verdana"/>
                <w:iCs/>
              </w:rPr>
              <w:t xml:space="preserve"> </w:t>
            </w:r>
            <w:r w:rsidRPr="0025615F">
              <w:rPr>
                <w:rFonts w:ascii="Verdana" w:hAnsi="Verdana"/>
                <w:iCs/>
              </w:rPr>
              <w:t>emergencies,</w:t>
            </w:r>
            <w:r>
              <w:rPr>
                <w:rFonts w:ascii="Verdana" w:hAnsi="Verdana"/>
                <w:iCs/>
              </w:rPr>
              <w:t xml:space="preserve"> </w:t>
            </w:r>
            <w:r w:rsidRPr="0025615F">
              <w:rPr>
                <w:rFonts w:ascii="Verdana" w:hAnsi="Verdana"/>
                <w:iCs/>
              </w:rPr>
              <w:t>including</w:t>
            </w:r>
            <w:r>
              <w:rPr>
                <w:rFonts w:ascii="Verdana" w:hAnsi="Verdana"/>
                <w:iCs/>
              </w:rPr>
              <w:t xml:space="preserve"> </w:t>
            </w:r>
            <w:r w:rsidRPr="0025615F">
              <w:rPr>
                <w:rFonts w:ascii="Verdana" w:hAnsi="Verdana"/>
                <w:iCs/>
              </w:rPr>
              <w:t>potential</w:t>
            </w:r>
            <w:r>
              <w:rPr>
                <w:rFonts w:ascii="Verdana" w:hAnsi="Verdana"/>
                <w:iCs/>
              </w:rPr>
              <w:t xml:space="preserve"> </w:t>
            </w:r>
            <w:r w:rsidRPr="0025615F">
              <w:rPr>
                <w:rFonts w:ascii="Verdana" w:hAnsi="Verdana"/>
                <w:iCs/>
              </w:rPr>
              <w:t>terrorism</w:t>
            </w:r>
            <w:r w:rsidRPr="0025615F">
              <w:rPr>
                <w:rFonts w:ascii="Verdana" w:hAnsi="Verdana"/>
                <w:i/>
                <w:iCs/>
              </w:rPr>
              <w:t>.</w:t>
            </w:r>
          </w:p>
        </w:tc>
      </w:tr>
      <w:tr w:rsidR="00341FB3" w:rsidRPr="0025615F" w14:paraId="44C8C24D"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024FF19A" w14:textId="5FA98858" w:rsidR="00967195" w:rsidRPr="0025615F" w:rsidRDefault="00967195" w:rsidP="00834D9E">
            <w:pPr>
              <w:spacing w:before="120" w:after="120"/>
              <w:jc w:val="center"/>
              <w:rPr>
                <w:rFonts w:ascii="Verdana" w:hAnsi="Verdana"/>
                <w:b/>
                <w:color w:val="000000"/>
              </w:rPr>
            </w:pPr>
            <w:bookmarkStart w:id="5" w:name="HICN"/>
            <w:r w:rsidRPr="0025615F">
              <w:rPr>
                <w:rFonts w:ascii="Verdana" w:hAnsi="Verdana"/>
                <w:b/>
                <w:color w:val="000000"/>
              </w:rPr>
              <w:t>HICN</w:t>
            </w:r>
            <w:bookmarkEnd w:id="5"/>
          </w:p>
        </w:tc>
        <w:tc>
          <w:tcPr>
            <w:tcW w:w="1050" w:type="pct"/>
          </w:tcPr>
          <w:p w14:paraId="4FF45F10" w14:textId="77777777" w:rsidR="00967195" w:rsidRPr="00E517E4" w:rsidRDefault="00967195" w:rsidP="00834D9E">
            <w:pPr>
              <w:spacing w:before="120" w:after="120"/>
              <w:rPr>
                <w:rFonts w:ascii="Verdana" w:hAnsi="Verdana" w:cs="Arial"/>
                <w:bCs/>
              </w:rPr>
            </w:pPr>
            <w:r w:rsidRPr="00E517E4">
              <w:rPr>
                <w:rFonts w:ascii="Verdana" w:hAnsi="Verdana" w:cs="Arial"/>
                <w:bCs/>
              </w:rPr>
              <w:t>Health Insurance Claim Number</w:t>
            </w:r>
          </w:p>
        </w:tc>
        <w:tc>
          <w:tcPr>
            <w:tcW w:w="3222" w:type="pct"/>
          </w:tcPr>
          <w:p w14:paraId="6CEFC0EA" w14:textId="3D08D868" w:rsidR="00967195" w:rsidRPr="0025615F" w:rsidRDefault="00967195" w:rsidP="00834D9E">
            <w:pPr>
              <w:spacing w:before="120" w:after="120"/>
              <w:rPr>
                <w:rFonts w:ascii="Verdana" w:hAnsi="Verdana" w:cs="Arial"/>
              </w:rPr>
            </w:pPr>
            <w:r w:rsidRPr="000F184C">
              <w:rPr>
                <w:rFonts w:ascii="Verdana" w:hAnsi="Verdana"/>
              </w:rPr>
              <w:t>Identification number found on the beneficiary’s Medicare Health Insurance Care (red, white, and blue Medicare card).</w:t>
            </w:r>
            <w:r>
              <w:rPr>
                <w:rFonts w:ascii="Verdana" w:hAnsi="Verdana" w:cs="Arial"/>
              </w:rPr>
              <w:t xml:space="preserve">  Refer to </w:t>
            </w:r>
            <w:hyperlink r:id="rId11" w:anchor="!/view?docid=89507380-dd73-4c92-9fee-ec1bde688dd6" w:history="1">
              <w:proofErr w:type="spellStart"/>
              <w:r w:rsidRPr="0088699A">
                <w:rPr>
                  <w:rStyle w:val="Hyperlink"/>
                  <w:rFonts w:ascii="Verdana" w:hAnsi="Verdana" w:cs="Arial"/>
                </w:rPr>
                <w:t>MBI</w:t>
              </w:r>
              <w:proofErr w:type="spellEnd"/>
            </w:hyperlink>
            <w:r w:rsidR="00360C54">
              <w:rPr>
                <w:rStyle w:val="Hyperlink"/>
                <w:rFonts w:ascii="Verdana" w:hAnsi="Verdana" w:cs="Arial"/>
              </w:rPr>
              <w:t>.</w:t>
            </w:r>
          </w:p>
        </w:tc>
      </w:tr>
      <w:tr w:rsidR="00341FB3" w:rsidRPr="0025615F" w14:paraId="1957F7C9"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64D2D006"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HIPAA</w:t>
            </w:r>
          </w:p>
        </w:tc>
        <w:tc>
          <w:tcPr>
            <w:tcW w:w="1050" w:type="pct"/>
          </w:tcPr>
          <w:p w14:paraId="06835E09" w14:textId="77777777" w:rsidR="00967195" w:rsidRPr="00E517E4" w:rsidRDefault="00967195" w:rsidP="00834D9E">
            <w:pPr>
              <w:spacing w:before="120" w:after="120"/>
              <w:rPr>
                <w:rFonts w:ascii="Verdana" w:hAnsi="Verdana" w:cs="Arial"/>
                <w:bCs/>
              </w:rPr>
            </w:pPr>
            <w:r w:rsidRPr="00E517E4">
              <w:rPr>
                <w:rFonts w:ascii="Verdana" w:hAnsi="Verdana" w:cs="Arial"/>
                <w:bCs/>
              </w:rPr>
              <w:t>Health Insurance Portability and Accountability Act</w:t>
            </w:r>
          </w:p>
        </w:tc>
        <w:tc>
          <w:tcPr>
            <w:tcW w:w="3222" w:type="pct"/>
          </w:tcPr>
          <w:p w14:paraId="78BB294D" w14:textId="77777777" w:rsidR="00967195" w:rsidRDefault="00967195" w:rsidP="00834D9E">
            <w:pPr>
              <w:spacing w:before="120" w:after="120"/>
              <w:rPr>
                <w:rFonts w:ascii="Verdana" w:hAnsi="Verdana" w:cs="Arial"/>
              </w:rPr>
            </w:pPr>
            <w:r w:rsidRPr="0025615F">
              <w:rPr>
                <w:rFonts w:ascii="Verdana" w:hAnsi="Verdana" w:cs="Arial"/>
              </w:rPr>
              <w:t>A</w:t>
            </w:r>
            <w:r>
              <w:rPr>
                <w:rFonts w:ascii="Verdana" w:hAnsi="Verdana" w:cs="Arial"/>
              </w:rPr>
              <w:t xml:space="preserve"> </w:t>
            </w:r>
            <w:r w:rsidRPr="0025615F">
              <w:rPr>
                <w:rFonts w:ascii="Verdana" w:hAnsi="Verdana" w:cs="Arial"/>
              </w:rPr>
              <w:t>part</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law</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which</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rPr>
              <w:t>member’s</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information</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protected.</w:t>
            </w:r>
          </w:p>
          <w:p w14:paraId="3F2C6B5B" w14:textId="77777777" w:rsidR="00967195" w:rsidRDefault="00967195" w:rsidP="00834D9E">
            <w:pPr>
              <w:spacing w:before="120" w:after="120"/>
              <w:rPr>
                <w:rFonts w:ascii="Verdana" w:hAnsi="Verdana"/>
              </w:rPr>
            </w:pP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federal</w:t>
            </w:r>
            <w:r>
              <w:rPr>
                <w:rFonts w:ascii="Verdana" w:hAnsi="Verdana"/>
              </w:rPr>
              <w:t xml:space="preserve"> </w:t>
            </w:r>
            <w:r w:rsidRPr="0025615F">
              <w:rPr>
                <w:rFonts w:ascii="Verdana" w:hAnsi="Verdana"/>
              </w:rPr>
              <w:t>legislation</w:t>
            </w:r>
            <w:r>
              <w:rPr>
                <w:rFonts w:ascii="Verdana" w:hAnsi="Verdana"/>
              </w:rPr>
              <w:t xml:space="preserve"> </w:t>
            </w:r>
            <w:r w:rsidRPr="0025615F">
              <w:rPr>
                <w:rFonts w:ascii="Verdana" w:hAnsi="Verdana"/>
              </w:rPr>
              <w:t>that</w:t>
            </w:r>
            <w:r>
              <w:rPr>
                <w:rFonts w:ascii="Verdana" w:hAnsi="Verdana"/>
              </w:rPr>
              <w:t xml:space="preserve"> co</w:t>
            </w:r>
            <w:r w:rsidRPr="0025615F">
              <w:rPr>
                <w:rFonts w:ascii="Verdana" w:hAnsi="Verdana"/>
              </w:rPr>
              <w:t>ntains</w:t>
            </w:r>
            <w:r>
              <w:rPr>
                <w:rFonts w:ascii="Verdana" w:hAnsi="Verdana"/>
              </w:rPr>
              <w:t xml:space="preserve"> </w:t>
            </w:r>
            <w:r w:rsidRPr="0025615F">
              <w:rPr>
                <w:rFonts w:ascii="Verdana" w:hAnsi="Verdana"/>
              </w:rPr>
              <w:t>key</w:t>
            </w:r>
            <w:r>
              <w:rPr>
                <w:rFonts w:ascii="Verdana" w:hAnsi="Verdana"/>
              </w:rPr>
              <w:t xml:space="preserve"> </w:t>
            </w:r>
            <w:r w:rsidRPr="0025615F">
              <w:rPr>
                <w:rFonts w:ascii="Verdana" w:hAnsi="Verdana"/>
              </w:rPr>
              <w:t>provisions</w:t>
            </w:r>
            <w:r>
              <w:rPr>
                <w:rFonts w:ascii="Verdana" w:hAnsi="Verdana"/>
              </w:rPr>
              <w:t xml:space="preserve"> </w:t>
            </w:r>
            <w:r w:rsidRPr="0025615F">
              <w:rPr>
                <w:rFonts w:ascii="Verdana" w:hAnsi="Verdana"/>
              </w:rPr>
              <w:t>affecting</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law</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Improves</w:t>
            </w:r>
            <w:r>
              <w:rPr>
                <w:rFonts w:ascii="Verdana" w:hAnsi="Verdana"/>
              </w:rPr>
              <w:t xml:space="preserve"> </w:t>
            </w:r>
            <w:r w:rsidRPr="0025615F">
              <w:rPr>
                <w:rFonts w:ascii="Verdana" w:hAnsi="Verdana"/>
              </w:rPr>
              <w:t>portability</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employer-sponsored</w:t>
            </w:r>
            <w:r>
              <w:rPr>
                <w:rFonts w:ascii="Verdana" w:hAnsi="Verdana"/>
              </w:rPr>
              <w:t xml:space="preserve"> </w:t>
            </w:r>
            <w:r w:rsidRPr="0025615F">
              <w:rPr>
                <w:rFonts w:ascii="Verdana" w:hAnsi="Verdana"/>
              </w:rPr>
              <w:t>insurance</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one</w:t>
            </w:r>
            <w:r>
              <w:rPr>
                <w:rFonts w:ascii="Verdana" w:hAnsi="Verdana"/>
              </w:rPr>
              <w:t xml:space="preserve"> </w:t>
            </w:r>
            <w:r w:rsidRPr="0025615F">
              <w:rPr>
                <w:rFonts w:ascii="Verdana" w:hAnsi="Verdana"/>
              </w:rPr>
              <w:t>job</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another,</w:t>
            </w:r>
            <w:r>
              <w:rPr>
                <w:rFonts w:ascii="Verdana" w:hAnsi="Verdana"/>
              </w:rPr>
              <w:t xml:space="preserve"> </w:t>
            </w:r>
            <w:r w:rsidRPr="0025615F">
              <w:rPr>
                <w:rFonts w:ascii="Verdana" w:hAnsi="Verdana"/>
              </w:rPr>
              <w:t>(b)</w:t>
            </w:r>
            <w:r>
              <w:rPr>
                <w:rFonts w:ascii="Verdana" w:hAnsi="Verdana"/>
              </w:rPr>
              <w:t xml:space="preserve"> </w:t>
            </w:r>
            <w:r w:rsidRPr="0025615F">
              <w:rPr>
                <w:rFonts w:ascii="Verdana" w:hAnsi="Verdana"/>
              </w:rPr>
              <w:t>Banns</w:t>
            </w:r>
            <w:r>
              <w:rPr>
                <w:rFonts w:ascii="Verdana" w:hAnsi="Verdana"/>
              </w:rPr>
              <w:t xml:space="preserve"> </w:t>
            </w:r>
            <w:r w:rsidRPr="0025615F">
              <w:rPr>
                <w:rFonts w:ascii="Verdana" w:hAnsi="Verdana"/>
              </w:rPr>
              <w:t>exclusion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people</w:t>
            </w:r>
            <w:r>
              <w:rPr>
                <w:rFonts w:ascii="Verdana" w:hAnsi="Verdana"/>
              </w:rPr>
              <w:t xml:space="preserve"> </w:t>
            </w:r>
            <w:r w:rsidRPr="0025615F">
              <w:rPr>
                <w:rFonts w:ascii="Verdana" w:hAnsi="Verdana"/>
              </w:rPr>
              <w:t>from</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preexisting</w:t>
            </w:r>
            <w:r>
              <w:rPr>
                <w:rFonts w:ascii="Verdana" w:hAnsi="Verdana"/>
              </w:rPr>
              <w:t xml:space="preserve"> co</w:t>
            </w:r>
            <w:r w:rsidRPr="0025615F">
              <w:rPr>
                <w:rFonts w:ascii="Verdana" w:hAnsi="Verdana"/>
              </w:rPr>
              <w:t>nditions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offers</w:t>
            </w:r>
            <w:r>
              <w:rPr>
                <w:rFonts w:ascii="Verdana" w:hAnsi="Verdana"/>
              </w:rPr>
              <w:t xml:space="preserve"> </w:t>
            </w:r>
            <w:r w:rsidRPr="0025615F">
              <w:rPr>
                <w:rFonts w:ascii="Verdana" w:hAnsi="Verdana"/>
              </w:rPr>
              <w:t>some</w:t>
            </w:r>
            <w:r>
              <w:rPr>
                <w:rFonts w:ascii="Verdana" w:hAnsi="Verdana"/>
              </w:rPr>
              <w:t xml:space="preserve"> </w:t>
            </w:r>
            <w:r w:rsidRPr="0025615F">
              <w:rPr>
                <w:rFonts w:ascii="Verdana" w:hAnsi="Verdana"/>
              </w:rPr>
              <w:t>tax</w:t>
            </w:r>
            <w:r>
              <w:rPr>
                <w:rFonts w:ascii="Verdana" w:hAnsi="Verdana"/>
              </w:rPr>
              <w:t xml:space="preserve"> </w:t>
            </w:r>
            <w:r w:rsidRPr="0025615F">
              <w:rPr>
                <w:rFonts w:ascii="Verdana" w:hAnsi="Verdana"/>
              </w:rPr>
              <w:t>deductions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self-employed</w:t>
            </w:r>
            <w:r>
              <w:rPr>
                <w:rFonts w:ascii="Verdana" w:hAnsi="Verdana"/>
              </w:rPr>
              <w:t xml:space="preserve"> </w:t>
            </w:r>
            <w:r w:rsidRPr="0025615F">
              <w:rPr>
                <w:rFonts w:ascii="Verdana" w:hAnsi="Verdana"/>
              </w:rPr>
              <w:t>individuals,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(c)</w:t>
            </w:r>
            <w:r>
              <w:rPr>
                <w:rFonts w:ascii="Verdana" w:hAnsi="Verdana"/>
              </w:rPr>
              <w:t xml:space="preserve"> </w:t>
            </w:r>
            <w:r w:rsidRPr="0025615F">
              <w:rPr>
                <w:rFonts w:ascii="Verdana" w:hAnsi="Verdana"/>
              </w:rPr>
              <w:t>Affirms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privacy</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in</w:t>
            </w:r>
            <w:r>
              <w:rPr>
                <w:rFonts w:ascii="Verdana" w:hAnsi="Verdana"/>
              </w:rPr>
              <w:t xml:space="preserve">formation and requires the U.S. </w:t>
            </w:r>
            <w:r w:rsidRPr="0025615F">
              <w:rPr>
                <w:rFonts w:ascii="Verdana" w:hAnsi="Verdana"/>
              </w:rPr>
              <w:t>Department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Human</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determine</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optimal</w:t>
            </w:r>
            <w:r>
              <w:rPr>
                <w:rFonts w:ascii="Verdana" w:hAnsi="Verdana"/>
              </w:rPr>
              <w:t xml:space="preserve"> </w:t>
            </w:r>
            <w:r w:rsidRPr="0025615F">
              <w:rPr>
                <w:rFonts w:ascii="Verdana" w:hAnsi="Verdana"/>
              </w:rPr>
              <w:t>approach</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maintaining</w:t>
            </w:r>
            <w:r>
              <w:rPr>
                <w:rFonts w:ascii="Verdana" w:hAnsi="Verdana"/>
              </w:rPr>
              <w:t xml:space="preserve"> </w:t>
            </w:r>
            <w:r w:rsidRPr="0025615F">
              <w:rPr>
                <w:rFonts w:ascii="Verdana" w:hAnsi="Verdana"/>
              </w:rPr>
              <w:t>security</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electronic</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transfer</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HIPAA</w:t>
            </w:r>
            <w:r>
              <w:rPr>
                <w:rFonts w:ascii="Verdana" w:hAnsi="Verdana"/>
              </w:rPr>
              <w:t xml:space="preserve"> </w:t>
            </w:r>
            <w:r w:rsidRPr="0025615F">
              <w:rPr>
                <w:rFonts w:ascii="Verdana" w:hAnsi="Verdana"/>
              </w:rPr>
              <w:t>privacy</w:t>
            </w:r>
            <w:r>
              <w:rPr>
                <w:rFonts w:ascii="Verdana" w:hAnsi="Verdana"/>
              </w:rPr>
              <w:t xml:space="preserve"> </w:t>
            </w:r>
            <w:r w:rsidRPr="0025615F">
              <w:rPr>
                <w:rFonts w:ascii="Verdana" w:hAnsi="Verdana"/>
              </w:rPr>
              <w:t>regulations</w:t>
            </w:r>
            <w:r>
              <w:rPr>
                <w:rFonts w:ascii="Verdana" w:hAnsi="Verdana"/>
              </w:rPr>
              <w:t xml:space="preserve"> </w:t>
            </w:r>
            <w:r w:rsidRPr="0025615F">
              <w:rPr>
                <w:rFonts w:ascii="Verdana" w:hAnsi="Verdana"/>
              </w:rPr>
              <w:t>generally</w:t>
            </w:r>
            <w:r>
              <w:rPr>
                <w:rFonts w:ascii="Verdana" w:hAnsi="Verdana"/>
              </w:rPr>
              <w:t xml:space="preserve"> </w:t>
            </w:r>
            <w:r w:rsidRPr="0025615F">
              <w:rPr>
                <w:rFonts w:ascii="Verdana" w:hAnsi="Verdana"/>
              </w:rPr>
              <w:t>became</w:t>
            </w:r>
            <w:r>
              <w:rPr>
                <w:rFonts w:ascii="Verdana" w:hAnsi="Verdana"/>
              </w:rPr>
              <w:t xml:space="preserve"> </w:t>
            </w:r>
            <w:r w:rsidRPr="0025615F">
              <w:rPr>
                <w:rFonts w:ascii="Verdana" w:hAnsi="Verdana"/>
              </w:rPr>
              <w:t>effective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2005</w:t>
            </w:r>
            <w:r>
              <w:rPr>
                <w:rFonts w:ascii="Verdana" w:hAnsi="Verdana"/>
              </w:rPr>
              <w:t>.</w:t>
            </w:r>
          </w:p>
          <w:p w14:paraId="261F499E" w14:textId="77777777" w:rsidR="00967195" w:rsidRPr="0025615F" w:rsidRDefault="00967195" w:rsidP="00834D9E">
            <w:pPr>
              <w:spacing w:before="120" w:after="120"/>
              <w:rPr>
                <w:rFonts w:ascii="Verdana" w:hAnsi="Verdana" w:cs="Arial"/>
              </w:rPr>
            </w:pPr>
          </w:p>
        </w:tc>
      </w:tr>
      <w:tr w:rsidR="00341FB3" w:rsidRPr="0025615F" w14:paraId="543449ED"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5EC99523" w14:textId="77777777" w:rsidR="00967195" w:rsidRDefault="00967195" w:rsidP="00834D9E">
            <w:pPr>
              <w:spacing w:before="120" w:after="120"/>
              <w:jc w:val="center"/>
              <w:rPr>
                <w:rFonts w:ascii="Verdana" w:hAnsi="Verdana"/>
                <w:b/>
                <w:color w:val="000000"/>
              </w:rPr>
            </w:pPr>
            <w:r>
              <w:rPr>
                <w:rFonts w:ascii="Verdana" w:hAnsi="Verdana"/>
                <w:b/>
                <w:color w:val="000000"/>
              </w:rPr>
              <w:t>HDHP</w:t>
            </w:r>
          </w:p>
          <w:p w14:paraId="766B459D" w14:textId="77777777" w:rsidR="00967195" w:rsidRPr="0025615F" w:rsidRDefault="00967195" w:rsidP="00834D9E">
            <w:pPr>
              <w:spacing w:before="120" w:after="120"/>
              <w:jc w:val="center"/>
              <w:rPr>
                <w:rFonts w:ascii="Verdana" w:hAnsi="Verdana"/>
                <w:b/>
                <w:color w:val="000000"/>
              </w:rPr>
            </w:pPr>
          </w:p>
        </w:tc>
        <w:tc>
          <w:tcPr>
            <w:tcW w:w="1050" w:type="pct"/>
          </w:tcPr>
          <w:p w14:paraId="0C5A9971" w14:textId="77777777" w:rsidR="00967195" w:rsidRPr="00E517E4" w:rsidRDefault="00967195" w:rsidP="00834D9E">
            <w:pPr>
              <w:spacing w:before="120" w:after="120"/>
              <w:rPr>
                <w:rFonts w:ascii="Verdana" w:hAnsi="Verdana"/>
                <w:bCs/>
                <w:color w:val="000000"/>
              </w:rPr>
            </w:pPr>
            <w:r w:rsidRPr="00E517E4">
              <w:rPr>
                <w:rFonts w:ascii="Verdana" w:hAnsi="Verdana"/>
                <w:bCs/>
                <w:color w:val="000000"/>
              </w:rPr>
              <w:t>High Deductible Health Plan</w:t>
            </w:r>
          </w:p>
        </w:tc>
        <w:tc>
          <w:tcPr>
            <w:tcW w:w="3222" w:type="pct"/>
          </w:tcPr>
          <w:p w14:paraId="0ABD2BD7" w14:textId="2CE9D60C" w:rsidR="00967195" w:rsidRDefault="00967195" w:rsidP="00834D9E">
            <w:pPr>
              <w:spacing w:before="120" w:after="120"/>
              <w:rPr>
                <w:rFonts w:ascii="Verdana" w:hAnsi="Verdana"/>
              </w:rPr>
            </w:pPr>
            <w:r w:rsidRPr="0025615F">
              <w:rPr>
                <w:rFonts w:ascii="Verdana" w:hAnsi="Verdana"/>
              </w:rPr>
              <w:t>Members</w:t>
            </w:r>
            <w:r>
              <w:rPr>
                <w:rFonts w:ascii="Verdana" w:hAnsi="Verdana"/>
              </w:rPr>
              <w:t xml:space="preserve"> </w:t>
            </w:r>
            <w:r w:rsidRPr="0025615F">
              <w:rPr>
                <w:rFonts w:ascii="Verdana" w:hAnsi="Verdana"/>
              </w:rPr>
              <w:t>typically</w:t>
            </w:r>
            <w:r>
              <w:rPr>
                <w:rFonts w:ascii="Verdana" w:hAnsi="Verdana"/>
              </w:rPr>
              <w:t xml:space="preserve"> </w:t>
            </w:r>
            <w:r w:rsidRPr="0025615F">
              <w:rPr>
                <w:rFonts w:ascii="Verdana" w:hAnsi="Verdana"/>
              </w:rPr>
              <w:t>pay</w:t>
            </w:r>
            <w:r>
              <w:rPr>
                <w:rFonts w:ascii="Verdana" w:hAnsi="Verdana"/>
              </w:rPr>
              <w:t xml:space="preserve"> </w:t>
            </w:r>
            <w:r w:rsidRPr="0025615F">
              <w:rPr>
                <w:rFonts w:ascii="Verdana" w:hAnsi="Verdana"/>
              </w:rPr>
              <w:t>less</w:t>
            </w:r>
            <w:r>
              <w:rPr>
                <w:rFonts w:ascii="Verdana" w:hAnsi="Verdana"/>
              </w:rPr>
              <w:t xml:space="preserve"> </w:t>
            </w:r>
            <w:r w:rsidRPr="0025615F">
              <w:rPr>
                <w:rFonts w:ascii="Verdana" w:hAnsi="Verdana"/>
              </w:rPr>
              <w:t>for</w:t>
            </w:r>
            <w:r>
              <w:rPr>
                <w:rFonts w:ascii="Verdana" w:hAnsi="Verdana"/>
              </w:rPr>
              <w:t xml:space="preserve"> </w:t>
            </w:r>
            <w:r w:rsidR="00834D9E">
              <w:rPr>
                <w:rFonts w:ascii="Verdana" w:hAnsi="Verdana"/>
              </w:rPr>
              <w:t>co</w:t>
            </w:r>
            <w:r w:rsidR="00834D9E" w:rsidRPr="0025615F">
              <w:rPr>
                <w:rFonts w:ascii="Verdana" w:hAnsi="Verdana"/>
              </w:rPr>
              <w:t>verage but</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higher</w:t>
            </w:r>
            <w:r>
              <w:rPr>
                <w:rFonts w:ascii="Verdana" w:hAnsi="Verdana"/>
              </w:rPr>
              <w:t xml:space="preserve"> </w:t>
            </w:r>
            <w:r w:rsidRPr="0025615F">
              <w:rPr>
                <w:rFonts w:ascii="Verdana" w:hAnsi="Verdana"/>
              </w:rPr>
              <w:t>deductibles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out-of-pocket</w:t>
            </w:r>
            <w:r>
              <w:rPr>
                <w:rFonts w:ascii="Verdana" w:hAnsi="Verdana"/>
              </w:rPr>
              <w:t xml:space="preserve"> </w:t>
            </w:r>
            <w:r w:rsidRPr="0025615F">
              <w:rPr>
                <w:rFonts w:ascii="Verdana" w:hAnsi="Verdana"/>
              </w:rPr>
              <w:t>maximums</w:t>
            </w:r>
            <w:r>
              <w:rPr>
                <w:rFonts w:ascii="Verdana" w:hAnsi="Verdana"/>
              </w:rPr>
              <w:t xml:space="preserve"> </w:t>
            </w:r>
            <w:r w:rsidRPr="0025615F">
              <w:rPr>
                <w:rFonts w:ascii="Verdana" w:hAnsi="Verdana"/>
              </w:rPr>
              <w:t>as</w:t>
            </w:r>
            <w:r>
              <w:rPr>
                <w:rFonts w:ascii="Verdana" w:hAnsi="Verdana"/>
              </w:rPr>
              <w:t xml:space="preserve"> co</w:t>
            </w:r>
            <w:r w:rsidRPr="0025615F">
              <w:rPr>
                <w:rFonts w:ascii="Verdana" w:hAnsi="Verdana"/>
              </w:rPr>
              <w:t>mpared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traditional</w:t>
            </w:r>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means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pay</w:t>
            </w:r>
            <w:r>
              <w:rPr>
                <w:rFonts w:ascii="Verdana" w:hAnsi="Verdana"/>
              </w:rPr>
              <w:t xml:space="preserve"> </w:t>
            </w:r>
            <w:r w:rsidRPr="0025615F">
              <w:rPr>
                <w:rFonts w:ascii="Verdana" w:hAnsi="Verdana"/>
              </w:rPr>
              <w:t>more</w:t>
            </w:r>
            <w:r>
              <w:rPr>
                <w:rFonts w:ascii="Verdana" w:hAnsi="Verdana"/>
              </w:rPr>
              <w:t xml:space="preserve"> </w:t>
            </w:r>
            <w:r w:rsidRPr="0025615F">
              <w:rPr>
                <w:rFonts w:ascii="Verdana" w:hAnsi="Verdana"/>
              </w:rPr>
              <w:t>out-of-pocket</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-insurance</w:t>
            </w:r>
            <w:r>
              <w:rPr>
                <w:rFonts w:ascii="Verdana" w:hAnsi="Verdana"/>
              </w:rPr>
              <w:t xml:space="preserve"> </w:t>
            </w:r>
            <w:r w:rsidRPr="0025615F">
              <w:rPr>
                <w:rFonts w:ascii="Verdana" w:hAnsi="Verdana"/>
              </w:rPr>
              <w:t>or</w:t>
            </w:r>
            <w:r>
              <w:rPr>
                <w:rFonts w:ascii="Verdana" w:hAnsi="Verdana"/>
              </w:rPr>
              <w:t xml:space="preserve"> copayment</w:t>
            </w:r>
            <w:r w:rsidRPr="0025615F">
              <w:rPr>
                <w:rFonts w:ascii="Verdana" w:hAnsi="Verdana"/>
              </w:rPr>
              <w:t>s</w:t>
            </w:r>
            <w:r>
              <w:rPr>
                <w:rFonts w:ascii="Verdana" w:hAnsi="Verdana"/>
              </w:rPr>
              <w:t xml:space="preserve"> co</w:t>
            </w:r>
            <w:r w:rsidRPr="0025615F">
              <w:rPr>
                <w:rFonts w:ascii="Verdana" w:hAnsi="Verdana"/>
              </w:rPr>
              <w:t>me</w:t>
            </w:r>
            <w:r>
              <w:rPr>
                <w:rFonts w:ascii="Verdana" w:hAnsi="Verdana"/>
              </w:rPr>
              <w:t xml:space="preserve"> </w:t>
            </w:r>
            <w:r w:rsidRPr="0025615F">
              <w:rPr>
                <w:rFonts w:ascii="Verdana" w:hAnsi="Verdana"/>
              </w:rPr>
              <w:t>into</w:t>
            </w:r>
            <w:r>
              <w:rPr>
                <w:rFonts w:ascii="Verdana" w:hAnsi="Verdana"/>
              </w:rPr>
              <w:t xml:space="preserve"> </w:t>
            </w:r>
            <w:r w:rsidRPr="0025615F">
              <w:rPr>
                <w:rFonts w:ascii="Verdana" w:hAnsi="Verdana"/>
              </w:rPr>
              <w:t>effect.</w:t>
            </w:r>
          </w:p>
          <w:p w14:paraId="16479BE4" w14:textId="77777777" w:rsidR="00967195" w:rsidRPr="0025615F" w:rsidRDefault="00967195" w:rsidP="00834D9E">
            <w:pPr>
              <w:spacing w:before="120" w:after="120"/>
              <w:rPr>
                <w:rFonts w:ascii="Verdana" w:hAnsi="Verdana"/>
              </w:rPr>
            </w:pPr>
          </w:p>
        </w:tc>
      </w:tr>
      <w:tr w:rsidR="00341FB3" w:rsidRPr="0025615F" w14:paraId="2783E012"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7504E99A" w14:textId="77777777" w:rsidR="00967195" w:rsidRDefault="00967195" w:rsidP="00F655F6">
            <w:pPr>
              <w:jc w:val="center"/>
              <w:rPr>
                <w:rFonts w:ascii="Verdana" w:hAnsi="Verdana"/>
                <w:b/>
                <w:color w:val="000000"/>
              </w:rPr>
            </w:pPr>
            <w:r>
              <w:rPr>
                <w:rFonts w:ascii="Verdana" w:hAnsi="Verdana"/>
                <w:b/>
                <w:color w:val="000000"/>
              </w:rPr>
              <w:t>HL</w:t>
            </w:r>
          </w:p>
          <w:p w14:paraId="5882B759" w14:textId="77777777" w:rsidR="00967195" w:rsidRPr="0025615F" w:rsidRDefault="00967195" w:rsidP="00F655F6">
            <w:pPr>
              <w:jc w:val="center"/>
              <w:rPr>
                <w:rFonts w:ascii="Verdana" w:hAnsi="Verdana"/>
                <w:b/>
                <w:color w:val="000000"/>
              </w:rPr>
            </w:pPr>
          </w:p>
        </w:tc>
        <w:tc>
          <w:tcPr>
            <w:tcW w:w="1050" w:type="pct"/>
          </w:tcPr>
          <w:p w14:paraId="29C0BBA8" w14:textId="77777777" w:rsidR="00967195" w:rsidRPr="00E517E4" w:rsidDel="0034278B" w:rsidRDefault="00967195" w:rsidP="00F655F6">
            <w:pPr>
              <w:rPr>
                <w:rFonts w:ascii="Verdana" w:hAnsi="Verdana"/>
                <w:bCs/>
              </w:rPr>
            </w:pPr>
            <w:r w:rsidRPr="00E517E4">
              <w:rPr>
                <w:rFonts w:ascii="Verdana" w:hAnsi="Verdana"/>
                <w:bCs/>
              </w:rPr>
              <w:t>History Load</w:t>
            </w:r>
          </w:p>
        </w:tc>
        <w:tc>
          <w:tcPr>
            <w:tcW w:w="3222" w:type="pct"/>
          </w:tcPr>
          <w:p w14:paraId="61EBEC34" w14:textId="77777777" w:rsidR="00967195" w:rsidRDefault="00967195" w:rsidP="00F655F6">
            <w:pPr>
              <w:rPr>
                <w:rFonts w:ascii="Verdana" w:hAnsi="Verdana"/>
              </w:rPr>
            </w:pPr>
            <w:r w:rsidRPr="0025615F">
              <w:rPr>
                <w:rFonts w:ascii="Verdana" w:hAnsi="Verdana"/>
              </w:rPr>
              <w:t>Occurs</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starts</w:t>
            </w:r>
            <w:r>
              <w:rPr>
                <w:rFonts w:ascii="Verdana" w:hAnsi="Verdana"/>
              </w:rPr>
              <w:t xml:space="preserve"> </w:t>
            </w:r>
            <w:r w:rsidRPr="0025615F">
              <w:rPr>
                <w:rFonts w:ascii="Verdana" w:hAnsi="Verdana"/>
              </w:rPr>
              <w:t>with</w:t>
            </w:r>
            <w:r>
              <w:rPr>
                <w:rFonts w:ascii="Verdana" w:hAnsi="Verdana"/>
              </w:rPr>
              <w:t xml:space="preserve"> us </w:t>
            </w:r>
            <w:r w:rsidRPr="0025615F">
              <w:rPr>
                <w:rFonts w:ascii="Verdana" w:hAnsi="Verdana"/>
              </w:rPr>
              <w:t>and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other</w:t>
            </w:r>
            <w:r>
              <w:rPr>
                <w:rFonts w:ascii="Verdana" w:hAnsi="Verdana"/>
              </w:rPr>
              <w:t xml:space="preserve"> </w:t>
            </w:r>
            <w:r w:rsidRPr="0025615F">
              <w:rPr>
                <w:rFonts w:ascii="Verdana" w:hAnsi="Verdana"/>
              </w:rPr>
              <w:t>PBM</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loaded</w:t>
            </w:r>
            <w:r>
              <w:rPr>
                <w:rFonts w:ascii="Verdana" w:hAnsi="Verdana"/>
              </w:rPr>
              <w:t xml:space="preserve"> </w:t>
            </w:r>
            <w:r w:rsidRPr="0025615F">
              <w:rPr>
                <w:rFonts w:ascii="Verdana" w:hAnsi="Verdana"/>
              </w:rPr>
              <w:t>into</w:t>
            </w:r>
            <w:r>
              <w:rPr>
                <w:rFonts w:ascii="Verdana" w:hAnsi="Verdana"/>
              </w:rPr>
              <w:t xml:space="preserve"> our </w:t>
            </w:r>
            <w:r w:rsidRPr="0025615F">
              <w:rPr>
                <w:rFonts w:ascii="Verdana" w:hAnsi="Verdana"/>
              </w:rPr>
              <w:t>system.</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new</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starts</w:t>
            </w:r>
            <w:r>
              <w:rPr>
                <w:rFonts w:ascii="Verdana" w:hAnsi="Verdana"/>
              </w:rPr>
              <w:t xml:space="preserve"> </w:t>
            </w:r>
            <w:r w:rsidRPr="0025615F">
              <w:rPr>
                <w:rFonts w:ascii="Verdana" w:hAnsi="Verdana"/>
              </w:rPr>
              <w:t>with</w:t>
            </w:r>
            <w:r>
              <w:rPr>
                <w:rFonts w:ascii="Verdana" w:hAnsi="Verdana"/>
              </w:rPr>
              <w:t xml:space="preserve"> us </w:t>
            </w:r>
            <w:r w:rsidRPr="0025615F">
              <w:rPr>
                <w:rFonts w:ascii="Verdana" w:hAnsi="Verdana"/>
              </w:rPr>
              <w:t>or</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current</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migrated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another</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previous</w:t>
            </w:r>
            <w:r>
              <w:rPr>
                <w:rFonts w:ascii="Verdana" w:hAnsi="Verdana"/>
              </w:rPr>
              <w:t xml:space="preserve"> </w:t>
            </w:r>
            <w:r w:rsidRPr="0025615F">
              <w:rPr>
                <w:rFonts w:ascii="Verdana" w:hAnsi="Verdana"/>
              </w:rPr>
              <w:t>adjudication</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load</w:t>
            </w:r>
            <w:r>
              <w:rPr>
                <w:rFonts w:ascii="Verdana" w:hAnsi="Verdana"/>
              </w:rPr>
              <w:t xml:space="preserve"> </w:t>
            </w:r>
            <w:r w:rsidRPr="0025615F">
              <w:rPr>
                <w:rFonts w:ascii="Verdana" w:hAnsi="Verdana"/>
              </w:rPr>
              <w:t>into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current</w:t>
            </w:r>
            <w:r>
              <w:rPr>
                <w:rFonts w:ascii="Verdana" w:hAnsi="Verdana"/>
              </w:rPr>
              <w:t xml:space="preserve"> </w:t>
            </w:r>
            <w:r w:rsidRPr="0025615F">
              <w:rPr>
                <w:rFonts w:ascii="Verdana" w:hAnsi="Verdana"/>
              </w:rPr>
              <w:t>adjudication</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historic</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These</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known</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History</w:t>
            </w:r>
            <w:r>
              <w:rPr>
                <w:rFonts w:ascii="Verdana" w:hAnsi="Verdana"/>
              </w:rPr>
              <w:t xml:space="preserve"> </w:t>
            </w:r>
            <w:r w:rsidRPr="0025615F">
              <w:rPr>
                <w:rFonts w:ascii="Verdana" w:hAnsi="Verdana"/>
              </w:rPr>
              <w:t>Load.</w:t>
            </w:r>
          </w:p>
          <w:p w14:paraId="32D16E5E" w14:textId="77777777" w:rsidR="00967195" w:rsidRPr="0025615F" w:rsidDel="0034278B" w:rsidRDefault="00967195" w:rsidP="00F655F6">
            <w:pPr>
              <w:rPr>
                <w:rFonts w:ascii="Verdana" w:hAnsi="Verdana"/>
              </w:rPr>
            </w:pPr>
          </w:p>
        </w:tc>
      </w:tr>
      <w:tr w:rsidR="00341FB3" w:rsidRPr="0025615F" w14:paraId="2B0D1DB2"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0937D6CD" w14:textId="77777777" w:rsidR="00967195" w:rsidRDefault="00967195" w:rsidP="00834D9E">
            <w:pPr>
              <w:spacing w:before="120" w:after="120"/>
              <w:jc w:val="center"/>
              <w:rPr>
                <w:rFonts w:ascii="Verdana" w:hAnsi="Verdana"/>
                <w:b/>
                <w:color w:val="000000"/>
              </w:rPr>
            </w:pPr>
            <w:r>
              <w:rPr>
                <w:rFonts w:ascii="Verdana" w:hAnsi="Verdana"/>
                <w:b/>
                <w:color w:val="000000"/>
              </w:rPr>
              <w:t>HIX</w:t>
            </w:r>
          </w:p>
          <w:p w14:paraId="3E383C28" w14:textId="77777777" w:rsidR="00967195" w:rsidRPr="0025615F" w:rsidRDefault="00967195" w:rsidP="00834D9E">
            <w:pPr>
              <w:spacing w:before="120" w:after="120"/>
              <w:jc w:val="center"/>
              <w:rPr>
                <w:rFonts w:ascii="Verdana" w:hAnsi="Verdana"/>
                <w:b/>
                <w:color w:val="000000"/>
              </w:rPr>
            </w:pPr>
          </w:p>
        </w:tc>
        <w:tc>
          <w:tcPr>
            <w:tcW w:w="1050" w:type="pct"/>
          </w:tcPr>
          <w:p w14:paraId="0E68A187" w14:textId="77777777" w:rsidR="00967195" w:rsidRPr="00E517E4" w:rsidRDefault="00967195" w:rsidP="00834D9E">
            <w:pPr>
              <w:spacing w:before="120" w:after="120"/>
              <w:rPr>
                <w:rFonts w:ascii="Verdana" w:hAnsi="Verdana"/>
                <w:bCs/>
                <w:color w:val="000000"/>
              </w:rPr>
            </w:pPr>
            <w:r w:rsidRPr="00E517E4">
              <w:rPr>
                <w:rFonts w:ascii="Verdana" w:hAnsi="Verdana"/>
                <w:bCs/>
                <w:color w:val="000000"/>
              </w:rPr>
              <w:t>Health Insurance Marketplace  or</w:t>
            </w:r>
          </w:p>
          <w:p w14:paraId="5F096719" w14:textId="77777777" w:rsidR="00967195" w:rsidRPr="00E517E4" w:rsidRDefault="00967195" w:rsidP="00834D9E">
            <w:pPr>
              <w:spacing w:before="120" w:after="120"/>
              <w:rPr>
                <w:rFonts w:ascii="Verdana" w:hAnsi="Verdana"/>
                <w:bCs/>
                <w:color w:val="000000"/>
              </w:rPr>
            </w:pPr>
          </w:p>
          <w:p w14:paraId="06C5069F" w14:textId="77777777" w:rsidR="00967195" w:rsidRPr="00E517E4" w:rsidRDefault="00967195" w:rsidP="00834D9E">
            <w:pPr>
              <w:spacing w:before="120" w:after="120"/>
              <w:rPr>
                <w:rFonts w:ascii="Verdana" w:hAnsi="Verdana"/>
                <w:bCs/>
                <w:color w:val="000000"/>
              </w:rPr>
            </w:pPr>
            <w:r w:rsidRPr="00E517E4">
              <w:rPr>
                <w:rFonts w:ascii="Verdana" w:hAnsi="Verdana"/>
                <w:bCs/>
                <w:color w:val="000000"/>
              </w:rPr>
              <w:t>Health Insurance Exchange</w:t>
            </w:r>
          </w:p>
          <w:p w14:paraId="4F9BC1C0" w14:textId="77777777" w:rsidR="00967195" w:rsidRPr="00E517E4" w:rsidRDefault="00967195" w:rsidP="00834D9E">
            <w:pPr>
              <w:spacing w:before="120" w:after="120"/>
              <w:rPr>
                <w:rFonts w:ascii="Verdana" w:hAnsi="Verdana"/>
                <w:bCs/>
              </w:rPr>
            </w:pPr>
          </w:p>
        </w:tc>
        <w:tc>
          <w:tcPr>
            <w:tcW w:w="3222" w:type="pct"/>
          </w:tcPr>
          <w:p w14:paraId="2564C13D" w14:textId="77777777" w:rsidR="00967195" w:rsidRPr="00B37541" w:rsidRDefault="00967195" w:rsidP="00834D9E">
            <w:pPr>
              <w:spacing w:before="120" w:after="120"/>
              <w:rPr>
                <w:rFonts w:ascii="Verdana" w:hAnsi="Verdana"/>
              </w:rPr>
            </w:pPr>
            <w:r w:rsidRPr="00B37541">
              <w:rPr>
                <w:rFonts w:ascii="Verdana" w:hAnsi="Verdana"/>
              </w:rPr>
              <w:t>A transparent and competitive health insurance marketplace where individuals, families, and small businesses can learn about their health coverage options, compare health insurance plans based on costs, benefits, and other important features, choose a plan, and enroll in coverage.</w:t>
            </w:r>
          </w:p>
          <w:p w14:paraId="2555F683" w14:textId="77777777" w:rsidR="00967195" w:rsidRPr="00B37541" w:rsidRDefault="00967195" w:rsidP="00834D9E">
            <w:pPr>
              <w:spacing w:before="120" w:after="120"/>
              <w:rPr>
                <w:rFonts w:ascii="Verdana" w:hAnsi="Verdana"/>
              </w:rPr>
            </w:pPr>
          </w:p>
          <w:p w14:paraId="6DDEBFA7" w14:textId="77777777" w:rsidR="00967195" w:rsidRPr="00B37541" w:rsidRDefault="00967195" w:rsidP="00834D9E">
            <w:pPr>
              <w:spacing w:before="120" w:after="120"/>
              <w:rPr>
                <w:rFonts w:ascii="Verdana" w:hAnsi="Verdana"/>
              </w:rPr>
            </w:pPr>
            <w:r w:rsidRPr="00B37541">
              <w:rPr>
                <w:rFonts w:ascii="Verdana" w:hAnsi="Verdana"/>
              </w:rPr>
              <w:t>The Marketplace also includes information on programs that help people pay for coverage, including ways to save on monthly premiums and out-of-pocket costs, and other programs like Medicaid and the Children’s Health Insurance Program (CHIP). Individuals and families can apply for coverage online, by phone, or with a paper application.</w:t>
            </w:r>
          </w:p>
          <w:p w14:paraId="156B4F20" w14:textId="77777777" w:rsidR="00967195" w:rsidRPr="00B37541" w:rsidRDefault="00967195" w:rsidP="00834D9E">
            <w:pPr>
              <w:spacing w:before="120" w:after="120"/>
              <w:rPr>
                <w:rFonts w:ascii="Verdana" w:hAnsi="Verdana"/>
              </w:rPr>
            </w:pPr>
          </w:p>
          <w:p w14:paraId="50C73001" w14:textId="77777777" w:rsidR="00967195" w:rsidRPr="00B37541" w:rsidRDefault="00967195" w:rsidP="00834D9E">
            <w:pPr>
              <w:spacing w:before="120" w:after="120"/>
              <w:rPr>
                <w:rFonts w:ascii="Verdana" w:hAnsi="Verdana"/>
              </w:rPr>
            </w:pPr>
            <w:r w:rsidRPr="0035620C">
              <w:rPr>
                <w:rFonts w:ascii="Verdana" w:hAnsi="Verdana"/>
                <w:b/>
              </w:rPr>
              <w:t xml:space="preserve">Note: </w:t>
            </w:r>
            <w:r w:rsidRPr="00B37541">
              <w:rPr>
                <w:rFonts w:ascii="Verdana" w:hAnsi="Verdana"/>
              </w:rPr>
              <w:t xml:space="preserve"> The Affordable Care Act requires two types of public Exchanges: </w:t>
            </w:r>
          </w:p>
          <w:p w14:paraId="048964BE" w14:textId="77777777" w:rsidR="00967195" w:rsidRDefault="00967195" w:rsidP="00834D9E">
            <w:pPr>
              <w:numPr>
                <w:ilvl w:val="0"/>
                <w:numId w:val="73"/>
              </w:numPr>
              <w:spacing w:before="120" w:after="120"/>
              <w:rPr>
                <w:rFonts w:ascii="Verdana" w:hAnsi="Verdana"/>
              </w:rPr>
            </w:pPr>
            <w:r w:rsidRPr="00B37541">
              <w:rPr>
                <w:rFonts w:ascii="Verdana" w:hAnsi="Verdana"/>
              </w:rPr>
              <w:t xml:space="preserve">An Individual Exchange through which consumers can purchase health insurance products on an individual </w:t>
            </w:r>
            <w:r>
              <w:rPr>
                <w:rFonts w:ascii="Verdana" w:hAnsi="Verdana"/>
              </w:rPr>
              <w:t xml:space="preserve">or family </w:t>
            </w:r>
            <w:r w:rsidRPr="00B37541">
              <w:rPr>
                <w:rFonts w:ascii="Verdana" w:hAnsi="Verdana"/>
              </w:rPr>
              <w:t xml:space="preserve">basis. </w:t>
            </w:r>
            <w:r w:rsidRPr="00327B6A">
              <w:rPr>
                <w:rFonts w:ascii="Verdana" w:hAnsi="Verdana"/>
              </w:rPr>
              <w:t>A Small Business Health Options Program (SHOP) Exchange through which a small business employer can purchase coverage for its employees.</w:t>
            </w:r>
          </w:p>
          <w:p w14:paraId="25EA805A" w14:textId="77777777" w:rsidR="00967195" w:rsidRDefault="00967195" w:rsidP="00834D9E">
            <w:pPr>
              <w:spacing w:before="120" w:after="120"/>
              <w:ind w:left="8"/>
              <w:rPr>
                <w:rFonts w:ascii="Verdana" w:hAnsi="Verdana"/>
              </w:rPr>
            </w:pPr>
          </w:p>
          <w:p w14:paraId="304AC06F" w14:textId="77777777" w:rsidR="00967195" w:rsidRDefault="00967195" w:rsidP="00834D9E">
            <w:pPr>
              <w:spacing w:before="120" w:after="120"/>
              <w:rPr>
                <w:rFonts w:ascii="Verdana" w:hAnsi="Verdana"/>
              </w:rPr>
            </w:pPr>
            <w:r>
              <w:rPr>
                <w:rFonts w:ascii="Verdana" w:hAnsi="Verdana"/>
              </w:rPr>
              <w:t>Individual and SHOP exchanges / marketplaces may be run by a state government, by the federal government, or in a partnership agreement between the state and federal governments, where responsibilities are divided between the two. The government running the exchange determines how citizens gain access. A Federally Facilitated Exchange (FFE), also known as a Federally Facilitated Marketplace (FFM), is one that uses healthcare.gov to help citizens sign up for a plan. State Based Exchanges (SBE), also known as State Based Marketplaces (SBM), each use their own website, unique to their state’s program.</w:t>
            </w:r>
          </w:p>
          <w:p w14:paraId="3EC51D98" w14:textId="77777777" w:rsidR="00967195" w:rsidRPr="0025615F" w:rsidRDefault="00967195" w:rsidP="00834D9E">
            <w:pPr>
              <w:spacing w:before="120" w:after="120"/>
              <w:rPr>
                <w:rFonts w:ascii="Verdana" w:hAnsi="Verdana"/>
              </w:rPr>
            </w:pPr>
          </w:p>
        </w:tc>
      </w:tr>
      <w:tr w:rsidR="00341FB3" w:rsidRPr="0025615F" w14:paraId="67C39E9C"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31390876" w14:textId="77777777" w:rsidR="00967195" w:rsidRPr="0025615F" w:rsidRDefault="00967195" w:rsidP="00834D9E">
            <w:pPr>
              <w:spacing w:before="120" w:after="120"/>
              <w:jc w:val="center"/>
              <w:rPr>
                <w:rFonts w:ascii="Verdana" w:hAnsi="Verdana"/>
              </w:rPr>
            </w:pPr>
            <w:r w:rsidRPr="0025615F">
              <w:rPr>
                <w:rFonts w:ascii="Verdana" w:hAnsi="Verdana"/>
                <w:b/>
                <w:color w:val="000000"/>
              </w:rPr>
              <w:t>HLD</w:t>
            </w:r>
          </w:p>
        </w:tc>
        <w:tc>
          <w:tcPr>
            <w:tcW w:w="1050" w:type="pct"/>
          </w:tcPr>
          <w:p w14:paraId="740665B0" w14:textId="77777777" w:rsidR="00967195" w:rsidRPr="00E517E4" w:rsidRDefault="00967195" w:rsidP="00834D9E">
            <w:pPr>
              <w:spacing w:before="120" w:after="120"/>
              <w:rPr>
                <w:rFonts w:ascii="Verdana" w:hAnsi="Verdana"/>
                <w:bCs/>
              </w:rPr>
            </w:pPr>
            <w:r w:rsidRPr="00E517E4">
              <w:rPr>
                <w:rFonts w:ascii="Verdana" w:hAnsi="Verdana"/>
                <w:bCs/>
              </w:rPr>
              <w:t>Hold</w:t>
            </w:r>
          </w:p>
          <w:p w14:paraId="34781470" w14:textId="77777777" w:rsidR="00967195" w:rsidRPr="00E517E4" w:rsidRDefault="00967195" w:rsidP="00834D9E">
            <w:pPr>
              <w:spacing w:before="120" w:after="120"/>
              <w:rPr>
                <w:rFonts w:ascii="Verdana" w:hAnsi="Verdana"/>
                <w:bCs/>
              </w:rPr>
            </w:pPr>
          </w:p>
        </w:tc>
        <w:tc>
          <w:tcPr>
            <w:tcW w:w="3222" w:type="pct"/>
          </w:tcPr>
          <w:p w14:paraId="7DB4DE22" w14:textId="77777777" w:rsidR="00967195" w:rsidRDefault="00967195" w:rsidP="00834D9E">
            <w:pPr>
              <w:spacing w:before="120" w:after="120"/>
              <w:rPr>
                <w:rFonts w:ascii="Verdana" w:hAnsi="Verdana"/>
              </w:rPr>
            </w:pPr>
            <w:r>
              <w:rPr>
                <w:rFonts w:ascii="Verdana" w:hAnsi="Verdana"/>
              </w:rPr>
              <w:t>As is in placing a call on hold.</w:t>
            </w:r>
          </w:p>
          <w:p w14:paraId="1EBAA934" w14:textId="77777777" w:rsidR="00967195" w:rsidRDefault="00967195" w:rsidP="00834D9E">
            <w:pPr>
              <w:spacing w:before="120" w:after="120"/>
              <w:rPr>
                <w:rFonts w:ascii="Verdana" w:hAnsi="Verdana"/>
              </w:rPr>
            </w:pPr>
          </w:p>
          <w:p w14:paraId="79F9E443" w14:textId="77777777" w:rsidR="00967195" w:rsidRDefault="00967195" w:rsidP="00834D9E">
            <w:pPr>
              <w:spacing w:before="120" w:after="120"/>
              <w:rPr>
                <w:rFonts w:ascii="Verdana" w:hAnsi="Verdana"/>
              </w:rPr>
            </w:pPr>
            <w:r w:rsidRPr="008C760D">
              <w:rPr>
                <w:rFonts w:ascii="Verdana" w:hAnsi="Verdana"/>
                <w:b/>
              </w:rPr>
              <w:t>Warm Transfers</w:t>
            </w:r>
            <w:r>
              <w:rPr>
                <w:rFonts w:ascii="Verdana" w:hAnsi="Verdana"/>
              </w:rPr>
              <w:t>, it is acceptable to place on hold</w:t>
            </w:r>
          </w:p>
          <w:p w14:paraId="02B6DD46" w14:textId="77777777" w:rsidR="00967195" w:rsidRDefault="00967195" w:rsidP="00834D9E">
            <w:pPr>
              <w:spacing w:before="120" w:after="120"/>
              <w:rPr>
                <w:rFonts w:ascii="Verdana" w:hAnsi="Verdana"/>
              </w:rPr>
            </w:pPr>
          </w:p>
          <w:p w14:paraId="3C536E84" w14:textId="77777777" w:rsidR="00967195" w:rsidRPr="0025615F" w:rsidRDefault="00967195" w:rsidP="00834D9E">
            <w:pPr>
              <w:spacing w:before="120" w:after="120"/>
              <w:rPr>
                <w:rFonts w:ascii="Verdana" w:hAnsi="Verdana"/>
              </w:rPr>
            </w:pPr>
            <w:r w:rsidRPr="008C760D">
              <w:rPr>
                <w:rFonts w:ascii="Verdana" w:hAnsi="Verdana"/>
                <w:b/>
              </w:rPr>
              <w:t>Research Issues</w:t>
            </w:r>
            <w:r>
              <w:rPr>
                <w:rFonts w:ascii="Verdana" w:hAnsi="Verdana"/>
              </w:rPr>
              <w:t xml:space="preserve">: </w:t>
            </w:r>
            <w:r>
              <w:rPr>
                <w:rFonts w:ascii="Verdana" w:hAnsi="Verdana" w:cs="Arial"/>
                <w:bCs/>
              </w:rPr>
              <w:t>Keep member on the line and talk through research activity instead of placing on hold while performing research</w:t>
            </w:r>
            <w:r>
              <w:rPr>
                <w:rFonts w:ascii="Verdana" w:hAnsi="Verdana"/>
              </w:rPr>
              <w:t xml:space="preserve"> </w:t>
            </w:r>
          </w:p>
        </w:tc>
      </w:tr>
      <w:tr w:rsidR="00341FB3" w:rsidRPr="0025615F" w14:paraId="0D3C7C4A"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56A8C3A7"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HMO</w:t>
            </w:r>
          </w:p>
        </w:tc>
        <w:tc>
          <w:tcPr>
            <w:tcW w:w="1050" w:type="pct"/>
          </w:tcPr>
          <w:p w14:paraId="2366B69C" w14:textId="77777777" w:rsidR="00967195" w:rsidRPr="00E517E4" w:rsidRDefault="00967195" w:rsidP="00834D9E">
            <w:pPr>
              <w:spacing w:before="120" w:after="120"/>
              <w:rPr>
                <w:rFonts w:ascii="Verdana" w:hAnsi="Verdana"/>
                <w:bCs/>
              </w:rPr>
            </w:pPr>
            <w:r w:rsidRPr="00E517E4">
              <w:rPr>
                <w:rFonts w:ascii="Verdana" w:hAnsi="Verdana"/>
                <w:bCs/>
              </w:rPr>
              <w:t>Health Maintenance Organization</w:t>
            </w:r>
          </w:p>
        </w:tc>
        <w:tc>
          <w:tcPr>
            <w:tcW w:w="3222" w:type="pct"/>
          </w:tcPr>
          <w:p w14:paraId="36784974" w14:textId="77777777" w:rsidR="00967195" w:rsidRPr="0025615F" w:rsidRDefault="00967195" w:rsidP="00834D9E">
            <w:pPr>
              <w:pStyle w:val="BodyLevel1"/>
              <w:spacing w:before="120" w:after="120"/>
              <w:ind w:left="0"/>
              <w:rPr>
                <w:rFonts w:ascii="Verdana" w:hAnsi="Verdana"/>
                <w:sz w:val="24"/>
                <w:szCs w:val="24"/>
              </w:rPr>
            </w:pPr>
            <w:r w:rsidRPr="0025615F">
              <w:rPr>
                <w:rFonts w:ascii="Verdana" w:hAnsi="Verdana"/>
                <w:sz w:val="24"/>
                <w:szCs w:val="24"/>
              </w:rPr>
              <w:t>Organization</w:t>
            </w:r>
            <w:r>
              <w:rPr>
                <w:rFonts w:ascii="Verdana" w:hAnsi="Verdana"/>
                <w:sz w:val="24"/>
                <w:szCs w:val="24"/>
              </w:rPr>
              <w:t xml:space="preserve"> </w:t>
            </w:r>
            <w:r w:rsidRPr="0025615F">
              <w:rPr>
                <w:rFonts w:ascii="Verdana" w:hAnsi="Verdana"/>
                <w:sz w:val="24"/>
                <w:szCs w:val="24"/>
              </w:rPr>
              <w:t>which</w:t>
            </w:r>
            <w:r>
              <w:rPr>
                <w:rFonts w:ascii="Verdana" w:hAnsi="Verdana"/>
                <w:sz w:val="24"/>
                <w:szCs w:val="24"/>
              </w:rPr>
              <w:t xml:space="preserve"> </w:t>
            </w:r>
            <w:r w:rsidRPr="0025615F">
              <w:rPr>
                <w:rFonts w:ascii="Verdana" w:hAnsi="Verdana"/>
                <w:sz w:val="24"/>
                <w:szCs w:val="24"/>
              </w:rPr>
              <w:t>provides</w:t>
            </w:r>
            <w:r>
              <w:rPr>
                <w:rFonts w:ascii="Verdana" w:hAnsi="Verdana"/>
                <w:sz w:val="24"/>
                <w:szCs w:val="24"/>
              </w:rPr>
              <w:t xml:space="preserve"> </w:t>
            </w:r>
            <w:r w:rsidRPr="0025615F">
              <w:rPr>
                <w:rFonts w:ascii="Verdana" w:hAnsi="Verdana"/>
                <w:sz w:val="24"/>
                <w:szCs w:val="24"/>
              </w:rPr>
              <w:t>total</w:t>
            </w:r>
            <w:r>
              <w:rPr>
                <w:rFonts w:ascii="Verdana" w:hAnsi="Verdana"/>
                <w:sz w:val="24"/>
                <w:szCs w:val="24"/>
              </w:rPr>
              <w:t xml:space="preserve"> </w:t>
            </w:r>
            <w:r w:rsidRPr="0025615F">
              <w:rPr>
                <w:rFonts w:ascii="Verdana" w:hAnsi="Verdana"/>
                <w:sz w:val="24"/>
                <w:szCs w:val="24"/>
              </w:rPr>
              <w:t>health</w:t>
            </w:r>
            <w:r>
              <w:rPr>
                <w:rFonts w:ascii="Verdana" w:hAnsi="Verdana"/>
                <w:sz w:val="24"/>
                <w:szCs w:val="24"/>
              </w:rPr>
              <w:t xml:space="preserve"> </w:t>
            </w:r>
            <w:r w:rsidRPr="0025615F">
              <w:rPr>
                <w:rFonts w:ascii="Verdana" w:hAnsi="Verdana"/>
                <w:sz w:val="24"/>
                <w:szCs w:val="24"/>
              </w:rPr>
              <w:t>care</w:t>
            </w:r>
            <w:r>
              <w:rPr>
                <w:rFonts w:ascii="Verdana" w:hAnsi="Verdana"/>
                <w:sz w:val="24"/>
                <w:szCs w:val="24"/>
              </w:rPr>
              <w:t xml:space="preserve"> </w:t>
            </w:r>
            <w:r w:rsidRPr="0025615F">
              <w:rPr>
                <w:rFonts w:ascii="Verdana" w:hAnsi="Verdana"/>
                <w:sz w:val="24"/>
                <w:szCs w:val="24"/>
              </w:rPr>
              <w:t>service</w:t>
            </w:r>
            <w:r>
              <w:rPr>
                <w:rFonts w:ascii="Verdana" w:hAnsi="Verdana"/>
                <w:sz w:val="24"/>
                <w:szCs w:val="24"/>
              </w:rPr>
              <w:t xml:space="preserve"> </w:t>
            </w:r>
            <w:r w:rsidRPr="0025615F">
              <w:rPr>
                <w:rFonts w:ascii="Verdana" w:hAnsi="Verdana"/>
                <w:sz w:val="24"/>
                <w:szCs w:val="24"/>
              </w:rPr>
              <w:t>for</w:t>
            </w:r>
            <w:r>
              <w:rPr>
                <w:rFonts w:ascii="Verdana" w:hAnsi="Verdana"/>
                <w:sz w:val="24"/>
                <w:szCs w:val="24"/>
              </w:rPr>
              <w:t xml:space="preserve"> </w:t>
            </w:r>
            <w:r w:rsidRPr="0025615F">
              <w:rPr>
                <w:rFonts w:ascii="Verdana" w:hAnsi="Verdana"/>
                <w:sz w:val="24"/>
                <w:szCs w:val="24"/>
              </w:rPr>
              <w:t>its</w:t>
            </w:r>
            <w:r>
              <w:rPr>
                <w:rFonts w:ascii="Verdana" w:hAnsi="Verdana"/>
                <w:sz w:val="24"/>
                <w:szCs w:val="24"/>
              </w:rPr>
              <w:t xml:space="preserve"> </w:t>
            </w:r>
            <w:r w:rsidRPr="0025615F">
              <w:rPr>
                <w:rFonts w:ascii="Verdana" w:hAnsi="Verdana"/>
                <w:sz w:val="24"/>
                <w:szCs w:val="24"/>
              </w:rPr>
              <w:t>plan</w:t>
            </w:r>
            <w:r>
              <w:rPr>
                <w:rFonts w:ascii="Verdana" w:hAnsi="Verdana"/>
                <w:sz w:val="24"/>
                <w:szCs w:val="24"/>
              </w:rPr>
              <w:t xml:space="preserve"> </w:t>
            </w:r>
            <w:r w:rsidRPr="0025615F">
              <w:rPr>
                <w:rFonts w:ascii="Verdana" w:hAnsi="Verdana"/>
                <w:sz w:val="24"/>
                <w:szCs w:val="24"/>
              </w:rPr>
              <w:t>members.</w:t>
            </w:r>
            <w:r>
              <w:rPr>
                <w:rFonts w:ascii="Verdana" w:hAnsi="Verdana"/>
                <w:sz w:val="24"/>
                <w:szCs w:val="24"/>
              </w:rPr>
              <w:t xml:space="preserve"> </w:t>
            </w:r>
          </w:p>
          <w:p w14:paraId="3FA6A542" w14:textId="77777777" w:rsidR="00967195" w:rsidRPr="0025615F" w:rsidRDefault="00967195" w:rsidP="00834D9E">
            <w:pPr>
              <w:pStyle w:val="BodyLevel1"/>
              <w:numPr>
                <w:ilvl w:val="0"/>
                <w:numId w:val="29"/>
              </w:numPr>
              <w:spacing w:before="120" w:after="120"/>
              <w:rPr>
                <w:rFonts w:ascii="Verdana" w:hAnsi="Verdana"/>
                <w:sz w:val="24"/>
                <w:szCs w:val="24"/>
              </w:rPr>
            </w:pPr>
            <w:r w:rsidRPr="0025615F">
              <w:rPr>
                <w:rFonts w:ascii="Verdana" w:hAnsi="Verdana"/>
                <w:sz w:val="24"/>
                <w:szCs w:val="24"/>
              </w:rPr>
              <w:t>A</w:t>
            </w:r>
            <w:r>
              <w:rPr>
                <w:rFonts w:ascii="Verdana" w:hAnsi="Verdana"/>
                <w:sz w:val="24"/>
                <w:szCs w:val="24"/>
              </w:rPr>
              <w:t xml:space="preserve"> </w:t>
            </w:r>
            <w:r w:rsidRPr="0025615F">
              <w:rPr>
                <w:rFonts w:ascii="Verdana" w:hAnsi="Verdana"/>
                <w:b/>
                <w:sz w:val="24"/>
                <w:szCs w:val="24"/>
              </w:rPr>
              <w:t>closed</w:t>
            </w:r>
            <w:r>
              <w:rPr>
                <w:rFonts w:ascii="Verdana" w:hAnsi="Verdana"/>
                <w:b/>
                <w:sz w:val="24"/>
                <w:szCs w:val="24"/>
              </w:rPr>
              <w:t xml:space="preserve"> </w:t>
            </w:r>
            <w:r w:rsidRPr="0025615F">
              <w:rPr>
                <w:rFonts w:ascii="Verdana" w:hAnsi="Verdana"/>
                <w:b/>
                <w:sz w:val="24"/>
                <w:szCs w:val="24"/>
              </w:rPr>
              <w:t>panel</w:t>
            </w:r>
            <w:r>
              <w:rPr>
                <w:rFonts w:ascii="Verdana" w:hAnsi="Verdana"/>
                <w:b/>
                <w:sz w:val="24"/>
                <w:szCs w:val="24"/>
              </w:rPr>
              <w:t xml:space="preserve"> </w:t>
            </w:r>
            <w:r w:rsidRPr="0025615F">
              <w:rPr>
                <w:rFonts w:ascii="Verdana" w:hAnsi="Verdana"/>
                <w:b/>
                <w:sz w:val="24"/>
                <w:szCs w:val="24"/>
              </w:rPr>
              <w:t>HMO</w:t>
            </w:r>
            <w:r>
              <w:rPr>
                <w:rFonts w:ascii="Verdana" w:hAnsi="Verdana"/>
                <w:sz w:val="24"/>
                <w:szCs w:val="24"/>
              </w:rPr>
              <w:t xml:space="preserve"> </w:t>
            </w:r>
            <w:r w:rsidRPr="0025615F">
              <w:rPr>
                <w:rFonts w:ascii="Verdana" w:hAnsi="Verdana"/>
                <w:sz w:val="24"/>
                <w:szCs w:val="24"/>
              </w:rPr>
              <w:t>hires</w:t>
            </w:r>
            <w:r>
              <w:rPr>
                <w:rFonts w:ascii="Verdana" w:hAnsi="Verdana"/>
                <w:sz w:val="24"/>
                <w:szCs w:val="24"/>
              </w:rPr>
              <w:t xml:space="preserve"> </w:t>
            </w:r>
            <w:r w:rsidRPr="0025615F">
              <w:rPr>
                <w:rFonts w:ascii="Verdana" w:hAnsi="Verdana"/>
                <w:sz w:val="24"/>
                <w:szCs w:val="24"/>
              </w:rPr>
              <w:t>its</w:t>
            </w:r>
            <w:r>
              <w:rPr>
                <w:rFonts w:ascii="Verdana" w:hAnsi="Verdana"/>
                <w:sz w:val="24"/>
                <w:szCs w:val="24"/>
              </w:rPr>
              <w:t xml:space="preserve"> </w:t>
            </w:r>
            <w:r w:rsidRPr="0025615F">
              <w:rPr>
                <w:rFonts w:ascii="Verdana" w:hAnsi="Verdana"/>
                <w:sz w:val="24"/>
                <w:szCs w:val="24"/>
              </w:rPr>
              <w:t>own</w:t>
            </w:r>
            <w:r>
              <w:rPr>
                <w:rFonts w:ascii="Verdana" w:hAnsi="Verdana"/>
                <w:sz w:val="24"/>
                <w:szCs w:val="24"/>
              </w:rPr>
              <w:t xml:space="preserve"> </w:t>
            </w:r>
            <w:r w:rsidRPr="0025615F">
              <w:rPr>
                <w:rFonts w:ascii="Verdana" w:hAnsi="Verdana"/>
                <w:sz w:val="24"/>
                <w:szCs w:val="24"/>
              </w:rPr>
              <w:t>prescribers,</w:t>
            </w:r>
            <w:r>
              <w:rPr>
                <w:rFonts w:ascii="Verdana" w:hAnsi="Verdana"/>
                <w:sz w:val="24"/>
                <w:szCs w:val="24"/>
              </w:rPr>
              <w:t xml:space="preserve"> </w:t>
            </w:r>
            <w:r w:rsidRPr="0025615F">
              <w:rPr>
                <w:rFonts w:ascii="Verdana" w:hAnsi="Verdana"/>
                <w:sz w:val="24"/>
                <w:szCs w:val="24"/>
              </w:rPr>
              <w:t>operates</w:t>
            </w:r>
            <w:r>
              <w:rPr>
                <w:rFonts w:ascii="Verdana" w:hAnsi="Verdana"/>
                <w:sz w:val="24"/>
                <w:szCs w:val="24"/>
              </w:rPr>
              <w:t xml:space="preserve"> </w:t>
            </w:r>
            <w:r w:rsidRPr="0025615F">
              <w:rPr>
                <w:rFonts w:ascii="Verdana" w:hAnsi="Verdana"/>
                <w:sz w:val="24"/>
                <w:szCs w:val="24"/>
              </w:rPr>
              <w:t>its</w:t>
            </w:r>
            <w:r>
              <w:rPr>
                <w:rFonts w:ascii="Verdana" w:hAnsi="Verdana"/>
                <w:sz w:val="24"/>
                <w:szCs w:val="24"/>
              </w:rPr>
              <w:t xml:space="preserve"> </w:t>
            </w:r>
            <w:r w:rsidRPr="0025615F">
              <w:rPr>
                <w:rFonts w:ascii="Verdana" w:hAnsi="Verdana"/>
                <w:sz w:val="24"/>
                <w:szCs w:val="24"/>
              </w:rPr>
              <w:t>own</w:t>
            </w:r>
            <w:r>
              <w:rPr>
                <w:rFonts w:ascii="Verdana" w:hAnsi="Verdana"/>
                <w:sz w:val="24"/>
                <w:szCs w:val="24"/>
              </w:rPr>
              <w:t xml:space="preserve"> </w:t>
            </w:r>
            <w:r w:rsidRPr="0025615F">
              <w:rPr>
                <w:rFonts w:ascii="Verdana" w:hAnsi="Verdana"/>
                <w:sz w:val="24"/>
                <w:szCs w:val="24"/>
              </w:rPr>
              <w:t>pharmacies</w:t>
            </w:r>
            <w:r>
              <w:rPr>
                <w:rFonts w:ascii="Verdana" w:hAnsi="Verdana"/>
                <w:sz w:val="24"/>
                <w:szCs w:val="24"/>
              </w:rPr>
              <w:t xml:space="preserve"> </w:t>
            </w:r>
            <w:r w:rsidRPr="0025615F">
              <w:rPr>
                <w:rFonts w:ascii="Verdana" w:hAnsi="Verdana"/>
                <w:sz w:val="24"/>
                <w:szCs w:val="24"/>
              </w:rPr>
              <w:t>and</w:t>
            </w:r>
            <w:r>
              <w:rPr>
                <w:rFonts w:ascii="Verdana" w:hAnsi="Verdana"/>
                <w:sz w:val="24"/>
                <w:szCs w:val="24"/>
              </w:rPr>
              <w:t xml:space="preserve"> </w:t>
            </w:r>
            <w:r w:rsidRPr="0025615F">
              <w:rPr>
                <w:rFonts w:ascii="Verdana" w:hAnsi="Verdana"/>
                <w:sz w:val="24"/>
                <w:szCs w:val="24"/>
              </w:rPr>
              <w:t>labs</w:t>
            </w:r>
            <w:r>
              <w:rPr>
                <w:rFonts w:ascii="Verdana" w:hAnsi="Verdana"/>
                <w:sz w:val="24"/>
                <w:szCs w:val="24"/>
              </w:rPr>
              <w:t xml:space="preserve"> </w:t>
            </w:r>
            <w:r w:rsidRPr="0025615F">
              <w:rPr>
                <w:rFonts w:ascii="Verdana" w:hAnsi="Verdana"/>
                <w:sz w:val="24"/>
                <w:szCs w:val="24"/>
              </w:rPr>
              <w:t>and</w:t>
            </w:r>
            <w:r>
              <w:rPr>
                <w:rFonts w:ascii="Verdana" w:hAnsi="Verdana"/>
                <w:sz w:val="24"/>
                <w:szCs w:val="24"/>
              </w:rPr>
              <w:t xml:space="preserve"> co</w:t>
            </w:r>
            <w:r w:rsidRPr="0025615F">
              <w:rPr>
                <w:rFonts w:ascii="Verdana" w:hAnsi="Verdana"/>
                <w:sz w:val="24"/>
                <w:szCs w:val="24"/>
              </w:rPr>
              <w:t>ntracts</w:t>
            </w:r>
            <w:r>
              <w:rPr>
                <w:rFonts w:ascii="Verdana" w:hAnsi="Verdana"/>
                <w:sz w:val="24"/>
                <w:szCs w:val="24"/>
              </w:rPr>
              <w:t xml:space="preserve"> </w:t>
            </w:r>
            <w:r w:rsidRPr="0025615F">
              <w:rPr>
                <w:rFonts w:ascii="Verdana" w:hAnsi="Verdana"/>
                <w:sz w:val="24"/>
                <w:szCs w:val="24"/>
              </w:rPr>
              <w:t>with</w:t>
            </w:r>
            <w:r>
              <w:rPr>
                <w:rFonts w:ascii="Verdana" w:hAnsi="Verdana"/>
                <w:sz w:val="24"/>
                <w:szCs w:val="24"/>
              </w:rPr>
              <w:t xml:space="preserve"> </w:t>
            </w:r>
            <w:r w:rsidRPr="0025615F">
              <w:rPr>
                <w:rFonts w:ascii="Verdana" w:hAnsi="Verdana"/>
                <w:sz w:val="24"/>
                <w:szCs w:val="24"/>
              </w:rPr>
              <w:t>hospitals.</w:t>
            </w:r>
          </w:p>
          <w:p w14:paraId="771E9EB4" w14:textId="77777777" w:rsidR="00967195" w:rsidRPr="0025615F" w:rsidRDefault="00967195" w:rsidP="00834D9E">
            <w:pPr>
              <w:pStyle w:val="BodyLevel1"/>
              <w:numPr>
                <w:ilvl w:val="0"/>
                <w:numId w:val="29"/>
              </w:numPr>
              <w:spacing w:before="120" w:after="120"/>
              <w:rPr>
                <w:rFonts w:ascii="Verdana" w:hAnsi="Verdana"/>
                <w:sz w:val="24"/>
                <w:szCs w:val="24"/>
              </w:rPr>
            </w:pPr>
            <w:r w:rsidRPr="0025615F">
              <w:rPr>
                <w:rFonts w:ascii="Verdana" w:hAnsi="Verdana"/>
                <w:sz w:val="24"/>
                <w:szCs w:val="24"/>
              </w:rPr>
              <w:t>An</w:t>
            </w:r>
            <w:r>
              <w:rPr>
                <w:rFonts w:ascii="Verdana" w:hAnsi="Verdana"/>
                <w:sz w:val="24"/>
                <w:szCs w:val="24"/>
              </w:rPr>
              <w:t xml:space="preserve"> </w:t>
            </w:r>
            <w:r w:rsidRPr="0025615F">
              <w:rPr>
                <w:rFonts w:ascii="Verdana" w:hAnsi="Verdana"/>
                <w:b/>
                <w:sz w:val="24"/>
                <w:szCs w:val="24"/>
              </w:rPr>
              <w:t>open</w:t>
            </w:r>
            <w:r>
              <w:rPr>
                <w:rFonts w:ascii="Verdana" w:hAnsi="Verdana"/>
                <w:b/>
                <w:sz w:val="24"/>
                <w:szCs w:val="24"/>
              </w:rPr>
              <w:t xml:space="preserve"> </w:t>
            </w:r>
            <w:r w:rsidRPr="0025615F">
              <w:rPr>
                <w:rFonts w:ascii="Verdana" w:hAnsi="Verdana"/>
                <w:b/>
                <w:sz w:val="24"/>
                <w:szCs w:val="24"/>
              </w:rPr>
              <w:t>panel</w:t>
            </w:r>
            <w:r>
              <w:rPr>
                <w:rFonts w:ascii="Verdana" w:hAnsi="Verdana"/>
                <w:b/>
                <w:sz w:val="24"/>
                <w:szCs w:val="24"/>
              </w:rPr>
              <w:t xml:space="preserve"> </w:t>
            </w:r>
            <w:r w:rsidRPr="0025615F">
              <w:rPr>
                <w:rFonts w:ascii="Verdana" w:hAnsi="Verdana"/>
                <w:b/>
                <w:sz w:val="24"/>
                <w:szCs w:val="24"/>
              </w:rPr>
              <w:t>HMO</w:t>
            </w:r>
            <w:r w:rsidRPr="0025615F">
              <w:rPr>
                <w:rFonts w:ascii="Verdana" w:hAnsi="Verdana"/>
                <w:sz w:val="24"/>
                <w:szCs w:val="24"/>
              </w:rPr>
              <w:t>,</w:t>
            </w:r>
            <w:r>
              <w:rPr>
                <w:rFonts w:ascii="Verdana" w:hAnsi="Verdana"/>
                <w:sz w:val="24"/>
                <w:szCs w:val="24"/>
              </w:rPr>
              <w:t xml:space="preserve"> </w:t>
            </w:r>
            <w:r w:rsidRPr="0025615F">
              <w:rPr>
                <w:rFonts w:ascii="Verdana" w:hAnsi="Verdana"/>
                <w:b/>
                <w:sz w:val="24"/>
                <w:szCs w:val="24"/>
              </w:rPr>
              <w:t>or</w:t>
            </w:r>
            <w:r>
              <w:rPr>
                <w:rFonts w:ascii="Verdana" w:hAnsi="Verdana"/>
                <w:b/>
                <w:sz w:val="24"/>
                <w:szCs w:val="24"/>
              </w:rPr>
              <w:t xml:space="preserve"> </w:t>
            </w:r>
            <w:r w:rsidRPr="0025615F">
              <w:rPr>
                <w:rFonts w:ascii="Verdana" w:hAnsi="Verdana"/>
                <w:sz w:val="24"/>
                <w:szCs w:val="24"/>
              </w:rPr>
              <w:t>Individual</w:t>
            </w:r>
            <w:r>
              <w:rPr>
                <w:rFonts w:ascii="Verdana" w:hAnsi="Verdana"/>
                <w:sz w:val="24"/>
                <w:szCs w:val="24"/>
              </w:rPr>
              <w:t xml:space="preserve"> </w:t>
            </w:r>
            <w:r w:rsidRPr="0025615F">
              <w:rPr>
                <w:rFonts w:ascii="Verdana" w:hAnsi="Verdana"/>
                <w:sz w:val="24"/>
                <w:szCs w:val="24"/>
              </w:rPr>
              <w:t>Practice</w:t>
            </w:r>
            <w:r>
              <w:rPr>
                <w:rFonts w:ascii="Verdana" w:hAnsi="Verdana"/>
                <w:sz w:val="24"/>
                <w:szCs w:val="24"/>
              </w:rPr>
              <w:t xml:space="preserve"> </w:t>
            </w:r>
            <w:r w:rsidRPr="0025615F">
              <w:rPr>
                <w:rFonts w:ascii="Verdana" w:hAnsi="Verdana"/>
                <w:sz w:val="24"/>
                <w:szCs w:val="24"/>
              </w:rPr>
              <w:t>Association</w:t>
            </w:r>
            <w:r>
              <w:rPr>
                <w:rFonts w:ascii="Verdana" w:hAnsi="Verdana"/>
                <w:sz w:val="24"/>
                <w:szCs w:val="24"/>
              </w:rPr>
              <w:t xml:space="preserve"> </w:t>
            </w:r>
            <w:r w:rsidRPr="0025615F">
              <w:rPr>
                <w:rFonts w:ascii="Verdana" w:hAnsi="Verdana"/>
                <w:b/>
                <w:sz w:val="24"/>
                <w:szCs w:val="24"/>
              </w:rPr>
              <w:t>(IPA</w:t>
            </w:r>
            <w:r w:rsidRPr="00246A5C">
              <w:rPr>
                <w:rFonts w:ascii="Verdana" w:hAnsi="Verdana"/>
                <w:b/>
                <w:sz w:val="24"/>
                <w:szCs w:val="24"/>
              </w:rPr>
              <w:t>)</w:t>
            </w:r>
            <w:r w:rsidRPr="0025615F">
              <w:rPr>
                <w:rFonts w:ascii="Verdana" w:hAnsi="Verdana"/>
                <w:sz w:val="24"/>
                <w:szCs w:val="24"/>
              </w:rPr>
              <w:t>,</w:t>
            </w:r>
            <w:r>
              <w:rPr>
                <w:rFonts w:ascii="Verdana" w:hAnsi="Verdana"/>
                <w:sz w:val="24"/>
                <w:szCs w:val="24"/>
              </w:rPr>
              <w:t xml:space="preserve"> co</w:t>
            </w:r>
            <w:r w:rsidRPr="0025615F">
              <w:rPr>
                <w:rFonts w:ascii="Verdana" w:hAnsi="Verdana"/>
                <w:sz w:val="24"/>
                <w:szCs w:val="24"/>
              </w:rPr>
              <w:t>ntracts</w:t>
            </w:r>
            <w:r>
              <w:rPr>
                <w:rFonts w:ascii="Verdana" w:hAnsi="Verdana"/>
                <w:sz w:val="24"/>
                <w:szCs w:val="24"/>
              </w:rPr>
              <w:t xml:space="preserve"> </w:t>
            </w:r>
            <w:r w:rsidRPr="0025615F">
              <w:rPr>
                <w:rFonts w:ascii="Verdana" w:hAnsi="Verdana"/>
                <w:sz w:val="24"/>
                <w:szCs w:val="24"/>
              </w:rPr>
              <w:t>with</w:t>
            </w:r>
            <w:r>
              <w:rPr>
                <w:rFonts w:ascii="Verdana" w:hAnsi="Verdana"/>
                <w:sz w:val="24"/>
                <w:szCs w:val="24"/>
              </w:rPr>
              <w:t xml:space="preserve"> </w:t>
            </w:r>
            <w:r w:rsidRPr="0025615F">
              <w:rPr>
                <w:rFonts w:ascii="Verdana" w:hAnsi="Verdana"/>
                <w:sz w:val="24"/>
                <w:szCs w:val="24"/>
              </w:rPr>
              <w:t>various</w:t>
            </w:r>
            <w:r>
              <w:rPr>
                <w:rFonts w:ascii="Verdana" w:hAnsi="Verdana"/>
                <w:sz w:val="24"/>
                <w:szCs w:val="24"/>
              </w:rPr>
              <w:t xml:space="preserve"> </w:t>
            </w:r>
            <w:r w:rsidRPr="0025615F">
              <w:rPr>
                <w:rFonts w:ascii="Verdana" w:hAnsi="Verdana"/>
                <w:sz w:val="24"/>
                <w:szCs w:val="24"/>
              </w:rPr>
              <w:t>providers</w:t>
            </w:r>
            <w:r>
              <w:rPr>
                <w:rFonts w:ascii="Verdana" w:hAnsi="Verdana"/>
                <w:sz w:val="24"/>
                <w:szCs w:val="24"/>
              </w:rPr>
              <w:t xml:space="preserve"> </w:t>
            </w:r>
            <w:r w:rsidRPr="0025615F">
              <w:rPr>
                <w:rFonts w:ascii="Verdana" w:hAnsi="Verdana"/>
                <w:sz w:val="24"/>
                <w:szCs w:val="24"/>
              </w:rPr>
              <w:t>in</w:t>
            </w:r>
            <w:r>
              <w:rPr>
                <w:rFonts w:ascii="Verdana" w:hAnsi="Verdana"/>
                <w:sz w:val="24"/>
                <w:szCs w:val="24"/>
              </w:rPr>
              <w:t xml:space="preserve"> </w:t>
            </w:r>
            <w:r w:rsidRPr="0025615F">
              <w:rPr>
                <w:rFonts w:ascii="Verdana" w:hAnsi="Verdana"/>
                <w:sz w:val="24"/>
                <w:szCs w:val="24"/>
              </w:rPr>
              <w:t>the</w:t>
            </w:r>
            <w:r>
              <w:rPr>
                <w:rFonts w:ascii="Verdana" w:hAnsi="Verdana"/>
                <w:sz w:val="24"/>
                <w:szCs w:val="24"/>
              </w:rPr>
              <w:t xml:space="preserve"> co</w:t>
            </w:r>
            <w:r w:rsidRPr="0025615F">
              <w:rPr>
                <w:rFonts w:ascii="Verdana" w:hAnsi="Verdana"/>
                <w:sz w:val="24"/>
                <w:szCs w:val="24"/>
              </w:rPr>
              <w:t>mmunity</w:t>
            </w:r>
            <w:r>
              <w:rPr>
                <w:rFonts w:ascii="Verdana" w:hAnsi="Verdana"/>
                <w:sz w:val="24"/>
                <w:szCs w:val="24"/>
              </w:rPr>
              <w:t xml:space="preserve"> </w:t>
            </w:r>
            <w:r w:rsidRPr="0025615F">
              <w:rPr>
                <w:rFonts w:ascii="Verdana" w:hAnsi="Verdana"/>
                <w:sz w:val="24"/>
                <w:szCs w:val="24"/>
              </w:rPr>
              <w:t>and</w:t>
            </w:r>
            <w:r>
              <w:rPr>
                <w:rFonts w:ascii="Verdana" w:hAnsi="Verdana"/>
                <w:sz w:val="24"/>
                <w:szCs w:val="24"/>
              </w:rPr>
              <w:t xml:space="preserve"> </w:t>
            </w:r>
            <w:r w:rsidRPr="0025615F">
              <w:rPr>
                <w:rFonts w:ascii="Verdana" w:hAnsi="Verdana"/>
                <w:sz w:val="24"/>
                <w:szCs w:val="24"/>
              </w:rPr>
              <w:t>does</w:t>
            </w:r>
            <w:r>
              <w:rPr>
                <w:rFonts w:ascii="Verdana" w:hAnsi="Verdana"/>
                <w:sz w:val="24"/>
                <w:szCs w:val="24"/>
              </w:rPr>
              <w:t xml:space="preserve"> </w:t>
            </w:r>
            <w:r w:rsidRPr="0025615F">
              <w:rPr>
                <w:rFonts w:ascii="Verdana" w:hAnsi="Verdana"/>
                <w:sz w:val="24"/>
                <w:szCs w:val="24"/>
              </w:rPr>
              <w:t>not</w:t>
            </w:r>
            <w:r>
              <w:rPr>
                <w:rFonts w:ascii="Verdana" w:hAnsi="Verdana"/>
                <w:sz w:val="24"/>
                <w:szCs w:val="24"/>
              </w:rPr>
              <w:t xml:space="preserve"> </w:t>
            </w:r>
            <w:r w:rsidRPr="0025615F">
              <w:rPr>
                <w:rFonts w:ascii="Verdana" w:hAnsi="Verdana"/>
                <w:sz w:val="24"/>
                <w:szCs w:val="24"/>
              </w:rPr>
              <w:t>have</w:t>
            </w:r>
            <w:r>
              <w:rPr>
                <w:rFonts w:ascii="Verdana" w:hAnsi="Verdana"/>
                <w:sz w:val="24"/>
                <w:szCs w:val="24"/>
              </w:rPr>
              <w:t xml:space="preserve"> </w:t>
            </w:r>
            <w:r w:rsidRPr="0025615F">
              <w:rPr>
                <w:rFonts w:ascii="Verdana" w:hAnsi="Verdana"/>
                <w:sz w:val="24"/>
                <w:szCs w:val="24"/>
              </w:rPr>
              <w:t>its</w:t>
            </w:r>
            <w:r>
              <w:rPr>
                <w:rFonts w:ascii="Verdana" w:hAnsi="Verdana"/>
                <w:sz w:val="24"/>
                <w:szCs w:val="24"/>
              </w:rPr>
              <w:t xml:space="preserve"> </w:t>
            </w:r>
            <w:r w:rsidRPr="0025615F">
              <w:rPr>
                <w:rFonts w:ascii="Verdana" w:hAnsi="Verdana"/>
                <w:sz w:val="24"/>
                <w:szCs w:val="24"/>
              </w:rPr>
              <w:t>own</w:t>
            </w:r>
            <w:r>
              <w:rPr>
                <w:rFonts w:ascii="Verdana" w:hAnsi="Verdana"/>
                <w:sz w:val="24"/>
                <w:szCs w:val="24"/>
              </w:rPr>
              <w:t xml:space="preserve"> </w:t>
            </w:r>
            <w:r w:rsidRPr="0025615F">
              <w:rPr>
                <w:rFonts w:ascii="Verdana" w:hAnsi="Verdana"/>
                <w:sz w:val="24"/>
                <w:szCs w:val="24"/>
              </w:rPr>
              <w:t>pharmacies</w:t>
            </w:r>
            <w:r>
              <w:rPr>
                <w:rFonts w:ascii="Verdana" w:hAnsi="Verdana"/>
                <w:sz w:val="24"/>
                <w:szCs w:val="24"/>
              </w:rPr>
              <w:t xml:space="preserve"> </w:t>
            </w:r>
            <w:r w:rsidRPr="0025615F">
              <w:rPr>
                <w:rFonts w:ascii="Verdana" w:hAnsi="Verdana"/>
                <w:sz w:val="24"/>
                <w:szCs w:val="24"/>
              </w:rPr>
              <w:t>and</w:t>
            </w:r>
            <w:r>
              <w:rPr>
                <w:rFonts w:ascii="Verdana" w:hAnsi="Verdana"/>
                <w:sz w:val="24"/>
                <w:szCs w:val="24"/>
              </w:rPr>
              <w:t xml:space="preserve"> </w:t>
            </w:r>
            <w:r w:rsidRPr="0025615F">
              <w:rPr>
                <w:rFonts w:ascii="Verdana" w:hAnsi="Verdana"/>
                <w:sz w:val="24"/>
                <w:szCs w:val="24"/>
              </w:rPr>
              <w:t>labs.</w:t>
            </w:r>
            <w:r>
              <w:rPr>
                <w:rFonts w:ascii="Verdana" w:hAnsi="Verdana"/>
                <w:sz w:val="24"/>
                <w:szCs w:val="24"/>
              </w:rPr>
              <w:t xml:space="preserve"> </w:t>
            </w:r>
            <w:r w:rsidRPr="0025615F">
              <w:rPr>
                <w:rFonts w:ascii="Verdana" w:hAnsi="Verdana"/>
                <w:sz w:val="24"/>
                <w:szCs w:val="24"/>
              </w:rPr>
              <w:t>This</w:t>
            </w:r>
            <w:r>
              <w:rPr>
                <w:rFonts w:ascii="Verdana" w:hAnsi="Verdana"/>
                <w:sz w:val="24"/>
                <w:szCs w:val="24"/>
              </w:rPr>
              <w:t xml:space="preserve"> </w:t>
            </w:r>
            <w:r w:rsidRPr="0025615F">
              <w:rPr>
                <w:rFonts w:ascii="Verdana" w:hAnsi="Verdana"/>
                <w:sz w:val="24"/>
                <w:szCs w:val="24"/>
              </w:rPr>
              <w:t>is</w:t>
            </w:r>
            <w:r>
              <w:rPr>
                <w:rFonts w:ascii="Verdana" w:hAnsi="Verdana"/>
                <w:sz w:val="24"/>
                <w:szCs w:val="24"/>
              </w:rPr>
              <w:t xml:space="preserve"> </w:t>
            </w:r>
            <w:r w:rsidRPr="0025615F">
              <w:rPr>
                <w:rFonts w:ascii="Verdana" w:hAnsi="Verdana"/>
                <w:sz w:val="24"/>
                <w:szCs w:val="24"/>
              </w:rPr>
              <w:t>known</w:t>
            </w:r>
            <w:r>
              <w:rPr>
                <w:rFonts w:ascii="Verdana" w:hAnsi="Verdana"/>
                <w:sz w:val="24"/>
                <w:szCs w:val="24"/>
              </w:rPr>
              <w:t xml:space="preserve"> </w:t>
            </w:r>
            <w:r w:rsidRPr="0025615F">
              <w:rPr>
                <w:rFonts w:ascii="Verdana" w:hAnsi="Verdana"/>
                <w:sz w:val="24"/>
                <w:szCs w:val="24"/>
              </w:rPr>
              <w:t>as</w:t>
            </w:r>
            <w:r>
              <w:rPr>
                <w:rFonts w:ascii="Verdana" w:hAnsi="Verdana"/>
                <w:sz w:val="24"/>
                <w:szCs w:val="24"/>
              </w:rPr>
              <w:t xml:space="preserve"> </w:t>
            </w:r>
            <w:r w:rsidRPr="0025615F">
              <w:rPr>
                <w:rFonts w:ascii="Verdana" w:hAnsi="Verdana"/>
                <w:sz w:val="24"/>
                <w:szCs w:val="24"/>
              </w:rPr>
              <w:t>Group</w:t>
            </w:r>
            <w:r>
              <w:rPr>
                <w:rFonts w:ascii="Verdana" w:hAnsi="Verdana"/>
                <w:sz w:val="24"/>
                <w:szCs w:val="24"/>
              </w:rPr>
              <w:t xml:space="preserve"> </w:t>
            </w:r>
            <w:r w:rsidRPr="0025615F">
              <w:rPr>
                <w:rFonts w:ascii="Verdana" w:hAnsi="Verdana"/>
                <w:sz w:val="24"/>
                <w:szCs w:val="24"/>
              </w:rPr>
              <w:t>Practice.</w:t>
            </w:r>
            <w:r>
              <w:rPr>
                <w:rFonts w:ascii="Verdana" w:hAnsi="Verdana"/>
                <w:sz w:val="24"/>
                <w:szCs w:val="24"/>
              </w:rPr>
              <w:t xml:space="preserve"> </w:t>
            </w:r>
          </w:p>
          <w:p w14:paraId="6CBB5566" w14:textId="77777777" w:rsidR="00967195" w:rsidRDefault="00967195" w:rsidP="00834D9E">
            <w:pPr>
              <w:spacing w:before="120" w:after="120"/>
              <w:rPr>
                <w:rFonts w:ascii="Verdana" w:hAnsi="Verdana"/>
              </w:rPr>
            </w:pPr>
          </w:p>
          <w:p w14:paraId="69C82D8D" w14:textId="77777777" w:rsidR="00967195" w:rsidRDefault="00967195" w:rsidP="00834D9E">
            <w:pPr>
              <w:spacing w:before="120" w:after="120"/>
              <w:rPr>
                <w:rFonts w:ascii="Verdana" w:hAnsi="Verdana"/>
              </w:rPr>
            </w:pPr>
            <w:r w:rsidRPr="0025615F">
              <w:rPr>
                <w:rFonts w:ascii="Verdana" w:hAnsi="Verdana"/>
              </w:rPr>
              <w:t>A</w:t>
            </w:r>
            <w:r>
              <w:rPr>
                <w:rFonts w:ascii="Verdana" w:hAnsi="Verdana"/>
              </w:rPr>
              <w:t xml:space="preserve">n </w:t>
            </w:r>
            <w:r w:rsidRPr="0025615F">
              <w:rPr>
                <w:rFonts w:ascii="Verdana" w:hAnsi="Verdana"/>
              </w:rPr>
              <w:t>HMO</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intended</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alternative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group</w:t>
            </w:r>
            <w:r>
              <w:rPr>
                <w:rFonts w:ascii="Verdana" w:hAnsi="Verdana"/>
              </w:rPr>
              <w:t xml:space="preserve"> </w:t>
            </w:r>
            <w:r w:rsidRPr="0025615F">
              <w:rPr>
                <w:rFonts w:ascii="Verdana" w:hAnsi="Verdana"/>
              </w:rPr>
              <w:t>Major</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insurance</w:t>
            </w:r>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Eligibility</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maintained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each</w:t>
            </w:r>
            <w:r>
              <w:rPr>
                <w:rFonts w:ascii="Verdana" w:hAnsi="Verdana"/>
              </w:rPr>
              <w:t xml:space="preserve"> co</w:t>
            </w:r>
            <w:r w:rsidRPr="0025615F">
              <w:rPr>
                <w:rFonts w:ascii="Verdana" w:hAnsi="Verdana"/>
              </w:rPr>
              <w:t>vered</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Maintenance</w:t>
            </w:r>
            <w:r>
              <w:rPr>
                <w:rFonts w:ascii="Verdana" w:hAnsi="Verdana"/>
              </w:rPr>
              <w:t xml:space="preserve"> </w:t>
            </w:r>
            <w:r w:rsidRPr="0025615F">
              <w:rPr>
                <w:rFonts w:ascii="Verdana" w:hAnsi="Verdana"/>
              </w:rPr>
              <w:t>Organization</w:t>
            </w:r>
            <w:r>
              <w:rPr>
                <w:rFonts w:ascii="Verdana" w:hAnsi="Verdana"/>
              </w:rPr>
              <w:t xml:space="preserve"> </w:t>
            </w:r>
            <w:r w:rsidRPr="0025615F">
              <w:rPr>
                <w:rFonts w:ascii="Verdana" w:hAnsi="Verdana"/>
              </w:rPr>
              <w:t>Act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1970).</w:t>
            </w:r>
          </w:p>
          <w:p w14:paraId="3F887209" w14:textId="77777777" w:rsidR="00967195" w:rsidRPr="0025615F" w:rsidRDefault="00967195" w:rsidP="00834D9E">
            <w:pPr>
              <w:spacing w:before="120" w:after="120"/>
              <w:rPr>
                <w:rFonts w:ascii="Verdana" w:hAnsi="Verdana"/>
              </w:rPr>
            </w:pPr>
          </w:p>
          <w:p w14:paraId="708B87C0" w14:textId="77777777" w:rsidR="00967195" w:rsidRDefault="00967195" w:rsidP="00834D9E">
            <w:pPr>
              <w:spacing w:before="120" w:after="120"/>
              <w:rPr>
                <w:rFonts w:ascii="Verdana" w:hAnsi="Verdana"/>
                <w:b/>
              </w:rPr>
            </w:pPr>
            <w:r w:rsidRPr="0025615F">
              <w:rPr>
                <w:rFonts w:ascii="Verdana" w:hAnsi="Verdana"/>
                <w:b/>
              </w:rPr>
              <w:t>Or</w:t>
            </w:r>
            <w:r>
              <w:rPr>
                <w:rFonts w:ascii="Verdana" w:hAnsi="Verdana"/>
                <w:b/>
              </w:rPr>
              <w:t xml:space="preserve"> </w:t>
            </w:r>
          </w:p>
          <w:p w14:paraId="33E3D1B4" w14:textId="77777777" w:rsidR="00967195" w:rsidRPr="0025615F" w:rsidRDefault="00967195" w:rsidP="00834D9E">
            <w:pPr>
              <w:spacing w:before="120" w:after="120"/>
              <w:rPr>
                <w:rFonts w:ascii="Verdana" w:hAnsi="Verdana"/>
                <w:b/>
              </w:rPr>
            </w:pPr>
          </w:p>
          <w:p w14:paraId="45F0B118" w14:textId="77777777" w:rsidR="00967195" w:rsidRDefault="00967195" w:rsidP="00834D9E">
            <w:pPr>
              <w:spacing w:before="120" w:after="120"/>
              <w:rPr>
                <w:rFonts w:ascii="Verdana" w:hAnsi="Verdana"/>
              </w:rPr>
            </w:pPr>
            <w:r w:rsidRPr="0025615F">
              <w:rPr>
                <w:rFonts w:ascii="Verdana" w:hAnsi="Verdana"/>
              </w:rPr>
              <w:t>An</w:t>
            </w:r>
            <w:r>
              <w:rPr>
                <w:rFonts w:ascii="Verdana" w:hAnsi="Verdana"/>
              </w:rPr>
              <w:t xml:space="preserve"> </w:t>
            </w:r>
            <w:r w:rsidRPr="0025615F">
              <w:rPr>
                <w:rFonts w:ascii="Verdana" w:hAnsi="Verdana"/>
              </w:rPr>
              <w:t>organized</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responsible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both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financing</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delivery</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broad</w:t>
            </w:r>
            <w:r>
              <w:rPr>
                <w:rFonts w:ascii="Verdana" w:hAnsi="Verdana"/>
              </w:rPr>
              <w:t xml:space="preserve"> </w:t>
            </w:r>
            <w:r w:rsidRPr="0025615F">
              <w:rPr>
                <w:rFonts w:ascii="Verdana" w:hAnsi="Verdana"/>
              </w:rPr>
              <w:t>range</w:t>
            </w:r>
            <w:r>
              <w:rPr>
                <w:rFonts w:ascii="Verdana" w:hAnsi="Verdana"/>
              </w:rPr>
              <w:t xml:space="preserve"> </w:t>
            </w:r>
            <w:r w:rsidRPr="0025615F">
              <w:rPr>
                <w:rFonts w:ascii="Verdana" w:hAnsi="Verdana"/>
              </w:rPr>
              <w:t>of</w:t>
            </w:r>
            <w:r>
              <w:rPr>
                <w:rFonts w:ascii="Verdana" w:hAnsi="Verdana"/>
              </w:rPr>
              <w:t xml:space="preserve"> co</w:t>
            </w:r>
            <w:r w:rsidRPr="0025615F">
              <w:rPr>
                <w:rFonts w:ascii="Verdana" w:hAnsi="Verdana"/>
              </w:rPr>
              <w:t>mprehensive</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enrolled</w:t>
            </w:r>
            <w:r>
              <w:rPr>
                <w:rFonts w:ascii="Verdana" w:hAnsi="Verdana"/>
              </w:rPr>
              <w:t xml:space="preserve"> </w:t>
            </w:r>
            <w:r w:rsidRPr="0025615F">
              <w:rPr>
                <w:rFonts w:ascii="Verdana" w:hAnsi="Verdana"/>
              </w:rPr>
              <w:t>population.</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HMO</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least</w:t>
            </w:r>
            <w:r>
              <w:rPr>
                <w:rFonts w:ascii="Verdana" w:hAnsi="Verdana"/>
              </w:rPr>
              <w:t xml:space="preserve"> </w:t>
            </w:r>
            <w:r w:rsidRPr="0025615F">
              <w:rPr>
                <w:rFonts w:ascii="Verdana" w:hAnsi="Verdana"/>
              </w:rPr>
              <w:t>expensive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M</w:t>
            </w:r>
            <w:r>
              <w:rPr>
                <w:rFonts w:ascii="Verdana" w:hAnsi="Verdana"/>
              </w:rPr>
              <w:t>CO</w:t>
            </w:r>
            <w:r w:rsidRPr="0025615F">
              <w:rPr>
                <w:rFonts w:ascii="Verdana" w:hAnsi="Verdana"/>
              </w:rPr>
              <w:t>s</w:t>
            </w:r>
            <w:r>
              <w:rPr>
                <w:rFonts w:ascii="Verdana" w:hAnsi="Verdana"/>
              </w:rPr>
              <w:t xml:space="preserve"> </w:t>
            </w:r>
            <w:r w:rsidRPr="0025615F">
              <w:rPr>
                <w:rFonts w:ascii="Verdana" w:hAnsi="Verdana"/>
              </w:rPr>
              <w:t>but</w:t>
            </w:r>
            <w:r>
              <w:rPr>
                <w:rFonts w:ascii="Verdana" w:hAnsi="Verdana"/>
              </w:rPr>
              <w:t xml:space="preserve"> </w:t>
            </w:r>
            <w:r w:rsidRPr="0025615F">
              <w:rPr>
                <w:rFonts w:ascii="Verdana" w:hAnsi="Verdana"/>
              </w:rPr>
              <w:t>requires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most</w:t>
            </w:r>
            <w:r>
              <w:rPr>
                <w:rFonts w:ascii="Verdana" w:hAnsi="Verdana"/>
              </w:rPr>
              <w:t xml:space="preserve"> </w:t>
            </w:r>
            <w:r w:rsidRPr="0025615F">
              <w:rPr>
                <w:rFonts w:ascii="Verdana" w:hAnsi="Verdana"/>
              </w:rPr>
              <w:t>management.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under</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type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visit</w:t>
            </w:r>
            <w:r>
              <w:rPr>
                <w:rFonts w:ascii="Verdana" w:hAnsi="Verdana"/>
              </w:rPr>
              <w:t xml:space="preserve"> </w:t>
            </w:r>
            <w:r w:rsidRPr="0025615F">
              <w:rPr>
                <w:rFonts w:ascii="Verdana" w:hAnsi="Verdana"/>
              </w:rPr>
              <w:t>prescribers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assigned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HMO</w:t>
            </w:r>
            <w:r>
              <w:rPr>
                <w:rFonts w:ascii="Verdana" w:hAnsi="Verdana"/>
              </w:rPr>
              <w:t xml:space="preserve"> </w:t>
            </w:r>
            <w:r w:rsidRPr="0025615F">
              <w:rPr>
                <w:rFonts w:ascii="Verdana" w:hAnsi="Verdana"/>
              </w:rPr>
              <w:t>(called</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Network)</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usually</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choose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Primary</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Prescriber</w:t>
            </w:r>
            <w:r>
              <w:rPr>
                <w:rFonts w:ascii="Verdana" w:hAnsi="Verdana"/>
              </w:rPr>
              <w:t xml:space="preserve"> </w:t>
            </w:r>
            <w:r w:rsidRPr="0025615F">
              <w:rPr>
                <w:rFonts w:ascii="Verdana" w:hAnsi="Verdana"/>
              </w:rPr>
              <w:t>(PCP).</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visit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specialist</w:t>
            </w:r>
            <w:r>
              <w:rPr>
                <w:rFonts w:ascii="Verdana" w:hAnsi="Verdana"/>
              </w:rPr>
              <w:t xml:space="preserve"> </w:t>
            </w:r>
            <w:r w:rsidRPr="0025615F">
              <w:rPr>
                <w:rFonts w:ascii="Verdana" w:hAnsi="Verdana"/>
              </w:rPr>
              <w:t>they</w:t>
            </w:r>
            <w:r>
              <w:rPr>
                <w:rFonts w:ascii="Verdana" w:hAnsi="Verdana"/>
              </w:rPr>
              <w:t xml:space="preserve"> </w:t>
            </w:r>
            <w:r w:rsidRPr="0025615F">
              <w:rPr>
                <w:rFonts w:ascii="Verdana" w:hAnsi="Verdana"/>
              </w:rPr>
              <w:t>must</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referral</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PCP.</w:t>
            </w:r>
            <w:r>
              <w:rPr>
                <w:rFonts w:ascii="Verdana" w:hAnsi="Verdana"/>
              </w:rPr>
              <w:t xml:space="preserve">  </w:t>
            </w:r>
            <w:r w:rsidRPr="0025615F">
              <w:rPr>
                <w:rFonts w:ascii="Verdana" w:hAnsi="Verdana" w:cs="Arial"/>
              </w:rPr>
              <w:t>There</w:t>
            </w:r>
            <w:r>
              <w:rPr>
                <w:rFonts w:ascii="Verdana" w:hAnsi="Verdana" w:cs="Arial"/>
              </w:rPr>
              <w:t xml:space="preserve"> </w:t>
            </w:r>
            <w:r w:rsidRPr="0025615F">
              <w:rPr>
                <w:rFonts w:ascii="Verdana" w:hAnsi="Verdana" w:cs="Arial"/>
              </w:rPr>
              <w:t>are</w:t>
            </w:r>
            <w:r>
              <w:rPr>
                <w:rFonts w:ascii="Verdana" w:hAnsi="Verdana" w:cs="Arial"/>
              </w:rPr>
              <w:t xml:space="preserve"> </w:t>
            </w:r>
            <w:r w:rsidRPr="0025615F">
              <w:rPr>
                <w:rFonts w:ascii="Verdana" w:hAnsi="Verdana" w:cs="Arial"/>
              </w:rPr>
              <w:t>four</w:t>
            </w:r>
            <w:r>
              <w:rPr>
                <w:rFonts w:ascii="Verdana" w:hAnsi="Verdana" w:cs="Arial"/>
              </w:rPr>
              <w:t xml:space="preserve"> </w:t>
            </w:r>
            <w:r w:rsidRPr="0025615F">
              <w:rPr>
                <w:rFonts w:ascii="Verdana" w:hAnsi="Verdana" w:cs="Arial"/>
              </w:rPr>
              <w:t>types</w:t>
            </w:r>
            <w:r>
              <w:rPr>
                <w:rFonts w:ascii="Verdana" w:hAnsi="Verdana" w:cs="Arial"/>
              </w:rPr>
              <w:t xml:space="preserve"> </w:t>
            </w:r>
            <w:r w:rsidRPr="0025615F">
              <w:rPr>
                <w:rFonts w:ascii="Verdana" w:hAnsi="Verdana" w:cs="Arial"/>
              </w:rPr>
              <w:t>of</w:t>
            </w:r>
            <w:r>
              <w:rPr>
                <w:rFonts w:ascii="Verdana" w:hAnsi="Verdana" w:cs="Arial"/>
              </w:rPr>
              <w:t xml:space="preserve"> </w:t>
            </w:r>
            <w:r w:rsidRPr="0025615F">
              <w:rPr>
                <w:rFonts w:ascii="Verdana" w:hAnsi="Verdana" w:cs="Arial"/>
              </w:rPr>
              <w:t>HMO’s:</w:t>
            </w:r>
            <w:r>
              <w:rPr>
                <w:rFonts w:ascii="Verdana" w:hAnsi="Verdana" w:cs="Arial"/>
              </w:rPr>
              <w:t xml:space="preserve">  </w:t>
            </w:r>
            <w:r w:rsidRPr="0025615F">
              <w:rPr>
                <w:rFonts w:ascii="Verdana" w:hAnsi="Verdana" w:cs="Arial"/>
              </w:rPr>
              <w:t>Staff</w:t>
            </w:r>
            <w:r>
              <w:rPr>
                <w:rFonts w:ascii="Verdana" w:hAnsi="Verdana" w:cs="Arial"/>
              </w:rPr>
              <w:t xml:space="preserve"> </w:t>
            </w:r>
            <w:r w:rsidRPr="0025615F">
              <w:rPr>
                <w:rFonts w:ascii="Verdana" w:hAnsi="Verdana" w:cs="Arial"/>
              </w:rPr>
              <w:t>Model,</w:t>
            </w:r>
            <w:r>
              <w:rPr>
                <w:rFonts w:ascii="Verdana" w:hAnsi="Verdana" w:cs="Arial"/>
              </w:rPr>
              <w:t xml:space="preserve"> </w:t>
            </w:r>
            <w:r w:rsidRPr="0025615F">
              <w:rPr>
                <w:rFonts w:ascii="Verdana" w:hAnsi="Verdana" w:cs="Arial"/>
              </w:rPr>
              <w:t>Group</w:t>
            </w:r>
            <w:r>
              <w:rPr>
                <w:rFonts w:ascii="Verdana" w:hAnsi="Verdana" w:cs="Arial"/>
              </w:rPr>
              <w:t xml:space="preserve"> </w:t>
            </w:r>
            <w:r w:rsidRPr="0025615F">
              <w:rPr>
                <w:rFonts w:ascii="Verdana" w:hAnsi="Verdana" w:cs="Arial"/>
              </w:rPr>
              <w:t>Model,</w:t>
            </w:r>
            <w:r>
              <w:rPr>
                <w:rFonts w:ascii="Verdana" w:hAnsi="Verdana" w:cs="Arial"/>
              </w:rPr>
              <w:t xml:space="preserve"> </w:t>
            </w:r>
            <w:r w:rsidRPr="0025615F">
              <w:rPr>
                <w:rFonts w:ascii="Verdana" w:hAnsi="Verdana" w:cs="Arial"/>
              </w:rPr>
              <w:t>Network</w:t>
            </w:r>
            <w:r>
              <w:rPr>
                <w:rFonts w:ascii="Verdana" w:hAnsi="Verdana" w:cs="Arial"/>
              </w:rPr>
              <w:t xml:space="preserve"> </w:t>
            </w:r>
            <w:proofErr w:type="gramStart"/>
            <w:r w:rsidRPr="0025615F">
              <w:rPr>
                <w:rFonts w:ascii="Verdana" w:hAnsi="Verdana" w:cs="Arial"/>
              </w:rPr>
              <w:t>Model</w:t>
            </w:r>
            <w:proofErr w:type="gramEnd"/>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Independent</w:t>
            </w:r>
            <w:r>
              <w:rPr>
                <w:rFonts w:ascii="Verdana" w:hAnsi="Verdana" w:cs="Arial"/>
              </w:rPr>
              <w:t xml:space="preserve"> </w:t>
            </w:r>
            <w:r w:rsidRPr="0025615F">
              <w:rPr>
                <w:rFonts w:ascii="Verdana" w:hAnsi="Verdana" w:cs="Arial"/>
              </w:rPr>
              <w:t>Practitioners</w:t>
            </w:r>
            <w:r>
              <w:rPr>
                <w:rFonts w:ascii="Verdana" w:hAnsi="Verdana" w:cs="Arial"/>
              </w:rPr>
              <w:t xml:space="preserve"> </w:t>
            </w:r>
            <w:r w:rsidRPr="0025615F">
              <w:rPr>
                <w:rFonts w:ascii="Verdana" w:hAnsi="Verdana" w:cs="Arial"/>
              </w:rPr>
              <w:t>Association</w:t>
            </w:r>
            <w:r>
              <w:rPr>
                <w:rFonts w:ascii="Verdana" w:hAnsi="Verdana" w:cs="Arial"/>
              </w:rPr>
              <w:t xml:space="preserve"> </w:t>
            </w:r>
            <w:r w:rsidRPr="0025615F">
              <w:rPr>
                <w:rFonts w:ascii="Verdana" w:hAnsi="Verdana" w:cs="Arial"/>
              </w:rPr>
              <w:t>(IPA).</w:t>
            </w:r>
            <w:r>
              <w:rPr>
                <w:rFonts w:ascii="Verdana" w:hAnsi="Verdana" w:cs="Arial"/>
              </w:rPr>
              <w:t xml:space="preserve">  </w:t>
            </w:r>
            <w:r w:rsidRPr="0025615F">
              <w:rPr>
                <w:rFonts w:ascii="Verdana" w:hAnsi="Verdana"/>
              </w:rPr>
              <w:t>An</w:t>
            </w:r>
            <w:r>
              <w:rPr>
                <w:rFonts w:ascii="Verdana" w:hAnsi="Verdana"/>
              </w:rPr>
              <w:t xml:space="preserve"> </w:t>
            </w:r>
            <w:r w:rsidRPr="0025615F">
              <w:rPr>
                <w:rFonts w:ascii="Verdana" w:hAnsi="Verdana"/>
              </w:rPr>
              <w:t>example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HMO</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Cigna</w:t>
            </w:r>
            <w:r>
              <w:rPr>
                <w:rFonts w:ascii="Verdana" w:hAnsi="Verdana"/>
              </w:rPr>
              <w:t xml:space="preserve"> </w:t>
            </w:r>
            <w:r w:rsidRPr="0025615F">
              <w:rPr>
                <w:rFonts w:ascii="Verdana" w:hAnsi="Verdana"/>
              </w:rPr>
              <w:t>Healthcare.</w:t>
            </w:r>
          </w:p>
          <w:p w14:paraId="3DC6C33B" w14:textId="77777777" w:rsidR="00967195" w:rsidRPr="0025615F" w:rsidRDefault="00967195" w:rsidP="00834D9E">
            <w:pPr>
              <w:spacing w:before="120" w:after="120"/>
              <w:rPr>
                <w:rFonts w:ascii="Verdana" w:hAnsi="Verdana"/>
              </w:rPr>
            </w:pPr>
          </w:p>
        </w:tc>
      </w:tr>
      <w:tr w:rsidR="00834D9E" w14:paraId="540F33ED"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Borders>
              <w:top w:val="single" w:sz="4" w:space="0" w:color="auto"/>
              <w:left w:val="single" w:sz="4" w:space="0" w:color="auto"/>
              <w:bottom w:val="single" w:sz="4" w:space="0" w:color="auto"/>
              <w:right w:val="single" w:sz="4" w:space="0" w:color="auto"/>
            </w:tcBorders>
          </w:tcPr>
          <w:p w14:paraId="44730CCC" w14:textId="77777777" w:rsidR="00CD199F" w:rsidRDefault="00CD199F" w:rsidP="00834D9E">
            <w:pPr>
              <w:spacing w:before="120" w:after="120"/>
              <w:jc w:val="center"/>
              <w:rPr>
                <w:rFonts w:ascii="Verdana" w:hAnsi="Verdana"/>
                <w:b/>
                <w:color w:val="000000"/>
              </w:rPr>
            </w:pPr>
            <w:r>
              <w:rPr>
                <w:rFonts w:ascii="Verdana" w:hAnsi="Verdana"/>
                <w:b/>
                <w:color w:val="000000"/>
              </w:rPr>
              <w:t>HMODF</w:t>
            </w:r>
          </w:p>
          <w:p w14:paraId="0CBEBA51" w14:textId="77777777" w:rsidR="00CD199F" w:rsidRDefault="00CD199F" w:rsidP="00834D9E">
            <w:pPr>
              <w:spacing w:before="120" w:after="120"/>
              <w:jc w:val="center"/>
              <w:rPr>
                <w:rFonts w:ascii="Verdana" w:hAnsi="Verdana"/>
                <w:b/>
                <w:color w:val="000000"/>
              </w:rPr>
            </w:pPr>
          </w:p>
        </w:tc>
        <w:tc>
          <w:tcPr>
            <w:tcW w:w="1050" w:type="pct"/>
            <w:tcBorders>
              <w:top w:val="single" w:sz="4" w:space="0" w:color="auto"/>
              <w:left w:val="single" w:sz="4" w:space="0" w:color="auto"/>
              <w:bottom w:val="single" w:sz="4" w:space="0" w:color="auto"/>
              <w:right w:val="single" w:sz="4" w:space="0" w:color="auto"/>
            </w:tcBorders>
          </w:tcPr>
          <w:p w14:paraId="0BFE5E7D" w14:textId="77777777" w:rsidR="00CD199F" w:rsidRPr="00CD199F" w:rsidRDefault="00CD199F" w:rsidP="00834D9E">
            <w:pPr>
              <w:spacing w:before="120" w:after="120"/>
              <w:rPr>
                <w:rFonts w:ascii="Verdana" w:hAnsi="Verdana"/>
                <w:bCs/>
              </w:rPr>
            </w:pPr>
            <w:r w:rsidRPr="00CD199F">
              <w:rPr>
                <w:rFonts w:ascii="Verdana" w:hAnsi="Verdana"/>
                <w:bCs/>
              </w:rPr>
              <w:t xml:space="preserve">Health Maintenance Organization Doctor File </w:t>
            </w:r>
          </w:p>
          <w:p w14:paraId="387BA991" w14:textId="77777777" w:rsidR="00CD199F" w:rsidRPr="00CD199F" w:rsidRDefault="00CD199F" w:rsidP="00834D9E">
            <w:pPr>
              <w:spacing w:before="120" w:after="120"/>
              <w:rPr>
                <w:rFonts w:ascii="Verdana" w:hAnsi="Verdana"/>
                <w:bCs/>
              </w:rPr>
            </w:pPr>
          </w:p>
        </w:tc>
        <w:tc>
          <w:tcPr>
            <w:tcW w:w="3222" w:type="pct"/>
            <w:tcBorders>
              <w:top w:val="single" w:sz="4" w:space="0" w:color="auto"/>
              <w:left w:val="single" w:sz="4" w:space="0" w:color="auto"/>
              <w:bottom w:val="single" w:sz="4" w:space="0" w:color="auto"/>
              <w:right w:val="single" w:sz="4" w:space="0" w:color="auto"/>
            </w:tcBorders>
          </w:tcPr>
          <w:p w14:paraId="7B24F671" w14:textId="77777777" w:rsidR="00CD199F" w:rsidRPr="00CD199F" w:rsidRDefault="00CD199F" w:rsidP="00834D9E">
            <w:pPr>
              <w:pStyle w:val="BodyLevel1"/>
              <w:spacing w:before="120" w:after="120"/>
              <w:ind w:left="0"/>
              <w:rPr>
                <w:rFonts w:ascii="Verdana" w:hAnsi="Verdana"/>
                <w:sz w:val="24"/>
                <w:szCs w:val="24"/>
              </w:rPr>
            </w:pPr>
            <w:r w:rsidRPr="00CD199F">
              <w:rPr>
                <w:rFonts w:ascii="Verdana" w:hAnsi="Verdana"/>
                <w:sz w:val="24"/>
                <w:szCs w:val="24"/>
              </w:rPr>
              <w:t>VSAM file containing information by HMO carrier number concerning how to process their claims regarding acceptable prescriber or Drug Enforcement Agency (DEA) numbers.</w:t>
            </w:r>
          </w:p>
        </w:tc>
      </w:tr>
      <w:tr w:rsidR="00341FB3" w:rsidRPr="0025615F" w14:paraId="7B6F4B57"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6478CBCB"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HMS</w:t>
            </w:r>
          </w:p>
        </w:tc>
        <w:tc>
          <w:tcPr>
            <w:tcW w:w="1050" w:type="pct"/>
          </w:tcPr>
          <w:p w14:paraId="092F0B55" w14:textId="77777777" w:rsidR="00967195" w:rsidRPr="00E517E4" w:rsidRDefault="00967195" w:rsidP="00834D9E">
            <w:pPr>
              <w:spacing w:before="120" w:after="120"/>
              <w:rPr>
                <w:rFonts w:ascii="Verdana" w:hAnsi="Verdana"/>
                <w:bCs/>
              </w:rPr>
            </w:pPr>
            <w:r w:rsidRPr="00E517E4">
              <w:rPr>
                <w:rFonts w:ascii="Verdana" w:hAnsi="Verdana"/>
                <w:bCs/>
              </w:rPr>
              <w:t xml:space="preserve">Health Market Science </w:t>
            </w:r>
          </w:p>
        </w:tc>
        <w:tc>
          <w:tcPr>
            <w:tcW w:w="3222" w:type="pct"/>
          </w:tcPr>
          <w:p w14:paraId="6CD27486" w14:textId="77777777" w:rsidR="00967195" w:rsidRDefault="00967195" w:rsidP="00834D9E">
            <w:pPr>
              <w:spacing w:before="120" w:after="120"/>
              <w:rPr>
                <w:rFonts w:ascii="Verdana" w:hAnsi="Verdana"/>
              </w:rPr>
            </w:pPr>
            <w:r w:rsidRPr="0025615F">
              <w:rPr>
                <w:rFonts w:ascii="Verdana" w:hAnsi="Verdana"/>
              </w:rPr>
              <w:t>The</w:t>
            </w:r>
            <w:r>
              <w:rPr>
                <w:rFonts w:ascii="Verdana" w:hAnsi="Verdana"/>
              </w:rPr>
              <w:t xml:space="preserve"> co</w:t>
            </w:r>
            <w:r w:rsidRPr="0025615F">
              <w:rPr>
                <w:rFonts w:ascii="Verdana" w:hAnsi="Verdana"/>
              </w:rPr>
              <w:t>mpany</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master</w:t>
            </w:r>
            <w:r>
              <w:rPr>
                <w:rFonts w:ascii="Verdana" w:hAnsi="Verdana"/>
              </w:rPr>
              <w:t xml:space="preserve"> </w:t>
            </w:r>
            <w:r w:rsidRPr="0025615F">
              <w:rPr>
                <w:rFonts w:ascii="Verdana" w:hAnsi="Verdana"/>
              </w:rPr>
              <w:t>prescriber</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Initially,</w:t>
            </w:r>
            <w:r>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prescribers</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sent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this</w:t>
            </w:r>
            <w:r>
              <w:rPr>
                <w:rFonts w:ascii="Verdana" w:hAnsi="Verdana"/>
              </w:rPr>
              <w:t xml:space="preserve"> co</w:t>
            </w:r>
            <w:r w:rsidRPr="0025615F">
              <w:rPr>
                <w:rFonts w:ascii="Verdana" w:hAnsi="Verdana"/>
              </w:rPr>
              <w:t>mpany.</w:t>
            </w:r>
            <w:r>
              <w:rPr>
                <w:rFonts w:ascii="Verdana" w:hAnsi="Verdana"/>
              </w:rPr>
              <w:t xml:space="preserve">  </w:t>
            </w:r>
            <w:r w:rsidRPr="0025615F">
              <w:rPr>
                <w:rFonts w:ascii="Verdana" w:hAnsi="Verdana"/>
              </w:rPr>
              <w:t>They</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return</w:t>
            </w:r>
            <w:r>
              <w:rPr>
                <w:rFonts w:ascii="Verdana" w:hAnsi="Verdana"/>
              </w:rPr>
              <w:t xml:space="preserve"> </w:t>
            </w:r>
            <w:r w:rsidRPr="0025615F">
              <w:rPr>
                <w:rFonts w:ascii="Verdana" w:hAnsi="Verdana"/>
              </w:rPr>
              <w:t>a</w:t>
            </w:r>
            <w:r>
              <w:rPr>
                <w:rFonts w:ascii="Verdana" w:hAnsi="Verdana"/>
              </w:rPr>
              <w:t xml:space="preserve"> co</w:t>
            </w:r>
            <w:r w:rsidRPr="0025615F">
              <w:rPr>
                <w:rFonts w:ascii="Verdana" w:hAnsi="Verdana"/>
              </w:rPr>
              <w:t>mplete</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prescriber.</w:t>
            </w:r>
            <w:r>
              <w:rPr>
                <w:rFonts w:ascii="Verdana" w:hAnsi="Verdana"/>
              </w:rPr>
              <w:t xml:space="preserve">  </w:t>
            </w:r>
          </w:p>
          <w:p w14:paraId="60CD1ECE" w14:textId="77777777" w:rsidR="00967195" w:rsidRDefault="00967195" w:rsidP="00834D9E">
            <w:pPr>
              <w:spacing w:before="120" w:after="120"/>
              <w:rPr>
                <w:rFonts w:ascii="Verdana" w:hAnsi="Verdana"/>
              </w:rPr>
            </w:pPr>
          </w:p>
          <w:p w14:paraId="3823B4DB" w14:textId="77777777" w:rsidR="00967195" w:rsidRDefault="00967195" w:rsidP="00834D9E">
            <w:pPr>
              <w:spacing w:before="120" w:after="120"/>
              <w:rPr>
                <w:rFonts w:ascii="Verdana" w:hAnsi="Verdana"/>
              </w:rPr>
            </w:pPr>
            <w:r w:rsidRPr="0025615F">
              <w:rPr>
                <w:rFonts w:ascii="Verdana" w:hAnsi="Verdana"/>
              </w:rPr>
              <w:t>That</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identify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Golden</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rd</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rrect</w:t>
            </w:r>
            <w:r>
              <w:rPr>
                <w:rFonts w:ascii="Verdana" w:hAnsi="Verdana"/>
              </w:rPr>
              <w:t xml:space="preserve"> </w:t>
            </w:r>
            <w:r w:rsidRPr="0025615F">
              <w:rPr>
                <w:rFonts w:ascii="Verdana" w:hAnsi="Verdana"/>
              </w:rPr>
              <w:t>prescriber</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duplicates,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bad.</w:t>
            </w:r>
            <w:r>
              <w:rPr>
                <w:rFonts w:ascii="Verdana" w:hAnsi="Verdana"/>
              </w:rPr>
              <w:t xml:space="preserve">  </w:t>
            </w:r>
            <w:r w:rsidRPr="0025615F">
              <w:rPr>
                <w:rFonts w:ascii="Verdana" w:hAnsi="Verdana"/>
              </w:rPr>
              <w:t>After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initial</w:t>
            </w:r>
            <w:r>
              <w:rPr>
                <w:rFonts w:ascii="Verdana" w:hAnsi="Verdana"/>
              </w:rPr>
              <w:t xml:space="preserve"> </w:t>
            </w:r>
            <w:r w:rsidRPr="0025615F">
              <w:rPr>
                <w:rFonts w:ascii="Verdana" w:hAnsi="Verdana"/>
              </w:rPr>
              <w:t>scrub,</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daily</w:t>
            </w:r>
            <w:r>
              <w:rPr>
                <w:rFonts w:ascii="Verdana" w:hAnsi="Verdana"/>
              </w:rPr>
              <w:t xml:space="preserve"> </w:t>
            </w:r>
            <w:r w:rsidRPr="0025615F">
              <w:rPr>
                <w:rFonts w:ascii="Verdana" w:hAnsi="Verdana"/>
              </w:rPr>
              <w:t>file</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changes</w:t>
            </w:r>
            <w:r>
              <w:rPr>
                <w:rFonts w:ascii="Verdana" w:hAnsi="Verdana"/>
              </w:rPr>
              <w:t xml:space="preserve"> </w:t>
            </w:r>
            <w:r w:rsidRPr="0025615F">
              <w:rPr>
                <w:rFonts w:ascii="Verdana" w:hAnsi="Verdana"/>
              </w:rPr>
              <w:t>made</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sent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verification.</w:t>
            </w:r>
          </w:p>
          <w:p w14:paraId="4CDDFE3D" w14:textId="77777777" w:rsidR="00967195" w:rsidRPr="0025615F" w:rsidRDefault="00967195" w:rsidP="00834D9E">
            <w:pPr>
              <w:spacing w:before="120" w:after="120"/>
              <w:rPr>
                <w:rFonts w:ascii="Verdana" w:hAnsi="Verdana"/>
              </w:rPr>
            </w:pPr>
          </w:p>
        </w:tc>
      </w:tr>
      <w:tr w:rsidR="00341FB3" w:rsidRPr="0025615F" w14:paraId="36B9EFE1"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77AA38FF" w14:textId="795796D6" w:rsidR="00967195" w:rsidRDefault="003D4CF4" w:rsidP="00834D9E">
            <w:pPr>
              <w:spacing w:before="120" w:after="120"/>
              <w:jc w:val="center"/>
              <w:rPr>
                <w:rFonts w:ascii="Verdana" w:hAnsi="Verdana"/>
                <w:b/>
                <w:color w:val="000000"/>
              </w:rPr>
            </w:pPr>
            <w:r>
              <w:rPr>
                <w:rFonts w:ascii="Verdana" w:hAnsi="Verdana"/>
                <w:b/>
                <w:color w:val="000000"/>
              </w:rPr>
              <w:t xml:space="preserve"> </w:t>
            </w:r>
            <w:r w:rsidR="00967195">
              <w:rPr>
                <w:rFonts w:ascii="Verdana" w:hAnsi="Verdana"/>
                <w:b/>
                <w:color w:val="000000"/>
              </w:rPr>
              <w:t>HNO</w:t>
            </w:r>
          </w:p>
          <w:p w14:paraId="58597A28" w14:textId="77777777" w:rsidR="00967195" w:rsidRPr="0025615F" w:rsidRDefault="00967195" w:rsidP="00834D9E">
            <w:pPr>
              <w:spacing w:before="120" w:after="120"/>
              <w:jc w:val="center"/>
              <w:rPr>
                <w:rFonts w:ascii="Verdana" w:hAnsi="Verdana"/>
                <w:b/>
                <w:color w:val="000000"/>
              </w:rPr>
            </w:pPr>
          </w:p>
        </w:tc>
        <w:tc>
          <w:tcPr>
            <w:tcW w:w="1050" w:type="pct"/>
          </w:tcPr>
          <w:p w14:paraId="7BB0438B" w14:textId="77777777" w:rsidR="00967195" w:rsidRPr="00E517E4" w:rsidRDefault="00967195" w:rsidP="00834D9E">
            <w:pPr>
              <w:spacing w:before="120" w:after="120"/>
              <w:rPr>
                <w:rFonts w:ascii="Verdana" w:hAnsi="Verdana"/>
                <w:bCs/>
              </w:rPr>
            </w:pPr>
            <w:r w:rsidRPr="00E517E4">
              <w:rPr>
                <w:rFonts w:ascii="Verdana" w:hAnsi="Verdana"/>
                <w:bCs/>
              </w:rPr>
              <w:t>Health Network Only</w:t>
            </w:r>
          </w:p>
        </w:tc>
        <w:tc>
          <w:tcPr>
            <w:tcW w:w="3222" w:type="pct"/>
          </w:tcPr>
          <w:p w14:paraId="341C24BB" w14:textId="6296D66A" w:rsidR="00967195" w:rsidRPr="0025615F" w:rsidRDefault="00821310" w:rsidP="00834D9E">
            <w:pPr>
              <w:spacing w:before="120" w:after="120"/>
              <w:rPr>
                <w:rFonts w:ascii="Verdana" w:hAnsi="Verdana"/>
              </w:rPr>
            </w:pPr>
            <w:r>
              <w:rPr>
                <w:rFonts w:ascii="Verdana" w:hAnsi="Verdana" w:cs="Arial"/>
                <w:color w:val="202124"/>
                <w:shd w:val="clear" w:color="auto" w:fill="FFFFFF"/>
              </w:rPr>
              <w:t>An insurance plan designed to give in-network-only protection against a catastrophic medical event. Low monthly premiums are traded for a significantly higher deductible. With this plan you take on more out-of-pocket expenses in exchange for lower premiums.</w:t>
            </w:r>
          </w:p>
        </w:tc>
      </w:tr>
      <w:tr w:rsidR="00341FB3" w:rsidRPr="0025615F" w14:paraId="5856742C"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16344B54"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HO</w:t>
            </w:r>
          </w:p>
        </w:tc>
        <w:tc>
          <w:tcPr>
            <w:tcW w:w="1050" w:type="pct"/>
          </w:tcPr>
          <w:p w14:paraId="6F3A9F05" w14:textId="77777777" w:rsidR="00967195" w:rsidRPr="00E517E4" w:rsidRDefault="00967195" w:rsidP="00834D9E">
            <w:pPr>
              <w:spacing w:before="120" w:after="120"/>
              <w:rPr>
                <w:rFonts w:ascii="Verdana" w:hAnsi="Verdana"/>
                <w:bCs/>
              </w:rPr>
            </w:pPr>
            <w:r w:rsidRPr="00E517E4">
              <w:rPr>
                <w:rFonts w:ascii="Verdana" w:hAnsi="Verdana"/>
                <w:bCs/>
              </w:rPr>
              <w:t xml:space="preserve">Hold Order </w:t>
            </w:r>
          </w:p>
        </w:tc>
        <w:tc>
          <w:tcPr>
            <w:tcW w:w="3222" w:type="pct"/>
          </w:tcPr>
          <w:p w14:paraId="36F363ED" w14:textId="77777777" w:rsidR="00967195" w:rsidRDefault="00967195" w:rsidP="00834D9E">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process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stopped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various</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reasons</w:t>
            </w:r>
            <w:r>
              <w:rPr>
                <w:rFonts w:ascii="Verdana" w:hAnsi="Verdana"/>
              </w:rPr>
              <w:t>.</w:t>
            </w:r>
          </w:p>
          <w:p w14:paraId="324D3E29" w14:textId="77777777" w:rsidR="00967195" w:rsidRPr="0025615F" w:rsidRDefault="00967195" w:rsidP="00834D9E">
            <w:pPr>
              <w:spacing w:before="120" w:after="120"/>
              <w:rPr>
                <w:rFonts w:ascii="Verdana" w:hAnsi="Verdana"/>
              </w:rPr>
            </w:pPr>
          </w:p>
        </w:tc>
      </w:tr>
      <w:tr w:rsidR="00341FB3" w:rsidRPr="0025615F" w14:paraId="226F24BB"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07B3AE8E" w14:textId="77777777" w:rsidR="00967195" w:rsidRPr="0025615F" w:rsidRDefault="00967195" w:rsidP="00834D9E">
            <w:pPr>
              <w:spacing w:before="120" w:after="120"/>
              <w:jc w:val="center"/>
              <w:rPr>
                <w:rFonts w:ascii="Verdana" w:hAnsi="Verdana"/>
                <w:b/>
                <w:color w:val="000000"/>
              </w:rPr>
            </w:pPr>
            <w:bookmarkStart w:id="6" w:name="_Hlk94264493"/>
            <w:r w:rsidRPr="0025615F">
              <w:rPr>
                <w:rFonts w:ascii="Verdana" w:hAnsi="Verdana"/>
                <w:b/>
                <w:color w:val="000000"/>
              </w:rPr>
              <w:t>HPC</w:t>
            </w:r>
          </w:p>
        </w:tc>
        <w:tc>
          <w:tcPr>
            <w:tcW w:w="1050" w:type="pct"/>
          </w:tcPr>
          <w:p w14:paraId="133C26A6" w14:textId="77777777" w:rsidR="00967195" w:rsidRPr="00E517E4" w:rsidRDefault="00967195" w:rsidP="00834D9E">
            <w:pPr>
              <w:spacing w:before="120" w:after="120"/>
              <w:rPr>
                <w:rFonts w:ascii="Verdana" w:hAnsi="Verdana"/>
                <w:bCs/>
              </w:rPr>
            </w:pPr>
            <w:r w:rsidRPr="00E517E4">
              <w:rPr>
                <w:rFonts w:ascii="Verdana" w:hAnsi="Verdana"/>
                <w:bCs/>
              </w:rPr>
              <w:t>High Priority Comments</w:t>
            </w:r>
          </w:p>
        </w:tc>
        <w:tc>
          <w:tcPr>
            <w:tcW w:w="3222" w:type="pct"/>
          </w:tcPr>
          <w:p w14:paraId="05A37677" w14:textId="5FF6D989" w:rsidR="00967195" w:rsidRDefault="00967195" w:rsidP="00834D9E">
            <w:pPr>
              <w:spacing w:before="120" w:after="120"/>
              <w:rPr>
                <w:rFonts w:ascii="Verdana" w:hAnsi="Verdana"/>
                <w:color w:val="333333"/>
              </w:rPr>
            </w:pPr>
            <w:r w:rsidRPr="0025615F">
              <w:rPr>
                <w:rFonts w:ascii="Verdana" w:hAnsi="Verdana"/>
                <w:color w:val="333333"/>
              </w:rPr>
              <w:t>Information</w:t>
            </w:r>
            <w:r>
              <w:rPr>
                <w:rFonts w:ascii="Verdana" w:hAnsi="Verdana"/>
                <w:color w:val="333333"/>
              </w:rPr>
              <w:t xml:space="preserve"> </w:t>
            </w:r>
            <w:r w:rsidRPr="0025615F">
              <w:rPr>
                <w:rFonts w:ascii="Verdana" w:hAnsi="Verdana"/>
                <w:color w:val="333333"/>
              </w:rPr>
              <w:t>that</w:t>
            </w:r>
            <w:r>
              <w:rPr>
                <w:rFonts w:ascii="Verdana" w:hAnsi="Verdana"/>
                <w:color w:val="333333"/>
              </w:rPr>
              <w:t xml:space="preserve"> </w:t>
            </w:r>
            <w:r w:rsidRPr="0025615F">
              <w:rPr>
                <w:rFonts w:ascii="Verdana" w:hAnsi="Verdana"/>
                <w:color w:val="333333"/>
              </w:rPr>
              <w:t>is</w:t>
            </w:r>
            <w:r>
              <w:rPr>
                <w:rFonts w:ascii="Verdana" w:hAnsi="Verdana"/>
                <w:color w:val="333333"/>
              </w:rPr>
              <w:t xml:space="preserve"> </w:t>
            </w:r>
            <w:r w:rsidRPr="0025615F">
              <w:rPr>
                <w:rFonts w:ascii="Verdana" w:hAnsi="Verdana"/>
                <w:color w:val="333333"/>
              </w:rPr>
              <w:t>supplemental</w:t>
            </w:r>
            <w:r>
              <w:rPr>
                <w:rFonts w:ascii="Verdana" w:hAnsi="Verdana"/>
                <w:color w:val="333333"/>
              </w:rPr>
              <w:t xml:space="preserve"> </w:t>
            </w:r>
            <w:r w:rsidRPr="0025615F">
              <w:rPr>
                <w:rFonts w:ascii="Verdana" w:hAnsi="Verdana"/>
                <w:color w:val="333333"/>
              </w:rPr>
              <w:t>to</w:t>
            </w:r>
            <w:r>
              <w:rPr>
                <w:rFonts w:ascii="Verdana" w:hAnsi="Verdana"/>
                <w:color w:val="333333"/>
              </w:rPr>
              <w:t xml:space="preserve"> </w:t>
            </w:r>
            <w:r w:rsidRPr="0025615F">
              <w:rPr>
                <w:rFonts w:ascii="Verdana" w:hAnsi="Verdana"/>
                <w:color w:val="333333"/>
              </w:rPr>
              <w:t>information</w:t>
            </w:r>
            <w:r>
              <w:rPr>
                <w:rFonts w:ascii="Verdana" w:hAnsi="Verdana"/>
                <w:color w:val="333333"/>
              </w:rPr>
              <w:t xml:space="preserve"> </w:t>
            </w:r>
            <w:r w:rsidRPr="0025615F">
              <w:rPr>
                <w:rFonts w:ascii="Verdana" w:hAnsi="Verdana"/>
                <w:color w:val="333333"/>
              </w:rPr>
              <w:t>in</w:t>
            </w:r>
            <w:r>
              <w:rPr>
                <w:rFonts w:ascii="Verdana" w:hAnsi="Verdana"/>
                <w:color w:val="333333"/>
              </w:rPr>
              <w:t xml:space="preserve"> </w:t>
            </w:r>
            <w:r w:rsidRPr="0025615F">
              <w:rPr>
                <w:rFonts w:ascii="Verdana" w:hAnsi="Verdana"/>
                <w:color w:val="333333"/>
              </w:rPr>
              <w:t>the</w:t>
            </w:r>
            <w:r>
              <w:rPr>
                <w:rFonts w:ascii="Verdana" w:hAnsi="Verdana"/>
                <w:color w:val="333333"/>
              </w:rPr>
              <w:t xml:space="preserve"> </w:t>
            </w:r>
            <w:r w:rsidRPr="0025615F">
              <w:rPr>
                <w:rFonts w:ascii="Verdana" w:hAnsi="Verdana"/>
                <w:color w:val="333333"/>
              </w:rPr>
              <w:t>CIF</w:t>
            </w:r>
            <w:r>
              <w:rPr>
                <w:rFonts w:ascii="Verdana" w:hAnsi="Verdana"/>
                <w:color w:val="333333"/>
              </w:rPr>
              <w:t xml:space="preserve"> </w:t>
            </w:r>
            <w:r w:rsidRPr="0025615F">
              <w:rPr>
                <w:rFonts w:ascii="Verdana" w:hAnsi="Verdana"/>
                <w:color w:val="333333"/>
              </w:rPr>
              <w:t>related</w:t>
            </w:r>
            <w:r>
              <w:rPr>
                <w:rFonts w:ascii="Verdana" w:hAnsi="Verdana"/>
                <w:color w:val="333333"/>
              </w:rPr>
              <w:t xml:space="preserve"> </w:t>
            </w:r>
            <w:r w:rsidRPr="0025615F">
              <w:rPr>
                <w:rFonts w:ascii="Verdana" w:hAnsi="Verdana"/>
                <w:color w:val="333333"/>
              </w:rPr>
              <w:t>to</w:t>
            </w:r>
            <w:r>
              <w:rPr>
                <w:rFonts w:ascii="Verdana" w:hAnsi="Verdana"/>
                <w:color w:val="333333"/>
              </w:rPr>
              <w:t xml:space="preserve"> </w:t>
            </w:r>
            <w:r w:rsidRPr="0025615F">
              <w:rPr>
                <w:rFonts w:ascii="Verdana" w:hAnsi="Verdana"/>
                <w:color w:val="333333"/>
              </w:rPr>
              <w:t>the</w:t>
            </w:r>
            <w:r>
              <w:rPr>
                <w:rFonts w:ascii="Verdana" w:hAnsi="Verdana"/>
                <w:color w:val="333333"/>
              </w:rPr>
              <w:t xml:space="preserve"> </w:t>
            </w:r>
            <w:r w:rsidRPr="0025615F">
              <w:rPr>
                <w:rFonts w:ascii="Verdana" w:hAnsi="Verdana"/>
                <w:color w:val="333333"/>
              </w:rPr>
              <w:t>plan.</w:t>
            </w:r>
            <w:r>
              <w:rPr>
                <w:rFonts w:ascii="Verdana" w:hAnsi="Verdana"/>
                <w:color w:val="333333"/>
              </w:rPr>
              <w:t xml:space="preserve"> </w:t>
            </w:r>
            <w:r w:rsidRPr="0025615F">
              <w:rPr>
                <w:rFonts w:ascii="Verdana" w:hAnsi="Verdana"/>
                <w:color w:val="333333"/>
              </w:rPr>
              <w:t>Also,</w:t>
            </w:r>
            <w:r>
              <w:rPr>
                <w:rFonts w:ascii="Verdana" w:hAnsi="Verdana"/>
                <w:color w:val="333333"/>
              </w:rPr>
              <w:t xml:space="preserve"> </w:t>
            </w:r>
            <w:r w:rsidRPr="0025615F">
              <w:rPr>
                <w:rFonts w:ascii="Verdana" w:hAnsi="Verdana"/>
                <w:color w:val="333333"/>
              </w:rPr>
              <w:t>HPC’s</w:t>
            </w:r>
            <w:r>
              <w:rPr>
                <w:rFonts w:ascii="Verdana" w:hAnsi="Verdana"/>
                <w:color w:val="333333"/>
              </w:rPr>
              <w:t xml:space="preserve"> </w:t>
            </w:r>
            <w:r w:rsidRPr="0025615F">
              <w:rPr>
                <w:rFonts w:ascii="Verdana" w:hAnsi="Verdana"/>
                <w:color w:val="333333"/>
              </w:rPr>
              <w:t>can</w:t>
            </w:r>
            <w:r>
              <w:rPr>
                <w:rFonts w:ascii="Verdana" w:hAnsi="Verdana"/>
                <w:color w:val="333333"/>
              </w:rPr>
              <w:t xml:space="preserve"> </w:t>
            </w:r>
            <w:r w:rsidRPr="0025615F">
              <w:rPr>
                <w:rFonts w:ascii="Verdana" w:hAnsi="Verdana"/>
                <w:color w:val="333333"/>
              </w:rPr>
              <w:t>be</w:t>
            </w:r>
            <w:r>
              <w:rPr>
                <w:rFonts w:ascii="Verdana" w:hAnsi="Verdana"/>
                <w:color w:val="333333"/>
              </w:rPr>
              <w:t xml:space="preserve"> </w:t>
            </w:r>
            <w:r w:rsidRPr="0025615F">
              <w:rPr>
                <w:rFonts w:ascii="Verdana" w:hAnsi="Verdana"/>
                <w:color w:val="333333"/>
              </w:rPr>
              <w:t>related</w:t>
            </w:r>
            <w:r>
              <w:rPr>
                <w:rFonts w:ascii="Verdana" w:hAnsi="Verdana"/>
                <w:color w:val="333333"/>
              </w:rPr>
              <w:t xml:space="preserve"> </w:t>
            </w:r>
            <w:r w:rsidRPr="0025615F">
              <w:rPr>
                <w:rFonts w:ascii="Verdana" w:hAnsi="Verdana"/>
                <w:color w:val="333333"/>
              </w:rPr>
              <w:t>to</w:t>
            </w:r>
            <w:r>
              <w:rPr>
                <w:rFonts w:ascii="Verdana" w:hAnsi="Verdana"/>
                <w:color w:val="333333"/>
              </w:rPr>
              <w:t xml:space="preserve"> </w:t>
            </w:r>
            <w:r w:rsidRPr="0025615F">
              <w:rPr>
                <w:rFonts w:ascii="Verdana" w:hAnsi="Verdana"/>
                <w:color w:val="333333"/>
              </w:rPr>
              <w:t>specific</w:t>
            </w:r>
            <w:r>
              <w:rPr>
                <w:rFonts w:ascii="Verdana" w:hAnsi="Verdana"/>
                <w:color w:val="333333"/>
              </w:rPr>
              <w:t xml:space="preserve"> </w:t>
            </w:r>
            <w:r w:rsidRPr="0025615F">
              <w:rPr>
                <w:rFonts w:ascii="Verdana" w:hAnsi="Verdana"/>
                <w:color w:val="333333"/>
              </w:rPr>
              <w:t>members</w:t>
            </w:r>
            <w:r>
              <w:rPr>
                <w:rFonts w:ascii="Verdana" w:hAnsi="Verdana"/>
                <w:color w:val="333333"/>
              </w:rPr>
              <w:t xml:space="preserve"> </w:t>
            </w:r>
            <w:r w:rsidRPr="0025615F">
              <w:rPr>
                <w:rFonts w:ascii="Verdana" w:hAnsi="Verdana"/>
                <w:color w:val="333333"/>
              </w:rPr>
              <w:t>on</w:t>
            </w:r>
            <w:r>
              <w:rPr>
                <w:rFonts w:ascii="Verdana" w:hAnsi="Verdana"/>
                <w:color w:val="333333"/>
              </w:rPr>
              <w:t xml:space="preserve"> </w:t>
            </w:r>
            <w:r w:rsidRPr="0025615F">
              <w:rPr>
                <w:rFonts w:ascii="Verdana" w:hAnsi="Verdana"/>
                <w:color w:val="333333"/>
              </w:rPr>
              <w:t>a</w:t>
            </w:r>
            <w:r>
              <w:rPr>
                <w:rFonts w:ascii="Verdana" w:hAnsi="Verdana"/>
                <w:color w:val="333333"/>
              </w:rPr>
              <w:t xml:space="preserve"> </w:t>
            </w:r>
            <w:r w:rsidRPr="0025615F">
              <w:rPr>
                <w:rFonts w:ascii="Verdana" w:hAnsi="Verdana"/>
                <w:color w:val="333333"/>
              </w:rPr>
              <w:t>plan.</w:t>
            </w:r>
            <w:r>
              <w:rPr>
                <w:rFonts w:ascii="Verdana" w:hAnsi="Verdana"/>
                <w:color w:val="333333"/>
              </w:rPr>
              <w:t xml:space="preserve">  </w:t>
            </w:r>
            <w:r w:rsidRPr="0025615F">
              <w:rPr>
                <w:rFonts w:ascii="Verdana" w:hAnsi="Verdana"/>
                <w:color w:val="333333"/>
              </w:rPr>
              <w:t>These</w:t>
            </w:r>
            <w:r>
              <w:rPr>
                <w:rFonts w:ascii="Verdana" w:hAnsi="Verdana"/>
                <w:color w:val="333333"/>
              </w:rPr>
              <w:t xml:space="preserve"> co</w:t>
            </w:r>
            <w:r w:rsidRPr="0025615F">
              <w:rPr>
                <w:rFonts w:ascii="Verdana" w:hAnsi="Verdana"/>
                <w:color w:val="333333"/>
              </w:rPr>
              <w:t>mments</w:t>
            </w:r>
            <w:r>
              <w:rPr>
                <w:rFonts w:ascii="Verdana" w:hAnsi="Verdana"/>
                <w:color w:val="333333"/>
              </w:rPr>
              <w:t xml:space="preserve"> </w:t>
            </w:r>
            <w:r w:rsidRPr="0025615F">
              <w:rPr>
                <w:rFonts w:ascii="Verdana" w:hAnsi="Verdana"/>
                <w:b/>
                <w:color w:val="333333"/>
              </w:rPr>
              <w:t>WILL</w:t>
            </w:r>
            <w:r>
              <w:rPr>
                <w:rFonts w:ascii="Verdana" w:hAnsi="Verdana"/>
                <w:b/>
                <w:color w:val="333333"/>
              </w:rPr>
              <w:t xml:space="preserve"> </w:t>
            </w:r>
            <w:r w:rsidRPr="0025615F">
              <w:rPr>
                <w:rFonts w:ascii="Verdana" w:hAnsi="Verdana"/>
                <w:b/>
                <w:color w:val="333333"/>
              </w:rPr>
              <w:t>NOT</w:t>
            </w:r>
            <w:r w:rsidR="00D31731">
              <w:rPr>
                <w:rFonts w:ascii="Verdana" w:hAnsi="Verdana"/>
                <w:color w:val="333333"/>
                <w:u w:val="single"/>
              </w:rPr>
              <w:t xml:space="preserve"> </w:t>
            </w:r>
            <w:r w:rsidRPr="0025615F">
              <w:rPr>
                <w:rFonts w:ascii="Verdana" w:hAnsi="Verdana"/>
                <w:color w:val="333333"/>
              </w:rPr>
              <w:t>affect</w:t>
            </w:r>
            <w:r>
              <w:rPr>
                <w:rFonts w:ascii="Verdana" w:hAnsi="Verdana"/>
                <w:color w:val="333333"/>
              </w:rPr>
              <w:t xml:space="preserve"> </w:t>
            </w:r>
            <w:r w:rsidRPr="0025615F">
              <w:rPr>
                <w:rFonts w:ascii="Verdana" w:hAnsi="Verdana"/>
                <w:color w:val="333333"/>
              </w:rPr>
              <w:t>the</w:t>
            </w:r>
            <w:r>
              <w:rPr>
                <w:rFonts w:ascii="Verdana" w:hAnsi="Verdana"/>
                <w:color w:val="333333"/>
              </w:rPr>
              <w:t xml:space="preserve"> </w:t>
            </w:r>
            <w:r w:rsidRPr="0025615F">
              <w:rPr>
                <w:rFonts w:ascii="Verdana" w:hAnsi="Verdana"/>
                <w:color w:val="333333"/>
              </w:rPr>
              <w:t>processing</w:t>
            </w:r>
            <w:r>
              <w:rPr>
                <w:rFonts w:ascii="Verdana" w:hAnsi="Verdana"/>
                <w:color w:val="333333"/>
              </w:rPr>
              <w:t xml:space="preserve"> </w:t>
            </w:r>
            <w:r w:rsidRPr="0025615F">
              <w:rPr>
                <w:rFonts w:ascii="Verdana" w:hAnsi="Verdana"/>
                <w:color w:val="333333"/>
              </w:rPr>
              <w:t>of</w:t>
            </w:r>
            <w:r>
              <w:rPr>
                <w:rFonts w:ascii="Verdana" w:hAnsi="Verdana"/>
                <w:color w:val="333333"/>
              </w:rPr>
              <w:t xml:space="preserve"> </w:t>
            </w:r>
            <w:r w:rsidRPr="0025615F">
              <w:rPr>
                <w:rFonts w:ascii="Verdana" w:hAnsi="Verdana"/>
                <w:color w:val="333333"/>
              </w:rPr>
              <w:t>an</w:t>
            </w:r>
            <w:r>
              <w:rPr>
                <w:rFonts w:ascii="Verdana" w:hAnsi="Verdana"/>
                <w:color w:val="333333"/>
              </w:rPr>
              <w:t xml:space="preserve"> </w:t>
            </w:r>
            <w:r w:rsidRPr="0025615F">
              <w:rPr>
                <w:rFonts w:ascii="Verdana" w:hAnsi="Verdana"/>
                <w:color w:val="333333"/>
              </w:rPr>
              <w:t>order.</w:t>
            </w:r>
            <w:r>
              <w:rPr>
                <w:rFonts w:ascii="Verdana" w:hAnsi="Verdana"/>
                <w:color w:val="333333"/>
              </w:rPr>
              <w:t xml:space="preserve">  </w:t>
            </w:r>
          </w:p>
          <w:p w14:paraId="6B0463A2" w14:textId="77777777" w:rsidR="00967195" w:rsidRPr="0025615F" w:rsidRDefault="00967195" w:rsidP="00834D9E">
            <w:pPr>
              <w:spacing w:before="120" w:after="120"/>
              <w:rPr>
                <w:rFonts w:ascii="Verdana" w:hAnsi="Verdana"/>
              </w:rPr>
            </w:pPr>
            <w:r>
              <w:t xml:space="preserve"> </w:t>
            </w:r>
          </w:p>
        </w:tc>
      </w:tr>
      <w:bookmarkEnd w:id="6"/>
      <w:tr w:rsidR="00341FB3" w:rsidRPr="0025615F" w:rsidDel="008E0491" w14:paraId="11AAEDC7"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6FC8ADAF" w14:textId="2348F081" w:rsidR="00134716" w:rsidRPr="00C678D3" w:rsidRDefault="00134716" w:rsidP="00834D9E">
            <w:pPr>
              <w:spacing w:before="120" w:after="120"/>
              <w:jc w:val="center"/>
              <w:rPr>
                <w:noProof/>
              </w:rPr>
            </w:pPr>
            <w:r w:rsidRPr="006F6CD3">
              <w:rPr>
                <w:rFonts w:ascii="Verdana" w:hAnsi="Verdana"/>
                <w:b/>
              </w:rPr>
              <w:t>HPCS</w:t>
            </w:r>
          </w:p>
        </w:tc>
        <w:tc>
          <w:tcPr>
            <w:tcW w:w="1050" w:type="pct"/>
          </w:tcPr>
          <w:p w14:paraId="00BC0106" w14:textId="4A789F73" w:rsidR="00134716" w:rsidRPr="00C678D3" w:rsidRDefault="00C678D3" w:rsidP="00834D9E">
            <w:pPr>
              <w:spacing w:before="120" w:after="120"/>
              <w:rPr>
                <w:rFonts w:ascii="Verdana" w:hAnsi="Verdana"/>
                <w:bCs/>
              </w:rPr>
            </w:pPr>
            <w:r w:rsidRPr="00C678D3">
              <w:rPr>
                <w:rFonts w:ascii="Verdana" w:hAnsi="Verdana"/>
                <w:bCs/>
              </w:rPr>
              <w:t>Health Plan Client Support</w:t>
            </w:r>
          </w:p>
        </w:tc>
        <w:tc>
          <w:tcPr>
            <w:tcW w:w="3222" w:type="pct"/>
          </w:tcPr>
          <w:p w14:paraId="477FECC4" w14:textId="465418D1" w:rsidR="00134716" w:rsidRDefault="00134716" w:rsidP="00834D9E">
            <w:pPr>
              <w:spacing w:before="120" w:after="120"/>
              <w:rPr>
                <w:rFonts w:ascii="Verdana" w:hAnsi="Verdana"/>
              </w:rPr>
            </w:pPr>
          </w:p>
        </w:tc>
      </w:tr>
      <w:tr w:rsidR="00341FB3" w:rsidRPr="0025615F" w:rsidDel="008E0491" w14:paraId="05A87035"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1CE0DC8C" w14:textId="04F50487" w:rsidR="00967195" w:rsidRDefault="00967195" w:rsidP="00834D9E">
            <w:pPr>
              <w:spacing w:before="120" w:after="120"/>
              <w:jc w:val="center"/>
              <w:rPr>
                <w:rFonts w:ascii="Verdana" w:hAnsi="Verdana"/>
                <w:b/>
                <w:color w:val="000000"/>
              </w:rPr>
            </w:pPr>
            <w:r>
              <w:rPr>
                <w:rFonts w:ascii="Verdana" w:hAnsi="Verdana"/>
                <w:b/>
                <w:color w:val="000000"/>
              </w:rPr>
              <w:t>HPGST</w:t>
            </w:r>
          </w:p>
          <w:p w14:paraId="7979ACB0" w14:textId="77777777" w:rsidR="00967195" w:rsidRDefault="00967195" w:rsidP="00834D9E">
            <w:pPr>
              <w:spacing w:before="120" w:after="120"/>
              <w:jc w:val="center"/>
              <w:rPr>
                <w:rFonts w:ascii="Verdana" w:hAnsi="Verdana"/>
                <w:b/>
                <w:color w:val="000000"/>
              </w:rPr>
            </w:pPr>
          </w:p>
        </w:tc>
        <w:tc>
          <w:tcPr>
            <w:tcW w:w="1050" w:type="pct"/>
          </w:tcPr>
          <w:p w14:paraId="4BE2E73B" w14:textId="138C4648" w:rsidR="00967195" w:rsidRPr="00E517E4" w:rsidRDefault="00967195" w:rsidP="00834D9E">
            <w:pPr>
              <w:spacing w:before="120" w:after="120"/>
              <w:rPr>
                <w:rFonts w:ascii="Verdana" w:hAnsi="Verdana"/>
                <w:bCs/>
              </w:rPr>
            </w:pPr>
            <w:r w:rsidRPr="00E517E4">
              <w:rPr>
                <w:rFonts w:ascii="Verdana" w:hAnsi="Verdana"/>
                <w:bCs/>
              </w:rPr>
              <w:t xml:space="preserve">High Performance Generic Step Therapy (aka. Preferred Drug Optimization </w:t>
            </w:r>
            <w:r w:rsidR="004C647F">
              <w:rPr>
                <w:rFonts w:ascii="Verdana" w:hAnsi="Verdana"/>
                <w:bCs/>
              </w:rPr>
              <w:t>[</w:t>
            </w:r>
            <w:r w:rsidRPr="00E517E4">
              <w:rPr>
                <w:rFonts w:ascii="Verdana" w:hAnsi="Verdana"/>
                <w:bCs/>
              </w:rPr>
              <w:t>PDO</w:t>
            </w:r>
            <w:r w:rsidR="004C647F">
              <w:rPr>
                <w:rFonts w:ascii="Verdana" w:hAnsi="Verdana"/>
                <w:bCs/>
              </w:rPr>
              <w:t>]</w:t>
            </w:r>
            <w:r w:rsidR="004C647F" w:rsidRPr="00E517E4">
              <w:rPr>
                <w:rFonts w:ascii="Verdana" w:hAnsi="Verdana"/>
                <w:bCs/>
              </w:rPr>
              <w:t>)</w:t>
            </w:r>
          </w:p>
          <w:p w14:paraId="5ACD8FAF" w14:textId="77777777" w:rsidR="00967195" w:rsidRPr="00E517E4" w:rsidDel="008E0491" w:rsidRDefault="00967195" w:rsidP="00834D9E">
            <w:pPr>
              <w:spacing w:before="120" w:after="120"/>
              <w:rPr>
                <w:rFonts w:ascii="Verdana" w:hAnsi="Verdana"/>
                <w:bCs/>
                <w:color w:val="000000"/>
              </w:rPr>
            </w:pPr>
          </w:p>
        </w:tc>
        <w:tc>
          <w:tcPr>
            <w:tcW w:w="3222" w:type="pct"/>
          </w:tcPr>
          <w:p w14:paraId="1B0E10D5" w14:textId="5F5DC08B" w:rsidR="00967195" w:rsidRPr="0025615F" w:rsidDel="008E0491" w:rsidRDefault="00EA160D" w:rsidP="00834D9E">
            <w:pPr>
              <w:spacing w:before="120" w:after="120"/>
              <w:rPr>
                <w:rFonts w:ascii="Verdana" w:hAnsi="Verdana"/>
              </w:rPr>
            </w:pPr>
            <w:r>
              <w:rPr>
                <w:rFonts w:ascii="Verdana" w:hAnsi="Verdana"/>
              </w:rPr>
              <w:t>One of the three different Step Therapy Programs in the Generic Step Therapy Plan Design, including specific prescribed drugs.</w:t>
            </w:r>
          </w:p>
        </w:tc>
      </w:tr>
      <w:tr w:rsidR="00341FB3" w:rsidRPr="0025615F" w:rsidDel="008E0491" w14:paraId="56BE1E11"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shd w:val="clear" w:color="auto" w:fill="auto"/>
          </w:tcPr>
          <w:p w14:paraId="29E556E7" w14:textId="46BB5841" w:rsidR="00967195" w:rsidRDefault="003D4CF4" w:rsidP="00834D9E">
            <w:pPr>
              <w:spacing w:before="120" w:after="120"/>
              <w:jc w:val="center"/>
              <w:rPr>
                <w:rFonts w:ascii="Verdana" w:hAnsi="Verdana"/>
                <w:b/>
                <w:color w:val="000000"/>
              </w:rPr>
            </w:pPr>
            <w:r>
              <w:rPr>
                <w:rFonts w:ascii="Verdana" w:hAnsi="Verdana"/>
                <w:b/>
              </w:rPr>
              <w:t xml:space="preserve"> </w:t>
            </w:r>
            <w:r w:rsidR="00967195" w:rsidRPr="00047422">
              <w:rPr>
                <w:rFonts w:ascii="Verdana" w:hAnsi="Verdana"/>
                <w:b/>
              </w:rPr>
              <w:t>HPMS</w:t>
            </w:r>
          </w:p>
        </w:tc>
        <w:tc>
          <w:tcPr>
            <w:tcW w:w="1050" w:type="pct"/>
            <w:shd w:val="clear" w:color="auto" w:fill="auto"/>
          </w:tcPr>
          <w:p w14:paraId="5E43B7DA" w14:textId="77777777" w:rsidR="00967195" w:rsidRPr="00E517E4" w:rsidRDefault="00967195" w:rsidP="00834D9E">
            <w:pPr>
              <w:spacing w:before="120" w:after="120"/>
              <w:rPr>
                <w:rFonts w:ascii="Verdana" w:hAnsi="Verdana"/>
                <w:bCs/>
              </w:rPr>
            </w:pPr>
            <w:r w:rsidRPr="00E517E4">
              <w:rPr>
                <w:rFonts w:ascii="Verdana" w:hAnsi="Verdana"/>
                <w:bCs/>
              </w:rPr>
              <w:t>Health Plan Management System</w:t>
            </w:r>
          </w:p>
          <w:p w14:paraId="66F12186" w14:textId="77777777" w:rsidR="00967195" w:rsidRPr="00E517E4" w:rsidRDefault="00967195" w:rsidP="00834D9E">
            <w:pPr>
              <w:spacing w:before="120" w:after="120"/>
              <w:rPr>
                <w:rFonts w:ascii="Verdana" w:hAnsi="Verdana"/>
                <w:bCs/>
              </w:rPr>
            </w:pPr>
          </w:p>
        </w:tc>
        <w:tc>
          <w:tcPr>
            <w:tcW w:w="3222" w:type="pct"/>
          </w:tcPr>
          <w:p w14:paraId="4BA01122" w14:textId="3831B801" w:rsidR="00967195" w:rsidRPr="0025615F" w:rsidDel="008E0491" w:rsidRDefault="00821310" w:rsidP="00834D9E">
            <w:pPr>
              <w:spacing w:before="120" w:after="120"/>
              <w:rPr>
                <w:rFonts w:ascii="Verdana" w:hAnsi="Verdana"/>
              </w:rPr>
            </w:pPr>
            <w:r>
              <w:rPr>
                <w:rFonts w:ascii="Verdana" w:hAnsi="Verdana"/>
              </w:rPr>
              <w:t>A web-enabled information system that serves a critical role in the ongoing operations of the Medicare Advantage (MA) and Part D programs</w:t>
            </w:r>
            <w:r w:rsidR="00D31731">
              <w:rPr>
                <w:rFonts w:ascii="Verdana" w:hAnsi="Verdana"/>
              </w:rPr>
              <w:t>.</w:t>
            </w:r>
          </w:p>
        </w:tc>
      </w:tr>
      <w:tr w:rsidR="00341FB3" w:rsidRPr="0025615F" w14:paraId="2EBDB995"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56944E69" w14:textId="77777777" w:rsidR="00967195" w:rsidRDefault="00967195" w:rsidP="00834D9E">
            <w:pPr>
              <w:spacing w:before="120" w:after="120"/>
              <w:jc w:val="center"/>
              <w:rPr>
                <w:rFonts w:ascii="Verdana" w:hAnsi="Verdana"/>
                <w:b/>
                <w:color w:val="000000"/>
              </w:rPr>
            </w:pPr>
            <w:r>
              <w:rPr>
                <w:rFonts w:ascii="Verdana" w:hAnsi="Verdana"/>
                <w:b/>
                <w:color w:val="000000"/>
              </w:rPr>
              <w:t>HPNS</w:t>
            </w:r>
          </w:p>
          <w:p w14:paraId="129102FD" w14:textId="77777777" w:rsidR="00967195" w:rsidRPr="0025615F" w:rsidRDefault="00967195" w:rsidP="00834D9E">
            <w:pPr>
              <w:spacing w:before="120" w:after="120"/>
              <w:jc w:val="center"/>
              <w:rPr>
                <w:rFonts w:ascii="Verdana" w:hAnsi="Verdana"/>
                <w:b/>
                <w:color w:val="000000"/>
              </w:rPr>
            </w:pPr>
          </w:p>
        </w:tc>
        <w:tc>
          <w:tcPr>
            <w:tcW w:w="1050" w:type="pct"/>
          </w:tcPr>
          <w:p w14:paraId="602C6C84" w14:textId="77777777" w:rsidR="00967195" w:rsidRPr="00E517E4" w:rsidRDefault="00967195" w:rsidP="00834D9E">
            <w:pPr>
              <w:spacing w:before="120" w:after="120"/>
              <w:rPr>
                <w:rFonts w:ascii="Verdana" w:hAnsi="Verdana"/>
                <w:bCs/>
              </w:rPr>
            </w:pPr>
            <w:r w:rsidRPr="00E517E4">
              <w:rPr>
                <w:rFonts w:ascii="Verdana" w:hAnsi="Verdana"/>
                <w:bCs/>
              </w:rPr>
              <w:t>Hewitt Packard Non Stop</w:t>
            </w:r>
          </w:p>
          <w:p w14:paraId="234BDE2B" w14:textId="77777777" w:rsidR="00967195" w:rsidRPr="00E517E4" w:rsidRDefault="00967195" w:rsidP="00834D9E">
            <w:pPr>
              <w:spacing w:before="120" w:after="120"/>
              <w:rPr>
                <w:rFonts w:ascii="Verdana" w:hAnsi="Verdana"/>
                <w:bCs/>
              </w:rPr>
            </w:pPr>
          </w:p>
        </w:tc>
        <w:tc>
          <w:tcPr>
            <w:tcW w:w="3222" w:type="pct"/>
          </w:tcPr>
          <w:p w14:paraId="3096E5C6" w14:textId="77777777" w:rsidR="00967195" w:rsidRDefault="00967195" w:rsidP="00834D9E">
            <w:pPr>
              <w:spacing w:before="120" w:after="120"/>
              <w:rPr>
                <w:rFonts w:ascii="Verdana" w:hAnsi="Verdana"/>
              </w:rPr>
            </w:pPr>
            <w:r>
              <w:rPr>
                <w:rFonts w:ascii="Verdana" w:hAnsi="Verdana"/>
              </w:rPr>
              <w:t xml:space="preserve">Our </w:t>
            </w:r>
            <w:r w:rsidRPr="0025615F">
              <w:rPr>
                <w:rFonts w:ascii="Verdana" w:hAnsi="Verdana"/>
              </w:rPr>
              <w:t>EDI</w:t>
            </w:r>
            <w:r>
              <w:rPr>
                <w:rFonts w:ascii="Verdana" w:hAnsi="Verdana"/>
              </w:rPr>
              <w:t xml:space="preserve"> </w:t>
            </w:r>
            <w:r w:rsidRPr="0025615F">
              <w:rPr>
                <w:rFonts w:ascii="Verdana" w:hAnsi="Verdana"/>
              </w:rPr>
              <w:t>Translator.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internal</w:t>
            </w:r>
            <w:r>
              <w:rPr>
                <w:rFonts w:ascii="Verdana" w:hAnsi="Verdana"/>
              </w:rPr>
              <w:t xml:space="preserve"> </w:t>
            </w:r>
            <w:r w:rsidRPr="0025615F">
              <w:rPr>
                <w:rFonts w:ascii="Verdana" w:hAnsi="Verdana"/>
              </w:rPr>
              <w:t>Gateway</w:t>
            </w:r>
            <w:r>
              <w:rPr>
                <w:rFonts w:ascii="Verdana" w:hAnsi="Verdana"/>
              </w:rPr>
              <w:t xml:space="preserve"> </w:t>
            </w:r>
            <w:r w:rsidRPr="0025615F">
              <w:rPr>
                <w:rFonts w:ascii="Verdana" w:hAnsi="Verdana"/>
              </w:rPr>
              <w:t>designed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accept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take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transactions</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participating</w:t>
            </w:r>
            <w:r>
              <w:rPr>
                <w:rFonts w:ascii="Verdana" w:hAnsi="Verdana"/>
              </w:rPr>
              <w:t xml:space="preserve"> </w:t>
            </w:r>
            <w:r w:rsidRPr="0025615F">
              <w:rPr>
                <w:rFonts w:ascii="Verdana" w:hAnsi="Verdana"/>
              </w:rPr>
              <w:t>e-Prescribing</w:t>
            </w:r>
            <w:r>
              <w:rPr>
                <w:rFonts w:ascii="Verdana" w:hAnsi="Verdana"/>
              </w:rPr>
              <w:t xml:space="preserve"> </w:t>
            </w:r>
            <w:r w:rsidRPr="0025615F">
              <w:rPr>
                <w:rFonts w:ascii="Verdana" w:hAnsi="Verdana"/>
              </w:rPr>
              <w:t>Physicians</w:t>
            </w:r>
            <w:r>
              <w:rPr>
                <w:rFonts w:ascii="Verdana" w:hAnsi="Verdana"/>
              </w:rPr>
              <w:t xml:space="preserve"> </w:t>
            </w:r>
            <w:r w:rsidRPr="0025615F">
              <w:rPr>
                <w:rFonts w:ascii="Verdana" w:hAnsi="Verdana"/>
              </w:rPr>
              <w:t>and</w:t>
            </w:r>
            <w:r>
              <w:rPr>
                <w:rFonts w:ascii="Verdana" w:hAnsi="Verdana"/>
              </w:rPr>
              <w:t xml:space="preserve"> our </w:t>
            </w:r>
            <w:r w:rsidRPr="0025615F">
              <w:rPr>
                <w:rFonts w:ascii="Verdana" w:hAnsi="Verdana"/>
              </w:rPr>
              <w:t>internal</w:t>
            </w:r>
            <w:r>
              <w:rPr>
                <w:rFonts w:ascii="Verdana" w:hAnsi="Verdana"/>
              </w:rPr>
              <w:t xml:space="preserve"> </w:t>
            </w:r>
            <w:r w:rsidRPr="0025615F">
              <w:rPr>
                <w:rFonts w:ascii="Verdana" w:hAnsi="Verdana"/>
              </w:rPr>
              <w:t>Adjudication</w:t>
            </w:r>
            <w:r>
              <w:rPr>
                <w:rFonts w:ascii="Verdana" w:hAnsi="Verdana"/>
              </w:rPr>
              <w:t xml:space="preserve"> </w:t>
            </w:r>
            <w:r w:rsidRPr="0025615F">
              <w:rPr>
                <w:rFonts w:ascii="Verdana" w:hAnsi="Verdana"/>
              </w:rPr>
              <w:t>applications.</w:t>
            </w:r>
            <w:r>
              <w:rPr>
                <w:rFonts w:ascii="Verdana" w:hAnsi="Verdana"/>
              </w:rPr>
              <w:t xml:space="preserve"> </w:t>
            </w:r>
            <w:r w:rsidRPr="0025615F">
              <w:rPr>
                <w:rFonts w:ascii="Verdana" w:hAnsi="Verdana"/>
              </w:rPr>
              <w:t>HPNS</w:t>
            </w:r>
            <w:r>
              <w:rPr>
                <w:rFonts w:ascii="Verdana" w:hAnsi="Verdana"/>
              </w:rPr>
              <w:t xml:space="preserve"> </w:t>
            </w:r>
            <w:r w:rsidRPr="0025615F">
              <w:rPr>
                <w:rFonts w:ascii="Verdana" w:hAnsi="Verdana"/>
              </w:rPr>
              <w:t>resides</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Recap</w:t>
            </w:r>
            <w:r>
              <w:rPr>
                <w:rFonts w:ascii="Verdana" w:hAnsi="Verdana"/>
              </w:rPr>
              <w:t xml:space="preserve"> </w:t>
            </w:r>
            <w:r w:rsidRPr="0025615F">
              <w:rPr>
                <w:rFonts w:ascii="Verdana" w:hAnsi="Verdana"/>
              </w:rPr>
              <w:t>HPNS</w:t>
            </w:r>
            <w:r>
              <w:rPr>
                <w:rFonts w:ascii="Verdana" w:hAnsi="Verdana"/>
              </w:rPr>
              <w:t xml:space="preserve"> </w:t>
            </w:r>
            <w:r w:rsidRPr="0025615F">
              <w:rPr>
                <w:rFonts w:ascii="Verdana" w:hAnsi="Verdana"/>
              </w:rPr>
              <w:t>platform</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Phoenix,</w:t>
            </w:r>
            <w:r>
              <w:rPr>
                <w:rFonts w:ascii="Verdana" w:hAnsi="Verdana"/>
              </w:rPr>
              <w:t xml:space="preserve"> </w:t>
            </w:r>
            <w:r w:rsidRPr="0025615F">
              <w:rPr>
                <w:rFonts w:ascii="Verdana" w:hAnsi="Verdana"/>
              </w:rPr>
              <w:t>AZ</w:t>
            </w:r>
            <w:r>
              <w:rPr>
                <w:rFonts w:ascii="Verdana" w:hAnsi="Verdana"/>
              </w:rPr>
              <w:t>.</w:t>
            </w:r>
          </w:p>
          <w:p w14:paraId="27F9A1B7" w14:textId="77777777" w:rsidR="00967195" w:rsidRPr="0025615F" w:rsidRDefault="00967195" w:rsidP="00834D9E">
            <w:pPr>
              <w:spacing w:before="120" w:after="120"/>
              <w:rPr>
                <w:rFonts w:ascii="Verdana" w:hAnsi="Verdana"/>
              </w:rPr>
            </w:pPr>
          </w:p>
        </w:tc>
      </w:tr>
      <w:tr w:rsidR="00341FB3" w14:paraId="086964D4"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3F854346" w14:textId="77777777" w:rsidR="00967195" w:rsidRDefault="00967195" w:rsidP="00834D9E">
            <w:pPr>
              <w:spacing w:before="120" w:after="120"/>
              <w:jc w:val="center"/>
              <w:rPr>
                <w:rFonts w:ascii="Verdana" w:hAnsi="Verdana"/>
                <w:b/>
                <w:color w:val="000000"/>
              </w:rPr>
            </w:pPr>
            <w:r>
              <w:rPr>
                <w:rFonts w:ascii="Verdana" w:hAnsi="Verdana"/>
                <w:b/>
                <w:color w:val="000000"/>
              </w:rPr>
              <w:t xml:space="preserve">HPSM </w:t>
            </w:r>
          </w:p>
        </w:tc>
        <w:tc>
          <w:tcPr>
            <w:tcW w:w="1050" w:type="pct"/>
          </w:tcPr>
          <w:p w14:paraId="7672AC78" w14:textId="77777777" w:rsidR="00967195" w:rsidRPr="00E517E4" w:rsidRDefault="00967195" w:rsidP="00834D9E">
            <w:pPr>
              <w:spacing w:before="120" w:after="120"/>
              <w:rPr>
                <w:rFonts w:ascii="Verdana" w:hAnsi="Verdana"/>
                <w:bCs/>
              </w:rPr>
            </w:pPr>
            <w:r w:rsidRPr="00E517E4">
              <w:rPr>
                <w:rFonts w:ascii="Verdana" w:hAnsi="Verdana"/>
                <w:bCs/>
              </w:rPr>
              <w:t xml:space="preserve">Hewitt Packard (HP) Service Manager </w:t>
            </w:r>
          </w:p>
        </w:tc>
        <w:tc>
          <w:tcPr>
            <w:tcW w:w="3222" w:type="pct"/>
          </w:tcPr>
          <w:p w14:paraId="284F61D8" w14:textId="77777777" w:rsidR="00967195" w:rsidRDefault="00967195" w:rsidP="00834D9E">
            <w:pPr>
              <w:spacing w:before="120" w:after="120"/>
              <w:rPr>
                <w:rFonts w:ascii="Verdana" w:hAnsi="Verdana"/>
              </w:rPr>
            </w:pPr>
            <w:r>
              <w:rPr>
                <w:rFonts w:ascii="Verdana" w:hAnsi="Verdana"/>
              </w:rPr>
              <w:t xml:space="preserve">Used to enter or submit a Health Ticket. </w:t>
            </w:r>
          </w:p>
        </w:tc>
      </w:tr>
      <w:tr w:rsidR="00341FB3" w14:paraId="73C6C803"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4E4DC5D2" w14:textId="1C358BB5" w:rsidR="00967195" w:rsidRDefault="00D31731" w:rsidP="00834D9E">
            <w:pPr>
              <w:spacing w:before="120" w:after="120"/>
              <w:jc w:val="center"/>
              <w:rPr>
                <w:rFonts w:ascii="Verdana" w:hAnsi="Verdana"/>
                <w:b/>
                <w:color w:val="000000"/>
              </w:rPr>
            </w:pPr>
            <w:r>
              <w:rPr>
                <w:rFonts w:ascii="Verdana" w:hAnsi="Verdana"/>
                <w:b/>
                <w:color w:val="000000"/>
              </w:rPr>
              <w:t xml:space="preserve"> </w:t>
            </w:r>
            <w:r w:rsidR="00967195">
              <w:rPr>
                <w:rFonts w:ascii="Verdana" w:hAnsi="Verdana"/>
                <w:b/>
                <w:color w:val="000000"/>
              </w:rPr>
              <w:t xml:space="preserve">HR </w:t>
            </w:r>
          </w:p>
        </w:tc>
        <w:tc>
          <w:tcPr>
            <w:tcW w:w="1050" w:type="pct"/>
          </w:tcPr>
          <w:p w14:paraId="18AAFAF5" w14:textId="77777777" w:rsidR="00967195" w:rsidRPr="00E517E4" w:rsidRDefault="00967195" w:rsidP="00834D9E">
            <w:pPr>
              <w:spacing w:before="120" w:after="120"/>
              <w:rPr>
                <w:rFonts w:ascii="Verdana" w:hAnsi="Verdana"/>
                <w:bCs/>
              </w:rPr>
            </w:pPr>
            <w:r w:rsidRPr="00E517E4">
              <w:rPr>
                <w:rFonts w:ascii="Verdana" w:hAnsi="Verdana"/>
                <w:bCs/>
              </w:rPr>
              <w:t xml:space="preserve">Human Resources </w:t>
            </w:r>
          </w:p>
        </w:tc>
        <w:tc>
          <w:tcPr>
            <w:tcW w:w="3222" w:type="pct"/>
          </w:tcPr>
          <w:p w14:paraId="726A5188" w14:textId="666CC4B8" w:rsidR="00967195" w:rsidRDefault="00821310" w:rsidP="00834D9E">
            <w:pPr>
              <w:spacing w:before="120" w:after="120"/>
              <w:rPr>
                <w:rFonts w:ascii="Verdana" w:hAnsi="Verdana"/>
              </w:rPr>
            </w:pPr>
            <w:r>
              <w:rPr>
                <w:rFonts w:ascii="Verdana" w:hAnsi="Verdana"/>
              </w:rPr>
              <w:t>The department that handles employee business interactions</w:t>
            </w:r>
            <w:r w:rsidR="00477F32">
              <w:rPr>
                <w:rFonts w:ascii="Verdana" w:hAnsi="Verdana"/>
              </w:rPr>
              <w:t xml:space="preserve"> and relations</w:t>
            </w:r>
            <w:r>
              <w:rPr>
                <w:rFonts w:ascii="Verdana" w:hAnsi="Verdana"/>
              </w:rPr>
              <w:t xml:space="preserve">.  </w:t>
            </w:r>
          </w:p>
        </w:tc>
      </w:tr>
      <w:tr w:rsidR="00341FB3" w:rsidRPr="0025615F" w14:paraId="3CF1F33B"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2BF413CD"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HRA</w:t>
            </w:r>
          </w:p>
        </w:tc>
        <w:tc>
          <w:tcPr>
            <w:tcW w:w="1050" w:type="pct"/>
          </w:tcPr>
          <w:p w14:paraId="4DA86AED" w14:textId="77777777" w:rsidR="00967195" w:rsidRPr="00E517E4" w:rsidRDefault="00967195" w:rsidP="00834D9E">
            <w:pPr>
              <w:spacing w:before="120" w:after="120"/>
              <w:rPr>
                <w:rFonts w:ascii="Verdana" w:hAnsi="Verdana"/>
                <w:bCs/>
              </w:rPr>
            </w:pPr>
            <w:r w:rsidRPr="00E517E4">
              <w:rPr>
                <w:rFonts w:ascii="Verdana" w:hAnsi="Verdana"/>
                <w:bCs/>
              </w:rPr>
              <w:t>Health Reimbursement Account</w:t>
            </w:r>
          </w:p>
        </w:tc>
        <w:tc>
          <w:tcPr>
            <w:tcW w:w="3222" w:type="pct"/>
          </w:tcPr>
          <w:p w14:paraId="511ADC90" w14:textId="77777777" w:rsidR="00967195" w:rsidRDefault="00967195" w:rsidP="00834D9E">
            <w:pPr>
              <w:spacing w:before="120" w:after="120"/>
              <w:rPr>
                <w:rFonts w:ascii="Verdana" w:hAnsi="Verdana" w:cs="Arial"/>
                <w:color w:val="000000"/>
              </w:rPr>
            </w:pPr>
            <w:r w:rsidRPr="0025615F">
              <w:rPr>
                <w:rFonts w:ascii="Verdana" w:hAnsi="Verdana" w:cs="Arial"/>
                <w:color w:val="000000"/>
              </w:rPr>
              <w:t>With</w:t>
            </w:r>
            <w:r>
              <w:rPr>
                <w:rFonts w:ascii="Verdana" w:hAnsi="Verdana" w:cs="Arial"/>
                <w:color w:val="000000"/>
              </w:rPr>
              <w:t xml:space="preserve"> </w:t>
            </w:r>
            <w:r w:rsidRPr="0025615F">
              <w:rPr>
                <w:rFonts w:ascii="Verdana" w:hAnsi="Verdana" w:cs="Arial"/>
                <w:color w:val="000000"/>
              </w:rPr>
              <w:t>a</w:t>
            </w:r>
            <w:r>
              <w:rPr>
                <w:rFonts w:ascii="Verdana" w:hAnsi="Verdana" w:cs="Arial"/>
                <w:color w:val="000000"/>
              </w:rPr>
              <w:t xml:space="preserve"> </w:t>
            </w:r>
            <w:r w:rsidRPr="0025615F">
              <w:rPr>
                <w:rFonts w:ascii="Verdana" w:hAnsi="Verdana" w:cs="Arial"/>
                <w:color w:val="000000"/>
              </w:rPr>
              <w:t>HRA,</w:t>
            </w:r>
            <w:r>
              <w:rPr>
                <w:rFonts w:ascii="Verdana" w:hAnsi="Verdana" w:cs="Arial"/>
                <w:color w:val="000000"/>
              </w:rPr>
              <w:t xml:space="preserve"> </w:t>
            </w:r>
            <w:r w:rsidRPr="0025615F">
              <w:rPr>
                <w:rFonts w:ascii="Verdana" w:hAnsi="Verdana" w:cs="Arial"/>
                <w:color w:val="000000"/>
              </w:rPr>
              <w:t>the</w:t>
            </w:r>
            <w:r>
              <w:rPr>
                <w:rFonts w:ascii="Verdana" w:hAnsi="Verdana" w:cs="Arial"/>
                <w:color w:val="000000"/>
              </w:rPr>
              <w:t xml:space="preserve"> </w:t>
            </w:r>
            <w:r w:rsidRPr="0025615F">
              <w:rPr>
                <w:rFonts w:ascii="Verdana" w:hAnsi="Verdana" w:cs="Arial"/>
                <w:color w:val="000000"/>
              </w:rPr>
              <w:t>member</w:t>
            </w:r>
            <w:r>
              <w:rPr>
                <w:rFonts w:ascii="Verdana" w:hAnsi="Verdana" w:cs="Arial"/>
                <w:color w:val="000000"/>
              </w:rPr>
              <w:t xml:space="preserve"> </w:t>
            </w:r>
            <w:r w:rsidRPr="0025615F">
              <w:rPr>
                <w:rFonts w:ascii="Verdana" w:hAnsi="Verdana" w:cs="Arial"/>
                <w:color w:val="000000"/>
              </w:rPr>
              <w:t>will</w:t>
            </w:r>
            <w:r>
              <w:rPr>
                <w:rFonts w:ascii="Verdana" w:hAnsi="Verdana" w:cs="Arial"/>
                <w:color w:val="000000"/>
              </w:rPr>
              <w:t xml:space="preserve"> </w:t>
            </w:r>
            <w:r w:rsidRPr="0025615F">
              <w:rPr>
                <w:rFonts w:ascii="Verdana" w:hAnsi="Verdana" w:cs="Arial"/>
                <w:color w:val="000000"/>
              </w:rPr>
              <w:t>have</w:t>
            </w:r>
            <w:r>
              <w:rPr>
                <w:rFonts w:ascii="Verdana" w:hAnsi="Verdana" w:cs="Arial"/>
                <w:color w:val="000000"/>
              </w:rPr>
              <w:t xml:space="preserve"> </w:t>
            </w:r>
            <w:r w:rsidRPr="0025615F">
              <w:rPr>
                <w:rFonts w:ascii="Verdana" w:hAnsi="Verdana" w:cs="Arial"/>
                <w:color w:val="000000"/>
              </w:rPr>
              <w:t>funds</w:t>
            </w:r>
            <w:r>
              <w:rPr>
                <w:rFonts w:ascii="Verdana" w:hAnsi="Verdana" w:cs="Arial"/>
                <w:color w:val="000000"/>
              </w:rPr>
              <w:t xml:space="preserve"> </w:t>
            </w:r>
            <w:r w:rsidRPr="0025615F">
              <w:rPr>
                <w:rFonts w:ascii="Verdana" w:hAnsi="Verdana" w:cs="Arial"/>
                <w:color w:val="000000"/>
              </w:rPr>
              <w:t>stored</w:t>
            </w:r>
            <w:r>
              <w:rPr>
                <w:rFonts w:ascii="Verdana" w:hAnsi="Verdana" w:cs="Arial"/>
                <w:color w:val="000000"/>
              </w:rPr>
              <w:t xml:space="preserve"> </w:t>
            </w:r>
            <w:r w:rsidRPr="0025615F">
              <w:rPr>
                <w:rFonts w:ascii="Verdana" w:hAnsi="Verdana" w:cs="Arial"/>
                <w:color w:val="000000"/>
              </w:rPr>
              <w:t>in</w:t>
            </w:r>
            <w:r>
              <w:rPr>
                <w:rFonts w:ascii="Verdana" w:hAnsi="Verdana" w:cs="Arial"/>
                <w:color w:val="000000"/>
              </w:rPr>
              <w:t xml:space="preserve"> </w:t>
            </w:r>
            <w:r w:rsidRPr="0025615F">
              <w:rPr>
                <w:rFonts w:ascii="Verdana" w:hAnsi="Verdana" w:cs="Arial"/>
                <w:color w:val="000000"/>
              </w:rPr>
              <w:t>an</w:t>
            </w:r>
            <w:r>
              <w:rPr>
                <w:rFonts w:ascii="Verdana" w:hAnsi="Verdana" w:cs="Arial"/>
                <w:color w:val="000000"/>
              </w:rPr>
              <w:t xml:space="preserve"> </w:t>
            </w:r>
            <w:r w:rsidRPr="0025615F">
              <w:rPr>
                <w:rFonts w:ascii="Verdana" w:hAnsi="Verdana" w:cs="Arial"/>
                <w:color w:val="000000"/>
              </w:rPr>
              <w:t>ac</w:t>
            </w:r>
            <w:r>
              <w:rPr>
                <w:rFonts w:ascii="Verdana" w:hAnsi="Verdana" w:cs="Arial"/>
                <w:color w:val="000000"/>
              </w:rPr>
              <w:t>co</w:t>
            </w:r>
            <w:r w:rsidRPr="0025615F">
              <w:rPr>
                <w:rFonts w:ascii="Verdana" w:hAnsi="Verdana" w:cs="Arial"/>
                <w:color w:val="000000"/>
              </w:rPr>
              <w:t>unt</w:t>
            </w:r>
            <w:r>
              <w:rPr>
                <w:rFonts w:ascii="Verdana" w:hAnsi="Verdana" w:cs="Arial"/>
                <w:color w:val="000000"/>
              </w:rPr>
              <w:t xml:space="preserve"> </w:t>
            </w:r>
            <w:r w:rsidRPr="0025615F">
              <w:rPr>
                <w:rFonts w:ascii="Verdana" w:hAnsi="Verdana" w:cs="Arial"/>
                <w:color w:val="000000"/>
              </w:rPr>
              <w:t>(usually</w:t>
            </w:r>
            <w:r>
              <w:rPr>
                <w:rFonts w:ascii="Verdana" w:hAnsi="Verdana" w:cs="Arial"/>
                <w:color w:val="000000"/>
              </w:rPr>
              <w:t xml:space="preserve"> </w:t>
            </w:r>
            <w:r w:rsidRPr="0025615F">
              <w:rPr>
                <w:rFonts w:ascii="Verdana" w:hAnsi="Verdana" w:cs="Arial"/>
                <w:color w:val="000000"/>
              </w:rPr>
              <w:t>accessible</w:t>
            </w:r>
            <w:r>
              <w:rPr>
                <w:rFonts w:ascii="Verdana" w:hAnsi="Verdana" w:cs="Arial"/>
                <w:color w:val="000000"/>
              </w:rPr>
              <w:t xml:space="preserve"> </w:t>
            </w:r>
            <w:r w:rsidRPr="0025615F">
              <w:rPr>
                <w:rFonts w:ascii="Verdana" w:hAnsi="Verdana" w:cs="Arial"/>
                <w:color w:val="000000"/>
              </w:rPr>
              <w:t>with</w:t>
            </w:r>
            <w:r>
              <w:rPr>
                <w:rFonts w:ascii="Verdana" w:hAnsi="Verdana" w:cs="Arial"/>
                <w:color w:val="000000"/>
              </w:rPr>
              <w:t xml:space="preserve"> </w:t>
            </w:r>
            <w:r w:rsidRPr="0025615F">
              <w:rPr>
                <w:rFonts w:ascii="Verdana" w:hAnsi="Verdana" w:cs="Arial"/>
                <w:color w:val="000000"/>
              </w:rPr>
              <w:t>a</w:t>
            </w:r>
            <w:r>
              <w:rPr>
                <w:rFonts w:ascii="Verdana" w:hAnsi="Verdana" w:cs="Arial"/>
                <w:color w:val="000000"/>
              </w:rPr>
              <w:t xml:space="preserve"> </w:t>
            </w:r>
            <w:r w:rsidRPr="0025615F">
              <w:rPr>
                <w:rFonts w:ascii="Verdana" w:hAnsi="Verdana" w:cs="Arial"/>
                <w:color w:val="000000"/>
              </w:rPr>
              <w:t>debit</w:t>
            </w:r>
            <w:r>
              <w:rPr>
                <w:rFonts w:ascii="Verdana" w:hAnsi="Verdana" w:cs="Arial"/>
                <w:color w:val="000000"/>
              </w:rPr>
              <w:t xml:space="preserve"> </w:t>
            </w:r>
            <w:r w:rsidRPr="0025615F">
              <w:rPr>
                <w:rFonts w:ascii="Verdana" w:hAnsi="Verdana" w:cs="Arial"/>
                <w:color w:val="000000"/>
              </w:rPr>
              <w:t>card)</w:t>
            </w:r>
            <w:r>
              <w:rPr>
                <w:rFonts w:ascii="Verdana" w:hAnsi="Verdana" w:cs="Arial"/>
                <w:color w:val="000000"/>
              </w:rPr>
              <w:t xml:space="preserve"> </w:t>
            </w:r>
            <w:r w:rsidRPr="0025615F">
              <w:rPr>
                <w:rFonts w:ascii="Verdana" w:hAnsi="Verdana" w:cs="Arial"/>
                <w:color w:val="000000"/>
              </w:rPr>
              <w:t>that</w:t>
            </w:r>
            <w:r>
              <w:rPr>
                <w:rFonts w:ascii="Verdana" w:hAnsi="Verdana" w:cs="Arial"/>
                <w:color w:val="000000"/>
              </w:rPr>
              <w:t xml:space="preserve"> </w:t>
            </w:r>
            <w:r w:rsidRPr="0025615F">
              <w:rPr>
                <w:rFonts w:ascii="Verdana" w:hAnsi="Verdana" w:cs="Arial"/>
                <w:color w:val="000000"/>
              </w:rPr>
              <w:t>can</w:t>
            </w:r>
            <w:r>
              <w:rPr>
                <w:rFonts w:ascii="Verdana" w:hAnsi="Verdana" w:cs="Arial"/>
                <w:color w:val="000000"/>
              </w:rPr>
              <w:t xml:space="preserve"> </w:t>
            </w:r>
            <w:r w:rsidRPr="0025615F">
              <w:rPr>
                <w:rFonts w:ascii="Verdana" w:hAnsi="Verdana" w:cs="Arial"/>
                <w:color w:val="000000"/>
              </w:rPr>
              <w:t>be</w:t>
            </w:r>
            <w:r>
              <w:rPr>
                <w:rFonts w:ascii="Verdana" w:hAnsi="Verdana" w:cs="Arial"/>
                <w:color w:val="000000"/>
              </w:rPr>
              <w:t xml:space="preserve"> </w:t>
            </w:r>
            <w:r w:rsidRPr="0025615F">
              <w:rPr>
                <w:rFonts w:ascii="Verdana" w:hAnsi="Verdana" w:cs="Arial"/>
                <w:color w:val="000000"/>
              </w:rPr>
              <w:t>spent</w:t>
            </w:r>
            <w:r>
              <w:rPr>
                <w:rFonts w:ascii="Verdana" w:hAnsi="Verdana" w:cs="Arial"/>
                <w:color w:val="000000"/>
              </w:rPr>
              <w:t xml:space="preserve"> </w:t>
            </w:r>
            <w:r w:rsidRPr="0025615F">
              <w:rPr>
                <w:rFonts w:ascii="Verdana" w:hAnsi="Verdana" w:cs="Arial"/>
                <w:color w:val="000000"/>
              </w:rPr>
              <w:t>on</w:t>
            </w:r>
            <w:r>
              <w:rPr>
                <w:rFonts w:ascii="Verdana" w:hAnsi="Verdana" w:cs="Arial"/>
                <w:color w:val="000000"/>
              </w:rPr>
              <w:t xml:space="preserve"> </w:t>
            </w:r>
            <w:r w:rsidRPr="0025615F">
              <w:rPr>
                <w:rFonts w:ascii="Verdana" w:hAnsi="Verdana" w:cs="Arial"/>
                <w:color w:val="000000"/>
              </w:rPr>
              <w:t>eligible</w:t>
            </w:r>
            <w:r>
              <w:rPr>
                <w:rFonts w:ascii="Verdana" w:hAnsi="Verdana" w:cs="Arial"/>
                <w:color w:val="000000"/>
              </w:rPr>
              <w:t xml:space="preserve"> </w:t>
            </w:r>
            <w:r w:rsidRPr="0025615F">
              <w:rPr>
                <w:rFonts w:ascii="Verdana" w:hAnsi="Verdana" w:cs="Arial"/>
                <w:color w:val="000000"/>
              </w:rPr>
              <w:t>medical</w:t>
            </w:r>
            <w:r>
              <w:rPr>
                <w:rFonts w:ascii="Verdana" w:hAnsi="Verdana" w:cs="Arial"/>
                <w:color w:val="000000"/>
              </w:rPr>
              <w:t xml:space="preserve"> </w:t>
            </w:r>
            <w:r w:rsidRPr="0025615F">
              <w:rPr>
                <w:rFonts w:ascii="Verdana" w:hAnsi="Verdana" w:cs="Arial"/>
                <w:color w:val="000000"/>
              </w:rPr>
              <w:t>and</w:t>
            </w:r>
            <w:r>
              <w:rPr>
                <w:rFonts w:ascii="Verdana" w:hAnsi="Verdana" w:cs="Arial"/>
                <w:color w:val="000000"/>
              </w:rPr>
              <w:t>/</w:t>
            </w:r>
            <w:r w:rsidRPr="0025615F">
              <w:rPr>
                <w:rFonts w:ascii="Verdana" w:hAnsi="Verdana" w:cs="Arial"/>
                <w:color w:val="000000"/>
              </w:rPr>
              <w:t>or</w:t>
            </w:r>
            <w:r>
              <w:rPr>
                <w:rFonts w:ascii="Verdana" w:hAnsi="Verdana" w:cs="Arial"/>
                <w:color w:val="000000"/>
              </w:rPr>
              <w:t xml:space="preserve"> </w:t>
            </w:r>
            <w:r w:rsidRPr="0025615F">
              <w:rPr>
                <w:rFonts w:ascii="Verdana" w:hAnsi="Verdana" w:cs="Arial"/>
                <w:color w:val="000000"/>
              </w:rPr>
              <w:t>prescription</w:t>
            </w:r>
            <w:r>
              <w:rPr>
                <w:rFonts w:ascii="Verdana" w:hAnsi="Verdana" w:cs="Arial"/>
                <w:color w:val="000000"/>
              </w:rPr>
              <w:t xml:space="preserve"> </w:t>
            </w:r>
            <w:r w:rsidRPr="0025615F">
              <w:rPr>
                <w:rFonts w:ascii="Verdana" w:hAnsi="Verdana" w:cs="Arial"/>
                <w:color w:val="000000"/>
              </w:rPr>
              <w:t>expenses.</w:t>
            </w:r>
            <w:r>
              <w:rPr>
                <w:rFonts w:ascii="Verdana" w:hAnsi="Verdana" w:cs="Arial"/>
                <w:color w:val="000000"/>
              </w:rPr>
              <w:t xml:space="preserve">  </w:t>
            </w:r>
            <w:r w:rsidRPr="0025615F">
              <w:rPr>
                <w:rFonts w:ascii="Verdana" w:hAnsi="Verdana" w:cs="Arial"/>
                <w:color w:val="000000"/>
              </w:rPr>
              <w:t>The</w:t>
            </w:r>
            <w:r>
              <w:rPr>
                <w:rFonts w:ascii="Verdana" w:hAnsi="Verdana" w:cs="Arial"/>
                <w:color w:val="000000"/>
              </w:rPr>
              <w:t xml:space="preserve"> </w:t>
            </w:r>
            <w:r w:rsidRPr="0025615F">
              <w:rPr>
                <w:rFonts w:ascii="Verdana" w:hAnsi="Verdana" w:cs="Arial"/>
                <w:color w:val="000000"/>
              </w:rPr>
              <w:t>funds</w:t>
            </w:r>
            <w:r>
              <w:rPr>
                <w:rFonts w:ascii="Verdana" w:hAnsi="Verdana" w:cs="Arial"/>
                <w:color w:val="000000"/>
              </w:rPr>
              <w:t xml:space="preserve"> </w:t>
            </w:r>
            <w:r w:rsidRPr="0025615F">
              <w:rPr>
                <w:rFonts w:ascii="Verdana" w:hAnsi="Verdana" w:cs="Arial"/>
                <w:color w:val="000000"/>
              </w:rPr>
              <w:t>are</w:t>
            </w:r>
            <w:r>
              <w:rPr>
                <w:rFonts w:ascii="Verdana" w:hAnsi="Verdana" w:cs="Arial"/>
                <w:color w:val="000000"/>
              </w:rPr>
              <w:t xml:space="preserve"> </w:t>
            </w:r>
            <w:r w:rsidRPr="0025615F">
              <w:rPr>
                <w:rFonts w:ascii="Verdana" w:hAnsi="Verdana" w:cs="Arial"/>
                <w:color w:val="000000"/>
              </w:rPr>
              <w:t>tax-exempt</w:t>
            </w:r>
            <w:r>
              <w:rPr>
                <w:rFonts w:ascii="Verdana" w:hAnsi="Verdana" w:cs="Arial"/>
                <w:color w:val="000000"/>
              </w:rPr>
              <w:t xml:space="preserve"> </w:t>
            </w:r>
            <w:r w:rsidRPr="0025615F">
              <w:rPr>
                <w:rFonts w:ascii="Verdana" w:hAnsi="Verdana" w:cs="Arial"/>
                <w:color w:val="000000"/>
              </w:rPr>
              <w:t>and</w:t>
            </w:r>
            <w:r>
              <w:rPr>
                <w:rFonts w:ascii="Verdana" w:hAnsi="Verdana" w:cs="Arial"/>
                <w:color w:val="000000"/>
              </w:rPr>
              <w:t xml:space="preserve"> </w:t>
            </w:r>
            <w:r w:rsidRPr="0025615F">
              <w:rPr>
                <w:rFonts w:ascii="Verdana" w:hAnsi="Verdana" w:cs="Arial"/>
                <w:color w:val="000000"/>
              </w:rPr>
              <w:t>provided</w:t>
            </w:r>
            <w:r>
              <w:rPr>
                <w:rFonts w:ascii="Verdana" w:hAnsi="Verdana" w:cs="Arial"/>
                <w:color w:val="000000"/>
              </w:rPr>
              <w:t xml:space="preserve"> </w:t>
            </w:r>
            <w:r w:rsidRPr="0025615F">
              <w:rPr>
                <w:rFonts w:ascii="Verdana" w:hAnsi="Verdana" w:cs="Arial"/>
                <w:color w:val="000000"/>
              </w:rPr>
              <w:t>by</w:t>
            </w:r>
            <w:r>
              <w:rPr>
                <w:rFonts w:ascii="Verdana" w:hAnsi="Verdana" w:cs="Arial"/>
                <w:color w:val="000000"/>
              </w:rPr>
              <w:t xml:space="preserve"> </w:t>
            </w:r>
            <w:r w:rsidRPr="0025615F">
              <w:rPr>
                <w:rFonts w:ascii="Verdana" w:hAnsi="Verdana" w:cs="Arial"/>
                <w:color w:val="000000"/>
              </w:rPr>
              <w:t>the</w:t>
            </w:r>
            <w:r>
              <w:rPr>
                <w:rFonts w:ascii="Verdana" w:hAnsi="Verdana" w:cs="Arial"/>
                <w:color w:val="000000"/>
              </w:rPr>
              <w:t xml:space="preserve"> </w:t>
            </w:r>
            <w:r w:rsidRPr="0025615F">
              <w:rPr>
                <w:rFonts w:ascii="Verdana" w:hAnsi="Verdana" w:cs="Arial"/>
                <w:color w:val="000000"/>
              </w:rPr>
              <w:t>employer.</w:t>
            </w:r>
            <w:r>
              <w:rPr>
                <w:rFonts w:ascii="Verdana" w:hAnsi="Verdana" w:cs="Arial"/>
                <w:color w:val="000000"/>
              </w:rPr>
              <w:t xml:space="preserve">  </w:t>
            </w:r>
            <w:r w:rsidRPr="0025615F">
              <w:rPr>
                <w:rFonts w:ascii="Verdana" w:hAnsi="Verdana" w:cs="Arial"/>
                <w:color w:val="000000"/>
              </w:rPr>
              <w:t>Once</w:t>
            </w:r>
            <w:r>
              <w:rPr>
                <w:rFonts w:ascii="Verdana" w:hAnsi="Verdana" w:cs="Arial"/>
                <w:color w:val="000000"/>
              </w:rPr>
              <w:t xml:space="preserve"> </w:t>
            </w:r>
            <w:r w:rsidRPr="0025615F">
              <w:rPr>
                <w:rFonts w:ascii="Verdana" w:hAnsi="Verdana" w:cs="Arial"/>
                <w:color w:val="000000"/>
              </w:rPr>
              <w:t>the</w:t>
            </w:r>
            <w:r>
              <w:rPr>
                <w:rFonts w:ascii="Verdana" w:hAnsi="Verdana" w:cs="Arial"/>
                <w:color w:val="000000"/>
              </w:rPr>
              <w:t xml:space="preserve"> </w:t>
            </w:r>
            <w:r w:rsidRPr="0025615F">
              <w:rPr>
                <w:rFonts w:ascii="Verdana" w:hAnsi="Verdana" w:cs="Arial"/>
                <w:color w:val="000000"/>
              </w:rPr>
              <w:t>funds</w:t>
            </w:r>
            <w:r>
              <w:rPr>
                <w:rFonts w:ascii="Verdana" w:hAnsi="Verdana" w:cs="Arial"/>
                <w:color w:val="000000"/>
              </w:rPr>
              <w:t xml:space="preserve"> </w:t>
            </w:r>
            <w:r w:rsidRPr="0025615F">
              <w:rPr>
                <w:rFonts w:ascii="Verdana" w:hAnsi="Verdana" w:cs="Arial"/>
                <w:color w:val="000000"/>
              </w:rPr>
              <w:t>in</w:t>
            </w:r>
            <w:r>
              <w:rPr>
                <w:rFonts w:ascii="Verdana" w:hAnsi="Verdana" w:cs="Arial"/>
                <w:color w:val="000000"/>
              </w:rPr>
              <w:t xml:space="preserve"> </w:t>
            </w:r>
            <w:r w:rsidRPr="0025615F">
              <w:rPr>
                <w:rFonts w:ascii="Verdana" w:hAnsi="Verdana" w:cs="Arial"/>
                <w:color w:val="000000"/>
              </w:rPr>
              <w:t>the</w:t>
            </w:r>
            <w:r>
              <w:rPr>
                <w:rFonts w:ascii="Verdana" w:hAnsi="Verdana" w:cs="Arial"/>
                <w:color w:val="000000"/>
              </w:rPr>
              <w:t xml:space="preserve"> </w:t>
            </w:r>
            <w:r w:rsidRPr="0025615F">
              <w:rPr>
                <w:rFonts w:ascii="Verdana" w:hAnsi="Verdana" w:cs="Arial"/>
                <w:color w:val="000000"/>
              </w:rPr>
              <w:t>HRA</w:t>
            </w:r>
            <w:r>
              <w:rPr>
                <w:rFonts w:ascii="Verdana" w:hAnsi="Verdana" w:cs="Arial"/>
                <w:color w:val="000000"/>
              </w:rPr>
              <w:t xml:space="preserve"> </w:t>
            </w:r>
            <w:r w:rsidRPr="0025615F">
              <w:rPr>
                <w:rFonts w:ascii="Verdana" w:hAnsi="Verdana" w:cs="Arial"/>
                <w:color w:val="000000"/>
              </w:rPr>
              <w:t>have</w:t>
            </w:r>
            <w:r>
              <w:rPr>
                <w:rFonts w:ascii="Verdana" w:hAnsi="Verdana" w:cs="Arial"/>
                <w:color w:val="000000"/>
              </w:rPr>
              <w:t xml:space="preserve"> </w:t>
            </w:r>
            <w:r w:rsidRPr="0025615F">
              <w:rPr>
                <w:rFonts w:ascii="Verdana" w:hAnsi="Verdana" w:cs="Arial"/>
                <w:color w:val="000000"/>
              </w:rPr>
              <w:t>been</w:t>
            </w:r>
            <w:r>
              <w:rPr>
                <w:rFonts w:ascii="Verdana" w:hAnsi="Verdana" w:cs="Arial"/>
                <w:color w:val="000000"/>
              </w:rPr>
              <w:t xml:space="preserve"> </w:t>
            </w:r>
            <w:r w:rsidRPr="0025615F">
              <w:rPr>
                <w:rFonts w:ascii="Verdana" w:hAnsi="Verdana" w:cs="Arial"/>
                <w:color w:val="000000"/>
              </w:rPr>
              <w:t>exhausted,</w:t>
            </w:r>
            <w:r>
              <w:rPr>
                <w:rFonts w:ascii="Verdana" w:hAnsi="Verdana" w:cs="Arial"/>
                <w:color w:val="000000"/>
              </w:rPr>
              <w:t xml:space="preserve"> </w:t>
            </w:r>
            <w:r w:rsidRPr="0025615F">
              <w:rPr>
                <w:rFonts w:ascii="Verdana" w:hAnsi="Verdana" w:cs="Arial"/>
                <w:color w:val="000000"/>
              </w:rPr>
              <w:t>the</w:t>
            </w:r>
            <w:r>
              <w:rPr>
                <w:rFonts w:ascii="Verdana" w:hAnsi="Verdana" w:cs="Arial"/>
                <w:color w:val="000000"/>
              </w:rPr>
              <w:t xml:space="preserve"> </w:t>
            </w:r>
            <w:r w:rsidRPr="0025615F">
              <w:rPr>
                <w:rFonts w:ascii="Verdana" w:hAnsi="Verdana" w:cs="Arial"/>
                <w:color w:val="000000"/>
              </w:rPr>
              <w:t>member</w:t>
            </w:r>
            <w:r>
              <w:rPr>
                <w:rFonts w:ascii="Verdana" w:hAnsi="Verdana" w:cs="Arial"/>
                <w:color w:val="000000"/>
              </w:rPr>
              <w:t xml:space="preserve"> </w:t>
            </w:r>
            <w:r w:rsidRPr="0025615F">
              <w:rPr>
                <w:rFonts w:ascii="Verdana" w:hAnsi="Verdana" w:cs="Arial"/>
                <w:color w:val="000000"/>
              </w:rPr>
              <w:t>will</w:t>
            </w:r>
            <w:r>
              <w:rPr>
                <w:rFonts w:ascii="Verdana" w:hAnsi="Verdana" w:cs="Arial"/>
                <w:color w:val="000000"/>
              </w:rPr>
              <w:t xml:space="preserve"> </w:t>
            </w:r>
            <w:r w:rsidRPr="0025615F">
              <w:rPr>
                <w:rFonts w:ascii="Verdana" w:hAnsi="Verdana" w:cs="Arial"/>
                <w:color w:val="000000"/>
              </w:rPr>
              <w:t>be</w:t>
            </w:r>
            <w:r>
              <w:rPr>
                <w:rFonts w:ascii="Verdana" w:hAnsi="Verdana" w:cs="Arial"/>
                <w:color w:val="000000"/>
              </w:rPr>
              <w:t xml:space="preserve"> </w:t>
            </w:r>
            <w:r w:rsidRPr="0025615F">
              <w:rPr>
                <w:rFonts w:ascii="Verdana" w:hAnsi="Verdana" w:cs="Arial"/>
                <w:color w:val="000000"/>
              </w:rPr>
              <w:t>responsible</w:t>
            </w:r>
            <w:r>
              <w:rPr>
                <w:rFonts w:ascii="Verdana" w:hAnsi="Verdana" w:cs="Arial"/>
                <w:color w:val="000000"/>
              </w:rPr>
              <w:t xml:space="preserve"> </w:t>
            </w:r>
            <w:r w:rsidRPr="0025615F">
              <w:rPr>
                <w:rFonts w:ascii="Verdana" w:hAnsi="Verdana" w:cs="Arial"/>
                <w:color w:val="000000"/>
              </w:rPr>
              <w:t>for</w:t>
            </w:r>
            <w:r>
              <w:rPr>
                <w:rFonts w:ascii="Verdana" w:hAnsi="Verdana" w:cs="Arial"/>
                <w:color w:val="000000"/>
              </w:rPr>
              <w:t xml:space="preserve"> </w:t>
            </w:r>
            <w:r w:rsidRPr="0025615F">
              <w:rPr>
                <w:rFonts w:ascii="Verdana" w:hAnsi="Verdana" w:cs="Arial"/>
                <w:color w:val="000000"/>
              </w:rPr>
              <w:t>paying</w:t>
            </w:r>
            <w:r>
              <w:rPr>
                <w:rFonts w:ascii="Verdana" w:hAnsi="Verdana" w:cs="Arial"/>
                <w:color w:val="000000"/>
              </w:rPr>
              <w:t xml:space="preserve"> </w:t>
            </w:r>
            <w:r w:rsidRPr="0025615F">
              <w:rPr>
                <w:rFonts w:ascii="Verdana" w:hAnsi="Verdana" w:cs="Arial"/>
                <w:color w:val="000000"/>
              </w:rPr>
              <w:t>subsequent</w:t>
            </w:r>
            <w:r>
              <w:rPr>
                <w:rFonts w:ascii="Verdana" w:hAnsi="Verdana" w:cs="Arial"/>
                <w:color w:val="000000"/>
              </w:rPr>
              <w:t xml:space="preserve"> </w:t>
            </w:r>
            <w:r w:rsidRPr="0025615F">
              <w:rPr>
                <w:rFonts w:ascii="Verdana" w:hAnsi="Verdana" w:cs="Arial"/>
                <w:color w:val="000000"/>
              </w:rPr>
              <w:t>out</w:t>
            </w:r>
            <w:r>
              <w:rPr>
                <w:rFonts w:ascii="Verdana" w:hAnsi="Verdana" w:cs="Arial"/>
                <w:color w:val="000000"/>
              </w:rPr>
              <w:t xml:space="preserve"> </w:t>
            </w:r>
            <w:r w:rsidRPr="0025615F">
              <w:rPr>
                <w:rFonts w:ascii="Verdana" w:hAnsi="Verdana" w:cs="Arial"/>
                <w:color w:val="000000"/>
              </w:rPr>
              <w:t>of</w:t>
            </w:r>
            <w:r>
              <w:rPr>
                <w:rFonts w:ascii="Verdana" w:hAnsi="Verdana" w:cs="Arial"/>
                <w:color w:val="000000"/>
              </w:rPr>
              <w:t xml:space="preserve"> </w:t>
            </w:r>
            <w:r w:rsidRPr="0025615F">
              <w:rPr>
                <w:rFonts w:ascii="Verdana" w:hAnsi="Verdana" w:cs="Arial"/>
                <w:color w:val="000000"/>
              </w:rPr>
              <w:t>pocket</w:t>
            </w:r>
            <w:r>
              <w:rPr>
                <w:rFonts w:ascii="Verdana" w:hAnsi="Verdana" w:cs="Arial"/>
                <w:color w:val="000000"/>
              </w:rPr>
              <w:t xml:space="preserve"> co</w:t>
            </w:r>
            <w:r w:rsidRPr="0025615F">
              <w:rPr>
                <w:rFonts w:ascii="Verdana" w:hAnsi="Verdana" w:cs="Arial"/>
                <w:color w:val="000000"/>
              </w:rPr>
              <w:t>sts.</w:t>
            </w:r>
          </w:p>
          <w:p w14:paraId="0E8C71AF" w14:textId="77777777" w:rsidR="00967195" w:rsidRPr="0025615F" w:rsidRDefault="00967195" w:rsidP="00834D9E">
            <w:pPr>
              <w:spacing w:before="120" w:after="120"/>
              <w:rPr>
                <w:rFonts w:ascii="Verdana" w:hAnsi="Verdana"/>
              </w:rPr>
            </w:pPr>
          </w:p>
        </w:tc>
      </w:tr>
      <w:tr w:rsidR="00341FB3" w:rsidRPr="0025615F" w14:paraId="193A4A33"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290D022A" w14:textId="77777777" w:rsidR="00967195" w:rsidRDefault="00967195" w:rsidP="00834D9E">
            <w:pPr>
              <w:spacing w:before="120" w:after="120"/>
              <w:rPr>
                <w:noProof/>
              </w:rPr>
            </w:pPr>
            <w:r>
              <w:rPr>
                <w:noProof/>
              </w:rPr>
              <w:t xml:space="preserve"> </w:t>
            </w:r>
          </w:p>
          <w:p w14:paraId="7318D607" w14:textId="77777777" w:rsidR="00967195" w:rsidRPr="0025615F" w:rsidRDefault="00967195" w:rsidP="00834D9E">
            <w:pPr>
              <w:spacing w:before="120" w:after="120"/>
              <w:jc w:val="center"/>
              <w:rPr>
                <w:rFonts w:ascii="Verdana" w:hAnsi="Verdana"/>
                <w:b/>
                <w:color w:val="000000"/>
              </w:rPr>
            </w:pPr>
            <w:r w:rsidRPr="002A444A">
              <w:rPr>
                <w:rFonts w:ascii="Verdana" w:hAnsi="Verdana"/>
                <w:b/>
              </w:rPr>
              <w:t>HRM</w:t>
            </w:r>
          </w:p>
        </w:tc>
        <w:tc>
          <w:tcPr>
            <w:tcW w:w="1050" w:type="pct"/>
          </w:tcPr>
          <w:p w14:paraId="1AD7C368" w14:textId="77777777" w:rsidR="00967195" w:rsidRPr="00E517E4" w:rsidRDefault="00967195" w:rsidP="00834D9E">
            <w:pPr>
              <w:spacing w:before="120" w:after="120"/>
              <w:rPr>
                <w:bCs/>
                <w:noProof/>
              </w:rPr>
            </w:pPr>
            <w:r w:rsidRPr="00E517E4">
              <w:rPr>
                <w:bCs/>
                <w:noProof/>
              </w:rPr>
              <w:t xml:space="preserve"> </w:t>
            </w:r>
          </w:p>
          <w:p w14:paraId="62701FCE" w14:textId="77777777" w:rsidR="00967195" w:rsidRPr="00E517E4" w:rsidRDefault="00967195" w:rsidP="00834D9E">
            <w:pPr>
              <w:spacing w:before="120" w:after="120"/>
              <w:rPr>
                <w:rFonts w:ascii="Verdana" w:hAnsi="Verdana"/>
                <w:bCs/>
              </w:rPr>
            </w:pPr>
            <w:r w:rsidRPr="00E517E4">
              <w:rPr>
                <w:rFonts w:ascii="Verdana" w:hAnsi="Verdana"/>
                <w:bCs/>
              </w:rPr>
              <w:t>High Risk Medication</w:t>
            </w:r>
          </w:p>
        </w:tc>
        <w:tc>
          <w:tcPr>
            <w:tcW w:w="3222" w:type="pct"/>
          </w:tcPr>
          <w:p w14:paraId="0281166E" w14:textId="77777777" w:rsidR="00967195" w:rsidRDefault="00967195" w:rsidP="00834D9E">
            <w:pPr>
              <w:spacing w:before="120" w:after="120"/>
              <w:rPr>
                <w:noProof/>
              </w:rPr>
            </w:pPr>
            <w:r>
              <w:rPr>
                <w:noProof/>
              </w:rPr>
              <w:t xml:space="preserve"> </w:t>
            </w:r>
          </w:p>
          <w:p w14:paraId="2D461F5A" w14:textId="77777777" w:rsidR="00967195" w:rsidRDefault="00967195" w:rsidP="00834D9E">
            <w:pPr>
              <w:spacing w:before="120" w:after="120"/>
              <w:rPr>
                <w:rFonts w:ascii="Verdana" w:hAnsi="Verdana"/>
              </w:rPr>
            </w:pPr>
            <w:r w:rsidRPr="000F184C">
              <w:rPr>
                <w:rFonts w:ascii="Verdana" w:hAnsi="Verdana"/>
              </w:rPr>
              <w:t>The American Geriatrics Society (AGS) identifies the use of this medication as potentially inappropriate in older adults, meaning it is best avoided, prescribed at reduced dosage, or used with caution or carefully monitored.  </w:t>
            </w:r>
          </w:p>
          <w:p w14:paraId="762D8BAC" w14:textId="77777777" w:rsidR="00967195" w:rsidRDefault="00967195" w:rsidP="00834D9E">
            <w:pPr>
              <w:spacing w:before="120" w:after="120"/>
              <w:rPr>
                <w:rFonts w:ascii="Verdana" w:hAnsi="Verdana"/>
              </w:rPr>
            </w:pPr>
          </w:p>
          <w:p w14:paraId="4C543D5F" w14:textId="77777777" w:rsidR="00967195" w:rsidRDefault="00967195" w:rsidP="00834D9E">
            <w:pPr>
              <w:spacing w:before="120" w:after="120"/>
              <w:rPr>
                <w:rFonts w:ascii="Verdana" w:hAnsi="Verdana"/>
              </w:rPr>
            </w:pPr>
            <w:r w:rsidRPr="000F184C">
              <w:rPr>
                <w:rFonts w:ascii="Verdana" w:hAnsi="Verdana"/>
              </w:rPr>
              <w:t>The Centers for Medicare and Medicaid Services (CMS) has identified HRM with use of the PQA (Pharmacy Quality Alliance) medication list based on the American Geriatrics Society recommendations.</w:t>
            </w:r>
          </w:p>
          <w:p w14:paraId="56C330F7" w14:textId="77777777" w:rsidR="00967195" w:rsidRPr="0025615F" w:rsidRDefault="00967195" w:rsidP="00834D9E">
            <w:pPr>
              <w:spacing w:before="120" w:after="120"/>
              <w:rPr>
                <w:rFonts w:ascii="Verdana" w:hAnsi="Verdana" w:cs="Arial"/>
                <w:color w:val="000000"/>
              </w:rPr>
            </w:pPr>
          </w:p>
        </w:tc>
      </w:tr>
      <w:tr w:rsidR="00341FB3" w:rsidRPr="00D57C54" w14:paraId="2F1D854A"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6C3D5187" w14:textId="77777777" w:rsidR="00967195" w:rsidRPr="00D57C54" w:rsidRDefault="00967195" w:rsidP="00834D9E">
            <w:pPr>
              <w:spacing w:before="120" w:after="120"/>
              <w:jc w:val="center"/>
              <w:rPr>
                <w:rFonts w:ascii="Verdana" w:hAnsi="Verdana"/>
                <w:b/>
                <w:noProof/>
              </w:rPr>
            </w:pPr>
            <w:r>
              <w:rPr>
                <w:rFonts w:ascii="Verdana" w:hAnsi="Verdana"/>
                <w:b/>
                <w:noProof/>
              </w:rPr>
              <w:t>HRP</w:t>
            </w:r>
          </w:p>
        </w:tc>
        <w:tc>
          <w:tcPr>
            <w:tcW w:w="1050" w:type="pct"/>
          </w:tcPr>
          <w:p w14:paraId="076DA16E" w14:textId="77777777" w:rsidR="00967195" w:rsidRPr="00E517E4" w:rsidRDefault="00967195" w:rsidP="00834D9E">
            <w:pPr>
              <w:spacing w:before="120" w:after="120"/>
              <w:rPr>
                <w:rFonts w:ascii="Verdana" w:hAnsi="Verdana"/>
                <w:bCs/>
                <w:noProof/>
              </w:rPr>
            </w:pPr>
            <w:r w:rsidRPr="00E517E4">
              <w:rPr>
                <w:rFonts w:ascii="Verdana" w:hAnsi="Verdana"/>
                <w:bCs/>
                <w:noProof/>
              </w:rPr>
              <w:t>HealthRules Payer</w:t>
            </w:r>
          </w:p>
        </w:tc>
        <w:tc>
          <w:tcPr>
            <w:tcW w:w="3222" w:type="pct"/>
          </w:tcPr>
          <w:p w14:paraId="13D6B655" w14:textId="77777777" w:rsidR="00967195" w:rsidRPr="00D57C54" w:rsidRDefault="00967195" w:rsidP="00834D9E">
            <w:pPr>
              <w:spacing w:before="120" w:after="120"/>
              <w:rPr>
                <w:rFonts w:ascii="Verdana" w:hAnsi="Verdana"/>
                <w:noProof/>
              </w:rPr>
            </w:pPr>
            <w:r>
              <w:rPr>
                <w:rFonts w:ascii="Verdana" w:hAnsi="Verdana"/>
                <w:noProof/>
              </w:rPr>
              <w:t>S</w:t>
            </w:r>
            <w:r w:rsidRPr="00D57C54">
              <w:rPr>
                <w:rFonts w:ascii="Verdana" w:hAnsi="Verdana"/>
                <w:noProof/>
              </w:rPr>
              <w:t>y</w:t>
            </w:r>
            <w:r>
              <w:rPr>
                <w:rFonts w:ascii="Verdana" w:hAnsi="Verdana"/>
                <w:noProof/>
              </w:rPr>
              <w:t>stem used by Customer Care representatives</w:t>
            </w:r>
            <w:r w:rsidRPr="00D57C54">
              <w:rPr>
                <w:rFonts w:ascii="Verdana" w:hAnsi="Verdana"/>
                <w:noProof/>
              </w:rPr>
              <w:t xml:space="preserve"> for Aenta Joint Venture members.</w:t>
            </w:r>
          </w:p>
        </w:tc>
      </w:tr>
      <w:tr w:rsidR="00341FB3" w:rsidRPr="0025615F" w14:paraId="1C62342D"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1A8F3A62"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HSA</w:t>
            </w:r>
          </w:p>
        </w:tc>
        <w:tc>
          <w:tcPr>
            <w:tcW w:w="1050" w:type="pct"/>
          </w:tcPr>
          <w:p w14:paraId="03BF748F" w14:textId="77777777" w:rsidR="00967195" w:rsidRPr="00E517E4" w:rsidRDefault="00967195" w:rsidP="00834D9E">
            <w:pPr>
              <w:spacing w:before="120" w:after="120"/>
              <w:rPr>
                <w:rFonts w:ascii="Verdana" w:hAnsi="Verdana"/>
                <w:bCs/>
              </w:rPr>
            </w:pPr>
            <w:r w:rsidRPr="00E517E4">
              <w:rPr>
                <w:rFonts w:ascii="Verdana" w:hAnsi="Verdana"/>
                <w:bCs/>
              </w:rPr>
              <w:t xml:space="preserve">Health Savings Account or Health Spending Account </w:t>
            </w:r>
          </w:p>
        </w:tc>
        <w:tc>
          <w:tcPr>
            <w:tcW w:w="3222" w:type="pct"/>
          </w:tcPr>
          <w:p w14:paraId="62E732D7" w14:textId="77777777" w:rsidR="00967195" w:rsidRDefault="00967195" w:rsidP="00834D9E">
            <w:pPr>
              <w:spacing w:before="120" w:after="120"/>
              <w:rPr>
                <w:rFonts w:ascii="Verdana" w:hAnsi="Verdana" w:cs="Arial"/>
              </w:rPr>
            </w:pPr>
            <w:r w:rsidRPr="0025615F">
              <w:rPr>
                <w:rFonts w:ascii="Verdana" w:hAnsi="Verdana" w:cs="Arial"/>
              </w:rPr>
              <w:t>Alternative</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traditional</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insurance;</w:t>
            </w:r>
            <w:r>
              <w:rPr>
                <w:rFonts w:ascii="Verdana" w:hAnsi="Verdana" w:cs="Arial"/>
              </w:rPr>
              <w:t xml:space="preserve"> </w:t>
            </w:r>
            <w:r w:rsidRPr="0025615F">
              <w:rPr>
                <w:rFonts w:ascii="Verdana" w:hAnsi="Verdana" w:cs="Arial"/>
              </w:rPr>
              <w:t>it</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savings</w:t>
            </w:r>
            <w:r>
              <w:rPr>
                <w:rFonts w:ascii="Verdana" w:hAnsi="Verdana" w:cs="Arial"/>
              </w:rPr>
              <w:t xml:space="preserve"> </w:t>
            </w:r>
            <w:r w:rsidRPr="0025615F">
              <w:rPr>
                <w:rFonts w:ascii="Verdana" w:hAnsi="Verdana" w:cs="Arial"/>
              </w:rPr>
              <w:t>product</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offers</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different</w:t>
            </w:r>
            <w:r>
              <w:rPr>
                <w:rFonts w:ascii="Verdana" w:hAnsi="Verdana" w:cs="Arial"/>
              </w:rPr>
              <w:t xml:space="preserve"> </w:t>
            </w:r>
            <w:r w:rsidRPr="0025615F">
              <w:rPr>
                <w:rFonts w:ascii="Verdana" w:hAnsi="Verdana" w:cs="Arial"/>
              </w:rPr>
              <w:t>way</w:t>
            </w:r>
            <w:r>
              <w:rPr>
                <w:rFonts w:ascii="Verdana" w:hAnsi="Verdana" w:cs="Arial"/>
              </w:rPr>
              <w:t xml:space="preserve"> </w:t>
            </w:r>
            <w:r w:rsidRPr="0025615F">
              <w:rPr>
                <w:rFonts w:ascii="Verdana" w:hAnsi="Verdana" w:cs="Arial"/>
              </w:rPr>
              <w:t>for</w:t>
            </w:r>
            <w:r>
              <w:rPr>
                <w:rFonts w:ascii="Verdana" w:hAnsi="Verdana" w:cs="Arial"/>
              </w:rPr>
              <w:t xml:space="preserve"> co</w:t>
            </w:r>
            <w:r w:rsidRPr="0025615F">
              <w:rPr>
                <w:rFonts w:ascii="Verdana" w:hAnsi="Verdana" w:cs="Arial"/>
              </w:rPr>
              <w:t>nsumers</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pay</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their</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care.</w:t>
            </w:r>
            <w:r>
              <w:rPr>
                <w:rFonts w:ascii="Verdana" w:hAnsi="Verdana" w:cs="Arial"/>
              </w:rPr>
              <w:t xml:space="preserve">  </w:t>
            </w:r>
          </w:p>
          <w:p w14:paraId="5A965857" w14:textId="77777777" w:rsidR="00967195" w:rsidRDefault="00967195" w:rsidP="00834D9E">
            <w:pPr>
              <w:spacing w:before="120" w:after="120"/>
              <w:rPr>
                <w:rFonts w:ascii="Verdana" w:hAnsi="Verdana" w:cs="Arial"/>
              </w:rPr>
            </w:pPr>
          </w:p>
          <w:p w14:paraId="54C7F392" w14:textId="77777777" w:rsidR="00967195" w:rsidRDefault="00967195" w:rsidP="00834D9E">
            <w:pPr>
              <w:spacing w:before="120" w:after="120"/>
              <w:rPr>
                <w:rFonts w:ascii="Verdana" w:hAnsi="Verdana" w:cs="Arial"/>
              </w:rPr>
            </w:pPr>
            <w:r w:rsidRPr="0025615F">
              <w:rPr>
                <w:rFonts w:ascii="Verdana" w:hAnsi="Verdana" w:cs="Arial"/>
              </w:rPr>
              <w:t>HSA’s</w:t>
            </w:r>
            <w:r>
              <w:rPr>
                <w:rFonts w:ascii="Verdana" w:hAnsi="Verdana" w:cs="Arial"/>
              </w:rPr>
              <w:t xml:space="preserve"> </w:t>
            </w:r>
            <w:r w:rsidRPr="0025615F">
              <w:rPr>
                <w:rFonts w:ascii="Verdana" w:hAnsi="Verdana" w:cs="Arial"/>
              </w:rPr>
              <w:t>enable</w:t>
            </w:r>
            <w:r>
              <w:rPr>
                <w:rFonts w:ascii="Verdana" w:hAnsi="Verdana" w:cs="Arial"/>
              </w:rPr>
              <w:t xml:space="preserve"> </w:t>
            </w:r>
            <w:r w:rsidRPr="0025615F">
              <w:rPr>
                <w:rFonts w:ascii="Verdana" w:hAnsi="Verdana" w:cs="Arial"/>
              </w:rPr>
              <w:t>you</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pay</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current</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expenses</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save</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future</w:t>
            </w:r>
            <w:r>
              <w:rPr>
                <w:rFonts w:ascii="Verdana" w:hAnsi="Verdana" w:cs="Arial"/>
              </w:rPr>
              <w:t xml:space="preserve"> </w:t>
            </w:r>
            <w:r w:rsidRPr="0025615F">
              <w:rPr>
                <w:rFonts w:ascii="Verdana" w:hAnsi="Verdana" w:cs="Arial"/>
              </w:rPr>
              <w:t>qualified</w:t>
            </w:r>
            <w:r>
              <w:rPr>
                <w:rFonts w:ascii="Verdana" w:hAnsi="Verdana" w:cs="Arial"/>
              </w:rPr>
              <w:t xml:space="preserve"> </w:t>
            </w:r>
            <w:r w:rsidRPr="0025615F">
              <w:rPr>
                <w:rFonts w:ascii="Verdana" w:hAnsi="Verdana" w:cs="Arial"/>
              </w:rPr>
              <w:t>medical</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retiree</w:t>
            </w:r>
            <w:r>
              <w:rPr>
                <w:rFonts w:ascii="Verdana" w:hAnsi="Verdana" w:cs="Arial"/>
              </w:rPr>
              <w:t xml:space="preserve"> </w:t>
            </w:r>
            <w:r w:rsidRPr="0025615F">
              <w:rPr>
                <w:rFonts w:ascii="Verdana" w:hAnsi="Verdana" w:cs="Arial"/>
              </w:rPr>
              <w:t>health</w:t>
            </w:r>
            <w:r>
              <w:rPr>
                <w:rFonts w:ascii="Verdana" w:hAnsi="Verdana" w:cs="Arial"/>
              </w:rPr>
              <w:t xml:space="preserve"> </w:t>
            </w:r>
            <w:r w:rsidRPr="0025615F">
              <w:rPr>
                <w:rFonts w:ascii="Verdana" w:hAnsi="Verdana" w:cs="Arial"/>
              </w:rPr>
              <w:t>expenses</w:t>
            </w:r>
            <w:r>
              <w:rPr>
                <w:rFonts w:ascii="Verdana" w:hAnsi="Verdana" w:cs="Arial"/>
              </w:rPr>
              <w:t xml:space="preserve"> </w:t>
            </w:r>
            <w:r w:rsidRPr="0025615F">
              <w:rPr>
                <w:rFonts w:ascii="Verdana" w:hAnsi="Verdana" w:cs="Arial"/>
              </w:rPr>
              <w:t>on</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tax-free</w:t>
            </w:r>
            <w:r>
              <w:rPr>
                <w:rFonts w:ascii="Verdana" w:hAnsi="Verdana" w:cs="Arial"/>
              </w:rPr>
              <w:t xml:space="preserve"> </w:t>
            </w:r>
            <w:r w:rsidRPr="0025615F">
              <w:rPr>
                <w:rFonts w:ascii="Verdana" w:hAnsi="Verdana" w:cs="Arial"/>
              </w:rPr>
              <w:t>basis.</w:t>
            </w:r>
            <w:r>
              <w:rPr>
                <w:rFonts w:ascii="Verdana" w:hAnsi="Verdana" w:cs="Arial"/>
              </w:rPr>
              <w:t xml:space="preserve">  </w:t>
            </w:r>
            <w:r w:rsidRPr="0025615F">
              <w:rPr>
                <w:rFonts w:ascii="Verdana" w:hAnsi="Verdana" w:cs="Arial"/>
              </w:rPr>
              <w:t>You</w:t>
            </w:r>
            <w:r>
              <w:rPr>
                <w:rFonts w:ascii="Verdana" w:hAnsi="Verdana" w:cs="Arial"/>
              </w:rPr>
              <w:t xml:space="preserve"> </w:t>
            </w:r>
            <w:r w:rsidRPr="0025615F">
              <w:rPr>
                <w:rFonts w:ascii="Verdana" w:hAnsi="Verdana" w:cs="Arial"/>
              </w:rPr>
              <w:t>own</w:t>
            </w:r>
            <w:r>
              <w:rPr>
                <w:rFonts w:ascii="Verdana" w:hAnsi="Verdana" w:cs="Arial"/>
              </w:rPr>
              <w:t xml:space="preserve"> </w:t>
            </w:r>
            <w:r w:rsidRPr="0025615F">
              <w:rPr>
                <w:rFonts w:ascii="Verdana" w:hAnsi="Verdana" w:cs="Arial"/>
              </w:rPr>
              <w:t>and</w:t>
            </w:r>
            <w:r>
              <w:rPr>
                <w:rFonts w:ascii="Verdana" w:hAnsi="Verdana" w:cs="Arial"/>
              </w:rPr>
              <w:t xml:space="preserve"> co</w:t>
            </w:r>
            <w:r w:rsidRPr="0025615F">
              <w:rPr>
                <w:rFonts w:ascii="Verdana" w:hAnsi="Verdana" w:cs="Arial"/>
              </w:rPr>
              <w:t>ntrol</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money</w:t>
            </w:r>
            <w:r>
              <w:rPr>
                <w:rFonts w:ascii="Verdana" w:hAnsi="Verdana" w:cs="Arial"/>
              </w:rPr>
              <w:t xml:space="preserve"> </w:t>
            </w:r>
            <w:r w:rsidRPr="0025615F">
              <w:rPr>
                <w:rFonts w:ascii="Verdana" w:hAnsi="Verdana" w:cs="Arial"/>
              </w:rPr>
              <w:t>in</w:t>
            </w:r>
            <w:r>
              <w:rPr>
                <w:rFonts w:ascii="Verdana" w:hAnsi="Verdana" w:cs="Arial"/>
              </w:rPr>
              <w:t xml:space="preserve"> </w:t>
            </w:r>
            <w:r w:rsidRPr="0025615F">
              <w:rPr>
                <w:rFonts w:ascii="Verdana" w:hAnsi="Verdana" w:cs="Arial"/>
              </w:rPr>
              <w:t>your</w:t>
            </w:r>
            <w:r>
              <w:rPr>
                <w:rFonts w:ascii="Verdana" w:hAnsi="Verdana" w:cs="Arial"/>
              </w:rPr>
              <w:t xml:space="preserve"> </w:t>
            </w:r>
            <w:r w:rsidRPr="0025615F">
              <w:rPr>
                <w:rFonts w:ascii="Verdana" w:hAnsi="Verdana" w:cs="Arial"/>
              </w:rPr>
              <w:t>HSA</w:t>
            </w:r>
            <w:r>
              <w:rPr>
                <w:rFonts w:ascii="Verdana" w:hAnsi="Verdana" w:cs="Arial"/>
              </w:rPr>
              <w:t xml:space="preserve"> </w:t>
            </w:r>
            <w:r w:rsidRPr="0025615F">
              <w:rPr>
                <w:rFonts w:ascii="Verdana" w:hAnsi="Verdana" w:cs="Arial"/>
              </w:rPr>
              <w:t>and</w:t>
            </w:r>
            <w:r>
              <w:rPr>
                <w:rFonts w:ascii="Verdana" w:hAnsi="Verdana" w:cs="Arial"/>
              </w:rPr>
              <w:t xml:space="preserve"> </w:t>
            </w:r>
            <w:r w:rsidRPr="0025615F">
              <w:rPr>
                <w:rFonts w:ascii="Verdana" w:hAnsi="Verdana" w:cs="Arial"/>
              </w:rPr>
              <w:t>you</w:t>
            </w:r>
            <w:r>
              <w:rPr>
                <w:rFonts w:ascii="Verdana" w:hAnsi="Verdana" w:cs="Arial"/>
              </w:rPr>
              <w:t xml:space="preserve"> </w:t>
            </w:r>
            <w:r w:rsidRPr="0025615F">
              <w:rPr>
                <w:rFonts w:ascii="Verdana" w:hAnsi="Verdana" w:cs="Arial"/>
              </w:rPr>
              <w:t>decide</w:t>
            </w:r>
            <w:r>
              <w:rPr>
                <w:rFonts w:ascii="Verdana" w:hAnsi="Verdana" w:cs="Arial"/>
              </w:rPr>
              <w:t xml:space="preserve"> </w:t>
            </w:r>
            <w:r w:rsidRPr="0025615F">
              <w:rPr>
                <w:rFonts w:ascii="Verdana" w:hAnsi="Verdana" w:cs="Arial"/>
              </w:rPr>
              <w:t>how</w:t>
            </w:r>
            <w:r>
              <w:rPr>
                <w:rFonts w:ascii="Verdana" w:hAnsi="Verdana" w:cs="Arial"/>
              </w:rPr>
              <w:t xml:space="preserve"> </w:t>
            </w:r>
            <w:r w:rsidRPr="0025615F">
              <w:rPr>
                <w:rFonts w:ascii="Verdana" w:hAnsi="Verdana" w:cs="Arial"/>
              </w:rPr>
              <w:t>to</w:t>
            </w:r>
            <w:r>
              <w:rPr>
                <w:rFonts w:ascii="Verdana" w:hAnsi="Verdana" w:cs="Arial"/>
              </w:rPr>
              <w:t xml:space="preserve"> </w:t>
            </w:r>
            <w:r w:rsidRPr="0025615F">
              <w:rPr>
                <w:rFonts w:ascii="Verdana" w:hAnsi="Verdana" w:cs="Arial"/>
              </w:rPr>
              <w:t>spend</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money.</w:t>
            </w:r>
          </w:p>
          <w:p w14:paraId="15D80C72" w14:textId="77777777" w:rsidR="00967195" w:rsidRPr="0025615F" w:rsidRDefault="00967195" w:rsidP="00834D9E">
            <w:pPr>
              <w:spacing w:before="120" w:after="120"/>
              <w:rPr>
                <w:rFonts w:ascii="Verdana" w:hAnsi="Verdana"/>
              </w:rPr>
            </w:pPr>
          </w:p>
        </w:tc>
      </w:tr>
      <w:tr w:rsidR="00341FB3" w:rsidRPr="0025615F" w14:paraId="0FF1BC1E"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7E78761D" w14:textId="77777777" w:rsidR="00967195" w:rsidRDefault="00967195" w:rsidP="00834D9E">
            <w:pPr>
              <w:spacing w:before="120" w:after="120"/>
              <w:rPr>
                <w:noProof/>
              </w:rPr>
            </w:pPr>
            <w:r>
              <w:rPr>
                <w:noProof/>
              </w:rPr>
              <w:t xml:space="preserve"> </w:t>
            </w:r>
          </w:p>
          <w:p w14:paraId="6E583995" w14:textId="77777777" w:rsidR="00967195" w:rsidRPr="0025615F" w:rsidRDefault="00967195" w:rsidP="00834D9E">
            <w:pPr>
              <w:spacing w:before="120" w:after="120"/>
              <w:jc w:val="center"/>
              <w:rPr>
                <w:rFonts w:ascii="Verdana" w:hAnsi="Verdana"/>
                <w:b/>
                <w:color w:val="000000"/>
              </w:rPr>
            </w:pPr>
            <w:r w:rsidRPr="002A444A">
              <w:rPr>
                <w:rFonts w:ascii="Verdana" w:hAnsi="Verdana"/>
                <w:b/>
              </w:rPr>
              <w:t>HUD</w:t>
            </w:r>
          </w:p>
        </w:tc>
        <w:tc>
          <w:tcPr>
            <w:tcW w:w="1050" w:type="pct"/>
          </w:tcPr>
          <w:p w14:paraId="49A5FD7E" w14:textId="77777777" w:rsidR="00967195" w:rsidRPr="00E517E4" w:rsidRDefault="00967195" w:rsidP="00834D9E">
            <w:pPr>
              <w:spacing w:before="120" w:after="120"/>
              <w:rPr>
                <w:rFonts w:ascii="Verdana" w:hAnsi="Verdana"/>
                <w:bCs/>
              </w:rPr>
            </w:pPr>
            <w:r w:rsidRPr="00E517E4">
              <w:rPr>
                <w:rFonts w:ascii="Verdana" w:hAnsi="Verdana"/>
                <w:bCs/>
              </w:rPr>
              <w:t>Department of Housing and Urban Development</w:t>
            </w:r>
          </w:p>
          <w:p w14:paraId="7FFAA80E" w14:textId="77777777" w:rsidR="00967195" w:rsidRPr="00E517E4" w:rsidRDefault="00967195" w:rsidP="00834D9E">
            <w:pPr>
              <w:spacing w:before="120" w:after="120"/>
              <w:rPr>
                <w:rFonts w:ascii="Verdana" w:hAnsi="Verdana"/>
                <w:bCs/>
              </w:rPr>
            </w:pPr>
          </w:p>
        </w:tc>
        <w:tc>
          <w:tcPr>
            <w:tcW w:w="3222" w:type="pct"/>
          </w:tcPr>
          <w:p w14:paraId="4E0E26C2" w14:textId="77777777" w:rsidR="00967195" w:rsidRPr="0025615F" w:rsidRDefault="00967195" w:rsidP="00834D9E">
            <w:pPr>
              <w:spacing w:before="120" w:after="120"/>
              <w:rPr>
                <w:rFonts w:ascii="Verdana" w:hAnsi="Verdana" w:cs="Arial"/>
              </w:rPr>
            </w:pPr>
            <w:r w:rsidRPr="000F184C">
              <w:rPr>
                <w:rFonts w:ascii="Verdana" w:hAnsi="Verdana"/>
              </w:rPr>
              <w:t xml:space="preserve">Federal agency developed to increase homeownership, support community </w:t>
            </w:r>
            <w:proofErr w:type="gramStart"/>
            <w:r w:rsidRPr="000F184C">
              <w:rPr>
                <w:rFonts w:ascii="Verdana" w:hAnsi="Verdana"/>
              </w:rPr>
              <w:t>development</w:t>
            </w:r>
            <w:proofErr w:type="gramEnd"/>
            <w:r w:rsidRPr="000F184C">
              <w:rPr>
                <w:rFonts w:ascii="Verdana" w:hAnsi="Verdana"/>
              </w:rPr>
              <w:t xml:space="preserve"> and increase access to affordable housing free from discrimination.</w:t>
            </w:r>
          </w:p>
        </w:tc>
      </w:tr>
      <w:tr w:rsidR="00341FB3" w:rsidRPr="0025615F" w14:paraId="229D33C0"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47CA83FE" w14:textId="4D3D6D47" w:rsidR="00967195" w:rsidRPr="00D31731" w:rsidRDefault="00D31731" w:rsidP="00834D9E">
            <w:pPr>
              <w:spacing w:before="120" w:after="120"/>
              <w:jc w:val="center"/>
              <w:rPr>
                <w:rFonts w:ascii="Verdana" w:hAnsi="Verdana"/>
              </w:rPr>
            </w:pPr>
            <w:r w:rsidRPr="00D31731">
              <w:rPr>
                <w:rFonts w:ascii="Verdana" w:hAnsi="Verdana"/>
                <w:b/>
                <w:color w:val="000000"/>
              </w:rPr>
              <w:t xml:space="preserve"> </w:t>
            </w:r>
            <w:r w:rsidR="00967195" w:rsidRPr="00D31731">
              <w:rPr>
                <w:rFonts w:ascii="Verdana" w:hAnsi="Verdana"/>
                <w:b/>
                <w:color w:val="000000"/>
              </w:rPr>
              <w:t>HW</w:t>
            </w:r>
          </w:p>
        </w:tc>
        <w:tc>
          <w:tcPr>
            <w:tcW w:w="1050" w:type="pct"/>
          </w:tcPr>
          <w:p w14:paraId="3F3690D9" w14:textId="77777777" w:rsidR="00967195" w:rsidRPr="002A683B" w:rsidRDefault="00967195" w:rsidP="00834D9E">
            <w:pPr>
              <w:spacing w:before="120" w:after="120"/>
              <w:rPr>
                <w:rFonts w:ascii="Verdana" w:hAnsi="Verdana"/>
                <w:bCs/>
              </w:rPr>
            </w:pPr>
            <w:proofErr w:type="gramStart"/>
            <w:r w:rsidRPr="0046461C">
              <w:rPr>
                <w:rFonts w:ascii="Verdana" w:hAnsi="Verdana"/>
                <w:bCs/>
              </w:rPr>
              <w:t>Hand Written</w:t>
            </w:r>
            <w:proofErr w:type="gramEnd"/>
          </w:p>
          <w:p w14:paraId="2B5FAC0D" w14:textId="77777777" w:rsidR="00967195" w:rsidRPr="002A683B" w:rsidRDefault="00967195" w:rsidP="00834D9E">
            <w:pPr>
              <w:spacing w:before="120" w:after="120"/>
              <w:rPr>
                <w:rFonts w:ascii="Verdana" w:hAnsi="Verdana"/>
                <w:bCs/>
              </w:rPr>
            </w:pPr>
          </w:p>
        </w:tc>
        <w:tc>
          <w:tcPr>
            <w:tcW w:w="3222" w:type="pct"/>
          </w:tcPr>
          <w:p w14:paraId="105832B0" w14:textId="4280EEAB" w:rsidR="00967195" w:rsidRPr="002A683B" w:rsidRDefault="00821310" w:rsidP="00834D9E">
            <w:pPr>
              <w:spacing w:before="120" w:after="120"/>
              <w:rPr>
                <w:rFonts w:ascii="Verdana" w:hAnsi="Verdana"/>
              </w:rPr>
            </w:pPr>
            <w:r w:rsidRPr="002A683B">
              <w:rPr>
                <w:rFonts w:ascii="Verdana" w:hAnsi="Verdana"/>
              </w:rPr>
              <w:t>Typically refers to prescriptions that are written with pen and paper instead of being submitted over the phone or electronically.</w:t>
            </w:r>
          </w:p>
        </w:tc>
      </w:tr>
      <w:tr w:rsidR="00341FB3" w:rsidRPr="0025615F" w14:paraId="633FC420"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3471FAA5" w14:textId="4896246B" w:rsidR="008E22E2" w:rsidRPr="00D31731" w:rsidRDefault="00D31731" w:rsidP="00834D9E">
            <w:pPr>
              <w:spacing w:before="120" w:after="120"/>
              <w:jc w:val="center"/>
              <w:rPr>
                <w:rFonts w:ascii="Verdana" w:hAnsi="Verdana"/>
                <w:b/>
                <w:color w:val="000000"/>
              </w:rPr>
            </w:pPr>
            <w:r w:rsidRPr="00D31731">
              <w:rPr>
                <w:rFonts w:ascii="Verdana" w:hAnsi="Verdana"/>
                <w:b/>
                <w:color w:val="000000"/>
              </w:rPr>
              <w:t xml:space="preserve"> </w:t>
            </w:r>
            <w:r w:rsidR="008E22E2" w:rsidRPr="00D31731">
              <w:rPr>
                <w:rFonts w:ascii="Verdana" w:hAnsi="Verdana"/>
                <w:b/>
                <w:color w:val="000000"/>
              </w:rPr>
              <w:t>HWW</w:t>
            </w:r>
          </w:p>
        </w:tc>
        <w:tc>
          <w:tcPr>
            <w:tcW w:w="1050" w:type="pct"/>
          </w:tcPr>
          <w:p w14:paraId="13A96A6E" w14:textId="6812E274" w:rsidR="008E22E2" w:rsidRPr="002A683B" w:rsidRDefault="008E22E2" w:rsidP="00834D9E">
            <w:pPr>
              <w:spacing w:before="120" w:after="120"/>
              <w:rPr>
                <w:rFonts w:ascii="Verdana" w:hAnsi="Verdana"/>
                <w:bCs/>
              </w:rPr>
            </w:pPr>
            <w:r w:rsidRPr="0046461C">
              <w:rPr>
                <w:rFonts w:ascii="Verdana" w:hAnsi="Verdana"/>
                <w:bCs/>
              </w:rPr>
              <w:t>How We Work</w:t>
            </w:r>
          </w:p>
        </w:tc>
        <w:tc>
          <w:tcPr>
            <w:tcW w:w="3222" w:type="pct"/>
          </w:tcPr>
          <w:p w14:paraId="6564B34F" w14:textId="69A24AED" w:rsidR="008E22E2" w:rsidRPr="00D31731" w:rsidRDefault="008E22E2" w:rsidP="00834D9E">
            <w:pPr>
              <w:spacing w:before="120" w:after="120"/>
              <w:rPr>
                <w:rFonts w:ascii="Verdana" w:hAnsi="Verdana"/>
              </w:rPr>
            </w:pPr>
            <w:r w:rsidRPr="002A683B">
              <w:rPr>
                <w:rFonts w:ascii="Verdana" w:hAnsi="Verdana" w:cs="Helvetica"/>
              </w:rPr>
              <w:t>These descriptions define how we all work to achieve our greatest potential, regardless of our role.</w:t>
            </w:r>
          </w:p>
        </w:tc>
      </w:tr>
      <w:tr w:rsidR="00341FB3" w:rsidRPr="0025615F" w14:paraId="0E8ED115" w14:textId="77777777" w:rsidTr="00341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Ex>
        <w:tc>
          <w:tcPr>
            <w:tcW w:w="729" w:type="pct"/>
          </w:tcPr>
          <w:p w14:paraId="03D70DDE" w14:textId="77777777" w:rsidR="00967195" w:rsidRPr="0025615F" w:rsidRDefault="00967195" w:rsidP="00834D9E">
            <w:pPr>
              <w:spacing w:before="120" w:after="120"/>
              <w:jc w:val="center"/>
              <w:rPr>
                <w:rFonts w:ascii="Verdana" w:hAnsi="Verdana"/>
                <w:b/>
                <w:color w:val="000000"/>
              </w:rPr>
            </w:pPr>
            <w:r w:rsidRPr="0025615F">
              <w:rPr>
                <w:rFonts w:ascii="Verdana" w:hAnsi="Verdana"/>
                <w:b/>
                <w:color w:val="000000"/>
              </w:rPr>
              <w:t>HX</w:t>
            </w:r>
          </w:p>
        </w:tc>
        <w:tc>
          <w:tcPr>
            <w:tcW w:w="1050" w:type="pct"/>
          </w:tcPr>
          <w:p w14:paraId="6C3BAB34" w14:textId="77777777" w:rsidR="00967195" w:rsidRPr="00E517E4" w:rsidRDefault="00967195" w:rsidP="00834D9E">
            <w:pPr>
              <w:spacing w:before="120" w:after="120"/>
              <w:rPr>
                <w:rFonts w:ascii="Verdana" w:hAnsi="Verdana"/>
                <w:bCs/>
              </w:rPr>
            </w:pPr>
            <w:r w:rsidRPr="00E517E4">
              <w:rPr>
                <w:rFonts w:ascii="Verdana" w:hAnsi="Verdana"/>
                <w:bCs/>
              </w:rPr>
              <w:t>History</w:t>
            </w:r>
          </w:p>
        </w:tc>
        <w:tc>
          <w:tcPr>
            <w:tcW w:w="3222" w:type="pct"/>
          </w:tcPr>
          <w:p w14:paraId="4823D483" w14:textId="77777777" w:rsidR="00967195" w:rsidRDefault="00967195" w:rsidP="00834D9E">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profile</w:t>
            </w:r>
            <w:r>
              <w:rPr>
                <w:rFonts w:ascii="Verdana" w:hAnsi="Verdana"/>
              </w:rPr>
              <w:t xml:space="preserve"> </w:t>
            </w:r>
            <w:r w:rsidRPr="0025615F">
              <w:rPr>
                <w:rFonts w:ascii="Verdana" w:hAnsi="Verdana"/>
              </w:rPr>
              <w:t>shows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past</w:t>
            </w:r>
            <w:r>
              <w:rPr>
                <w:rFonts w:ascii="Verdana" w:hAnsi="Verdana"/>
              </w:rPr>
              <w:t xml:space="preserve"> </w:t>
            </w:r>
            <w:r w:rsidRPr="0025615F">
              <w:rPr>
                <w:rFonts w:ascii="Verdana" w:hAnsi="Verdana"/>
              </w:rPr>
              <w:t>usage.</w:t>
            </w:r>
          </w:p>
          <w:p w14:paraId="219C91B7" w14:textId="77777777" w:rsidR="00967195" w:rsidRPr="0025615F" w:rsidRDefault="00967195" w:rsidP="00834D9E">
            <w:pPr>
              <w:spacing w:before="120" w:after="120"/>
              <w:rPr>
                <w:rFonts w:ascii="Verdana" w:hAnsi="Verdana"/>
              </w:rPr>
            </w:pPr>
          </w:p>
        </w:tc>
      </w:tr>
    </w:tbl>
    <w:p w14:paraId="17F7BD91" w14:textId="77777777" w:rsidR="00967195" w:rsidRDefault="00967195" w:rsidP="00967195"/>
    <w:p w14:paraId="1524C237" w14:textId="77777777" w:rsidR="00AB2929" w:rsidRDefault="00AB2929" w:rsidP="00AB2929"/>
    <w:p w14:paraId="3E3B82FC" w14:textId="77777777" w:rsidR="00AB2929" w:rsidRDefault="00AB2929" w:rsidP="00AB292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665"/>
        <w:gridCol w:w="9285"/>
      </w:tblGrid>
      <w:tr w:rsidR="003F31CC" w:rsidRPr="0025615F" w14:paraId="22A54F76" w14:textId="77777777" w:rsidTr="00FC19F0">
        <w:tc>
          <w:tcPr>
            <w:tcW w:w="1415" w:type="pct"/>
            <w:shd w:val="clear" w:color="auto" w:fill="BFBFBF" w:themeFill="background1" w:themeFillShade="BF"/>
          </w:tcPr>
          <w:p w14:paraId="053CA873" w14:textId="14D7205C" w:rsidR="003F31CC" w:rsidRPr="003F31CC" w:rsidRDefault="003F31CC" w:rsidP="00834D9E">
            <w:pPr>
              <w:spacing w:before="120" w:after="120"/>
              <w:jc w:val="center"/>
              <w:rPr>
                <w:rFonts w:ascii="Verdana" w:hAnsi="Verdana"/>
                <w:b/>
                <w:color w:val="000000"/>
              </w:rPr>
            </w:pPr>
            <w:r w:rsidRPr="003F31CC">
              <w:rPr>
                <w:rFonts w:ascii="Verdana" w:hAnsi="Verdana"/>
                <w:b/>
                <w:color w:val="000000"/>
              </w:rPr>
              <w:t>Term</w:t>
            </w:r>
          </w:p>
        </w:tc>
        <w:tc>
          <w:tcPr>
            <w:tcW w:w="3585" w:type="pct"/>
            <w:shd w:val="clear" w:color="auto" w:fill="BFBFBF" w:themeFill="background1" w:themeFillShade="BF"/>
          </w:tcPr>
          <w:p w14:paraId="0316F443" w14:textId="33D6E25F" w:rsidR="003F31CC" w:rsidRPr="003F31CC" w:rsidRDefault="003F31CC" w:rsidP="00834D9E">
            <w:pPr>
              <w:spacing w:before="120" w:after="120"/>
              <w:jc w:val="center"/>
              <w:rPr>
                <w:rFonts w:ascii="Verdana" w:hAnsi="Verdana"/>
                <w:b/>
                <w:color w:val="000000"/>
              </w:rPr>
            </w:pPr>
            <w:r w:rsidRPr="003F31CC">
              <w:rPr>
                <w:rFonts w:ascii="Verdana" w:hAnsi="Verdana"/>
                <w:b/>
                <w:color w:val="000000"/>
              </w:rPr>
              <w:t>Definition</w:t>
            </w:r>
          </w:p>
        </w:tc>
      </w:tr>
      <w:bookmarkEnd w:id="4"/>
      <w:tr w:rsidR="00F6427E" w:rsidRPr="0025615F" w14:paraId="5E182AA9" w14:textId="77777777" w:rsidTr="003F31CC">
        <w:tc>
          <w:tcPr>
            <w:tcW w:w="1415" w:type="pct"/>
          </w:tcPr>
          <w:p w14:paraId="1B883868" w14:textId="77777777" w:rsidR="00F6427E" w:rsidRPr="00E517E4" w:rsidRDefault="00F6427E" w:rsidP="00834D9E">
            <w:pPr>
              <w:spacing w:before="120" w:after="120"/>
              <w:rPr>
                <w:rFonts w:ascii="Verdana" w:hAnsi="Verdana"/>
                <w:bCs/>
                <w:color w:val="000000"/>
              </w:rPr>
            </w:pPr>
            <w:r w:rsidRPr="00E517E4">
              <w:rPr>
                <w:rFonts w:ascii="Verdana" w:hAnsi="Verdana"/>
                <w:bCs/>
                <w:color w:val="000000"/>
              </w:rPr>
              <w:t>High Dollar Co Pay Prescription</w:t>
            </w:r>
            <w:r w:rsidRPr="00E517E4">
              <w:rPr>
                <w:rFonts w:ascii="Verdana" w:hAnsi="Verdana"/>
                <w:bCs/>
              </w:rPr>
              <w:t xml:space="preserve"> </w:t>
            </w:r>
          </w:p>
        </w:tc>
        <w:tc>
          <w:tcPr>
            <w:tcW w:w="3585" w:type="pct"/>
          </w:tcPr>
          <w:p w14:paraId="53E8A8F9" w14:textId="77777777" w:rsidR="00F6427E" w:rsidRDefault="00F6427E" w:rsidP="00834D9E">
            <w:pPr>
              <w:spacing w:before="120" w:after="120"/>
              <w:rPr>
                <w:rFonts w:ascii="Verdana" w:hAnsi="Verdana"/>
                <w:color w:val="000000"/>
              </w:rPr>
            </w:pPr>
            <w:r w:rsidRPr="0025615F">
              <w:rPr>
                <w:rFonts w:ascii="Verdana" w:hAnsi="Verdana"/>
                <w:color w:val="000000"/>
              </w:rPr>
              <w:t>Any</w:t>
            </w:r>
            <w:r>
              <w:rPr>
                <w:rFonts w:ascii="Verdana" w:hAnsi="Verdana"/>
                <w:color w:val="000000"/>
              </w:rPr>
              <w:t xml:space="preserve"> </w:t>
            </w:r>
            <w:r w:rsidRPr="0025615F">
              <w:rPr>
                <w:rFonts w:ascii="Verdana" w:hAnsi="Verdana"/>
                <w:color w:val="000000"/>
              </w:rPr>
              <w:t>prescription</w:t>
            </w:r>
            <w:r>
              <w:rPr>
                <w:rFonts w:ascii="Verdana" w:hAnsi="Verdana"/>
                <w:color w:val="000000"/>
              </w:rPr>
              <w:t xml:space="preserve"> </w:t>
            </w:r>
            <w:r w:rsidRPr="0025615F">
              <w:rPr>
                <w:rFonts w:ascii="Verdana" w:hAnsi="Verdana"/>
                <w:color w:val="000000"/>
              </w:rPr>
              <w:t>where</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total</w:t>
            </w:r>
            <w:r>
              <w:rPr>
                <w:rFonts w:ascii="Verdana" w:hAnsi="Verdana"/>
                <w:color w:val="000000"/>
              </w:rPr>
              <w:t xml:space="preserve"> co</w:t>
            </w:r>
            <w:r w:rsidRPr="0025615F">
              <w:rPr>
                <w:rFonts w:ascii="Verdana" w:hAnsi="Verdana"/>
                <w:color w:val="000000"/>
              </w:rPr>
              <w:t>pay</w:t>
            </w:r>
            <w:r>
              <w:rPr>
                <w:rFonts w:ascii="Verdana" w:hAnsi="Verdana"/>
                <w:color w:val="000000"/>
              </w:rPr>
              <w:t xml:space="preserve"> </w:t>
            </w:r>
            <w:r w:rsidRPr="0025615F">
              <w:rPr>
                <w:rFonts w:ascii="Verdana" w:hAnsi="Verdana"/>
                <w:color w:val="000000"/>
              </w:rPr>
              <w:t>amount</w:t>
            </w:r>
            <w:r>
              <w:rPr>
                <w:rFonts w:ascii="Verdana" w:hAnsi="Verdana"/>
                <w:color w:val="000000"/>
              </w:rPr>
              <w:t xml:space="preserve"> </w:t>
            </w:r>
            <w:r w:rsidRPr="0025615F">
              <w:rPr>
                <w:rFonts w:ascii="Verdana" w:hAnsi="Verdana"/>
                <w:color w:val="000000"/>
              </w:rPr>
              <w:t>due</w:t>
            </w:r>
            <w:r>
              <w:rPr>
                <w:rFonts w:ascii="Verdana" w:hAnsi="Verdana"/>
                <w:color w:val="000000"/>
              </w:rPr>
              <w:t xml:space="preserve"> </w:t>
            </w:r>
            <w:r w:rsidRPr="0025615F">
              <w:rPr>
                <w:rFonts w:ascii="Verdana" w:hAnsi="Verdana"/>
                <w:color w:val="000000"/>
              </w:rPr>
              <w:t>from</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member</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over</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$1000.00</w:t>
            </w:r>
            <w:r>
              <w:rPr>
                <w:rFonts w:ascii="Verdana" w:hAnsi="Verdana"/>
                <w:color w:val="000000"/>
              </w:rPr>
              <w:t xml:space="preserve"> </w:t>
            </w:r>
            <w:r w:rsidRPr="0025615F">
              <w:rPr>
                <w:rFonts w:ascii="Verdana" w:hAnsi="Verdana"/>
                <w:color w:val="000000"/>
              </w:rPr>
              <w:t>high</w:t>
            </w:r>
            <w:r>
              <w:rPr>
                <w:rFonts w:ascii="Verdana" w:hAnsi="Verdana"/>
                <w:color w:val="000000"/>
              </w:rPr>
              <w:t xml:space="preserve"> </w:t>
            </w:r>
            <w:r w:rsidRPr="0025615F">
              <w:rPr>
                <w:rFonts w:ascii="Verdana" w:hAnsi="Verdana"/>
                <w:color w:val="000000"/>
              </w:rPr>
              <w:t>dollar</w:t>
            </w:r>
            <w:r>
              <w:rPr>
                <w:rFonts w:ascii="Verdana" w:hAnsi="Verdana"/>
                <w:color w:val="000000"/>
              </w:rPr>
              <w:t xml:space="preserve"> co</w:t>
            </w:r>
            <w:r w:rsidRPr="0025615F">
              <w:rPr>
                <w:rFonts w:ascii="Verdana" w:hAnsi="Verdana"/>
                <w:color w:val="000000"/>
              </w:rPr>
              <w:t>pay</w:t>
            </w:r>
            <w:r>
              <w:rPr>
                <w:rFonts w:ascii="Verdana" w:hAnsi="Verdana"/>
                <w:color w:val="000000"/>
              </w:rPr>
              <w:t xml:space="preserve"> </w:t>
            </w:r>
            <w:r w:rsidRPr="0025615F">
              <w:rPr>
                <w:rFonts w:ascii="Verdana" w:hAnsi="Verdana"/>
                <w:color w:val="000000"/>
              </w:rPr>
              <w:t>limit.</w:t>
            </w:r>
            <w:r>
              <w:rPr>
                <w:rFonts w:ascii="Verdana" w:hAnsi="Verdana"/>
                <w:color w:val="000000"/>
              </w:rPr>
              <w:t xml:space="preserve">  </w:t>
            </w:r>
          </w:p>
          <w:p w14:paraId="1FA74555" w14:textId="77777777" w:rsidR="00F6427E" w:rsidRDefault="00F6427E" w:rsidP="00834D9E">
            <w:pPr>
              <w:spacing w:before="120" w:after="120"/>
              <w:rPr>
                <w:rFonts w:ascii="Verdana" w:hAnsi="Verdana"/>
                <w:color w:val="000000"/>
              </w:rPr>
            </w:pPr>
          </w:p>
          <w:p w14:paraId="0CCE36C7" w14:textId="0EA9F21D" w:rsidR="00F6427E" w:rsidRPr="0025615F" w:rsidDel="006C070F" w:rsidRDefault="00F6427E" w:rsidP="00834D9E">
            <w:pPr>
              <w:spacing w:before="120" w:after="120"/>
              <w:rPr>
                <w:rFonts w:ascii="Verdana" w:hAnsi="Verdana"/>
                <w:color w:val="000000"/>
              </w:rPr>
            </w:pPr>
            <w:r w:rsidRPr="0025615F">
              <w:rPr>
                <w:rFonts w:ascii="Verdana" w:hAnsi="Verdana"/>
                <w:b/>
                <w:bCs/>
                <w:color w:val="000000"/>
              </w:rPr>
              <w:t>Note:</w:t>
            </w:r>
            <w:r>
              <w:rPr>
                <w:rFonts w:ascii="Verdana" w:hAnsi="Verdana"/>
                <w:color w:val="000000"/>
              </w:rPr>
              <w:t xml:space="preserve">  </w:t>
            </w:r>
            <w:r w:rsidRPr="0025615F">
              <w:rPr>
                <w:rFonts w:ascii="Verdana" w:hAnsi="Verdana"/>
                <w:color w:val="000000"/>
              </w:rPr>
              <w:t>This</w:t>
            </w:r>
            <w:r>
              <w:rPr>
                <w:rFonts w:ascii="Verdana" w:hAnsi="Verdana"/>
                <w:color w:val="000000"/>
              </w:rPr>
              <w:t xml:space="preserve"> </w:t>
            </w:r>
            <w:r w:rsidRPr="0025615F">
              <w:rPr>
                <w:rFonts w:ascii="Verdana" w:hAnsi="Verdana"/>
                <w:color w:val="000000"/>
              </w:rPr>
              <w:t>amount</w:t>
            </w:r>
            <w:r>
              <w:rPr>
                <w:rFonts w:ascii="Verdana" w:hAnsi="Verdana"/>
                <w:color w:val="000000"/>
              </w:rPr>
              <w:t xml:space="preserve"> </w:t>
            </w:r>
            <w:r w:rsidRPr="0025615F">
              <w:rPr>
                <w:rFonts w:ascii="Verdana" w:hAnsi="Verdana"/>
                <w:color w:val="000000"/>
              </w:rPr>
              <w:t>applies</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individual</w:t>
            </w:r>
            <w:r>
              <w:rPr>
                <w:rFonts w:ascii="Verdana" w:hAnsi="Verdana"/>
                <w:color w:val="000000"/>
              </w:rPr>
              <w:t xml:space="preserve"> </w:t>
            </w:r>
            <w:r w:rsidRPr="0025615F">
              <w:rPr>
                <w:rFonts w:ascii="Verdana" w:hAnsi="Verdana"/>
                <w:color w:val="000000"/>
              </w:rPr>
              <w:t>prescriptions</w:t>
            </w:r>
            <w:r>
              <w:rPr>
                <w:rFonts w:ascii="Verdana" w:hAnsi="Verdana"/>
                <w:color w:val="000000"/>
              </w:rPr>
              <w:t xml:space="preserve"> </w:t>
            </w:r>
            <w:r w:rsidRPr="0025615F">
              <w:rPr>
                <w:rFonts w:ascii="Verdana" w:hAnsi="Verdana"/>
                <w:color w:val="000000"/>
              </w:rPr>
              <w:t>or</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total</w:t>
            </w:r>
            <w:r>
              <w:rPr>
                <w:rFonts w:ascii="Verdana" w:hAnsi="Verdana"/>
                <w:color w:val="000000"/>
              </w:rPr>
              <w:t xml:space="preserve"> </w:t>
            </w:r>
            <w:r w:rsidRPr="0025615F">
              <w:rPr>
                <w:rFonts w:ascii="Verdana" w:hAnsi="Verdana"/>
                <w:color w:val="000000"/>
              </w:rPr>
              <w:t>order</w:t>
            </w:r>
            <w:r>
              <w:rPr>
                <w:rFonts w:ascii="Verdana" w:hAnsi="Verdana"/>
                <w:color w:val="000000"/>
              </w:rPr>
              <w:t xml:space="preserve"> </w:t>
            </w:r>
            <w:r w:rsidRPr="0025615F">
              <w:rPr>
                <w:rFonts w:ascii="Verdana" w:hAnsi="Verdana"/>
                <w:color w:val="000000"/>
              </w:rPr>
              <w:t>dollar</w:t>
            </w:r>
            <w:r>
              <w:rPr>
                <w:rFonts w:ascii="Verdana" w:hAnsi="Verdana"/>
                <w:color w:val="000000"/>
              </w:rPr>
              <w:t xml:space="preserve"> </w:t>
            </w:r>
            <w:r w:rsidRPr="0025615F">
              <w:rPr>
                <w:rFonts w:ascii="Verdana" w:hAnsi="Verdana"/>
                <w:color w:val="000000"/>
              </w:rPr>
              <w:t>amount.</w:t>
            </w:r>
          </w:p>
        </w:tc>
      </w:tr>
      <w:tr w:rsidR="00F6427E" w:rsidRPr="0025615F" w14:paraId="56D93693" w14:textId="77777777" w:rsidTr="003F31CC">
        <w:tc>
          <w:tcPr>
            <w:tcW w:w="1415" w:type="pct"/>
          </w:tcPr>
          <w:p w14:paraId="51D19C87" w14:textId="77777777" w:rsidR="00F6427E" w:rsidRPr="00E517E4" w:rsidRDefault="00F6427E" w:rsidP="00834D9E">
            <w:pPr>
              <w:spacing w:before="120" w:after="120"/>
              <w:rPr>
                <w:rFonts w:ascii="Verdana" w:hAnsi="Verdana"/>
                <w:bCs/>
                <w:color w:val="000000"/>
              </w:rPr>
            </w:pPr>
            <w:r w:rsidRPr="00E517E4">
              <w:rPr>
                <w:rFonts w:ascii="Verdana" w:hAnsi="Verdana"/>
                <w:bCs/>
                <w:color w:val="000000"/>
              </w:rPr>
              <w:t>Hold</w:t>
            </w:r>
          </w:p>
        </w:tc>
        <w:tc>
          <w:tcPr>
            <w:tcW w:w="3585" w:type="pct"/>
          </w:tcPr>
          <w:p w14:paraId="716ED6AF" w14:textId="77777777" w:rsidR="00F6427E" w:rsidRDefault="00F6427E" w:rsidP="00834D9E">
            <w:pPr>
              <w:spacing w:before="120" w:after="120"/>
              <w:rPr>
                <w:rFonts w:ascii="Verdana" w:hAnsi="Verdana"/>
              </w:rPr>
            </w:pPr>
            <w:r w:rsidRPr="0025615F">
              <w:rPr>
                <w:rFonts w:ascii="Verdana" w:hAnsi="Verdana"/>
              </w:rPr>
              <w:t>Utilize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Hold</w:t>
            </w:r>
            <w:r>
              <w:rPr>
                <w:rFonts w:ascii="Verdana" w:hAnsi="Verdana"/>
              </w:rPr>
              <w:t xml:space="preserve"> </w:t>
            </w:r>
            <w:r w:rsidRPr="0025615F">
              <w:rPr>
                <w:rFonts w:ascii="Verdana" w:hAnsi="Verdana"/>
              </w:rPr>
              <w:t>button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place</w:t>
            </w:r>
            <w:r>
              <w:rPr>
                <w:rFonts w:ascii="Verdana" w:hAnsi="Verdana"/>
              </w:rPr>
              <w:t xml:space="preserve"> </w:t>
            </w:r>
            <w:r w:rsidRPr="0025615F">
              <w:rPr>
                <w:rFonts w:ascii="Verdana" w:hAnsi="Verdana"/>
              </w:rPr>
              <w:t>caller</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hold</w:t>
            </w:r>
            <w:r>
              <w:rPr>
                <w:rFonts w:ascii="Verdana" w:hAnsi="Verdana"/>
              </w:rPr>
              <w:t>.</w:t>
            </w:r>
          </w:p>
          <w:p w14:paraId="442EEA24" w14:textId="77777777" w:rsidR="00F6427E" w:rsidRPr="0025615F" w:rsidRDefault="00F6427E" w:rsidP="00834D9E">
            <w:pPr>
              <w:spacing w:before="120" w:after="120"/>
              <w:rPr>
                <w:rFonts w:ascii="Verdana" w:hAnsi="Verdana"/>
              </w:rPr>
            </w:pPr>
          </w:p>
        </w:tc>
      </w:tr>
      <w:tr w:rsidR="00F6427E" w:rsidRPr="0025615F" w14:paraId="13C95139" w14:textId="77777777" w:rsidTr="003F31CC">
        <w:tc>
          <w:tcPr>
            <w:tcW w:w="1415" w:type="pct"/>
          </w:tcPr>
          <w:p w14:paraId="7FB5EF78" w14:textId="77777777" w:rsidR="00F6427E" w:rsidRPr="00E517E4" w:rsidRDefault="00F6427E" w:rsidP="00834D9E">
            <w:pPr>
              <w:spacing w:before="120" w:after="120"/>
              <w:rPr>
                <w:rFonts w:ascii="Verdana" w:hAnsi="Verdana"/>
                <w:bCs/>
                <w:color w:val="000000"/>
              </w:rPr>
            </w:pPr>
            <w:r w:rsidRPr="00E517E4">
              <w:rPr>
                <w:rFonts w:ascii="Verdana" w:hAnsi="Verdana"/>
                <w:bCs/>
                <w:color w:val="000000"/>
              </w:rPr>
              <w:t>Hold Time</w:t>
            </w:r>
          </w:p>
        </w:tc>
        <w:tc>
          <w:tcPr>
            <w:tcW w:w="3585" w:type="pct"/>
          </w:tcPr>
          <w:p w14:paraId="01B0DC36" w14:textId="77777777" w:rsidR="00F6427E" w:rsidRDefault="00F6427E" w:rsidP="00834D9E">
            <w:pPr>
              <w:spacing w:before="120" w:after="120"/>
              <w:rPr>
                <w:rFonts w:ascii="Verdana" w:hAnsi="Verdana"/>
              </w:rPr>
            </w:pPr>
            <w:r w:rsidRPr="0025615F">
              <w:rPr>
                <w:rFonts w:ascii="Verdana" w:hAnsi="Verdana"/>
              </w:rPr>
              <w:t>Time</w:t>
            </w:r>
            <w:r>
              <w:rPr>
                <w:rFonts w:ascii="Verdana" w:hAnsi="Verdana"/>
              </w:rPr>
              <w:t xml:space="preserve"> </w:t>
            </w:r>
            <w:r w:rsidRPr="0025615F">
              <w:rPr>
                <w:rFonts w:ascii="Verdana" w:hAnsi="Verdana"/>
              </w:rPr>
              <w:t>spent</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hold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rresponding</w:t>
            </w:r>
            <w:r>
              <w:rPr>
                <w:rFonts w:ascii="Verdana" w:hAnsi="Verdana"/>
              </w:rPr>
              <w:t xml:space="preserve"> </w:t>
            </w:r>
            <w:r w:rsidRPr="0025615F">
              <w:rPr>
                <w:rFonts w:ascii="Verdana" w:hAnsi="Verdana"/>
              </w:rPr>
              <w:t>split</w:t>
            </w:r>
            <w:r>
              <w:rPr>
                <w:rFonts w:ascii="Verdana" w:hAnsi="Verdana"/>
              </w:rPr>
              <w:t>/</w:t>
            </w:r>
            <w:r w:rsidRPr="0025615F">
              <w:rPr>
                <w:rFonts w:ascii="Verdana" w:hAnsi="Verdana"/>
              </w:rPr>
              <w:t>skill</w:t>
            </w:r>
            <w:r>
              <w:rPr>
                <w:rFonts w:ascii="Verdana" w:hAnsi="Verdana"/>
              </w:rPr>
              <w:t xml:space="preserve"> </w:t>
            </w:r>
            <w:r w:rsidRPr="0025615F">
              <w:rPr>
                <w:rFonts w:ascii="Verdana" w:hAnsi="Verdana"/>
              </w:rPr>
              <w:t>(</w:t>
            </w:r>
            <w:r>
              <w:rPr>
                <w:rFonts w:ascii="Verdana" w:hAnsi="Verdana"/>
              </w:rPr>
              <w:t>co</w:t>
            </w:r>
            <w:r w:rsidRPr="0025615F">
              <w:rPr>
                <w:rFonts w:ascii="Verdana" w:hAnsi="Verdana"/>
              </w:rPr>
              <w:t>rresponds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phone’s</w:t>
            </w:r>
            <w:r>
              <w:rPr>
                <w:rFonts w:ascii="Verdana" w:hAnsi="Verdana"/>
              </w:rPr>
              <w:t xml:space="preserve"> </w:t>
            </w:r>
            <w:r w:rsidRPr="0025615F">
              <w:rPr>
                <w:rFonts w:ascii="Verdana" w:hAnsi="Verdana"/>
              </w:rPr>
              <w:t>Hold</w:t>
            </w:r>
            <w:r>
              <w:rPr>
                <w:rFonts w:ascii="Verdana" w:hAnsi="Verdana"/>
              </w:rPr>
              <w:t xml:space="preserve"> </w:t>
            </w:r>
            <w:r w:rsidRPr="0025615F">
              <w:rPr>
                <w:rFonts w:ascii="Verdana" w:hAnsi="Verdana"/>
              </w:rPr>
              <w:t>function).</w:t>
            </w:r>
          </w:p>
          <w:p w14:paraId="78FCC2C7" w14:textId="77777777" w:rsidR="00F6427E" w:rsidRPr="0025615F" w:rsidRDefault="00F6427E" w:rsidP="00834D9E">
            <w:pPr>
              <w:spacing w:before="120" w:after="120"/>
              <w:rPr>
                <w:rFonts w:ascii="Verdana" w:hAnsi="Verdana"/>
              </w:rPr>
            </w:pPr>
          </w:p>
        </w:tc>
      </w:tr>
      <w:tr w:rsidR="00F6427E" w:rsidRPr="0025615F" w14:paraId="18EE3656" w14:textId="77777777" w:rsidTr="003F31CC">
        <w:tc>
          <w:tcPr>
            <w:tcW w:w="1415" w:type="pct"/>
            <w:shd w:val="clear" w:color="auto" w:fill="auto"/>
          </w:tcPr>
          <w:p w14:paraId="30E5C6DF" w14:textId="77777777" w:rsidR="00F6427E" w:rsidRPr="00E517E4" w:rsidRDefault="00F6427E" w:rsidP="00834D9E">
            <w:pPr>
              <w:spacing w:before="120" w:after="120"/>
              <w:rPr>
                <w:rFonts w:ascii="Verdana" w:hAnsi="Verdana"/>
                <w:bCs/>
                <w:color w:val="000000"/>
              </w:rPr>
            </w:pPr>
            <w:r w:rsidRPr="00E517E4">
              <w:rPr>
                <w:rFonts w:ascii="Verdana" w:hAnsi="Verdana"/>
                <w:bCs/>
              </w:rPr>
              <w:t>Hospice</w:t>
            </w:r>
          </w:p>
        </w:tc>
        <w:tc>
          <w:tcPr>
            <w:tcW w:w="3585" w:type="pct"/>
            <w:shd w:val="clear" w:color="auto" w:fill="auto"/>
          </w:tcPr>
          <w:p w14:paraId="7A0B152D" w14:textId="77777777" w:rsidR="00F6427E" w:rsidRPr="000F184C" w:rsidRDefault="00F6427E" w:rsidP="00834D9E">
            <w:pPr>
              <w:spacing w:before="120" w:after="120"/>
              <w:rPr>
                <w:rFonts w:ascii="Verdana" w:hAnsi="Verdana"/>
              </w:rPr>
            </w:pPr>
            <w:r w:rsidRPr="000F184C">
              <w:rPr>
                <w:rFonts w:ascii="Verdana" w:hAnsi="Verdana"/>
              </w:rPr>
              <w:t>Medical care provided to patients who usually have a terminal diagnosis</w:t>
            </w:r>
          </w:p>
          <w:p w14:paraId="16385A15" w14:textId="77777777" w:rsidR="00F6427E" w:rsidRPr="000F184C" w:rsidRDefault="00F6427E" w:rsidP="00834D9E">
            <w:pPr>
              <w:numPr>
                <w:ilvl w:val="0"/>
                <w:numId w:val="87"/>
              </w:numPr>
              <w:spacing w:before="120" w:after="120"/>
              <w:rPr>
                <w:rFonts w:ascii="Verdana" w:hAnsi="Verdana"/>
              </w:rPr>
            </w:pPr>
            <w:r w:rsidRPr="000F184C">
              <w:rPr>
                <w:rFonts w:ascii="Verdana" w:hAnsi="Verdana"/>
              </w:rPr>
              <w:t>Hospice care is covered as part of Medicare Part A.</w:t>
            </w:r>
          </w:p>
          <w:p w14:paraId="0AE49F7D" w14:textId="77777777" w:rsidR="00F6427E" w:rsidRDefault="00F6427E" w:rsidP="00834D9E">
            <w:pPr>
              <w:numPr>
                <w:ilvl w:val="0"/>
                <w:numId w:val="87"/>
              </w:numPr>
              <w:spacing w:before="120" w:after="120"/>
              <w:rPr>
                <w:rFonts w:ascii="Verdana" w:hAnsi="Verdana"/>
              </w:rPr>
            </w:pPr>
            <w:r w:rsidRPr="000F184C">
              <w:rPr>
                <w:rFonts w:ascii="Verdana" w:hAnsi="Verdana"/>
              </w:rPr>
              <w:t>While in hospice there are 4 categories of drugs that are potentially not covered as part of Medicare Part D.</w:t>
            </w:r>
          </w:p>
          <w:p w14:paraId="7FC7394D" w14:textId="77777777" w:rsidR="00F6427E" w:rsidRPr="0025615F" w:rsidRDefault="00F6427E" w:rsidP="00834D9E">
            <w:pPr>
              <w:spacing w:before="120" w:after="120"/>
              <w:ind w:left="720"/>
              <w:rPr>
                <w:rFonts w:ascii="Verdana" w:hAnsi="Verdana"/>
              </w:rPr>
            </w:pPr>
          </w:p>
        </w:tc>
      </w:tr>
    </w:tbl>
    <w:p w14:paraId="0EB47BC4" w14:textId="77777777" w:rsidR="00F25025" w:rsidRPr="0025615F" w:rsidRDefault="00F25025" w:rsidP="00F15AAE">
      <w:pPr>
        <w:rPr>
          <w:rFonts w:ascii="Verdana" w:hAnsi="Verdana"/>
          <w:sz w:val="20"/>
          <w:szCs w:val="20"/>
        </w:rPr>
      </w:pPr>
    </w:p>
    <w:p w14:paraId="586118D4" w14:textId="20025D60" w:rsidR="00E55B3A" w:rsidRDefault="00E55B3A" w:rsidP="00F15AAE">
      <w:pPr>
        <w:rPr>
          <w:rFonts w:ascii="Verdana" w:hAnsi="Verdana"/>
          <w:sz w:val="20"/>
          <w:szCs w:val="20"/>
        </w:rPr>
      </w:pPr>
    </w:p>
    <w:p w14:paraId="15C4F5FB" w14:textId="77777777" w:rsidR="00E55B3A" w:rsidRPr="004E00B6" w:rsidRDefault="00E55B3A" w:rsidP="00F15AAE">
      <w:pPr>
        <w:rPr>
          <w:rFonts w:ascii="Verdana" w:hAnsi="Verdana"/>
          <w:sz w:val="20"/>
          <w:szCs w:val="20"/>
        </w:rPr>
      </w:pPr>
    </w:p>
    <w:p w14:paraId="7BF25923" w14:textId="77777777" w:rsidR="00D87929" w:rsidRPr="004E00B6" w:rsidRDefault="00D87929" w:rsidP="00F15AAE">
      <w:pPr>
        <w:jc w:val="right"/>
        <w:rPr>
          <w:rFonts w:ascii="Verdana" w:hAnsi="Verdana"/>
          <w:sz w:val="20"/>
          <w:szCs w:val="20"/>
        </w:rPr>
      </w:pPr>
    </w:p>
    <w:p w14:paraId="1B528B74" w14:textId="7309099F" w:rsidR="00675566" w:rsidRPr="003D15F3" w:rsidRDefault="00BB6EEF" w:rsidP="00F15AAE">
      <w:pPr>
        <w:jc w:val="right"/>
        <w:rPr>
          <w:rFonts w:ascii="Verdana" w:hAnsi="Verdana"/>
          <w:color w:val="FF0000"/>
        </w:rPr>
      </w:pPr>
      <w:hyperlink w:anchor="_OneSource_Glossary_of" w:history="1">
        <w:r w:rsidR="00675566" w:rsidRPr="003D15F3">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7777777" w:rsidR="00ED4CFD" w:rsidRPr="004E00B6" w:rsidRDefault="00ED4CFD" w:rsidP="00F15AAE">
      <w:pPr>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1304" w14:textId="77777777" w:rsidR="00581A6D" w:rsidRDefault="00581A6D">
      <w:r>
        <w:separator/>
      </w:r>
    </w:p>
  </w:endnote>
  <w:endnote w:type="continuationSeparator" w:id="0">
    <w:p w14:paraId="2106D6D1" w14:textId="77777777" w:rsidR="00581A6D" w:rsidRDefault="0058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A3BD6" w14:textId="77777777" w:rsidR="00581A6D" w:rsidRDefault="00581A6D">
      <w:r>
        <w:separator/>
      </w:r>
    </w:p>
  </w:footnote>
  <w:footnote w:type="continuationSeparator" w:id="0">
    <w:p w14:paraId="4162DF40" w14:textId="77777777" w:rsidR="00581A6D" w:rsidRDefault="00581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4"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8"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9"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4"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0"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5040447">
    <w:abstractNumId w:val="69"/>
  </w:num>
  <w:num w:numId="2" w16cid:durableId="671563114">
    <w:abstractNumId w:val="103"/>
  </w:num>
  <w:num w:numId="3" w16cid:durableId="1826318812">
    <w:abstractNumId w:val="82"/>
  </w:num>
  <w:num w:numId="4" w16cid:durableId="1199129121">
    <w:abstractNumId w:val="7"/>
  </w:num>
  <w:num w:numId="5" w16cid:durableId="459226220">
    <w:abstractNumId w:val="43"/>
  </w:num>
  <w:num w:numId="6" w16cid:durableId="904334227">
    <w:abstractNumId w:val="104"/>
  </w:num>
  <w:num w:numId="7" w16cid:durableId="786512672">
    <w:abstractNumId w:val="76"/>
  </w:num>
  <w:num w:numId="8" w16cid:durableId="1759018650">
    <w:abstractNumId w:val="88"/>
  </w:num>
  <w:num w:numId="9" w16cid:durableId="438914141">
    <w:abstractNumId w:val="86"/>
  </w:num>
  <w:num w:numId="10" w16cid:durableId="331221198">
    <w:abstractNumId w:val="29"/>
  </w:num>
  <w:num w:numId="11" w16cid:durableId="1736784123">
    <w:abstractNumId w:val="105"/>
  </w:num>
  <w:num w:numId="12" w16cid:durableId="1691909629">
    <w:abstractNumId w:val="106"/>
  </w:num>
  <w:num w:numId="13" w16cid:durableId="1937051671">
    <w:abstractNumId w:val="135"/>
  </w:num>
  <w:num w:numId="14" w16cid:durableId="1390689925">
    <w:abstractNumId w:val="139"/>
  </w:num>
  <w:num w:numId="15" w16cid:durableId="692540404">
    <w:abstractNumId w:val="1"/>
  </w:num>
  <w:num w:numId="16" w16cid:durableId="501238477">
    <w:abstractNumId w:val="53"/>
  </w:num>
  <w:num w:numId="17" w16cid:durableId="925042845">
    <w:abstractNumId w:val="130"/>
  </w:num>
  <w:num w:numId="18" w16cid:durableId="268856516">
    <w:abstractNumId w:val="93"/>
  </w:num>
  <w:num w:numId="19" w16cid:durableId="362024206">
    <w:abstractNumId w:val="132"/>
  </w:num>
  <w:num w:numId="20" w16cid:durableId="727849594">
    <w:abstractNumId w:val="55"/>
  </w:num>
  <w:num w:numId="21" w16cid:durableId="1767340019">
    <w:abstractNumId w:val="22"/>
  </w:num>
  <w:num w:numId="22" w16cid:durableId="1304434342">
    <w:abstractNumId w:val="47"/>
  </w:num>
  <w:num w:numId="23" w16cid:durableId="1427655322">
    <w:abstractNumId w:val="37"/>
  </w:num>
  <w:num w:numId="24" w16cid:durableId="1553618655">
    <w:abstractNumId w:val="100"/>
  </w:num>
  <w:num w:numId="25" w16cid:durableId="1787964519">
    <w:abstractNumId w:val="79"/>
  </w:num>
  <w:num w:numId="26" w16cid:durableId="68580214">
    <w:abstractNumId w:val="66"/>
  </w:num>
  <w:num w:numId="27" w16cid:durableId="560554918">
    <w:abstractNumId w:val="10"/>
  </w:num>
  <w:num w:numId="28" w16cid:durableId="181743259">
    <w:abstractNumId w:val="32"/>
  </w:num>
  <w:num w:numId="29" w16cid:durableId="1868370971">
    <w:abstractNumId w:val="96"/>
  </w:num>
  <w:num w:numId="30" w16cid:durableId="1317875668">
    <w:abstractNumId w:val="0"/>
  </w:num>
  <w:num w:numId="31" w16cid:durableId="570966507">
    <w:abstractNumId w:val="26"/>
  </w:num>
  <w:num w:numId="32" w16cid:durableId="994803188">
    <w:abstractNumId w:val="116"/>
  </w:num>
  <w:num w:numId="33" w16cid:durableId="443886359">
    <w:abstractNumId w:val="117"/>
  </w:num>
  <w:num w:numId="34" w16cid:durableId="1733190777">
    <w:abstractNumId w:val="44"/>
  </w:num>
  <w:num w:numId="35" w16cid:durableId="726801282">
    <w:abstractNumId w:val="19"/>
  </w:num>
  <w:num w:numId="36" w16cid:durableId="1167480974">
    <w:abstractNumId w:val="16"/>
  </w:num>
  <w:num w:numId="37" w16cid:durableId="1177694877">
    <w:abstractNumId w:val="95"/>
  </w:num>
  <w:num w:numId="38" w16cid:durableId="1466509488">
    <w:abstractNumId w:val="9"/>
  </w:num>
  <w:num w:numId="39" w16cid:durableId="115219721">
    <w:abstractNumId w:val="126"/>
  </w:num>
  <w:num w:numId="40" w16cid:durableId="825242086">
    <w:abstractNumId w:val="125"/>
  </w:num>
  <w:num w:numId="41" w16cid:durableId="1286228049">
    <w:abstractNumId w:val="112"/>
  </w:num>
  <w:num w:numId="42" w16cid:durableId="574511829">
    <w:abstractNumId w:val="20"/>
  </w:num>
  <w:num w:numId="43" w16cid:durableId="1049493632">
    <w:abstractNumId w:val="13"/>
  </w:num>
  <w:num w:numId="44" w16cid:durableId="57361731">
    <w:abstractNumId w:val="50"/>
  </w:num>
  <w:num w:numId="45" w16cid:durableId="99304001">
    <w:abstractNumId w:val="25"/>
  </w:num>
  <w:num w:numId="46" w16cid:durableId="1138647431">
    <w:abstractNumId w:val="27"/>
  </w:num>
  <w:num w:numId="47" w16cid:durableId="1530336089">
    <w:abstractNumId w:val="91"/>
  </w:num>
  <w:num w:numId="48" w16cid:durableId="595019616">
    <w:abstractNumId w:val="127"/>
  </w:num>
  <w:num w:numId="49" w16cid:durableId="1161501845">
    <w:abstractNumId w:val="121"/>
  </w:num>
  <w:num w:numId="50" w16cid:durableId="1386876563">
    <w:abstractNumId w:val="28"/>
  </w:num>
  <w:num w:numId="51" w16cid:durableId="1829664072">
    <w:abstractNumId w:val="35"/>
  </w:num>
  <w:num w:numId="52" w16cid:durableId="1373263668">
    <w:abstractNumId w:val="134"/>
  </w:num>
  <w:num w:numId="53" w16cid:durableId="174005425">
    <w:abstractNumId w:val="14"/>
  </w:num>
  <w:num w:numId="54" w16cid:durableId="1717045497">
    <w:abstractNumId w:val="48"/>
  </w:num>
  <w:num w:numId="55" w16cid:durableId="408818614">
    <w:abstractNumId w:val="83"/>
  </w:num>
  <w:num w:numId="56" w16cid:durableId="734864189">
    <w:abstractNumId w:val="67"/>
  </w:num>
  <w:num w:numId="57" w16cid:durableId="563372859">
    <w:abstractNumId w:val="4"/>
  </w:num>
  <w:num w:numId="58" w16cid:durableId="1289703654">
    <w:abstractNumId w:val="51"/>
  </w:num>
  <w:num w:numId="59" w16cid:durableId="1866824898">
    <w:abstractNumId w:val="85"/>
  </w:num>
  <w:num w:numId="60" w16cid:durableId="170416442">
    <w:abstractNumId w:val="110"/>
  </w:num>
  <w:num w:numId="61" w16cid:durableId="939947571">
    <w:abstractNumId w:val="65"/>
  </w:num>
  <w:num w:numId="62" w16cid:durableId="1557158439">
    <w:abstractNumId w:val="61"/>
  </w:num>
  <w:num w:numId="63" w16cid:durableId="58065142">
    <w:abstractNumId w:val="98"/>
  </w:num>
  <w:num w:numId="64" w16cid:durableId="197550294">
    <w:abstractNumId w:val="62"/>
  </w:num>
  <w:num w:numId="65" w16cid:durableId="546576140">
    <w:abstractNumId w:val="60"/>
  </w:num>
  <w:num w:numId="66" w16cid:durableId="17899975">
    <w:abstractNumId w:val="107"/>
  </w:num>
  <w:num w:numId="67" w16cid:durableId="475535165">
    <w:abstractNumId w:val="111"/>
  </w:num>
  <w:num w:numId="68" w16cid:durableId="1999771721">
    <w:abstractNumId w:val="33"/>
  </w:num>
  <w:num w:numId="69" w16cid:durableId="1534539962">
    <w:abstractNumId w:val="6"/>
  </w:num>
  <w:num w:numId="70" w16cid:durableId="1820145770">
    <w:abstractNumId w:val="109"/>
  </w:num>
  <w:num w:numId="71" w16cid:durableId="1201014263">
    <w:abstractNumId w:val="39"/>
  </w:num>
  <w:num w:numId="72" w16cid:durableId="1850093529">
    <w:abstractNumId w:val="136"/>
  </w:num>
  <w:num w:numId="73" w16cid:durableId="1719667506">
    <w:abstractNumId w:val="81"/>
  </w:num>
  <w:num w:numId="74" w16cid:durableId="1139148675">
    <w:abstractNumId w:val="56"/>
  </w:num>
  <w:num w:numId="75" w16cid:durableId="1759476686">
    <w:abstractNumId w:val="40"/>
  </w:num>
  <w:num w:numId="76" w16cid:durableId="361983824">
    <w:abstractNumId w:val="8"/>
  </w:num>
  <w:num w:numId="77" w16cid:durableId="208995905">
    <w:abstractNumId w:val="58"/>
  </w:num>
  <w:num w:numId="78" w16cid:durableId="1632320710">
    <w:abstractNumId w:val="18"/>
  </w:num>
  <w:num w:numId="79" w16cid:durableId="379667936">
    <w:abstractNumId w:val="77"/>
  </w:num>
  <w:num w:numId="80" w16cid:durableId="137503719">
    <w:abstractNumId w:val="84"/>
  </w:num>
  <w:num w:numId="81" w16cid:durableId="67311339">
    <w:abstractNumId w:val="133"/>
  </w:num>
  <w:num w:numId="82" w16cid:durableId="1616326429">
    <w:abstractNumId w:val="23"/>
  </w:num>
  <w:num w:numId="83" w16cid:durableId="355228998">
    <w:abstractNumId w:val="49"/>
  </w:num>
  <w:num w:numId="84" w16cid:durableId="198665487">
    <w:abstractNumId w:val="72"/>
  </w:num>
  <w:num w:numId="85" w16cid:durableId="1919241275">
    <w:abstractNumId w:val="5"/>
  </w:num>
  <w:num w:numId="86" w16cid:durableId="1619068836">
    <w:abstractNumId w:val="68"/>
  </w:num>
  <w:num w:numId="87" w16cid:durableId="1102727065">
    <w:abstractNumId w:val="11"/>
  </w:num>
  <w:num w:numId="88" w16cid:durableId="1199200247">
    <w:abstractNumId w:val="45"/>
  </w:num>
  <w:num w:numId="89" w16cid:durableId="1159275791">
    <w:abstractNumId w:val="46"/>
  </w:num>
  <w:num w:numId="90" w16cid:durableId="1500583549">
    <w:abstractNumId w:val="138"/>
  </w:num>
  <w:num w:numId="91" w16cid:durableId="58982845">
    <w:abstractNumId w:val="74"/>
  </w:num>
  <w:num w:numId="92" w16cid:durableId="818184021">
    <w:abstractNumId w:val="2"/>
  </w:num>
  <w:num w:numId="93" w16cid:durableId="808087881">
    <w:abstractNumId w:val="63"/>
  </w:num>
  <w:num w:numId="94" w16cid:durableId="800341464">
    <w:abstractNumId w:val="54"/>
  </w:num>
  <w:num w:numId="95" w16cid:durableId="715736216">
    <w:abstractNumId w:val="90"/>
  </w:num>
  <w:num w:numId="96" w16cid:durableId="526260878">
    <w:abstractNumId w:val="38"/>
  </w:num>
  <w:num w:numId="97" w16cid:durableId="660811114">
    <w:abstractNumId w:val="118"/>
  </w:num>
  <w:num w:numId="98" w16cid:durableId="1134056645">
    <w:abstractNumId w:val="75"/>
  </w:num>
  <w:num w:numId="99" w16cid:durableId="2113164284">
    <w:abstractNumId w:val="97"/>
  </w:num>
  <w:num w:numId="100" w16cid:durableId="1593122501">
    <w:abstractNumId w:val="31"/>
  </w:num>
  <w:num w:numId="101" w16cid:durableId="1380979260">
    <w:abstractNumId w:val="137"/>
  </w:num>
  <w:num w:numId="102" w16cid:durableId="633491055">
    <w:abstractNumId w:val="129"/>
  </w:num>
  <w:num w:numId="103" w16cid:durableId="1248884300">
    <w:abstractNumId w:val="71"/>
  </w:num>
  <w:num w:numId="104" w16cid:durableId="272633420">
    <w:abstractNumId w:val="3"/>
  </w:num>
  <w:num w:numId="105" w16cid:durableId="201676641">
    <w:abstractNumId w:val="80"/>
  </w:num>
  <w:num w:numId="106" w16cid:durableId="455562722">
    <w:abstractNumId w:val="94"/>
  </w:num>
  <w:num w:numId="107" w16cid:durableId="282735758">
    <w:abstractNumId w:val="101"/>
  </w:num>
  <w:num w:numId="108" w16cid:durableId="159665252">
    <w:abstractNumId w:val="59"/>
  </w:num>
  <w:num w:numId="109" w16cid:durableId="408383728">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136437905">
    <w:abstractNumId w:val="113"/>
  </w:num>
  <w:num w:numId="111" w16cid:durableId="415249275">
    <w:abstractNumId w:val="15"/>
  </w:num>
  <w:num w:numId="112" w16cid:durableId="100995284">
    <w:abstractNumId w:val="108"/>
  </w:num>
  <w:num w:numId="113" w16cid:durableId="1262836233">
    <w:abstractNumId w:val="41"/>
  </w:num>
  <w:num w:numId="114" w16cid:durableId="1403874553">
    <w:abstractNumId w:val="99"/>
  </w:num>
  <w:num w:numId="115" w16cid:durableId="2070956616">
    <w:abstractNumId w:val="73"/>
  </w:num>
  <w:num w:numId="116" w16cid:durableId="1102802331">
    <w:abstractNumId w:val="64"/>
  </w:num>
  <w:num w:numId="117" w16cid:durableId="1709603265">
    <w:abstractNumId w:val="89"/>
  </w:num>
  <w:num w:numId="118" w16cid:durableId="1218665684">
    <w:abstractNumId w:val="128"/>
  </w:num>
  <w:num w:numId="119" w16cid:durableId="1629047171">
    <w:abstractNumId w:val="70"/>
  </w:num>
  <w:num w:numId="120" w16cid:durableId="549849850">
    <w:abstractNumId w:val="124"/>
  </w:num>
  <w:num w:numId="121" w16cid:durableId="1515916827">
    <w:abstractNumId w:val="42"/>
  </w:num>
  <w:num w:numId="122" w16cid:durableId="510342266">
    <w:abstractNumId w:val="131"/>
  </w:num>
  <w:num w:numId="123" w16cid:durableId="1388380642">
    <w:abstractNumId w:val="114"/>
  </w:num>
  <w:num w:numId="124" w16cid:durableId="483665969">
    <w:abstractNumId w:val="87"/>
  </w:num>
  <w:num w:numId="125" w16cid:durableId="192885948">
    <w:abstractNumId w:val="132"/>
  </w:num>
  <w:num w:numId="126" w16cid:durableId="1426615705">
    <w:abstractNumId w:val="21"/>
  </w:num>
  <w:num w:numId="127" w16cid:durableId="256596739">
    <w:abstractNumId w:val="102"/>
  </w:num>
  <w:num w:numId="128" w16cid:durableId="1870070970">
    <w:abstractNumId w:val="30"/>
  </w:num>
  <w:num w:numId="129" w16cid:durableId="559441767">
    <w:abstractNumId w:val="36"/>
  </w:num>
  <w:num w:numId="130" w16cid:durableId="1469282782">
    <w:abstractNumId w:val="34"/>
  </w:num>
  <w:num w:numId="131" w16cid:durableId="1349019567">
    <w:abstractNumId w:val="120"/>
  </w:num>
  <w:num w:numId="132" w16cid:durableId="1074862295">
    <w:abstractNumId w:val="115"/>
  </w:num>
  <w:num w:numId="133" w16cid:durableId="422336532">
    <w:abstractNumId w:val="122"/>
  </w:num>
  <w:num w:numId="134" w16cid:durableId="75975817">
    <w:abstractNumId w:val="119"/>
  </w:num>
  <w:num w:numId="135" w16cid:durableId="120346462">
    <w:abstractNumId w:val="52"/>
  </w:num>
  <w:num w:numId="136" w16cid:durableId="114830464">
    <w:abstractNumId w:val="57"/>
  </w:num>
  <w:num w:numId="137" w16cid:durableId="1631209581">
    <w:abstractNumId w:val="24"/>
  </w:num>
  <w:num w:numId="138" w16cid:durableId="1156602642">
    <w:abstractNumId w:val="12"/>
  </w:num>
  <w:num w:numId="139" w16cid:durableId="882718046">
    <w:abstractNumId w:val="78"/>
  </w:num>
  <w:num w:numId="140" w16cid:durableId="458495483">
    <w:abstractNumId w:val="136"/>
  </w:num>
  <w:num w:numId="141" w16cid:durableId="945387773">
    <w:abstractNumId w:val="81"/>
  </w:num>
  <w:num w:numId="142" w16cid:durableId="863591062">
    <w:abstractNumId w:val="17"/>
  </w:num>
  <w:num w:numId="143" w16cid:durableId="636766808">
    <w:abstractNumId w:val="12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069F"/>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1FB3"/>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0C54"/>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27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31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2EED"/>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A6D"/>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3A1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667E"/>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E7A2C"/>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4D9E"/>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0FFB"/>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00F"/>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09CB"/>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9F"/>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7DB"/>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12A"/>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9F0"/>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71131131">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28930791">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7FEBCBE75F4B84393620F312955E8F3" ma:contentTypeVersion="2" ma:contentTypeDescription="Create a new document." ma:contentTypeScope="" ma:versionID="53dc523801e5c5ebd63be17199f6ad92">
  <xsd:schema xmlns:xsd="http://www.w3.org/2001/XMLSchema" xmlns:xs="http://www.w3.org/2001/XMLSchema" xmlns:p="http://schemas.microsoft.com/office/2006/metadata/properties" xmlns:ns3="af49b599-6b15-4762-aa21-76aeb0ef36d5" targetNamespace="http://schemas.microsoft.com/office/2006/metadata/properties" ma:root="true" ma:fieldsID="e05ff69e9cdceaedf3e5303fa17b19ad" ns3:_="">
    <xsd:import namespace="af49b599-6b15-4762-aa21-76aeb0ef36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b599-6b15-4762-aa21-76aeb0ef3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2.xml><?xml version="1.0" encoding="utf-8"?>
<ds:datastoreItem xmlns:ds="http://schemas.openxmlformats.org/officeDocument/2006/customXml" ds:itemID="{113D64E6-75AA-4C06-BDC0-7F621C632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b599-6b15-4762-aa21-76aeb0ef3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4.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1975</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13358</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3</cp:revision>
  <dcterms:created xsi:type="dcterms:W3CDTF">2023-11-06T06:01:00Z</dcterms:created>
  <dcterms:modified xsi:type="dcterms:W3CDTF">2023-11-06T06:01:00Z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0x01010077FEBCBE75F4B84393620F312955E8F3</vt:lpwstr>
  </property>
  <property fmtid="{D5CDD505-2E9C-101B-9397-08002B2CF9AE}" pid="17" name="_ReviewingToolsShownOnce">
    <vt:lpwstr/>
  </property>
</Properties>
</file>