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9684F" w14:textId="1B8FF135" w:rsidR="00524CDD" w:rsidRPr="00CC4BFE" w:rsidRDefault="008976F4" w:rsidP="00E04797">
      <w:pPr>
        <w:pStyle w:val="Heading1"/>
        <w:spacing w:before="120" w:after="120"/>
        <w:rPr>
          <w:rFonts w:ascii="Verdana" w:hAnsi="Verdana"/>
          <w:color w:val="auto"/>
          <w:sz w:val="36"/>
          <w:szCs w:val="36"/>
        </w:rPr>
      </w:pPr>
      <w:bookmarkStart w:id="0" w:name="_OneSource_Glossary_of"/>
      <w:bookmarkStart w:id="1" w:name="_Customer_Care_Abbreviations,"/>
      <w:bookmarkStart w:id="2" w:name="_top"/>
      <w:bookmarkEnd w:id="0"/>
      <w:bookmarkEnd w:id="1"/>
      <w:bookmarkEnd w:id="2"/>
      <w:r w:rsidRPr="34B0D8B7">
        <w:rPr>
          <w:rFonts w:ascii="Verdana" w:hAnsi="Verdana"/>
          <w:color w:val="auto"/>
          <w:sz w:val="36"/>
          <w:szCs w:val="36"/>
        </w:rPr>
        <w:t>Customer Care Abbreviati</w:t>
      </w:r>
      <w:r w:rsidR="005D266A" w:rsidRPr="34B0D8B7">
        <w:rPr>
          <w:rFonts w:ascii="Verdana" w:hAnsi="Verdana"/>
          <w:color w:val="auto"/>
          <w:sz w:val="36"/>
          <w:szCs w:val="36"/>
        </w:rPr>
        <w:t>ons</w:t>
      </w:r>
      <w:r w:rsidR="00CC4BFE" w:rsidRPr="34B0D8B7">
        <w:rPr>
          <w:rFonts w:ascii="Verdana" w:hAnsi="Verdana"/>
          <w:color w:val="auto"/>
          <w:sz w:val="36"/>
          <w:szCs w:val="36"/>
        </w:rPr>
        <w:t xml:space="preserve">, </w:t>
      </w:r>
      <w:r w:rsidR="005D266A" w:rsidRPr="34B0D8B7">
        <w:rPr>
          <w:rFonts w:ascii="Verdana" w:hAnsi="Verdana"/>
          <w:color w:val="auto"/>
          <w:sz w:val="36"/>
          <w:szCs w:val="36"/>
        </w:rPr>
        <w:t>Definitions</w:t>
      </w:r>
      <w:r w:rsidR="00CC4BFE" w:rsidRPr="34B0D8B7">
        <w:rPr>
          <w:rFonts w:ascii="Verdana" w:hAnsi="Verdana"/>
          <w:color w:val="auto"/>
          <w:sz w:val="36"/>
          <w:szCs w:val="36"/>
        </w:rPr>
        <w:t xml:space="preserve"> and Terms</w:t>
      </w:r>
      <w:r w:rsidR="002F06C9" w:rsidRPr="34B0D8B7">
        <w:rPr>
          <w:rFonts w:ascii="Verdana" w:hAnsi="Verdana"/>
          <w:color w:val="auto"/>
          <w:sz w:val="36"/>
          <w:szCs w:val="36"/>
        </w:rPr>
        <w:t xml:space="preserve"> </w:t>
      </w:r>
      <w:r w:rsidR="006813F3" w:rsidRPr="34B0D8B7">
        <w:rPr>
          <w:rFonts w:ascii="Verdana" w:hAnsi="Verdana"/>
          <w:color w:val="auto"/>
          <w:sz w:val="36"/>
          <w:szCs w:val="36"/>
        </w:rPr>
        <w:t xml:space="preserve">– I </w:t>
      </w:r>
    </w:p>
    <w:p w14:paraId="018813C1" w14:textId="2EEA8662" w:rsidR="00494AF4" w:rsidRDefault="00494AF4" w:rsidP="00E04797">
      <w:pPr>
        <w:spacing w:before="120" w:after="120"/>
        <w:rPr>
          <w:b/>
          <w:bCs/>
        </w:rPr>
      </w:pPr>
    </w:p>
    <w:p w14:paraId="15A1852E" w14:textId="0E52BA71" w:rsidR="00EA03C6" w:rsidRPr="00643123" w:rsidRDefault="00EA03C6" w:rsidP="00E04797">
      <w:pPr>
        <w:spacing w:before="120" w:after="120"/>
        <w:rPr>
          <w:b/>
          <w:bCs/>
        </w:rPr>
      </w:pPr>
      <w:r w:rsidRPr="00643123">
        <w:rPr>
          <w:b/>
          <w:bCs/>
        </w:rPr>
        <w:t>Each Alpha section will have two separate tables:</w:t>
      </w:r>
    </w:p>
    <w:p w14:paraId="1F475348" w14:textId="399A7DF6" w:rsidR="00EA03C6" w:rsidRPr="00FE78C4" w:rsidRDefault="00FE78C4" w:rsidP="00D02501">
      <w:pPr>
        <w:spacing w:before="120" w:after="120"/>
        <w:ind w:left="72"/>
        <w:rPr>
          <w:rStyle w:val="Hyperlink"/>
          <w:b/>
          <w:bCs/>
        </w:rPr>
      </w:pPr>
      <w:r w:rsidRPr="00114918">
        <w:fldChar w:fldCharType="begin"/>
      </w:r>
      <w:r w:rsidRPr="00114918">
        <w:instrText>HYPERLINK  \l "Abbreviations"</w:instrText>
      </w:r>
      <w:r w:rsidRPr="00114918">
        <w:fldChar w:fldCharType="separate"/>
      </w:r>
      <w:r w:rsidR="00EA03C6" w:rsidRPr="00FE78C4">
        <w:rPr>
          <w:rStyle w:val="Hyperlink"/>
        </w:rPr>
        <w:t>Abbreviatio</w:t>
      </w:r>
      <w:r w:rsidR="00EA03C6" w:rsidRPr="00FE78C4">
        <w:rPr>
          <w:rStyle w:val="Hyperlink"/>
        </w:rPr>
        <w:t>n</w:t>
      </w:r>
      <w:r w:rsidR="00EA03C6" w:rsidRPr="00FE78C4">
        <w:rPr>
          <w:rStyle w:val="Hyperlink"/>
        </w:rPr>
        <w:t xml:space="preserve">, Term </w:t>
      </w:r>
      <w:r w:rsidR="00EA03C6" w:rsidRPr="00FE78C4">
        <w:rPr>
          <w:rStyle w:val="Hyperlink"/>
        </w:rPr>
        <w:t>a</w:t>
      </w:r>
      <w:r w:rsidR="00EA03C6" w:rsidRPr="00FE78C4">
        <w:rPr>
          <w:rStyle w:val="Hyperlink"/>
        </w:rPr>
        <w:t>nd Def</w:t>
      </w:r>
      <w:r w:rsidR="00EA03C6" w:rsidRPr="00FE78C4">
        <w:rPr>
          <w:rStyle w:val="Hyperlink"/>
        </w:rPr>
        <w:t>i</w:t>
      </w:r>
      <w:r w:rsidR="00EA03C6" w:rsidRPr="00FE78C4">
        <w:rPr>
          <w:rStyle w:val="Hyperlink"/>
        </w:rPr>
        <w:t>nition</w:t>
      </w:r>
    </w:p>
    <w:p w14:paraId="58565E81" w14:textId="5AC7F36F" w:rsidR="00EA03C6" w:rsidRPr="00BF6334" w:rsidRDefault="00FE78C4" w:rsidP="00D02501">
      <w:pPr>
        <w:spacing w:before="120" w:after="120"/>
        <w:ind w:left="72"/>
        <w:rPr>
          <w:b/>
          <w:bCs/>
        </w:rPr>
      </w:pPr>
      <w:r>
        <w:fldChar w:fldCharType="end"/>
      </w:r>
      <w:hyperlink w:anchor="Terms_deff" w:history="1">
        <w:r w:rsidR="00D77B1E" w:rsidRPr="00BF6334">
          <w:rPr>
            <w:rStyle w:val="Hyperlink"/>
          </w:rPr>
          <w:t>Term an</w:t>
        </w:r>
        <w:r w:rsidR="00D77B1E" w:rsidRPr="00BF6334">
          <w:rPr>
            <w:rStyle w:val="Hyperlink"/>
          </w:rPr>
          <w:t>d</w:t>
        </w:r>
        <w:r w:rsidR="00D77B1E" w:rsidRPr="00BF6334">
          <w:rPr>
            <w:rStyle w:val="Hyperlink"/>
          </w:rPr>
          <w:t xml:space="preserve"> </w:t>
        </w:r>
        <w:r w:rsidR="00D77B1E" w:rsidRPr="00BF6334">
          <w:rPr>
            <w:rStyle w:val="Hyperlink"/>
          </w:rPr>
          <w:t>Definition</w:t>
        </w:r>
      </w:hyperlink>
    </w:p>
    <w:p w14:paraId="6B095D95" w14:textId="77777777" w:rsidR="00D77B1E" w:rsidRPr="00643123" w:rsidRDefault="00D77B1E" w:rsidP="00E04797">
      <w:pPr>
        <w:spacing w:before="120" w:after="120"/>
        <w:rPr>
          <w:b/>
          <w:bCs/>
        </w:rPr>
      </w:pPr>
    </w:p>
    <w:p w14:paraId="2B51921B" w14:textId="3D518964" w:rsidR="00D77B1E" w:rsidRPr="00643123" w:rsidRDefault="00D77B1E" w:rsidP="00E04797">
      <w:pPr>
        <w:spacing w:before="120" w:after="120"/>
      </w:pPr>
      <w:r w:rsidRPr="00643123">
        <w:rPr>
          <w:b/>
          <w:bCs/>
        </w:rPr>
        <w:t>Note:</w:t>
      </w:r>
      <w:r w:rsidRPr="00643123">
        <w:t xml:space="preserve"> Terms will not </w:t>
      </w:r>
      <w:proofErr w:type="gramStart"/>
      <w:r w:rsidRPr="00643123">
        <w:t>be duplicated</w:t>
      </w:r>
      <w:proofErr w:type="gramEnd"/>
      <w:r w:rsidRPr="00643123">
        <w:t xml:space="preserve"> in both lists. </w:t>
      </w:r>
    </w:p>
    <w:p w14:paraId="7212BAFD" w14:textId="77777777" w:rsidR="00D77B1E" w:rsidRPr="00643123" w:rsidRDefault="00D77B1E" w:rsidP="00E04797">
      <w:pPr>
        <w:spacing w:before="120" w:after="120"/>
      </w:pPr>
    </w:p>
    <w:p w14:paraId="3291F60B" w14:textId="569EF452" w:rsidR="00D77B1E" w:rsidRPr="00643123" w:rsidRDefault="00D77B1E" w:rsidP="00E04797">
      <w:pPr>
        <w:spacing w:before="120" w:after="120"/>
        <w:rPr>
          <w:b/>
          <w:bCs/>
        </w:rPr>
      </w:pPr>
      <w:r w:rsidRPr="00643123">
        <w:rPr>
          <w:b/>
          <w:bCs/>
        </w:rPr>
        <w:t>Quicker Search Results:  Depress Ctrl+f</w:t>
      </w:r>
      <w:r w:rsidR="002F378E" w:rsidRPr="00643123">
        <w:rPr>
          <w:b/>
          <w:bCs/>
        </w:rPr>
        <w:t xml:space="preserve"> </w:t>
      </w:r>
      <w:r w:rsidR="002F378E" w:rsidRPr="00643123">
        <w:rPr>
          <w:rFonts w:ascii="Arial" w:hAnsi="Arial" w:cs="Arial"/>
          <w:b/>
          <w:bCs/>
        </w:rPr>
        <w:t>→</w:t>
      </w:r>
      <w:r w:rsidR="002F378E" w:rsidRPr="00643123">
        <w:rPr>
          <w:rFonts w:cs="Arial"/>
          <w:b/>
          <w:bCs/>
        </w:rPr>
        <w:t xml:space="preserve"> Type in Keyword </w:t>
      </w:r>
      <w:r w:rsidR="002F378E" w:rsidRPr="00643123">
        <w:rPr>
          <w:rFonts w:ascii="Arial" w:hAnsi="Arial" w:cs="Arial"/>
          <w:b/>
        </w:rPr>
        <w:t>→</w:t>
      </w:r>
      <w:r w:rsidR="002F378E" w:rsidRPr="00643123">
        <w:rPr>
          <w:b/>
        </w:rPr>
        <w:t xml:space="preserve"> Click Find Next. </w:t>
      </w:r>
    </w:p>
    <w:p w14:paraId="7D55850D" w14:textId="12EE147A" w:rsidR="00F25025" w:rsidRDefault="00233B04" w:rsidP="00BF6334">
      <w:pPr>
        <w:spacing w:before="120" w:after="120"/>
        <w:jc w:val="both"/>
        <w:rPr>
          <w:b/>
        </w:rPr>
      </w:pPr>
      <w:r w:rsidRPr="00184490">
        <w:rPr>
          <w:b/>
          <w:color w:val="000000"/>
          <w14:shadow w14:blurRad="50800" w14:dist="38100" w14:dir="2700000" w14:sx="100000" w14:sy="100000" w14:kx="0" w14:ky="0" w14:algn="tl">
            <w14:srgbClr w14:val="000000">
              <w14:alpha w14:val="60000"/>
            </w14:srgbClr>
          </w14:shadow>
        </w:rPr>
        <w:t xml:space="preserve"> </w:t>
      </w:r>
    </w:p>
    <w:p w14:paraId="4DFA9B3E" w14:textId="77777777" w:rsidR="00C6282F" w:rsidRPr="00DE7A25" w:rsidRDefault="00C6282F" w:rsidP="00C6282F">
      <w:pPr>
        <w:spacing w:before="120" w:after="120"/>
        <w:rPr>
          <w:color w:val="000000"/>
        </w:rPr>
      </w:pPr>
      <w:bookmarkStart w:id="3" w:name="_A_1"/>
      <w:bookmarkEnd w:id="3"/>
    </w:p>
    <w:tbl>
      <w:tblPr>
        <w:tblStyle w:val="TableGrid"/>
        <w:tblW w:w="5000" w:type="pct"/>
        <w:tblLook w:val="04A0" w:firstRow="1" w:lastRow="0" w:firstColumn="1" w:lastColumn="0" w:noHBand="0" w:noVBand="1"/>
      </w:tblPr>
      <w:tblGrid>
        <w:gridCol w:w="2354"/>
        <w:gridCol w:w="3600"/>
        <w:gridCol w:w="6996"/>
      </w:tblGrid>
      <w:tr w:rsidR="00C6282F" w14:paraId="678D61E0" w14:textId="77777777" w:rsidTr="00BD031B">
        <w:tc>
          <w:tcPr>
            <w:tcW w:w="909" w:type="pct"/>
            <w:shd w:val="clear" w:color="auto" w:fill="D9D9D9" w:themeFill="background1" w:themeFillShade="D9"/>
          </w:tcPr>
          <w:p w14:paraId="2222783C" w14:textId="77777777" w:rsidR="00C6282F" w:rsidRPr="00C6282F" w:rsidRDefault="00C6282F" w:rsidP="00426EB4">
            <w:pPr>
              <w:spacing w:before="120" w:after="120"/>
              <w:jc w:val="center"/>
              <w:rPr>
                <w:rStyle w:val="Hyperlink"/>
                <w:b/>
                <w:bCs/>
                <w:color w:val="auto"/>
                <w:u w:val="none"/>
              </w:rPr>
            </w:pPr>
            <w:bookmarkStart w:id="4" w:name="Abbreviations"/>
            <w:r w:rsidRPr="00BF6334">
              <w:rPr>
                <w:rStyle w:val="Hyperlink"/>
                <w:b/>
                <w:bCs/>
                <w:color w:val="auto"/>
                <w:u w:val="none"/>
              </w:rPr>
              <w:t>Abbreviations</w:t>
            </w:r>
            <w:bookmarkEnd w:id="4"/>
          </w:p>
        </w:tc>
        <w:tc>
          <w:tcPr>
            <w:tcW w:w="1390" w:type="pct"/>
            <w:shd w:val="clear" w:color="auto" w:fill="D9D9D9" w:themeFill="background1" w:themeFillShade="D9"/>
          </w:tcPr>
          <w:p w14:paraId="1F6B600E" w14:textId="77777777" w:rsidR="00C6282F" w:rsidRPr="00C6282F" w:rsidRDefault="00C6282F" w:rsidP="00426EB4">
            <w:pPr>
              <w:spacing w:before="120" w:after="120"/>
              <w:jc w:val="center"/>
              <w:rPr>
                <w:rStyle w:val="Hyperlink"/>
                <w:b/>
                <w:bCs/>
                <w:color w:val="auto"/>
                <w:u w:val="none"/>
              </w:rPr>
            </w:pPr>
            <w:r w:rsidRPr="00BF6334">
              <w:rPr>
                <w:rStyle w:val="Hyperlink"/>
                <w:b/>
                <w:bCs/>
                <w:color w:val="auto"/>
                <w:u w:val="none"/>
              </w:rPr>
              <w:t>Terms</w:t>
            </w:r>
          </w:p>
        </w:tc>
        <w:tc>
          <w:tcPr>
            <w:tcW w:w="2701" w:type="pct"/>
            <w:shd w:val="clear" w:color="auto" w:fill="D9D9D9" w:themeFill="background1" w:themeFillShade="D9"/>
          </w:tcPr>
          <w:p w14:paraId="7550ACC9" w14:textId="77777777" w:rsidR="00C6282F" w:rsidRPr="00C6282F" w:rsidRDefault="00C6282F" w:rsidP="00426EB4">
            <w:pPr>
              <w:spacing w:before="120" w:after="120"/>
              <w:jc w:val="center"/>
              <w:rPr>
                <w:rStyle w:val="Hyperlink"/>
                <w:b/>
                <w:bCs/>
                <w:color w:val="auto"/>
                <w:u w:val="none"/>
              </w:rPr>
            </w:pPr>
            <w:r w:rsidRPr="00BF6334">
              <w:rPr>
                <w:rStyle w:val="Hyperlink"/>
                <w:b/>
                <w:bCs/>
                <w:color w:val="auto"/>
                <w:u w:val="none"/>
              </w:rPr>
              <w:t>Definition</w:t>
            </w:r>
          </w:p>
        </w:tc>
      </w:tr>
      <w:tr w:rsidR="00C6282F" w14:paraId="717D7099" w14:textId="77777777" w:rsidTr="00BD031B">
        <w:tc>
          <w:tcPr>
            <w:tcW w:w="909" w:type="pct"/>
          </w:tcPr>
          <w:p w14:paraId="5BD597AF" w14:textId="77777777" w:rsidR="00C6282F" w:rsidRPr="00C6282F" w:rsidRDefault="00C6282F" w:rsidP="00426EB4">
            <w:pPr>
              <w:spacing w:before="120" w:after="120"/>
              <w:jc w:val="center"/>
              <w:rPr>
                <w:rStyle w:val="Hyperlink"/>
                <w:b/>
                <w:bCs/>
                <w:u w:val="none"/>
              </w:rPr>
            </w:pPr>
            <w:r w:rsidRPr="00BF6334">
              <w:rPr>
                <w:rStyle w:val="Hyperlink"/>
                <w:b/>
                <w:bCs/>
                <w:color w:val="auto"/>
                <w:u w:val="none"/>
              </w:rPr>
              <w:t>IA</w:t>
            </w:r>
          </w:p>
        </w:tc>
        <w:tc>
          <w:tcPr>
            <w:tcW w:w="1390" w:type="pct"/>
          </w:tcPr>
          <w:p w14:paraId="2C28EAE5" w14:textId="77777777" w:rsidR="00C6282F" w:rsidRPr="00AA08A2" w:rsidRDefault="00C6282F" w:rsidP="00426EB4">
            <w:pPr>
              <w:spacing w:before="120" w:after="120"/>
              <w:rPr>
                <w:rStyle w:val="Hyperlink"/>
                <w:color w:val="auto"/>
                <w:u w:val="none"/>
              </w:rPr>
            </w:pPr>
            <w:r w:rsidRPr="00AA08A2">
              <w:rPr>
                <w:rFonts w:cs="Arial"/>
              </w:rPr>
              <w:t>Information</w:t>
            </w:r>
            <w:r w:rsidRPr="00F25025">
              <w:rPr>
                <w:rFonts w:cs="Arial"/>
              </w:rPr>
              <w:t xml:space="preserve"> Asset</w:t>
            </w:r>
          </w:p>
        </w:tc>
        <w:tc>
          <w:tcPr>
            <w:tcW w:w="2701" w:type="pct"/>
          </w:tcPr>
          <w:p w14:paraId="38C81042" w14:textId="77777777" w:rsidR="00C6282F" w:rsidRPr="00AA08A2" w:rsidRDefault="00C6282F" w:rsidP="00426EB4">
            <w:pPr>
              <w:spacing w:before="120" w:after="120"/>
              <w:rPr>
                <w:rStyle w:val="Hyperlink"/>
                <w:color w:val="auto"/>
                <w:u w:val="none"/>
              </w:rPr>
            </w:pPr>
            <w:r w:rsidRPr="00AA08A2">
              <w:rPr>
                <w:bCs/>
              </w:rPr>
              <w:t>Examples</w:t>
            </w:r>
            <w:r w:rsidRPr="00AA08A2">
              <w:t xml:space="preserve"> of information assets include, but are not limited to, network share drives, role codes, access to specific shared email boxes and access to non-QL systems such as host systems or “green screens”.  Many IAs are governed by stewards.</w:t>
            </w:r>
          </w:p>
        </w:tc>
      </w:tr>
      <w:tr w:rsidR="00C6282F" w14:paraId="0B29EFD0" w14:textId="77777777" w:rsidTr="00BD031B">
        <w:tc>
          <w:tcPr>
            <w:tcW w:w="909" w:type="pct"/>
          </w:tcPr>
          <w:p w14:paraId="0B97FA25" w14:textId="77777777" w:rsidR="00C6282F" w:rsidRDefault="00C6282F" w:rsidP="00426EB4">
            <w:pPr>
              <w:spacing w:before="120" w:after="120"/>
              <w:jc w:val="center"/>
              <w:rPr>
                <w:rStyle w:val="Hyperlink"/>
              </w:rPr>
            </w:pPr>
            <w:r>
              <w:rPr>
                <w:b/>
                <w:color w:val="000000"/>
              </w:rPr>
              <w:t>ICEP</w:t>
            </w:r>
          </w:p>
        </w:tc>
        <w:tc>
          <w:tcPr>
            <w:tcW w:w="1390" w:type="pct"/>
          </w:tcPr>
          <w:p w14:paraId="60640EF8" w14:textId="77777777" w:rsidR="00C6282F" w:rsidRPr="00AA08A2" w:rsidRDefault="00C6282F" w:rsidP="00426EB4">
            <w:pPr>
              <w:spacing w:before="120" w:after="120"/>
              <w:rPr>
                <w:rStyle w:val="Hyperlink"/>
              </w:rPr>
            </w:pPr>
            <w:r w:rsidRPr="00AA08A2">
              <w:rPr>
                <w:rFonts w:cs="Arial"/>
              </w:rPr>
              <w:t>Initial Coverage Election Period</w:t>
            </w:r>
          </w:p>
        </w:tc>
        <w:tc>
          <w:tcPr>
            <w:tcW w:w="2701" w:type="pct"/>
          </w:tcPr>
          <w:p w14:paraId="799F1C67" w14:textId="77777777" w:rsidR="00C6282F" w:rsidRPr="00AA08A2" w:rsidRDefault="00C6282F" w:rsidP="00426EB4">
            <w:pPr>
              <w:spacing w:before="120" w:after="120"/>
              <w:rPr>
                <w:rStyle w:val="Hyperlink"/>
              </w:rPr>
            </w:pPr>
            <w:r w:rsidRPr="00AA08A2">
              <w:rPr>
                <w:bCs/>
              </w:rPr>
              <w:t>A period of time that begins the three months immediately before you are entitled to Medicare Part A and enrolled in Part B and ends either the last day of the month before you are entitled to Part A and enrolled in Part B or three months after the month of your 65th birthday or the 25th month of receiving Social Security Disability Insurance (SSDI).</w:t>
            </w:r>
          </w:p>
        </w:tc>
      </w:tr>
      <w:tr w:rsidR="00C6282F" w14:paraId="41FAB4CD" w14:textId="77777777" w:rsidTr="00BD031B">
        <w:tc>
          <w:tcPr>
            <w:tcW w:w="909" w:type="pct"/>
          </w:tcPr>
          <w:p w14:paraId="054A02FF" w14:textId="77777777" w:rsidR="00C6282F" w:rsidRDefault="00C6282F" w:rsidP="00426EB4">
            <w:pPr>
              <w:spacing w:before="120" w:after="120"/>
              <w:jc w:val="center"/>
              <w:rPr>
                <w:rStyle w:val="Hyperlink"/>
              </w:rPr>
            </w:pPr>
            <w:r w:rsidRPr="00F25025">
              <w:rPr>
                <w:b/>
                <w:color w:val="000000"/>
              </w:rPr>
              <w:t>IAS</w:t>
            </w:r>
          </w:p>
        </w:tc>
        <w:tc>
          <w:tcPr>
            <w:tcW w:w="1390" w:type="pct"/>
          </w:tcPr>
          <w:p w14:paraId="0361ABD6" w14:textId="77777777" w:rsidR="00C6282F" w:rsidRPr="00AA08A2" w:rsidRDefault="00C6282F" w:rsidP="00426EB4">
            <w:pPr>
              <w:spacing w:before="120" w:after="120"/>
              <w:rPr>
                <w:rStyle w:val="Hyperlink"/>
                <w:rFonts w:cs="Arial"/>
                <w:color w:val="auto"/>
                <w:sz w:val="22"/>
                <w:szCs w:val="22"/>
                <w:u w:val="none"/>
              </w:rPr>
            </w:pPr>
            <w:r w:rsidRPr="00E517E4">
              <w:rPr>
                <w:rFonts w:cs="Arial"/>
              </w:rPr>
              <w:t xml:space="preserve">Information Asset </w:t>
            </w:r>
            <w:r w:rsidRPr="00AA08A2">
              <w:rPr>
                <w:rFonts w:cs="Arial"/>
              </w:rPr>
              <w:t>Steward</w:t>
            </w:r>
          </w:p>
        </w:tc>
        <w:tc>
          <w:tcPr>
            <w:tcW w:w="2701" w:type="pct"/>
          </w:tcPr>
          <w:p w14:paraId="5509D0E3" w14:textId="77777777" w:rsidR="00C6282F" w:rsidRDefault="00C6282F" w:rsidP="00426EB4">
            <w:pPr>
              <w:spacing w:before="120" w:after="120"/>
              <w:rPr>
                <w:rStyle w:val="Hyperlink"/>
              </w:rPr>
            </w:pPr>
            <w:r w:rsidRPr="00F25025">
              <w:t>Specific individuals who are solely responsible for granting access to certain information assets they are assigned.</w:t>
            </w:r>
          </w:p>
        </w:tc>
      </w:tr>
      <w:tr w:rsidR="00C6282F" w14:paraId="33A00632" w14:textId="77777777" w:rsidTr="00BD031B">
        <w:tc>
          <w:tcPr>
            <w:tcW w:w="909" w:type="pct"/>
          </w:tcPr>
          <w:p w14:paraId="22E75D0E" w14:textId="77777777" w:rsidR="00C6282F" w:rsidRDefault="00C6282F" w:rsidP="00426EB4">
            <w:pPr>
              <w:spacing w:before="120" w:after="120"/>
              <w:jc w:val="center"/>
              <w:rPr>
                <w:rStyle w:val="Hyperlink"/>
              </w:rPr>
            </w:pPr>
            <w:r>
              <w:rPr>
                <w:b/>
                <w:color w:val="000000"/>
              </w:rPr>
              <w:t>IBR</w:t>
            </w:r>
          </w:p>
        </w:tc>
        <w:tc>
          <w:tcPr>
            <w:tcW w:w="1390" w:type="pct"/>
          </w:tcPr>
          <w:p w14:paraId="20E99C75" w14:textId="77777777" w:rsidR="00C6282F" w:rsidRDefault="00C6282F" w:rsidP="00426EB4">
            <w:pPr>
              <w:spacing w:before="120" w:after="120"/>
              <w:rPr>
                <w:rStyle w:val="Hyperlink"/>
              </w:rPr>
            </w:pPr>
            <w:r>
              <w:rPr>
                <w:rFonts w:cs="Arial"/>
              </w:rPr>
              <w:t>Initial Benefit Review</w:t>
            </w:r>
          </w:p>
        </w:tc>
        <w:tc>
          <w:tcPr>
            <w:tcW w:w="2701" w:type="pct"/>
          </w:tcPr>
          <w:p w14:paraId="3D23FB16" w14:textId="18C6CDE4" w:rsidR="00C6282F" w:rsidRDefault="00380EE7" w:rsidP="00426EB4">
            <w:pPr>
              <w:spacing w:before="120" w:after="120"/>
            </w:pPr>
            <w:r>
              <w:t>Is</w:t>
            </w:r>
            <w:r w:rsidR="00C6282F" w:rsidRPr="00297B2F">
              <w:t xml:space="preserve"> used for any requests received in which the physician is requesting coverage for medications that do not require a Prior Authorization or Exception as allowed by the plan, as described in the </w:t>
            </w:r>
            <w:r>
              <w:t>Client Information Form (</w:t>
            </w:r>
            <w:r w:rsidR="00C6282F" w:rsidRPr="00297B2F">
              <w:t>CIF</w:t>
            </w:r>
            <w:r>
              <w:t>)</w:t>
            </w:r>
            <w:r w:rsidR="00C6282F" w:rsidRPr="00297B2F">
              <w:t>.</w:t>
            </w:r>
          </w:p>
          <w:p w14:paraId="286458E1" w14:textId="77777777" w:rsidR="00C6282F" w:rsidRDefault="00C6282F" w:rsidP="00426EB4">
            <w:pPr>
              <w:spacing w:before="120" w:after="120"/>
            </w:pPr>
          </w:p>
          <w:p w14:paraId="2CB27A12" w14:textId="7C10A547" w:rsidR="00C6282F" w:rsidRPr="00AA08A2" w:rsidRDefault="00C6282F" w:rsidP="00426EB4">
            <w:pPr>
              <w:spacing w:before="120" w:after="120"/>
              <w:rPr>
                <w:rStyle w:val="Hyperlink"/>
                <w:color w:val="auto"/>
                <w:szCs w:val="22"/>
                <w:u w:val="none"/>
              </w:rPr>
            </w:pPr>
            <w:r w:rsidRPr="004F7269">
              <w:rPr>
                <w:b/>
                <w:bCs/>
              </w:rPr>
              <w:t>Note:</w:t>
            </w:r>
            <w:r w:rsidRPr="00297B2F">
              <w:t xml:space="preserve"> The Patient Protection and Affordable Care Act (the ACA) requires that members receive written notification of an initial benefit denial explaining the reason(s) for their claim denial, and to provide their appeal rights. The requestor will not be able to request an Appeal prior to an IBR being completed and denied.</w:t>
            </w:r>
          </w:p>
        </w:tc>
      </w:tr>
      <w:tr w:rsidR="00C6282F" w14:paraId="2281F1D3" w14:textId="77777777" w:rsidTr="00BD031B">
        <w:tc>
          <w:tcPr>
            <w:tcW w:w="909" w:type="pct"/>
          </w:tcPr>
          <w:p w14:paraId="1C1136B6" w14:textId="77777777" w:rsidR="00C6282F" w:rsidRDefault="00C6282F" w:rsidP="00426EB4">
            <w:pPr>
              <w:spacing w:before="120" w:after="120"/>
              <w:jc w:val="center"/>
              <w:rPr>
                <w:rStyle w:val="Hyperlink"/>
              </w:rPr>
            </w:pPr>
            <w:r w:rsidRPr="00F25025">
              <w:rPr>
                <w:b/>
                <w:color w:val="000000"/>
              </w:rPr>
              <w:t>I/C</w:t>
            </w:r>
          </w:p>
        </w:tc>
        <w:tc>
          <w:tcPr>
            <w:tcW w:w="1390" w:type="pct"/>
          </w:tcPr>
          <w:p w14:paraId="5B6CB184" w14:textId="77777777" w:rsidR="00C6282F" w:rsidRPr="00AA08A2" w:rsidRDefault="00C6282F" w:rsidP="00426EB4">
            <w:pPr>
              <w:spacing w:before="120" w:after="120"/>
              <w:rPr>
                <w:rStyle w:val="Hyperlink"/>
                <w:rFonts w:cs="Arial"/>
                <w:color w:val="auto"/>
                <w:szCs w:val="22"/>
                <w:u w:val="none"/>
              </w:rPr>
            </w:pPr>
            <w:r w:rsidRPr="00E517E4">
              <w:rPr>
                <w:rFonts w:cs="Arial"/>
              </w:rPr>
              <w:t xml:space="preserve">Incoming Call </w:t>
            </w:r>
          </w:p>
        </w:tc>
        <w:tc>
          <w:tcPr>
            <w:tcW w:w="2701" w:type="pct"/>
          </w:tcPr>
          <w:p w14:paraId="73E30724" w14:textId="1DD56265" w:rsidR="00C6282F" w:rsidRDefault="00C6282F" w:rsidP="00426EB4">
            <w:pPr>
              <w:spacing w:before="120" w:after="120"/>
              <w:rPr>
                <w:rStyle w:val="Hyperlink"/>
              </w:rPr>
            </w:pPr>
            <w:r>
              <w:rPr>
                <w:rFonts w:cs="Arial"/>
              </w:rPr>
              <w:t>Call being received</w:t>
            </w:r>
            <w:r w:rsidR="00BD031B" w:rsidRPr="00380EE7">
              <w:rPr>
                <w:bCs/>
                <w:color w:val="000000"/>
              </w:rPr>
              <w:t>.</w:t>
            </w:r>
          </w:p>
        </w:tc>
      </w:tr>
      <w:tr w:rsidR="00C6282F" w14:paraId="610A0748" w14:textId="77777777" w:rsidTr="00BD031B">
        <w:tc>
          <w:tcPr>
            <w:tcW w:w="909" w:type="pct"/>
          </w:tcPr>
          <w:p w14:paraId="7D2757CC" w14:textId="77777777" w:rsidR="00C6282F" w:rsidRDefault="00C6282F" w:rsidP="00426EB4">
            <w:pPr>
              <w:spacing w:before="120" w:after="120"/>
              <w:jc w:val="center"/>
              <w:rPr>
                <w:rStyle w:val="Hyperlink"/>
              </w:rPr>
            </w:pPr>
            <w:r w:rsidRPr="00D31731">
              <w:rPr>
                <w:b/>
                <w:color w:val="000000"/>
              </w:rPr>
              <w:t>IC Mail</w:t>
            </w:r>
          </w:p>
        </w:tc>
        <w:tc>
          <w:tcPr>
            <w:tcW w:w="1390" w:type="pct"/>
          </w:tcPr>
          <w:p w14:paraId="69602F55" w14:textId="77777777" w:rsidR="00C6282F" w:rsidRDefault="00C6282F" w:rsidP="00426EB4">
            <w:pPr>
              <w:spacing w:before="120" w:after="120"/>
              <w:rPr>
                <w:rStyle w:val="Hyperlink"/>
              </w:rPr>
            </w:pPr>
            <w:r w:rsidRPr="00D31731">
              <w:t>Incoming Cor</w:t>
            </w:r>
            <w:r w:rsidRPr="0046461C">
              <w:t>respondence Mail</w:t>
            </w:r>
          </w:p>
        </w:tc>
        <w:tc>
          <w:tcPr>
            <w:tcW w:w="2701" w:type="pct"/>
          </w:tcPr>
          <w:p w14:paraId="2A04C465" w14:textId="77777777" w:rsidR="00C6282F" w:rsidRDefault="00C6282F" w:rsidP="00426EB4">
            <w:pPr>
              <w:spacing w:before="120" w:after="120"/>
              <w:rPr>
                <w:rStyle w:val="Hyperlink"/>
              </w:rPr>
            </w:pPr>
            <w:r w:rsidRPr="002A683B">
              <w:rPr>
                <w:rFonts w:cs="Arial"/>
              </w:rPr>
              <w:t>Mail from external resources</w:t>
            </w:r>
          </w:p>
        </w:tc>
      </w:tr>
      <w:tr w:rsidR="00C6282F" w14:paraId="4270A920" w14:textId="77777777" w:rsidTr="00BD031B">
        <w:tc>
          <w:tcPr>
            <w:tcW w:w="909" w:type="pct"/>
          </w:tcPr>
          <w:p w14:paraId="56FDE76B" w14:textId="77777777" w:rsidR="00C6282F" w:rsidRDefault="00C6282F" w:rsidP="00426EB4">
            <w:pPr>
              <w:spacing w:before="120" w:after="120"/>
              <w:jc w:val="center"/>
              <w:rPr>
                <w:rStyle w:val="Hyperlink"/>
              </w:rPr>
            </w:pPr>
            <w:r w:rsidRPr="00D31731">
              <w:rPr>
                <w:b/>
                <w:color w:val="000000"/>
              </w:rPr>
              <w:t>ICEP</w:t>
            </w:r>
          </w:p>
        </w:tc>
        <w:tc>
          <w:tcPr>
            <w:tcW w:w="1390" w:type="pct"/>
          </w:tcPr>
          <w:p w14:paraId="65A3D460" w14:textId="77777777" w:rsidR="00C6282F" w:rsidRPr="00C6282F" w:rsidRDefault="00C6282F" w:rsidP="00426EB4">
            <w:pPr>
              <w:spacing w:before="120" w:after="120"/>
              <w:rPr>
                <w:rStyle w:val="Hyperlink"/>
                <w:u w:val="none"/>
              </w:rPr>
            </w:pPr>
            <w:r w:rsidRPr="00BF6334">
              <w:rPr>
                <w:rStyle w:val="Hyperlink"/>
                <w:color w:val="auto"/>
                <w:u w:val="none"/>
              </w:rPr>
              <w:t xml:space="preserve">Initial Coverage Election Period </w:t>
            </w:r>
          </w:p>
        </w:tc>
        <w:tc>
          <w:tcPr>
            <w:tcW w:w="2701" w:type="pct"/>
          </w:tcPr>
          <w:p w14:paraId="59176547" w14:textId="77777777" w:rsidR="00C6282F" w:rsidRDefault="00C6282F" w:rsidP="00426EB4">
            <w:pPr>
              <w:spacing w:before="120" w:after="120"/>
              <w:rPr>
                <w:rStyle w:val="Hyperlink"/>
              </w:rPr>
            </w:pPr>
            <w:r>
              <w:rPr>
                <w:rFonts w:cs="Helvetica"/>
                <w:color w:val="333333"/>
              </w:rPr>
              <w:t>P</w:t>
            </w:r>
            <w:r w:rsidRPr="002A683B">
              <w:rPr>
                <w:rFonts w:cs="Helvetica"/>
                <w:color w:val="333333"/>
              </w:rPr>
              <w:t>eriod of time that begins the three months immediately before you are entitled to </w:t>
            </w:r>
            <w:r w:rsidRPr="002A683B">
              <w:rPr>
                <w:rStyle w:val="glossarylink"/>
                <w:rFonts w:cs="Helvetica"/>
                <w:color w:val="333333"/>
              </w:rPr>
              <w:t>Medicare</w:t>
            </w:r>
            <w:r w:rsidRPr="002A683B">
              <w:rPr>
                <w:rFonts w:cs="Helvetica"/>
                <w:color w:val="333333"/>
              </w:rPr>
              <w:t> </w:t>
            </w:r>
            <w:r w:rsidRPr="002A683B">
              <w:rPr>
                <w:rStyle w:val="glossarylink"/>
                <w:rFonts w:cs="Helvetica"/>
                <w:color w:val="333333"/>
              </w:rPr>
              <w:t>Part A</w:t>
            </w:r>
            <w:r w:rsidRPr="002A683B">
              <w:rPr>
                <w:rFonts w:cs="Helvetica"/>
                <w:color w:val="333333"/>
              </w:rPr>
              <w:t> and enrolled in </w:t>
            </w:r>
            <w:r w:rsidRPr="002A683B">
              <w:rPr>
                <w:rStyle w:val="glossarylink"/>
                <w:rFonts w:cs="Helvetica"/>
                <w:color w:val="333333"/>
              </w:rPr>
              <w:t>Part B</w:t>
            </w:r>
            <w:r w:rsidRPr="002A683B">
              <w:rPr>
                <w:rFonts w:cs="Helvetica"/>
                <w:color w:val="333333"/>
              </w:rPr>
              <w:t> and ends either the last day of the month before you are entitled to Part A and enrolled in Part B or three months after the month of your 65th birthday or the 25th month of receiving Social Security </w:t>
            </w:r>
            <w:r w:rsidRPr="002A683B">
              <w:rPr>
                <w:rStyle w:val="glossarylink"/>
                <w:rFonts w:cs="Helvetica"/>
                <w:color w:val="333333"/>
              </w:rPr>
              <w:t>Disability</w:t>
            </w:r>
            <w:r w:rsidRPr="002A683B">
              <w:rPr>
                <w:rFonts w:cs="Helvetica"/>
                <w:color w:val="333333"/>
              </w:rPr>
              <w:t xml:space="preserve"> Insurance (SSDI). </w:t>
            </w:r>
            <w:r>
              <w:rPr>
                <w:rFonts w:cs="Helvetica"/>
                <w:color w:val="333333"/>
              </w:rPr>
              <w:t xml:space="preserve"> </w:t>
            </w:r>
            <w:r w:rsidRPr="002A683B">
              <w:rPr>
                <w:rFonts w:cs="Helvetica"/>
                <w:color w:val="333333"/>
              </w:rPr>
              <w:t>If you choose to join a </w:t>
            </w:r>
            <w:r w:rsidRPr="002A683B">
              <w:rPr>
                <w:rStyle w:val="glossarylink"/>
                <w:rFonts w:cs="Helvetica"/>
                <w:color w:val="333333"/>
              </w:rPr>
              <w:t>Medicare Advantage</w:t>
            </w:r>
            <w:r w:rsidRPr="002A683B">
              <w:rPr>
                <w:rFonts w:cs="Helvetica"/>
                <w:color w:val="333333"/>
              </w:rPr>
              <w:t> Plan during this period, the plan must accept you, unless it has reached its member limit.</w:t>
            </w:r>
          </w:p>
        </w:tc>
      </w:tr>
      <w:tr w:rsidR="00C6282F" w14:paraId="60A3231C" w14:textId="77777777" w:rsidTr="00BD031B">
        <w:tc>
          <w:tcPr>
            <w:tcW w:w="909" w:type="pct"/>
          </w:tcPr>
          <w:p w14:paraId="05A05234" w14:textId="77777777" w:rsidR="00C6282F" w:rsidRDefault="00C6282F" w:rsidP="00426EB4">
            <w:pPr>
              <w:spacing w:before="120" w:after="120"/>
              <w:jc w:val="center"/>
              <w:rPr>
                <w:rStyle w:val="Hyperlink"/>
              </w:rPr>
            </w:pPr>
            <w:r w:rsidRPr="00F25025">
              <w:rPr>
                <w:b/>
                <w:color w:val="000000"/>
              </w:rPr>
              <w:t>ICD-9</w:t>
            </w:r>
          </w:p>
        </w:tc>
        <w:tc>
          <w:tcPr>
            <w:tcW w:w="1390" w:type="pct"/>
          </w:tcPr>
          <w:p w14:paraId="727E5A32" w14:textId="77777777" w:rsidR="00C6282F" w:rsidRPr="00AA08A2" w:rsidRDefault="00C6282F" w:rsidP="00426EB4">
            <w:pPr>
              <w:spacing w:before="120" w:after="120"/>
              <w:rPr>
                <w:rStyle w:val="Hyperlink"/>
                <w:color w:val="auto"/>
                <w:szCs w:val="22"/>
                <w:u w:val="none"/>
              </w:rPr>
            </w:pPr>
            <w:r w:rsidRPr="00E517E4">
              <w:t>International Classification of Disease Clinical Modification Coding System</w:t>
            </w:r>
            <w:r w:rsidRPr="00E517E4" w:rsidDel="005D5B64">
              <w:t xml:space="preserve"> </w:t>
            </w:r>
          </w:p>
        </w:tc>
        <w:tc>
          <w:tcPr>
            <w:tcW w:w="2701" w:type="pct"/>
          </w:tcPr>
          <w:p w14:paraId="7457310A" w14:textId="312F2C90" w:rsidR="00C6282F" w:rsidRDefault="00C6282F" w:rsidP="00426EB4">
            <w:pPr>
              <w:spacing w:before="120" w:after="120"/>
              <w:rPr>
                <w:rStyle w:val="Hyperlink"/>
              </w:rPr>
            </w:pPr>
            <w:r>
              <w:rPr>
                <w:rFonts w:cs="Arial"/>
              </w:rPr>
              <w:t>The official system of assigning codes to diagnoses and procedures. Diagnosis code that may be needed for a Medicare Part B Rebill. For billing and Medical necessity.</w:t>
            </w:r>
          </w:p>
        </w:tc>
      </w:tr>
      <w:tr w:rsidR="00C6282F" w14:paraId="32C5EB53" w14:textId="77777777" w:rsidTr="00BD031B">
        <w:tc>
          <w:tcPr>
            <w:tcW w:w="909" w:type="pct"/>
          </w:tcPr>
          <w:p w14:paraId="599AA5C5" w14:textId="77777777" w:rsidR="00C6282F" w:rsidRDefault="00C6282F" w:rsidP="00426EB4">
            <w:pPr>
              <w:spacing w:before="120" w:after="120"/>
              <w:jc w:val="center"/>
              <w:rPr>
                <w:rStyle w:val="Hyperlink"/>
              </w:rPr>
            </w:pPr>
            <w:r w:rsidRPr="002A444A">
              <w:rPr>
                <w:b/>
                <w:bCs/>
              </w:rPr>
              <w:t>ICE</w:t>
            </w:r>
          </w:p>
        </w:tc>
        <w:tc>
          <w:tcPr>
            <w:tcW w:w="1390" w:type="pct"/>
          </w:tcPr>
          <w:p w14:paraId="1CD64F22" w14:textId="77777777" w:rsidR="00C6282F" w:rsidRDefault="00C6282F" w:rsidP="00426EB4">
            <w:pPr>
              <w:spacing w:before="120" w:after="120"/>
              <w:rPr>
                <w:rStyle w:val="Hyperlink"/>
              </w:rPr>
            </w:pPr>
            <w:r w:rsidRPr="00E517E4">
              <w:t>Incomplete Enrollments</w:t>
            </w:r>
          </w:p>
        </w:tc>
        <w:tc>
          <w:tcPr>
            <w:tcW w:w="2701" w:type="pct"/>
          </w:tcPr>
          <w:p w14:paraId="64A699A6" w14:textId="77777777" w:rsidR="00C6282F" w:rsidRPr="00C6282F" w:rsidRDefault="00C6282F" w:rsidP="00426EB4">
            <w:pPr>
              <w:spacing w:before="120" w:after="120"/>
              <w:rPr>
                <w:rStyle w:val="Hyperlink"/>
                <w:color w:val="auto"/>
                <w:u w:val="none"/>
              </w:rPr>
            </w:pPr>
            <w:r w:rsidRPr="00BF6334">
              <w:t>Enrollment applications that are not fully processed due to missing required pieces of information that were not provided in the application process.</w:t>
            </w:r>
          </w:p>
        </w:tc>
      </w:tr>
      <w:tr w:rsidR="00C6282F" w14:paraId="602A5815" w14:textId="77777777" w:rsidTr="00BD031B">
        <w:tc>
          <w:tcPr>
            <w:tcW w:w="909" w:type="pct"/>
          </w:tcPr>
          <w:p w14:paraId="42D4BA2F" w14:textId="77777777" w:rsidR="00C6282F" w:rsidRDefault="00C6282F" w:rsidP="00426EB4">
            <w:pPr>
              <w:spacing w:before="120" w:after="120"/>
              <w:jc w:val="center"/>
              <w:rPr>
                <w:rStyle w:val="Hyperlink"/>
              </w:rPr>
            </w:pPr>
            <w:r w:rsidRPr="00F25025">
              <w:rPr>
                <w:b/>
                <w:color w:val="000000"/>
              </w:rPr>
              <w:t>ICL</w:t>
            </w:r>
          </w:p>
        </w:tc>
        <w:tc>
          <w:tcPr>
            <w:tcW w:w="1390" w:type="pct"/>
          </w:tcPr>
          <w:p w14:paraId="75F77E54" w14:textId="77777777" w:rsidR="00C6282F" w:rsidRDefault="00C6282F" w:rsidP="00426EB4">
            <w:pPr>
              <w:spacing w:before="120" w:after="120"/>
              <w:rPr>
                <w:rStyle w:val="Hyperlink"/>
              </w:rPr>
            </w:pPr>
            <w:r w:rsidRPr="00E517E4">
              <w:rPr>
                <w:rFonts w:cs="Arial"/>
              </w:rPr>
              <w:t>Initial Coverage Limit</w:t>
            </w:r>
          </w:p>
        </w:tc>
        <w:tc>
          <w:tcPr>
            <w:tcW w:w="2701" w:type="pct"/>
          </w:tcPr>
          <w:p w14:paraId="32B653E1" w14:textId="74B03B64" w:rsidR="00C6282F" w:rsidRPr="00C6282F" w:rsidRDefault="00C6282F" w:rsidP="00426EB4">
            <w:pPr>
              <w:spacing w:before="120" w:after="120"/>
              <w:rPr>
                <w:rStyle w:val="Hyperlink"/>
                <w:color w:val="000000"/>
                <w:u w:val="none"/>
              </w:rPr>
            </w:pPr>
            <w:r w:rsidRPr="00BF6334">
              <w:rPr>
                <w:color w:val="000000"/>
              </w:rPr>
              <w:t>ICL is the second phase in plans that have a deductible and the first phase in plans that do not have a deductible</w:t>
            </w:r>
            <w:r w:rsidRPr="00C6282F">
              <w:rPr>
                <w:color w:val="000000"/>
              </w:rPr>
              <w:t xml:space="preserve">. </w:t>
            </w:r>
          </w:p>
        </w:tc>
      </w:tr>
      <w:tr w:rsidR="00C6282F" w14:paraId="68BC8DB7" w14:textId="77777777" w:rsidTr="00BD031B">
        <w:tc>
          <w:tcPr>
            <w:tcW w:w="909" w:type="pct"/>
          </w:tcPr>
          <w:p w14:paraId="3A4D421E" w14:textId="77777777" w:rsidR="00C6282F" w:rsidRDefault="00C6282F" w:rsidP="00BF6334">
            <w:pPr>
              <w:spacing w:before="120" w:after="120"/>
              <w:jc w:val="center"/>
              <w:rPr>
                <w:rStyle w:val="Hyperlink"/>
              </w:rPr>
            </w:pPr>
            <w:r w:rsidRPr="00F25025">
              <w:rPr>
                <w:b/>
                <w:color w:val="000000"/>
              </w:rPr>
              <w:t>ICT</w:t>
            </w:r>
          </w:p>
        </w:tc>
        <w:tc>
          <w:tcPr>
            <w:tcW w:w="1390" w:type="pct"/>
          </w:tcPr>
          <w:p w14:paraId="40EE3D29" w14:textId="77777777" w:rsidR="00C6282F" w:rsidRDefault="00C6282F" w:rsidP="00426EB4">
            <w:pPr>
              <w:tabs>
                <w:tab w:val="left" w:pos="1036"/>
              </w:tabs>
              <w:spacing w:before="120" w:after="120"/>
              <w:rPr>
                <w:rStyle w:val="Hyperlink"/>
              </w:rPr>
            </w:pPr>
            <w:r w:rsidRPr="00E517E4">
              <w:t>Inclusive Contingent Therapy</w:t>
            </w:r>
          </w:p>
        </w:tc>
        <w:tc>
          <w:tcPr>
            <w:tcW w:w="2701" w:type="pct"/>
          </w:tcPr>
          <w:p w14:paraId="0EAD1395" w14:textId="0E6020DA" w:rsidR="00C6282F" w:rsidRPr="00C6282F" w:rsidRDefault="00C6282F" w:rsidP="00426EB4">
            <w:pPr>
              <w:spacing w:before="120" w:after="120"/>
              <w:rPr>
                <w:rStyle w:val="Hyperlink"/>
                <w:color w:val="auto"/>
                <w:szCs w:val="22"/>
                <w:u w:val="none"/>
              </w:rPr>
            </w:pPr>
            <w:r w:rsidRPr="00C6282F">
              <w:t xml:space="preserve">Before allowing a plan member to receive the drug on the claim, the plan member has to use other prescription therapy which can overlap during the specified period of time. </w:t>
            </w:r>
          </w:p>
        </w:tc>
      </w:tr>
      <w:tr w:rsidR="00C6282F" w14:paraId="3F1F609C" w14:textId="77777777" w:rsidTr="00BD031B">
        <w:tc>
          <w:tcPr>
            <w:tcW w:w="909" w:type="pct"/>
          </w:tcPr>
          <w:p w14:paraId="236546E6" w14:textId="77777777" w:rsidR="00C6282F" w:rsidRPr="00C6282F" w:rsidRDefault="00C6282F" w:rsidP="00BF6334">
            <w:pPr>
              <w:spacing w:before="120" w:after="120"/>
              <w:jc w:val="center"/>
              <w:rPr>
                <w:rStyle w:val="Hyperlink"/>
                <w:b/>
                <w:bCs/>
              </w:rPr>
            </w:pPr>
            <w:r w:rsidRPr="00BF6334">
              <w:rPr>
                <w:b/>
                <w:bCs/>
              </w:rPr>
              <w:t>ID Dr</w:t>
            </w:r>
          </w:p>
        </w:tc>
        <w:tc>
          <w:tcPr>
            <w:tcW w:w="1390" w:type="pct"/>
          </w:tcPr>
          <w:p w14:paraId="7F5D9BB9" w14:textId="77777777" w:rsidR="00C6282F" w:rsidRPr="00C6282F" w:rsidRDefault="00C6282F" w:rsidP="00BF6334">
            <w:pPr>
              <w:spacing w:before="120" w:after="120"/>
              <w:rPr>
                <w:rStyle w:val="Hyperlink"/>
              </w:rPr>
            </w:pPr>
            <w:r w:rsidRPr="00BF6334">
              <w:rPr>
                <w:rFonts w:cs="Arial"/>
              </w:rPr>
              <w:t>Identify the Doctor</w:t>
            </w:r>
          </w:p>
        </w:tc>
        <w:tc>
          <w:tcPr>
            <w:tcW w:w="2701" w:type="pct"/>
          </w:tcPr>
          <w:p w14:paraId="452C14EC" w14:textId="77777777" w:rsidR="00C6282F" w:rsidRPr="00C6282F" w:rsidRDefault="00C6282F" w:rsidP="00BF6334">
            <w:pPr>
              <w:spacing w:before="120" w:after="120"/>
              <w:rPr>
                <w:rStyle w:val="Hyperlink"/>
                <w:rFonts w:cs="Arial"/>
                <w:color w:val="auto"/>
                <w:szCs w:val="22"/>
                <w:u w:val="none"/>
              </w:rPr>
            </w:pPr>
            <w:r w:rsidRPr="00C6282F">
              <w:rPr>
                <w:rFonts w:cs="Arial"/>
              </w:rPr>
              <w:t>The doctor on the prescription is in question, need to gather more information in order to determine the doctor.</w:t>
            </w:r>
          </w:p>
        </w:tc>
      </w:tr>
      <w:tr w:rsidR="00C6282F" w14:paraId="1E306F9C" w14:textId="77777777" w:rsidTr="00BD031B">
        <w:tc>
          <w:tcPr>
            <w:tcW w:w="909" w:type="pct"/>
          </w:tcPr>
          <w:p w14:paraId="6AE87FCC" w14:textId="77777777" w:rsidR="00C6282F" w:rsidRDefault="00C6282F" w:rsidP="00BF6334">
            <w:pPr>
              <w:tabs>
                <w:tab w:val="left" w:pos="1861"/>
              </w:tabs>
              <w:spacing w:before="120" w:after="120"/>
              <w:jc w:val="center"/>
              <w:rPr>
                <w:rStyle w:val="Hyperlink"/>
              </w:rPr>
            </w:pPr>
            <w:r w:rsidRPr="00F25025">
              <w:rPr>
                <w:b/>
                <w:color w:val="000000"/>
              </w:rPr>
              <w:t>ID SpvDr</w:t>
            </w:r>
          </w:p>
        </w:tc>
        <w:tc>
          <w:tcPr>
            <w:tcW w:w="1390" w:type="pct"/>
          </w:tcPr>
          <w:p w14:paraId="747B934B" w14:textId="77777777" w:rsidR="00C6282F" w:rsidRDefault="00C6282F" w:rsidP="00BF6334">
            <w:pPr>
              <w:spacing w:before="120" w:after="120"/>
              <w:rPr>
                <w:rStyle w:val="Hyperlink"/>
              </w:rPr>
            </w:pPr>
            <w:r w:rsidRPr="00E517E4">
              <w:rPr>
                <w:rFonts w:cs="Arial"/>
              </w:rPr>
              <w:t>Identify the Supervising Doctor</w:t>
            </w:r>
          </w:p>
        </w:tc>
        <w:tc>
          <w:tcPr>
            <w:tcW w:w="2701" w:type="pct"/>
          </w:tcPr>
          <w:p w14:paraId="43CE8A86" w14:textId="77777777" w:rsidR="00C6282F" w:rsidRPr="00C6282F" w:rsidRDefault="00C6282F" w:rsidP="00BF6334">
            <w:pPr>
              <w:spacing w:before="120" w:after="120"/>
              <w:rPr>
                <w:rStyle w:val="Hyperlink"/>
                <w:rFonts w:cs="Arial"/>
                <w:color w:val="auto"/>
                <w:szCs w:val="22"/>
                <w:u w:val="none"/>
              </w:rPr>
            </w:pPr>
            <w:r w:rsidRPr="00C6282F">
              <w:rPr>
                <w:rFonts w:cs="Arial"/>
              </w:rPr>
              <w:t>The doctor who oversees the prescriber who has written the prescription is in question, need to gather more information in order to determine the doctor.</w:t>
            </w:r>
          </w:p>
        </w:tc>
      </w:tr>
      <w:tr w:rsidR="00C6282F" w14:paraId="65F3AE87" w14:textId="77777777" w:rsidTr="00BD031B">
        <w:tc>
          <w:tcPr>
            <w:tcW w:w="909" w:type="pct"/>
          </w:tcPr>
          <w:p w14:paraId="082153DF" w14:textId="77777777" w:rsidR="00C6282F" w:rsidRDefault="00C6282F" w:rsidP="00BF6334">
            <w:pPr>
              <w:spacing w:before="120" w:after="120"/>
              <w:jc w:val="center"/>
              <w:rPr>
                <w:rStyle w:val="Hyperlink"/>
              </w:rPr>
            </w:pPr>
            <w:r w:rsidRPr="00F25025">
              <w:rPr>
                <w:b/>
                <w:color w:val="000000"/>
              </w:rPr>
              <w:t>IEP</w:t>
            </w:r>
          </w:p>
        </w:tc>
        <w:tc>
          <w:tcPr>
            <w:tcW w:w="1390" w:type="pct"/>
          </w:tcPr>
          <w:p w14:paraId="019B4D95" w14:textId="77777777" w:rsidR="00C6282F" w:rsidRDefault="00C6282F" w:rsidP="00BF6334">
            <w:pPr>
              <w:spacing w:before="120" w:after="120"/>
              <w:rPr>
                <w:rStyle w:val="Hyperlink"/>
              </w:rPr>
            </w:pPr>
            <w:r w:rsidRPr="00E517E4">
              <w:t>Initial Enrollment Period</w:t>
            </w:r>
          </w:p>
        </w:tc>
        <w:tc>
          <w:tcPr>
            <w:tcW w:w="2701" w:type="pct"/>
          </w:tcPr>
          <w:p w14:paraId="3DFC101E" w14:textId="77777777" w:rsidR="00C6282F" w:rsidRPr="00C6282F" w:rsidRDefault="00C6282F" w:rsidP="00BF6334">
            <w:pPr>
              <w:spacing w:before="120" w:after="120"/>
              <w:rPr>
                <w:rStyle w:val="Hyperlink"/>
                <w:color w:val="auto"/>
                <w:szCs w:val="22"/>
                <w:u w:val="none"/>
              </w:rPr>
            </w:pPr>
            <w:r w:rsidRPr="00C6282F">
              <w:t xml:space="preserve">Medicare Part D term referring to the enrollment period beginning three months before the beneficiary becomes eligible for Medicare, the month of eligibility and the three months after their Medicare eligibility to enroll in a Medicare Part D plan. </w:t>
            </w:r>
          </w:p>
        </w:tc>
      </w:tr>
      <w:tr w:rsidR="00C6282F" w14:paraId="23FCA9D5" w14:textId="77777777" w:rsidTr="00BD031B">
        <w:tc>
          <w:tcPr>
            <w:tcW w:w="909" w:type="pct"/>
          </w:tcPr>
          <w:p w14:paraId="32B82068" w14:textId="77777777" w:rsidR="00C6282F" w:rsidRDefault="00C6282F" w:rsidP="00BF6334">
            <w:pPr>
              <w:spacing w:before="120" w:after="120"/>
              <w:jc w:val="center"/>
              <w:rPr>
                <w:rStyle w:val="Hyperlink"/>
              </w:rPr>
            </w:pPr>
            <w:r w:rsidRPr="00F25025">
              <w:rPr>
                <w:rFonts w:cs="Arial"/>
                <w:b/>
                <w:color w:val="000000"/>
              </w:rPr>
              <w:t>IFN</w:t>
            </w:r>
          </w:p>
        </w:tc>
        <w:tc>
          <w:tcPr>
            <w:tcW w:w="1390" w:type="pct"/>
          </w:tcPr>
          <w:p w14:paraId="5CBFFCD0" w14:textId="77777777" w:rsidR="00C6282F" w:rsidRPr="00AA08A2" w:rsidRDefault="00C6282F" w:rsidP="00BF6334">
            <w:pPr>
              <w:spacing w:before="120" w:after="120"/>
              <w:rPr>
                <w:rStyle w:val="Hyperlink"/>
                <w:rFonts w:cs="Arial"/>
                <w:color w:val="auto"/>
                <w:szCs w:val="22"/>
                <w:u w:val="none"/>
              </w:rPr>
            </w:pPr>
            <w:r w:rsidRPr="00E517E4">
              <w:rPr>
                <w:rFonts w:cs="Arial"/>
              </w:rPr>
              <w:t>Internal</w:t>
            </w:r>
            <w:r w:rsidRPr="00E517E4">
              <w:rPr>
                <w:rFonts w:cs="Arial"/>
                <w:i/>
              </w:rPr>
              <w:t xml:space="preserve"> </w:t>
            </w:r>
            <w:r w:rsidRPr="00E517E4">
              <w:rPr>
                <w:rFonts w:cs="Arial"/>
              </w:rPr>
              <w:t>Fax Notes</w:t>
            </w:r>
          </w:p>
        </w:tc>
        <w:tc>
          <w:tcPr>
            <w:tcW w:w="2701" w:type="pct"/>
          </w:tcPr>
          <w:p w14:paraId="4C5298E5" w14:textId="77777777" w:rsidR="00C6282F" w:rsidRPr="00C6282F" w:rsidRDefault="00C6282F" w:rsidP="00BF6334">
            <w:pPr>
              <w:spacing w:before="120" w:after="120"/>
              <w:contextualSpacing/>
              <w:rPr>
                <w:rStyle w:val="Hyperlink"/>
              </w:rPr>
            </w:pPr>
          </w:p>
        </w:tc>
      </w:tr>
      <w:tr w:rsidR="00C6282F" w14:paraId="7214C5D3" w14:textId="77777777" w:rsidTr="00BD031B">
        <w:tc>
          <w:tcPr>
            <w:tcW w:w="909" w:type="pct"/>
          </w:tcPr>
          <w:p w14:paraId="4A5C1ED0" w14:textId="77777777" w:rsidR="00C6282F" w:rsidRDefault="00C6282F" w:rsidP="00BF6334">
            <w:pPr>
              <w:spacing w:before="120" w:after="120"/>
              <w:jc w:val="center"/>
              <w:rPr>
                <w:rStyle w:val="Hyperlink"/>
              </w:rPr>
            </w:pPr>
            <w:r w:rsidRPr="00F25025">
              <w:rPr>
                <w:b/>
                <w:color w:val="000000"/>
              </w:rPr>
              <w:t>IFR</w:t>
            </w:r>
          </w:p>
        </w:tc>
        <w:tc>
          <w:tcPr>
            <w:tcW w:w="1390" w:type="pct"/>
          </w:tcPr>
          <w:p w14:paraId="4B16DEE3" w14:textId="77777777" w:rsidR="00C6282F" w:rsidRDefault="00C6282F" w:rsidP="00BF6334">
            <w:pPr>
              <w:spacing w:before="120" w:after="120"/>
              <w:rPr>
                <w:rStyle w:val="Hyperlink"/>
              </w:rPr>
            </w:pPr>
            <w:r w:rsidRPr="00E517E4">
              <w:rPr>
                <w:rFonts w:cs="Arial"/>
              </w:rPr>
              <w:t>Interim Final Rule</w:t>
            </w:r>
          </w:p>
        </w:tc>
        <w:tc>
          <w:tcPr>
            <w:tcW w:w="2701" w:type="pct"/>
          </w:tcPr>
          <w:p w14:paraId="477195B0" w14:textId="77777777" w:rsidR="00C6282F" w:rsidRPr="00C6282F" w:rsidRDefault="00C6282F" w:rsidP="00C6282F">
            <w:pPr>
              <w:spacing w:before="120" w:after="120"/>
              <w:rPr>
                <w:rFonts w:cs="Arial"/>
              </w:rPr>
            </w:pPr>
            <w:r w:rsidRPr="00C6282F">
              <w:rPr>
                <w:rFonts w:cs="Arial"/>
              </w:rPr>
              <w:t xml:space="preserve">The Drug Enforcement Administration (DEA) is revising its regulations to provide practitioners with the option of writing prescriptions for controlled substances electronically. </w:t>
            </w:r>
          </w:p>
          <w:p w14:paraId="6B885800" w14:textId="77777777" w:rsidR="00C6282F" w:rsidRPr="00C6282F" w:rsidRDefault="00C6282F" w:rsidP="00C6282F">
            <w:pPr>
              <w:spacing w:before="120" w:after="120"/>
              <w:rPr>
                <w:rFonts w:cs="Arial"/>
              </w:rPr>
            </w:pPr>
          </w:p>
          <w:p w14:paraId="68A4FABF" w14:textId="77777777" w:rsidR="00C6282F" w:rsidRPr="00C6282F" w:rsidRDefault="00C6282F" w:rsidP="00C6282F">
            <w:pPr>
              <w:spacing w:before="120" w:after="120"/>
              <w:rPr>
                <w:rFonts w:cs="Arial"/>
              </w:rPr>
            </w:pPr>
            <w:r w:rsidRPr="00C6282F">
              <w:rPr>
                <w:rFonts w:cs="Arial"/>
              </w:rPr>
              <w:t xml:space="preserve">The regulations will also permit pharmacies to receive, dispense, and archive these electronic prescriptions. These regulations are in addition to, not a replacement of the existing rules. The regulations provide pharmacies, hospitals, and practitioners with the ability to use modern technology for controlled substance prescriptions while maintaining the closed system of controls on controlled substances dispensing; additionally, the regulations will reduce paperwork for DEA registrants who dispense controlled substances and have the potential to reduce prescription forgery. </w:t>
            </w:r>
          </w:p>
          <w:p w14:paraId="1C34703E" w14:textId="77777777" w:rsidR="00C6282F" w:rsidRPr="00C6282F" w:rsidRDefault="00C6282F" w:rsidP="00C6282F">
            <w:pPr>
              <w:spacing w:before="120" w:after="120"/>
              <w:rPr>
                <w:rFonts w:cs="Arial"/>
              </w:rPr>
            </w:pPr>
          </w:p>
          <w:p w14:paraId="22C2C1DB" w14:textId="77777777" w:rsidR="00C6282F" w:rsidRPr="00C6282F" w:rsidRDefault="00C6282F" w:rsidP="00BF6334">
            <w:pPr>
              <w:spacing w:before="120" w:after="120"/>
              <w:rPr>
                <w:rStyle w:val="Hyperlink"/>
                <w:rFonts w:cs="Arial"/>
                <w:color w:val="auto"/>
                <w:szCs w:val="22"/>
                <w:u w:val="none"/>
              </w:rPr>
            </w:pPr>
            <w:r w:rsidRPr="00C6282F">
              <w:rPr>
                <w:rFonts w:cs="Arial"/>
              </w:rPr>
              <w:t>The regulations will also have the potential to reduce the number of prescription errors caused by illegible handwriting and misunderstood oral prescriptions. Moreover, they will help both pharmacies and hospitals to integrate prescription records into other medical records more directly, which may increase efficiency, and potentially reduce the amount of time patients spend waiting to have their prescriptions filled.</w:t>
            </w:r>
          </w:p>
        </w:tc>
      </w:tr>
      <w:tr w:rsidR="00C6282F" w14:paraId="0151C3C0" w14:textId="77777777" w:rsidTr="00BD031B">
        <w:tc>
          <w:tcPr>
            <w:tcW w:w="909" w:type="pct"/>
          </w:tcPr>
          <w:p w14:paraId="5408C7E6" w14:textId="77777777" w:rsidR="00C6282F" w:rsidRDefault="00C6282F" w:rsidP="00BF6334">
            <w:pPr>
              <w:spacing w:before="120" w:after="120"/>
              <w:jc w:val="center"/>
              <w:rPr>
                <w:rStyle w:val="Hyperlink"/>
              </w:rPr>
            </w:pPr>
            <w:r>
              <w:rPr>
                <w:b/>
                <w:color w:val="000000"/>
              </w:rPr>
              <w:t>IG</w:t>
            </w:r>
          </w:p>
        </w:tc>
        <w:tc>
          <w:tcPr>
            <w:tcW w:w="1390" w:type="pct"/>
          </w:tcPr>
          <w:p w14:paraId="6FE9A755" w14:textId="77777777" w:rsidR="00C6282F" w:rsidRDefault="00C6282F" w:rsidP="00BF6334">
            <w:pPr>
              <w:spacing w:before="120" w:after="120"/>
              <w:rPr>
                <w:rStyle w:val="Hyperlink"/>
              </w:rPr>
            </w:pPr>
            <w:r w:rsidRPr="00E517E4">
              <w:rPr>
                <w:rFonts w:cs="Arial"/>
              </w:rPr>
              <w:t>IntegriGuad, LLC</w:t>
            </w:r>
          </w:p>
        </w:tc>
        <w:tc>
          <w:tcPr>
            <w:tcW w:w="2701" w:type="pct"/>
          </w:tcPr>
          <w:p w14:paraId="71C54D7B" w14:textId="7EE8A026" w:rsidR="00C6282F" w:rsidRDefault="00C6282F" w:rsidP="00BF6334">
            <w:pPr>
              <w:spacing w:before="120" w:after="120"/>
              <w:rPr>
                <w:rStyle w:val="Hyperlink"/>
              </w:rPr>
            </w:pPr>
            <w:r w:rsidRPr="009D6B35">
              <w:rPr>
                <w:rFonts w:cs="Arial"/>
              </w:rPr>
              <w:t xml:space="preserve">The Retro-Processing Center (RPC) contracted with </w:t>
            </w:r>
            <w:r w:rsidR="00BD031B">
              <w:rPr>
                <w:color w:val="000000"/>
              </w:rPr>
              <w:t>Centers for Medicare and Medicaid Services (</w:t>
            </w:r>
            <w:r w:rsidRPr="009D6B35">
              <w:rPr>
                <w:rFonts w:cs="Arial"/>
              </w:rPr>
              <w:t>CMS</w:t>
            </w:r>
            <w:r w:rsidR="00BD031B">
              <w:rPr>
                <w:rFonts w:cs="Arial"/>
              </w:rPr>
              <w:t>)</w:t>
            </w:r>
            <w:r w:rsidRPr="009D6B35">
              <w:rPr>
                <w:rFonts w:cs="Arial"/>
              </w:rPr>
              <w:t xml:space="preserve"> to process retroactive Medicare Part D enrollment, disenrollment, and plan change requests.</w:t>
            </w:r>
          </w:p>
        </w:tc>
      </w:tr>
      <w:tr w:rsidR="00C6282F" w14:paraId="4F76DC0E" w14:textId="77777777" w:rsidTr="00BD031B">
        <w:tc>
          <w:tcPr>
            <w:tcW w:w="909" w:type="pct"/>
          </w:tcPr>
          <w:p w14:paraId="0CB0EF41" w14:textId="77777777" w:rsidR="00C6282F" w:rsidRDefault="00C6282F" w:rsidP="00BF6334">
            <w:pPr>
              <w:spacing w:before="120" w:after="120"/>
              <w:jc w:val="center"/>
              <w:rPr>
                <w:rStyle w:val="Hyperlink"/>
              </w:rPr>
            </w:pPr>
            <w:r w:rsidRPr="00F25025">
              <w:rPr>
                <w:b/>
                <w:color w:val="000000"/>
              </w:rPr>
              <w:t>IHMDS</w:t>
            </w:r>
          </w:p>
        </w:tc>
        <w:tc>
          <w:tcPr>
            <w:tcW w:w="1390" w:type="pct"/>
          </w:tcPr>
          <w:p w14:paraId="7AD753E5" w14:textId="77777777" w:rsidR="00C6282F" w:rsidRDefault="00C6282F" w:rsidP="00BF6334">
            <w:pPr>
              <w:spacing w:before="120" w:after="120"/>
              <w:rPr>
                <w:rStyle w:val="Hyperlink"/>
              </w:rPr>
            </w:pPr>
            <w:r w:rsidRPr="00E517E4">
              <w:t>Integrated Health Management Deliver System</w:t>
            </w:r>
          </w:p>
        </w:tc>
        <w:tc>
          <w:tcPr>
            <w:tcW w:w="2701" w:type="pct"/>
          </w:tcPr>
          <w:p w14:paraId="31BA7CBE" w14:textId="74044F2B" w:rsidR="00C6282F" w:rsidRDefault="00C6282F" w:rsidP="00C6282F">
            <w:pPr>
              <w:spacing w:before="120" w:after="120"/>
            </w:pPr>
            <w:r w:rsidRPr="00F25025">
              <w:t xml:space="preserve">System to manage and measure health services used by members and/or delivered by providers with the goal of achieving optimum wellness through the most appropriate use of cost-effective medications or services. </w:t>
            </w:r>
          </w:p>
          <w:p w14:paraId="5A5044F0" w14:textId="77777777" w:rsidR="00C6282F" w:rsidRDefault="00C6282F" w:rsidP="00C6282F">
            <w:pPr>
              <w:spacing w:before="120" w:after="120"/>
            </w:pPr>
          </w:p>
          <w:p w14:paraId="547182B4" w14:textId="1DEDF9E3" w:rsidR="00C6282F" w:rsidRPr="00C6282F" w:rsidRDefault="00C6282F" w:rsidP="00BF6334">
            <w:pPr>
              <w:spacing w:before="120" w:after="120"/>
              <w:rPr>
                <w:rStyle w:val="Hyperlink"/>
                <w:color w:val="auto"/>
                <w:szCs w:val="22"/>
                <w:u w:val="none"/>
              </w:rPr>
            </w:pPr>
            <w:r w:rsidRPr="00BF6334">
              <w:t>Generally,</w:t>
            </w:r>
            <w:r w:rsidRPr="00C6282F">
              <w:t xml:space="preserve"> applies to vertically integrated organizations either via contract or ownership, such as a hospital-centered health care delivery network in a geographic region. </w:t>
            </w:r>
          </w:p>
        </w:tc>
      </w:tr>
      <w:tr w:rsidR="00C6282F" w14:paraId="696A085A" w14:textId="77777777" w:rsidTr="00BD031B">
        <w:tc>
          <w:tcPr>
            <w:tcW w:w="909" w:type="pct"/>
          </w:tcPr>
          <w:p w14:paraId="7ADE57C2" w14:textId="77777777" w:rsidR="00C6282F" w:rsidRPr="00BF6334" w:rsidRDefault="00C6282F" w:rsidP="00BF6334">
            <w:pPr>
              <w:spacing w:before="120" w:after="120"/>
              <w:jc w:val="center"/>
              <w:rPr>
                <w:rStyle w:val="Hyperlink"/>
              </w:rPr>
            </w:pPr>
            <w:r w:rsidRPr="00C6282F">
              <w:rPr>
                <w:b/>
                <w:color w:val="000000"/>
              </w:rPr>
              <w:t>IHS</w:t>
            </w:r>
          </w:p>
        </w:tc>
        <w:tc>
          <w:tcPr>
            <w:tcW w:w="1390" w:type="pct"/>
          </w:tcPr>
          <w:p w14:paraId="3ED99674" w14:textId="77777777" w:rsidR="00C6282F" w:rsidRPr="00BF6334" w:rsidRDefault="00C6282F" w:rsidP="00BF6334">
            <w:pPr>
              <w:spacing w:before="120" w:after="120"/>
              <w:rPr>
                <w:rStyle w:val="Hyperlink"/>
                <w:color w:val="auto"/>
                <w:szCs w:val="22"/>
                <w:u w:val="none"/>
              </w:rPr>
            </w:pPr>
            <w:r w:rsidRPr="00C6282F">
              <w:t>Indian Health Service</w:t>
            </w:r>
          </w:p>
        </w:tc>
        <w:tc>
          <w:tcPr>
            <w:tcW w:w="2701" w:type="pct"/>
          </w:tcPr>
          <w:p w14:paraId="3C6DA60D" w14:textId="77777777" w:rsidR="00C6282F" w:rsidRPr="00C6282F" w:rsidRDefault="00C6282F" w:rsidP="00C6282F">
            <w:pPr>
              <w:spacing w:before="120" w:after="120"/>
            </w:pPr>
            <w:r w:rsidRPr="00C6282F">
              <w:t xml:space="preserve">The Indian Health Service (IHS), an agency within the Department of Health and Human Services, is responsible for providing federal health services to American Indians and Alaska Natives. The provision of health services to members of </w:t>
            </w:r>
            <w:r w:rsidRPr="00BF6334">
              <w:t>federally recognized</w:t>
            </w:r>
            <w:r w:rsidRPr="00C6282F">
              <w:t xml:space="preserve"> tribes grew out of the special government-to-government relationship between the federal government and Indian tribes. </w:t>
            </w:r>
          </w:p>
          <w:p w14:paraId="55880641" w14:textId="77777777" w:rsidR="00C6282F" w:rsidRPr="00C6282F" w:rsidRDefault="00C6282F" w:rsidP="00C6282F">
            <w:pPr>
              <w:spacing w:before="120" w:after="120"/>
            </w:pPr>
          </w:p>
          <w:p w14:paraId="5E64DB08" w14:textId="77777777" w:rsidR="00C6282F" w:rsidRPr="00BF6334" w:rsidRDefault="00C6282F" w:rsidP="00BF6334">
            <w:pPr>
              <w:spacing w:before="120" w:after="120"/>
              <w:rPr>
                <w:rStyle w:val="Hyperlink"/>
                <w:color w:val="auto"/>
                <w:szCs w:val="22"/>
                <w:u w:val="none"/>
              </w:rPr>
            </w:pPr>
            <w:r w:rsidRPr="00C6282F">
              <w:t>This relationship, established in 1787, is based on Article I, Section 8 of the Constitution, and has been given form and substance by numerous treaties, laws, Supreme Court decisions, and Executive Orders. The IHS is the principal federal health care provider and health advocate for Indian people, and its goal is to raise their health status to the highest possible level. The IHS provides a comprehensive health service delivery system for American Indians and Alaska Natives who are members of 566 federally recognized Tribes across the U.S.</w:t>
            </w:r>
          </w:p>
        </w:tc>
      </w:tr>
      <w:tr w:rsidR="00C6282F" w14:paraId="7ABD7D1A" w14:textId="77777777" w:rsidTr="00BD031B">
        <w:tc>
          <w:tcPr>
            <w:tcW w:w="909" w:type="pct"/>
          </w:tcPr>
          <w:p w14:paraId="7D7D5976" w14:textId="77777777" w:rsidR="00C6282F" w:rsidRPr="00BF6334" w:rsidRDefault="00C6282F" w:rsidP="00BF6334">
            <w:pPr>
              <w:spacing w:before="120" w:after="120"/>
              <w:jc w:val="center"/>
              <w:rPr>
                <w:rStyle w:val="Hyperlink"/>
              </w:rPr>
            </w:pPr>
            <w:r w:rsidRPr="00C6282F">
              <w:rPr>
                <w:b/>
                <w:color w:val="000000"/>
              </w:rPr>
              <w:t>ILLEG</w:t>
            </w:r>
          </w:p>
        </w:tc>
        <w:tc>
          <w:tcPr>
            <w:tcW w:w="1390" w:type="pct"/>
          </w:tcPr>
          <w:p w14:paraId="4CDDF143" w14:textId="77777777" w:rsidR="00C6282F" w:rsidRPr="00BF6334" w:rsidRDefault="00C6282F" w:rsidP="00BF6334">
            <w:pPr>
              <w:spacing w:before="120" w:after="120"/>
              <w:rPr>
                <w:rStyle w:val="Hyperlink"/>
              </w:rPr>
            </w:pPr>
            <w:r w:rsidRPr="00C6282F">
              <w:t>Illegible</w:t>
            </w:r>
          </w:p>
        </w:tc>
        <w:tc>
          <w:tcPr>
            <w:tcW w:w="2701" w:type="pct"/>
          </w:tcPr>
          <w:p w14:paraId="797D78AB" w14:textId="77777777" w:rsidR="00C6282F" w:rsidRPr="00BF6334" w:rsidRDefault="00C6282F" w:rsidP="00BF6334">
            <w:pPr>
              <w:spacing w:before="120" w:after="120"/>
              <w:rPr>
                <w:rStyle w:val="Hyperlink"/>
                <w:color w:val="auto"/>
                <w:szCs w:val="22"/>
                <w:u w:val="none"/>
              </w:rPr>
            </w:pPr>
            <w:r w:rsidRPr="00C6282F">
              <w:t>Unable to be read, unclear information.</w:t>
            </w:r>
          </w:p>
        </w:tc>
      </w:tr>
      <w:tr w:rsidR="00C6282F" w14:paraId="265E7A32" w14:textId="77777777" w:rsidTr="00BD031B">
        <w:tc>
          <w:tcPr>
            <w:tcW w:w="909" w:type="pct"/>
          </w:tcPr>
          <w:p w14:paraId="40B4BD35" w14:textId="77777777" w:rsidR="00C6282F" w:rsidRPr="00BF6334" w:rsidRDefault="00C6282F" w:rsidP="00BF6334">
            <w:pPr>
              <w:spacing w:before="120" w:after="120"/>
              <w:jc w:val="center"/>
              <w:rPr>
                <w:rStyle w:val="Hyperlink"/>
              </w:rPr>
            </w:pPr>
            <w:r w:rsidRPr="00C6282F">
              <w:rPr>
                <w:b/>
                <w:color w:val="000000"/>
              </w:rPr>
              <w:t>IM</w:t>
            </w:r>
          </w:p>
        </w:tc>
        <w:tc>
          <w:tcPr>
            <w:tcW w:w="1390" w:type="pct"/>
          </w:tcPr>
          <w:p w14:paraId="70CB7584" w14:textId="77777777" w:rsidR="00C6282F" w:rsidRPr="00BF6334" w:rsidRDefault="00C6282F" w:rsidP="00BF6334">
            <w:pPr>
              <w:spacing w:before="120" w:after="120"/>
              <w:rPr>
                <w:rStyle w:val="Hyperlink"/>
              </w:rPr>
            </w:pPr>
            <w:r w:rsidRPr="00C6282F">
              <w:rPr>
                <w:color w:val="000000"/>
              </w:rPr>
              <w:t>Iron Mountain</w:t>
            </w:r>
          </w:p>
        </w:tc>
        <w:tc>
          <w:tcPr>
            <w:tcW w:w="2701" w:type="pct"/>
          </w:tcPr>
          <w:p w14:paraId="48682BEF" w14:textId="77777777" w:rsidR="00C6282F" w:rsidRPr="00BF6334" w:rsidRDefault="00C6282F" w:rsidP="00BF6334">
            <w:pPr>
              <w:spacing w:before="120" w:after="120"/>
              <w:rPr>
                <w:rStyle w:val="Hyperlink"/>
              </w:rPr>
            </w:pPr>
            <w:r w:rsidRPr="00C6282F">
              <w:rPr>
                <w:rFonts w:cs="MS Sans Serif"/>
                <w:color w:val="000000"/>
              </w:rPr>
              <w:t>Location where records are stored for safe keeping.</w:t>
            </w:r>
          </w:p>
        </w:tc>
      </w:tr>
      <w:tr w:rsidR="00C6282F" w14:paraId="34F5A29B" w14:textId="77777777" w:rsidTr="00BD031B">
        <w:tc>
          <w:tcPr>
            <w:tcW w:w="909" w:type="pct"/>
            <w:vMerge w:val="restart"/>
          </w:tcPr>
          <w:p w14:paraId="0B4E13CC" w14:textId="77777777" w:rsidR="00C6282F" w:rsidRPr="00BF6334" w:rsidRDefault="00C6282F" w:rsidP="00BF6334">
            <w:pPr>
              <w:spacing w:before="120" w:after="120"/>
              <w:jc w:val="center"/>
              <w:rPr>
                <w:rStyle w:val="Hyperlink"/>
              </w:rPr>
            </w:pPr>
            <w:r w:rsidRPr="00C6282F">
              <w:rPr>
                <w:b/>
                <w:color w:val="000000"/>
              </w:rPr>
              <w:t>Inc</w:t>
            </w:r>
          </w:p>
        </w:tc>
        <w:tc>
          <w:tcPr>
            <w:tcW w:w="1390" w:type="pct"/>
          </w:tcPr>
          <w:p w14:paraId="4D5A2431" w14:textId="77777777" w:rsidR="00C6282F" w:rsidRPr="00BF6334" w:rsidRDefault="00C6282F" w:rsidP="00BF6334">
            <w:pPr>
              <w:spacing w:before="120" w:after="120"/>
              <w:rPr>
                <w:rStyle w:val="Hyperlink"/>
              </w:rPr>
            </w:pPr>
            <w:r w:rsidRPr="00C6282F">
              <w:t>Increase</w:t>
            </w:r>
          </w:p>
        </w:tc>
        <w:tc>
          <w:tcPr>
            <w:tcW w:w="2701" w:type="pct"/>
          </w:tcPr>
          <w:p w14:paraId="162B56A7" w14:textId="77777777" w:rsidR="00C6282F" w:rsidRPr="00BF6334" w:rsidRDefault="00C6282F" w:rsidP="00BF6334">
            <w:pPr>
              <w:spacing w:before="120" w:after="120"/>
              <w:rPr>
                <w:rStyle w:val="Hyperlink"/>
                <w:color w:val="auto"/>
                <w:u w:val="none"/>
              </w:rPr>
            </w:pPr>
            <w:r w:rsidRPr="00BF6334">
              <w:t>The value of the prescription has gone up (strength, quantity, etcetera).</w:t>
            </w:r>
          </w:p>
        </w:tc>
      </w:tr>
      <w:tr w:rsidR="00C6282F" w14:paraId="1CC0E835" w14:textId="77777777" w:rsidTr="00BD031B">
        <w:tc>
          <w:tcPr>
            <w:tcW w:w="909" w:type="pct"/>
            <w:vMerge/>
          </w:tcPr>
          <w:p w14:paraId="220433D2" w14:textId="77777777" w:rsidR="00C6282F" w:rsidRPr="00BF6334" w:rsidRDefault="00C6282F" w:rsidP="00BF6334">
            <w:pPr>
              <w:spacing w:before="120" w:after="120"/>
              <w:rPr>
                <w:rStyle w:val="Hyperlink"/>
              </w:rPr>
            </w:pPr>
          </w:p>
        </w:tc>
        <w:tc>
          <w:tcPr>
            <w:tcW w:w="1390" w:type="pct"/>
          </w:tcPr>
          <w:p w14:paraId="1644D5D6" w14:textId="77777777" w:rsidR="00C6282F" w:rsidRPr="00BF6334" w:rsidRDefault="00C6282F" w:rsidP="00BF6334">
            <w:pPr>
              <w:spacing w:before="120" w:after="120"/>
              <w:rPr>
                <w:rStyle w:val="Hyperlink"/>
              </w:rPr>
            </w:pPr>
            <w:r w:rsidRPr="00C6282F">
              <w:t>Incomplete</w:t>
            </w:r>
          </w:p>
        </w:tc>
        <w:tc>
          <w:tcPr>
            <w:tcW w:w="2701" w:type="pct"/>
          </w:tcPr>
          <w:p w14:paraId="69CC1E59" w14:textId="77777777" w:rsidR="00C6282F" w:rsidRPr="00BF6334" w:rsidRDefault="00C6282F" w:rsidP="00BF6334">
            <w:pPr>
              <w:spacing w:before="120" w:after="120"/>
              <w:rPr>
                <w:rStyle w:val="Hyperlink"/>
                <w:color w:val="auto"/>
                <w:u w:val="none"/>
              </w:rPr>
            </w:pPr>
            <w:r w:rsidRPr="00BF6334">
              <w:t>Not having all the necessary or appropriate parts.</w:t>
            </w:r>
          </w:p>
        </w:tc>
      </w:tr>
      <w:tr w:rsidR="00C6282F" w14:paraId="383A31A7" w14:textId="77777777" w:rsidTr="00BD031B">
        <w:tc>
          <w:tcPr>
            <w:tcW w:w="909" w:type="pct"/>
          </w:tcPr>
          <w:p w14:paraId="003C7854" w14:textId="77777777" w:rsidR="00C6282F" w:rsidRPr="00BF6334" w:rsidRDefault="00C6282F" w:rsidP="00C6282F">
            <w:pPr>
              <w:spacing w:before="120" w:after="120"/>
              <w:jc w:val="center"/>
              <w:rPr>
                <w:rStyle w:val="Hyperlink"/>
              </w:rPr>
            </w:pPr>
            <w:r w:rsidRPr="00C6282F">
              <w:rPr>
                <w:b/>
                <w:color w:val="000000"/>
              </w:rPr>
              <w:t>INFO</w:t>
            </w:r>
          </w:p>
        </w:tc>
        <w:tc>
          <w:tcPr>
            <w:tcW w:w="1390" w:type="pct"/>
          </w:tcPr>
          <w:p w14:paraId="2AE0D568" w14:textId="77777777" w:rsidR="00C6282F" w:rsidRPr="00BF6334" w:rsidRDefault="00C6282F" w:rsidP="00C6282F">
            <w:pPr>
              <w:tabs>
                <w:tab w:val="left" w:pos="404"/>
              </w:tabs>
              <w:spacing w:before="120" w:after="120"/>
              <w:rPr>
                <w:rStyle w:val="Hyperlink"/>
              </w:rPr>
            </w:pPr>
            <w:r w:rsidRPr="00C6282F">
              <w:t>Information</w:t>
            </w:r>
          </w:p>
        </w:tc>
        <w:tc>
          <w:tcPr>
            <w:tcW w:w="2701" w:type="pct"/>
          </w:tcPr>
          <w:p w14:paraId="0E67B4AD" w14:textId="77777777" w:rsidR="00C6282F" w:rsidRPr="00BF6334" w:rsidRDefault="00C6282F" w:rsidP="00C6282F">
            <w:pPr>
              <w:spacing w:before="120" w:after="120"/>
              <w:rPr>
                <w:rStyle w:val="Hyperlink"/>
                <w:color w:val="auto"/>
                <w:u w:val="none"/>
              </w:rPr>
            </w:pPr>
            <w:r w:rsidRPr="00BF6334">
              <w:t>Data needed to complete the filling process of a prescription.</w:t>
            </w:r>
          </w:p>
        </w:tc>
      </w:tr>
      <w:tr w:rsidR="00C6282F" w14:paraId="0FA797A4" w14:textId="77777777" w:rsidTr="00BD031B">
        <w:tc>
          <w:tcPr>
            <w:tcW w:w="909" w:type="pct"/>
          </w:tcPr>
          <w:p w14:paraId="618D5AAA" w14:textId="77777777" w:rsidR="00C6282F" w:rsidRPr="00BF6334" w:rsidRDefault="00C6282F" w:rsidP="00BF6334">
            <w:pPr>
              <w:spacing w:before="120" w:after="120"/>
              <w:jc w:val="center"/>
              <w:rPr>
                <w:rStyle w:val="Hyperlink"/>
                <w:b/>
                <w:bCs/>
              </w:rPr>
            </w:pPr>
            <w:r w:rsidRPr="00BF6334">
              <w:rPr>
                <w:b/>
                <w:bCs/>
              </w:rPr>
              <w:t>INN</w:t>
            </w:r>
          </w:p>
        </w:tc>
        <w:tc>
          <w:tcPr>
            <w:tcW w:w="1390" w:type="pct"/>
          </w:tcPr>
          <w:p w14:paraId="06DC1616" w14:textId="77777777" w:rsidR="00C6282F" w:rsidRPr="00BF6334" w:rsidRDefault="00C6282F" w:rsidP="00BF6334">
            <w:pPr>
              <w:spacing w:before="120" w:after="120"/>
              <w:rPr>
                <w:rStyle w:val="Hyperlink"/>
                <w:color w:val="auto"/>
                <w:szCs w:val="22"/>
                <w:u w:val="none"/>
              </w:rPr>
            </w:pPr>
            <w:r w:rsidRPr="00C6282F">
              <w:t>In Network</w:t>
            </w:r>
          </w:p>
        </w:tc>
        <w:tc>
          <w:tcPr>
            <w:tcW w:w="2701" w:type="pct"/>
          </w:tcPr>
          <w:p w14:paraId="4447F3CD" w14:textId="77777777" w:rsidR="00C6282F" w:rsidRPr="00BF6334" w:rsidRDefault="00C6282F" w:rsidP="00BF6334">
            <w:pPr>
              <w:spacing w:before="120" w:after="120"/>
              <w:rPr>
                <w:rStyle w:val="Hyperlink"/>
              </w:rPr>
            </w:pPr>
            <w:r w:rsidRPr="00C6282F">
              <w:t>A retail pharmacy, mail-order pharmacy, or specialty pharmacy that has entered into an agreement with us to provide prescription drugs or specialty pharmacy medications to Enrollees.</w:t>
            </w:r>
          </w:p>
        </w:tc>
      </w:tr>
      <w:tr w:rsidR="00C6282F" w14:paraId="7D0088E9" w14:textId="77777777" w:rsidTr="00BD031B">
        <w:tc>
          <w:tcPr>
            <w:tcW w:w="909" w:type="pct"/>
          </w:tcPr>
          <w:p w14:paraId="7B88CC32" w14:textId="25A1A0D6" w:rsidR="00C6282F" w:rsidRPr="00BF6334" w:rsidRDefault="00C6282F" w:rsidP="00BF6334">
            <w:pPr>
              <w:spacing w:before="120" w:after="120"/>
              <w:jc w:val="center"/>
              <w:rPr>
                <w:rStyle w:val="Hyperlink"/>
              </w:rPr>
            </w:pPr>
            <w:r w:rsidRPr="00C6282F">
              <w:rPr>
                <w:b/>
                <w:bCs/>
                <w:color w:val="000000" w:themeColor="text1"/>
              </w:rPr>
              <w:t>INT</w:t>
            </w:r>
          </w:p>
        </w:tc>
        <w:tc>
          <w:tcPr>
            <w:tcW w:w="1390" w:type="pct"/>
          </w:tcPr>
          <w:p w14:paraId="4A0E84C9" w14:textId="77777777" w:rsidR="00C6282F" w:rsidRPr="00BF6334" w:rsidRDefault="00C6282F" w:rsidP="00BF6334">
            <w:pPr>
              <w:spacing w:before="120" w:after="120"/>
              <w:rPr>
                <w:rStyle w:val="Hyperlink"/>
              </w:rPr>
            </w:pPr>
            <w:r w:rsidRPr="00C6282F">
              <w:t>Integrated</w:t>
            </w:r>
          </w:p>
        </w:tc>
        <w:tc>
          <w:tcPr>
            <w:tcW w:w="2701" w:type="pct"/>
          </w:tcPr>
          <w:p w14:paraId="2A08FF25" w14:textId="77777777" w:rsidR="00C6282F" w:rsidRPr="00BF6334" w:rsidRDefault="00C6282F" w:rsidP="00BF6334">
            <w:pPr>
              <w:spacing w:before="120" w:after="120"/>
              <w:rPr>
                <w:rStyle w:val="Hyperlink"/>
              </w:rPr>
            </w:pPr>
            <w:r w:rsidRPr="00C6282F">
              <w:t>Linked or Coordinated.</w:t>
            </w:r>
          </w:p>
        </w:tc>
      </w:tr>
      <w:tr w:rsidR="00C6282F" w14:paraId="5B32402E" w14:textId="77777777" w:rsidTr="00BD031B">
        <w:tc>
          <w:tcPr>
            <w:tcW w:w="909" w:type="pct"/>
          </w:tcPr>
          <w:p w14:paraId="0CF5DEEF" w14:textId="77777777" w:rsidR="00C6282F" w:rsidRPr="00BF6334" w:rsidRDefault="00C6282F" w:rsidP="00BF6334">
            <w:pPr>
              <w:spacing w:before="120" w:after="120"/>
              <w:jc w:val="center"/>
              <w:rPr>
                <w:rStyle w:val="Hyperlink"/>
              </w:rPr>
            </w:pPr>
            <w:r w:rsidRPr="00C6282F">
              <w:rPr>
                <w:b/>
                <w:color w:val="000000"/>
              </w:rPr>
              <w:t>INTNG</w:t>
            </w:r>
          </w:p>
        </w:tc>
        <w:tc>
          <w:tcPr>
            <w:tcW w:w="1390" w:type="pct"/>
          </w:tcPr>
          <w:p w14:paraId="4F762D5F" w14:textId="77777777" w:rsidR="00C6282F" w:rsidRPr="00BF6334" w:rsidRDefault="00C6282F" w:rsidP="00BF6334">
            <w:pPr>
              <w:spacing w:before="120" w:after="120"/>
              <w:rPr>
                <w:rStyle w:val="Hyperlink"/>
              </w:rPr>
            </w:pPr>
            <w:r w:rsidRPr="00C6282F">
              <w:t>Integriguard</w:t>
            </w:r>
          </w:p>
        </w:tc>
        <w:tc>
          <w:tcPr>
            <w:tcW w:w="2701" w:type="pct"/>
          </w:tcPr>
          <w:p w14:paraId="03B77859" w14:textId="270FF051" w:rsidR="00C6282F" w:rsidRPr="00BF6334" w:rsidRDefault="00C6282F" w:rsidP="00BF6334">
            <w:pPr>
              <w:spacing w:before="120" w:after="120"/>
              <w:rPr>
                <w:rStyle w:val="Hyperlink"/>
              </w:rPr>
            </w:pPr>
            <w:r w:rsidRPr="00C6282F">
              <w:t>It is the acronym for an old retroactive vendor. When items are on hold for retro processing the hold reason is “INTG” in FACETS even though the new vendor is Reed and Associates.</w:t>
            </w:r>
          </w:p>
        </w:tc>
      </w:tr>
      <w:tr w:rsidR="00C6282F" w14:paraId="604CC971" w14:textId="77777777" w:rsidTr="00BD031B">
        <w:tc>
          <w:tcPr>
            <w:tcW w:w="909" w:type="pct"/>
            <w:vMerge w:val="restart"/>
          </w:tcPr>
          <w:p w14:paraId="35380F6B" w14:textId="77777777" w:rsidR="00C6282F" w:rsidRPr="00BF6334" w:rsidRDefault="00C6282F" w:rsidP="00BF6334">
            <w:pPr>
              <w:spacing w:before="120" w:after="120"/>
              <w:jc w:val="center"/>
              <w:rPr>
                <w:rStyle w:val="Hyperlink"/>
              </w:rPr>
            </w:pPr>
            <w:r w:rsidRPr="00C6282F">
              <w:rPr>
                <w:b/>
                <w:color w:val="000000"/>
              </w:rPr>
              <w:t>INV</w:t>
            </w:r>
          </w:p>
        </w:tc>
        <w:tc>
          <w:tcPr>
            <w:tcW w:w="1390" w:type="pct"/>
          </w:tcPr>
          <w:p w14:paraId="42B450B1" w14:textId="77777777" w:rsidR="00C6282F" w:rsidRPr="00BF6334" w:rsidRDefault="00C6282F" w:rsidP="00BF6334">
            <w:pPr>
              <w:spacing w:before="120" w:after="120"/>
              <w:rPr>
                <w:rStyle w:val="Hyperlink"/>
              </w:rPr>
            </w:pPr>
            <w:r w:rsidRPr="00C6282F">
              <w:t>Inventory</w:t>
            </w:r>
          </w:p>
        </w:tc>
        <w:tc>
          <w:tcPr>
            <w:tcW w:w="2701" w:type="pct"/>
          </w:tcPr>
          <w:p w14:paraId="1A886175" w14:textId="77777777" w:rsidR="00C6282F" w:rsidRPr="00BF6334" w:rsidRDefault="00C6282F" w:rsidP="00BF6334">
            <w:pPr>
              <w:spacing w:before="120" w:after="120"/>
              <w:rPr>
                <w:rStyle w:val="Hyperlink"/>
              </w:rPr>
            </w:pPr>
            <w:r w:rsidRPr="00C6282F">
              <w:t>The amount of medication we have in stock.</w:t>
            </w:r>
          </w:p>
        </w:tc>
      </w:tr>
      <w:tr w:rsidR="00C6282F" w14:paraId="74D45E6F" w14:textId="77777777" w:rsidTr="00BD031B">
        <w:tc>
          <w:tcPr>
            <w:tcW w:w="909" w:type="pct"/>
            <w:vMerge/>
          </w:tcPr>
          <w:p w14:paraId="56B21A92" w14:textId="77777777" w:rsidR="00C6282F" w:rsidRPr="00BF6334" w:rsidRDefault="00C6282F" w:rsidP="00BF6334">
            <w:pPr>
              <w:spacing w:before="120" w:after="120"/>
              <w:rPr>
                <w:rStyle w:val="Hyperlink"/>
              </w:rPr>
            </w:pPr>
          </w:p>
        </w:tc>
        <w:tc>
          <w:tcPr>
            <w:tcW w:w="1390" w:type="pct"/>
          </w:tcPr>
          <w:p w14:paraId="09B224A4" w14:textId="77777777" w:rsidR="00C6282F" w:rsidRPr="00BF6334" w:rsidRDefault="00C6282F" w:rsidP="00BF6334">
            <w:pPr>
              <w:spacing w:before="120" w:after="120"/>
              <w:rPr>
                <w:rStyle w:val="Hyperlink"/>
              </w:rPr>
            </w:pPr>
            <w:r w:rsidRPr="00C6282F">
              <w:t>Invoice</w:t>
            </w:r>
          </w:p>
        </w:tc>
        <w:tc>
          <w:tcPr>
            <w:tcW w:w="2701" w:type="pct"/>
          </w:tcPr>
          <w:p w14:paraId="123453A4" w14:textId="77777777" w:rsidR="00C6282F" w:rsidRPr="00BF6334" w:rsidRDefault="00C6282F" w:rsidP="00BF6334">
            <w:pPr>
              <w:spacing w:before="120" w:after="120"/>
              <w:rPr>
                <w:rStyle w:val="Hyperlink"/>
                <w:noProof/>
                <w:color w:val="auto"/>
                <w:szCs w:val="22"/>
                <w:u w:val="none"/>
              </w:rPr>
            </w:pPr>
            <w:r w:rsidRPr="00C6282F">
              <w:rPr>
                <w:rFonts w:cs="Arial"/>
                <w:lang w:val="en"/>
              </w:rPr>
              <w:t xml:space="preserve">This is a list of goods sent or services provided, with a statement of the sum due for </w:t>
            </w:r>
            <w:r w:rsidRPr="00BF6334">
              <w:rPr>
                <w:rFonts w:cs="Arial"/>
                <w:lang w:val="en"/>
              </w:rPr>
              <w:t>these,</w:t>
            </w:r>
            <w:r w:rsidRPr="00C6282F">
              <w:rPr>
                <w:rFonts w:cs="Arial"/>
                <w:lang w:val="en"/>
              </w:rPr>
              <w:t xml:space="preserve"> a bill.</w:t>
            </w:r>
            <w:r w:rsidRPr="00C6282F">
              <w:rPr>
                <w:noProof/>
              </w:rPr>
              <w:t xml:space="preserve"> </w:t>
            </w:r>
          </w:p>
        </w:tc>
      </w:tr>
      <w:tr w:rsidR="00C6282F" w14:paraId="1D8B55FE" w14:textId="77777777" w:rsidTr="00BD031B">
        <w:tc>
          <w:tcPr>
            <w:tcW w:w="909" w:type="pct"/>
            <w:vMerge/>
          </w:tcPr>
          <w:p w14:paraId="58606DB0" w14:textId="77777777" w:rsidR="00C6282F" w:rsidRPr="00BF6334" w:rsidRDefault="00C6282F" w:rsidP="00BF6334">
            <w:pPr>
              <w:spacing w:before="120" w:after="120"/>
              <w:rPr>
                <w:rStyle w:val="Hyperlink"/>
              </w:rPr>
            </w:pPr>
          </w:p>
        </w:tc>
        <w:tc>
          <w:tcPr>
            <w:tcW w:w="1390" w:type="pct"/>
          </w:tcPr>
          <w:p w14:paraId="065CEEF4" w14:textId="77777777" w:rsidR="00C6282F" w:rsidRPr="00BF6334" w:rsidRDefault="00C6282F" w:rsidP="00BF6334">
            <w:pPr>
              <w:spacing w:before="120" w:after="120"/>
              <w:rPr>
                <w:rStyle w:val="Hyperlink"/>
                <w:color w:val="auto"/>
                <w:szCs w:val="22"/>
                <w:u w:val="none"/>
              </w:rPr>
            </w:pPr>
            <w:r w:rsidRPr="00C6282F">
              <w:t>Individual</w:t>
            </w:r>
          </w:p>
        </w:tc>
        <w:tc>
          <w:tcPr>
            <w:tcW w:w="2701" w:type="pct"/>
          </w:tcPr>
          <w:p w14:paraId="3647BD57" w14:textId="7458AEB5" w:rsidR="00C6282F" w:rsidRPr="00BF6334" w:rsidRDefault="00C6282F" w:rsidP="00BF6334">
            <w:pPr>
              <w:spacing w:before="120" w:after="120"/>
              <w:rPr>
                <w:rStyle w:val="Hyperlink"/>
              </w:rPr>
            </w:pPr>
            <w:r w:rsidRPr="00C6282F">
              <w:t>One person</w:t>
            </w:r>
            <w:r w:rsidR="00BD031B">
              <w:t>.</w:t>
            </w:r>
          </w:p>
        </w:tc>
      </w:tr>
      <w:tr w:rsidR="00C6282F" w14:paraId="658D4524" w14:textId="77777777" w:rsidTr="00BD031B">
        <w:tc>
          <w:tcPr>
            <w:tcW w:w="909" w:type="pct"/>
          </w:tcPr>
          <w:p w14:paraId="60C39DBA" w14:textId="77777777" w:rsidR="00C6282F" w:rsidRPr="00BF6334" w:rsidRDefault="00C6282F" w:rsidP="00BF6334">
            <w:pPr>
              <w:spacing w:before="120" w:after="120"/>
              <w:jc w:val="center"/>
              <w:rPr>
                <w:rStyle w:val="Hyperlink"/>
              </w:rPr>
            </w:pPr>
            <w:r w:rsidRPr="00C6282F">
              <w:rPr>
                <w:b/>
                <w:color w:val="000000"/>
              </w:rPr>
              <w:t>INVDNR</w:t>
            </w:r>
          </w:p>
        </w:tc>
        <w:tc>
          <w:tcPr>
            <w:tcW w:w="1390" w:type="pct"/>
          </w:tcPr>
          <w:p w14:paraId="4B86C6E8" w14:textId="77777777" w:rsidR="00C6282F" w:rsidRPr="00BF6334" w:rsidRDefault="00C6282F" w:rsidP="00BF6334">
            <w:pPr>
              <w:spacing w:before="120" w:after="120"/>
              <w:rPr>
                <w:rStyle w:val="Hyperlink"/>
                <w:color w:val="auto"/>
                <w:szCs w:val="22"/>
                <w:u w:val="none"/>
              </w:rPr>
            </w:pPr>
            <w:r w:rsidRPr="00C6282F">
              <w:t xml:space="preserve">Individual disenrollment and </w:t>
            </w:r>
            <w:r w:rsidRPr="00BF6334">
              <w:t>I</w:t>
            </w:r>
            <w:r w:rsidRPr="00C6282F">
              <w:t xml:space="preserve">nvoluntary </w:t>
            </w:r>
            <w:r w:rsidRPr="00BF6334">
              <w:t>D</w:t>
            </w:r>
            <w:r w:rsidRPr="00C6282F">
              <w:t>isenrollment</w:t>
            </w:r>
          </w:p>
        </w:tc>
        <w:tc>
          <w:tcPr>
            <w:tcW w:w="2701" w:type="pct"/>
          </w:tcPr>
          <w:p w14:paraId="0C89800F" w14:textId="77777777" w:rsidR="00C6282F" w:rsidRPr="00BF6334" w:rsidRDefault="00C6282F" w:rsidP="00BF6334">
            <w:pPr>
              <w:spacing w:before="120" w:after="120"/>
              <w:rPr>
                <w:rStyle w:val="Hyperlink"/>
              </w:rPr>
            </w:pPr>
            <w:r w:rsidRPr="00C6282F">
              <w:t>Can occur due to non-payment of premiums.</w:t>
            </w:r>
          </w:p>
        </w:tc>
      </w:tr>
      <w:tr w:rsidR="00C6282F" w14:paraId="620AC1C8" w14:textId="77777777" w:rsidTr="00BD031B">
        <w:tc>
          <w:tcPr>
            <w:tcW w:w="909" w:type="pct"/>
          </w:tcPr>
          <w:p w14:paraId="061EDBD2" w14:textId="77777777" w:rsidR="00C6282F" w:rsidRPr="00BF6334" w:rsidRDefault="00C6282F" w:rsidP="00BF6334">
            <w:pPr>
              <w:spacing w:before="120" w:after="120"/>
              <w:jc w:val="center"/>
              <w:rPr>
                <w:rStyle w:val="Hyperlink"/>
              </w:rPr>
            </w:pPr>
            <w:r w:rsidRPr="00C6282F">
              <w:rPr>
                <w:b/>
                <w:color w:val="000000"/>
              </w:rPr>
              <w:t>IP</w:t>
            </w:r>
          </w:p>
        </w:tc>
        <w:tc>
          <w:tcPr>
            <w:tcW w:w="1390" w:type="pct"/>
          </w:tcPr>
          <w:p w14:paraId="68E3BF8F" w14:textId="77777777" w:rsidR="00C6282F" w:rsidRPr="00BF6334" w:rsidRDefault="00C6282F" w:rsidP="00BF6334">
            <w:pPr>
              <w:spacing w:before="120" w:after="120"/>
              <w:rPr>
                <w:rStyle w:val="Hyperlink"/>
              </w:rPr>
            </w:pPr>
            <w:r w:rsidRPr="00C6282F">
              <w:t>In Process</w:t>
            </w:r>
          </w:p>
        </w:tc>
        <w:tc>
          <w:tcPr>
            <w:tcW w:w="2701" w:type="pct"/>
          </w:tcPr>
          <w:p w14:paraId="0438BA9A" w14:textId="77777777" w:rsidR="00C6282F" w:rsidRPr="00BF6334" w:rsidRDefault="00C6282F" w:rsidP="00BF6334">
            <w:pPr>
              <w:spacing w:before="120" w:after="120"/>
              <w:rPr>
                <w:rStyle w:val="Hyperlink"/>
                <w:color w:val="auto"/>
                <w:szCs w:val="22"/>
                <w:u w:val="none"/>
              </w:rPr>
            </w:pPr>
            <w:r w:rsidRPr="00C6282F">
              <w:t>The order is currently in house and is being addressed. It has not been resolved or shipped.</w:t>
            </w:r>
          </w:p>
        </w:tc>
      </w:tr>
      <w:tr w:rsidR="00C6282F" w14:paraId="6BC61B6B" w14:textId="77777777" w:rsidTr="00BD031B">
        <w:tc>
          <w:tcPr>
            <w:tcW w:w="909" w:type="pct"/>
          </w:tcPr>
          <w:p w14:paraId="3F290E68" w14:textId="77777777" w:rsidR="00C6282F" w:rsidRPr="00BF6334" w:rsidRDefault="00C6282F" w:rsidP="00BF6334">
            <w:pPr>
              <w:spacing w:before="120" w:after="120"/>
              <w:jc w:val="center"/>
              <w:rPr>
                <w:rStyle w:val="Hyperlink"/>
              </w:rPr>
            </w:pPr>
            <w:r w:rsidRPr="00C6282F">
              <w:rPr>
                <w:b/>
                <w:color w:val="000000"/>
              </w:rPr>
              <w:t>IPA</w:t>
            </w:r>
          </w:p>
        </w:tc>
        <w:tc>
          <w:tcPr>
            <w:tcW w:w="1390" w:type="pct"/>
          </w:tcPr>
          <w:p w14:paraId="251A7C55" w14:textId="77777777" w:rsidR="00C6282F" w:rsidRPr="00BF6334" w:rsidRDefault="00C6282F" w:rsidP="00BF6334">
            <w:pPr>
              <w:spacing w:before="120" w:after="120"/>
              <w:rPr>
                <w:rStyle w:val="Hyperlink"/>
                <w:color w:val="auto"/>
                <w:szCs w:val="22"/>
                <w:u w:val="none"/>
              </w:rPr>
            </w:pPr>
            <w:r w:rsidRPr="00C6282F">
              <w:t>Independent Practice Association</w:t>
            </w:r>
          </w:p>
        </w:tc>
        <w:tc>
          <w:tcPr>
            <w:tcW w:w="2701" w:type="pct"/>
          </w:tcPr>
          <w:p w14:paraId="04208679" w14:textId="77777777" w:rsidR="00C6282F" w:rsidRPr="00BF6334" w:rsidRDefault="00C6282F" w:rsidP="00BF6334">
            <w:pPr>
              <w:spacing w:before="120" w:after="120"/>
              <w:rPr>
                <w:rStyle w:val="Hyperlink"/>
              </w:rPr>
            </w:pPr>
            <w:r w:rsidRPr="00C6282F">
              <w:t>Network of medical prescribers.</w:t>
            </w:r>
          </w:p>
        </w:tc>
      </w:tr>
      <w:tr w:rsidR="00C6282F" w14:paraId="07304AB0" w14:textId="77777777" w:rsidTr="00BD031B">
        <w:tc>
          <w:tcPr>
            <w:tcW w:w="909" w:type="pct"/>
          </w:tcPr>
          <w:p w14:paraId="452C3690" w14:textId="77777777" w:rsidR="00C6282F" w:rsidRPr="00BF6334" w:rsidRDefault="00C6282F" w:rsidP="00BF6334">
            <w:pPr>
              <w:spacing w:before="120" w:after="120"/>
              <w:jc w:val="center"/>
              <w:rPr>
                <w:rStyle w:val="Hyperlink"/>
              </w:rPr>
            </w:pPr>
            <w:r w:rsidRPr="00C6282F">
              <w:rPr>
                <w:b/>
                <w:bCs/>
              </w:rPr>
              <w:t>IR</w:t>
            </w:r>
          </w:p>
        </w:tc>
        <w:tc>
          <w:tcPr>
            <w:tcW w:w="1390" w:type="pct"/>
          </w:tcPr>
          <w:p w14:paraId="4C360CC0" w14:textId="77777777" w:rsidR="00C6282F" w:rsidRPr="00BF6334" w:rsidRDefault="00C6282F" w:rsidP="00BF6334">
            <w:pPr>
              <w:spacing w:before="120" w:after="120"/>
              <w:rPr>
                <w:rStyle w:val="Hyperlink"/>
              </w:rPr>
            </w:pPr>
            <w:r w:rsidRPr="00C6282F">
              <w:t>Immediate Release</w:t>
            </w:r>
          </w:p>
        </w:tc>
        <w:tc>
          <w:tcPr>
            <w:tcW w:w="2701" w:type="pct"/>
          </w:tcPr>
          <w:p w14:paraId="509404CE" w14:textId="77777777" w:rsidR="00C6282F" w:rsidRPr="00BF6334" w:rsidRDefault="00C6282F" w:rsidP="00BF6334">
            <w:pPr>
              <w:spacing w:before="120" w:after="120"/>
              <w:rPr>
                <w:rStyle w:val="Hyperlink"/>
              </w:rPr>
            </w:pPr>
            <w:r w:rsidRPr="00C6282F">
              <w:t>A medication developed to dissolve without delaying or prolonging dissolution or absorption of the drug.</w:t>
            </w:r>
          </w:p>
        </w:tc>
      </w:tr>
      <w:tr w:rsidR="00C6282F" w14:paraId="109F6133" w14:textId="77777777" w:rsidTr="00BD031B">
        <w:tc>
          <w:tcPr>
            <w:tcW w:w="909" w:type="pct"/>
          </w:tcPr>
          <w:p w14:paraId="7F4171FB" w14:textId="77777777" w:rsidR="00C6282F" w:rsidRPr="00BF6334" w:rsidRDefault="00C6282F" w:rsidP="00BF6334">
            <w:pPr>
              <w:spacing w:before="120" w:after="120"/>
              <w:jc w:val="center"/>
              <w:rPr>
                <w:rStyle w:val="Hyperlink"/>
              </w:rPr>
            </w:pPr>
            <w:r w:rsidRPr="00C6282F">
              <w:rPr>
                <w:b/>
                <w:bCs/>
              </w:rPr>
              <w:t>IR</w:t>
            </w:r>
            <w:r w:rsidRPr="00BF6334">
              <w:rPr>
                <w:b/>
                <w:bCs/>
              </w:rPr>
              <w:t>A</w:t>
            </w:r>
          </w:p>
        </w:tc>
        <w:tc>
          <w:tcPr>
            <w:tcW w:w="1390" w:type="pct"/>
          </w:tcPr>
          <w:p w14:paraId="0CBEA67E" w14:textId="77777777" w:rsidR="00C6282F" w:rsidRPr="00BF6334" w:rsidRDefault="00C6282F" w:rsidP="00BF6334">
            <w:pPr>
              <w:spacing w:before="120" w:after="120"/>
              <w:rPr>
                <w:rStyle w:val="Hyperlink"/>
              </w:rPr>
            </w:pPr>
            <w:r w:rsidRPr="00C6282F">
              <w:t>Inflation Reduction Act</w:t>
            </w:r>
          </w:p>
        </w:tc>
        <w:tc>
          <w:tcPr>
            <w:tcW w:w="2701" w:type="pct"/>
          </w:tcPr>
          <w:p w14:paraId="0905F071" w14:textId="77777777" w:rsidR="00C6282F" w:rsidRPr="00BF6334" w:rsidRDefault="00C6282F" w:rsidP="00BF6334">
            <w:pPr>
              <w:spacing w:before="120" w:after="120"/>
              <w:rPr>
                <w:rStyle w:val="Hyperlink"/>
              </w:rPr>
            </w:pPr>
            <w:r w:rsidRPr="00C6282F">
              <w:t>New law which aims to curb inflation by possibly reducing the federal government budget deficit.</w:t>
            </w:r>
          </w:p>
        </w:tc>
      </w:tr>
      <w:tr w:rsidR="00C6282F" w14:paraId="6549C82D" w14:textId="77777777" w:rsidTr="00BD031B">
        <w:tc>
          <w:tcPr>
            <w:tcW w:w="909" w:type="pct"/>
          </w:tcPr>
          <w:p w14:paraId="616306E1" w14:textId="77777777" w:rsidR="00C6282F" w:rsidRPr="00BF6334" w:rsidRDefault="00C6282F" w:rsidP="00BF6334">
            <w:pPr>
              <w:spacing w:before="120" w:after="120"/>
              <w:jc w:val="center"/>
              <w:rPr>
                <w:rStyle w:val="Hyperlink"/>
              </w:rPr>
            </w:pPr>
            <w:r w:rsidRPr="00C6282F">
              <w:rPr>
                <w:b/>
                <w:bCs/>
              </w:rPr>
              <w:t>IRC</w:t>
            </w:r>
          </w:p>
        </w:tc>
        <w:tc>
          <w:tcPr>
            <w:tcW w:w="1390" w:type="pct"/>
          </w:tcPr>
          <w:p w14:paraId="2F0BCF8A" w14:textId="77777777" w:rsidR="00C6282F" w:rsidRPr="00BF6334" w:rsidRDefault="00C6282F" w:rsidP="00BF6334">
            <w:pPr>
              <w:spacing w:before="120" w:after="120"/>
              <w:rPr>
                <w:rStyle w:val="Hyperlink"/>
              </w:rPr>
            </w:pPr>
            <w:r w:rsidRPr="00C6282F">
              <w:t>Information Request Code</w:t>
            </w:r>
          </w:p>
        </w:tc>
        <w:tc>
          <w:tcPr>
            <w:tcW w:w="2701" w:type="pct"/>
          </w:tcPr>
          <w:p w14:paraId="7325A6E3" w14:textId="77777777" w:rsidR="00C6282F" w:rsidRPr="00BF6334" w:rsidRDefault="00C6282F" w:rsidP="00BF6334">
            <w:pPr>
              <w:spacing w:before="120" w:after="120"/>
              <w:rPr>
                <w:rStyle w:val="Hyperlink"/>
              </w:rPr>
            </w:pPr>
            <w:r w:rsidRPr="00C6282F">
              <w:t>Code used when requesting specific information.</w:t>
            </w:r>
          </w:p>
        </w:tc>
      </w:tr>
      <w:tr w:rsidR="00C6282F" w14:paraId="60D5361A" w14:textId="77777777" w:rsidTr="00BD031B">
        <w:tc>
          <w:tcPr>
            <w:tcW w:w="909" w:type="pct"/>
          </w:tcPr>
          <w:p w14:paraId="048E54D5" w14:textId="77777777" w:rsidR="00C6282F" w:rsidRPr="00BF6334" w:rsidRDefault="00C6282F" w:rsidP="00BF6334">
            <w:pPr>
              <w:spacing w:before="120" w:after="120"/>
              <w:jc w:val="center"/>
              <w:rPr>
                <w:rStyle w:val="Hyperlink"/>
              </w:rPr>
            </w:pPr>
            <w:r w:rsidRPr="00C6282F">
              <w:rPr>
                <w:b/>
                <w:bCs/>
              </w:rPr>
              <w:t>IRE</w:t>
            </w:r>
          </w:p>
        </w:tc>
        <w:tc>
          <w:tcPr>
            <w:tcW w:w="1390" w:type="pct"/>
          </w:tcPr>
          <w:p w14:paraId="635933DD" w14:textId="77777777" w:rsidR="00C6282F" w:rsidRPr="00BF6334" w:rsidRDefault="00C6282F" w:rsidP="00BF6334">
            <w:pPr>
              <w:spacing w:before="120" w:after="120"/>
              <w:rPr>
                <w:rStyle w:val="Hyperlink"/>
              </w:rPr>
            </w:pPr>
            <w:r w:rsidRPr="00C6282F">
              <w:t>Independent Review Entity</w:t>
            </w:r>
          </w:p>
        </w:tc>
        <w:tc>
          <w:tcPr>
            <w:tcW w:w="2701" w:type="pct"/>
          </w:tcPr>
          <w:p w14:paraId="36617F01" w14:textId="1036824F" w:rsidR="00C6282F" w:rsidRPr="00BF6334" w:rsidRDefault="00C6282F" w:rsidP="00BF6334">
            <w:pPr>
              <w:spacing w:before="120" w:after="120"/>
              <w:rPr>
                <w:rStyle w:val="Hyperlink"/>
                <w:color w:val="auto"/>
                <w:u w:val="none"/>
              </w:rPr>
            </w:pPr>
            <w:r w:rsidRPr="00C6282F">
              <w:t>An independent agency contracted with CMS (Medicare) to conduct an external review ensuring current policies of Medicare and the MED D plan are being followed.</w:t>
            </w:r>
            <w:r>
              <w:t xml:space="preserve"> </w:t>
            </w:r>
            <w:r w:rsidRPr="00C6282F">
              <w:t>C2C Innovative Solutions is the IRE appointed by CMS (as of 02/01/2021).</w:t>
            </w:r>
          </w:p>
        </w:tc>
      </w:tr>
      <w:tr w:rsidR="00C6282F" w14:paraId="02E71110" w14:textId="77777777" w:rsidTr="00BD031B">
        <w:tc>
          <w:tcPr>
            <w:tcW w:w="909" w:type="pct"/>
          </w:tcPr>
          <w:p w14:paraId="4A9ED941" w14:textId="77777777" w:rsidR="00C6282F" w:rsidRPr="00BF6334" w:rsidRDefault="00C6282F" w:rsidP="00BF6334">
            <w:pPr>
              <w:spacing w:before="120" w:after="120"/>
              <w:jc w:val="center"/>
              <w:rPr>
                <w:rStyle w:val="Hyperlink"/>
              </w:rPr>
            </w:pPr>
            <w:r w:rsidRPr="00C6282F">
              <w:rPr>
                <w:b/>
              </w:rPr>
              <w:t>IRMAA</w:t>
            </w:r>
          </w:p>
        </w:tc>
        <w:tc>
          <w:tcPr>
            <w:tcW w:w="1390" w:type="pct"/>
          </w:tcPr>
          <w:p w14:paraId="4B016183" w14:textId="77777777" w:rsidR="00C6282F" w:rsidRPr="00C6282F" w:rsidRDefault="00C6282F" w:rsidP="00C6282F">
            <w:pPr>
              <w:spacing w:before="120" w:after="120"/>
            </w:pPr>
            <w:r w:rsidRPr="00C6282F">
              <w:t>Income Related Monthly Adjustment Amounts Letter</w:t>
            </w:r>
          </w:p>
          <w:p w14:paraId="0F06C2B3" w14:textId="77777777" w:rsidR="00C6282F" w:rsidRPr="00BF6334" w:rsidRDefault="00C6282F" w:rsidP="00BF6334">
            <w:pPr>
              <w:spacing w:before="120" w:after="120"/>
              <w:rPr>
                <w:rStyle w:val="Hyperlink"/>
              </w:rPr>
            </w:pPr>
          </w:p>
        </w:tc>
        <w:tc>
          <w:tcPr>
            <w:tcW w:w="2701" w:type="pct"/>
          </w:tcPr>
          <w:p w14:paraId="1167F3EB" w14:textId="702823B6" w:rsidR="00C6282F" w:rsidRPr="00BF6334" w:rsidRDefault="00C6282F" w:rsidP="00BF6334">
            <w:pPr>
              <w:spacing w:before="120" w:after="120"/>
              <w:rPr>
                <w:rStyle w:val="Hyperlink"/>
                <w:color w:val="auto"/>
                <w:szCs w:val="22"/>
                <w:u w:val="none"/>
              </w:rPr>
            </w:pPr>
            <w:r w:rsidRPr="00C6282F">
              <w:t>Medicare Part D - A beneficiary will receive this notice if they have Medicare Part B and/or Part D and Social Security determines any Income Related Monthly Adjustment Amounts that apply.</w:t>
            </w:r>
            <w:r>
              <w:t xml:space="preserve"> </w:t>
            </w:r>
            <w:r w:rsidRPr="00C6282F">
              <w:t>This letter also includes information about Social Security’s determination and appeals rights.</w:t>
            </w:r>
          </w:p>
        </w:tc>
      </w:tr>
      <w:tr w:rsidR="00C6282F" w14:paraId="5C167B7E" w14:textId="77777777" w:rsidTr="00BD031B">
        <w:tc>
          <w:tcPr>
            <w:tcW w:w="909" w:type="pct"/>
          </w:tcPr>
          <w:p w14:paraId="4FE5B187" w14:textId="77777777" w:rsidR="00C6282F" w:rsidRPr="00BF6334" w:rsidRDefault="00C6282F" w:rsidP="00BF6334">
            <w:pPr>
              <w:spacing w:before="120" w:after="120"/>
              <w:jc w:val="center"/>
              <w:rPr>
                <w:rStyle w:val="Hyperlink"/>
              </w:rPr>
            </w:pPr>
            <w:r w:rsidRPr="00C6282F">
              <w:rPr>
                <w:b/>
                <w:color w:val="000000"/>
              </w:rPr>
              <w:t>IRO</w:t>
            </w:r>
          </w:p>
        </w:tc>
        <w:tc>
          <w:tcPr>
            <w:tcW w:w="1390" w:type="pct"/>
          </w:tcPr>
          <w:p w14:paraId="39D8640E" w14:textId="77777777" w:rsidR="00C6282F" w:rsidRPr="00BF6334" w:rsidRDefault="00C6282F" w:rsidP="00BF6334">
            <w:pPr>
              <w:spacing w:before="120" w:after="120"/>
              <w:rPr>
                <w:rStyle w:val="Hyperlink"/>
              </w:rPr>
            </w:pPr>
            <w:r w:rsidRPr="00C6282F">
              <w:t>Independent Review Organization</w:t>
            </w:r>
          </w:p>
        </w:tc>
        <w:tc>
          <w:tcPr>
            <w:tcW w:w="2701" w:type="pct"/>
          </w:tcPr>
          <w:p w14:paraId="3D834906" w14:textId="77777777" w:rsidR="00C6282F" w:rsidRPr="00C6282F" w:rsidRDefault="00C6282F" w:rsidP="00C6282F">
            <w:pPr>
              <w:spacing w:before="120" w:after="120"/>
            </w:pPr>
            <w:r w:rsidRPr="00C6282F">
              <w:t xml:space="preserve">An external agent contracted by us that has no material, professional, familial, or financial conflicts of interest with us. Provides unbiased, independent decisions regarding the Medical Necessity of an Appeal. </w:t>
            </w:r>
          </w:p>
          <w:p w14:paraId="70954025" w14:textId="77777777" w:rsidR="00C6282F" w:rsidRPr="00C6282F" w:rsidRDefault="00C6282F" w:rsidP="00C6282F">
            <w:pPr>
              <w:spacing w:before="120" w:after="120"/>
            </w:pPr>
          </w:p>
          <w:p w14:paraId="28CACAE5" w14:textId="77777777" w:rsidR="00C6282F" w:rsidRPr="00BF6334" w:rsidRDefault="00C6282F" w:rsidP="00BF6334">
            <w:pPr>
              <w:spacing w:before="120" w:after="120"/>
              <w:rPr>
                <w:rStyle w:val="Hyperlink"/>
                <w:color w:val="auto"/>
                <w:szCs w:val="22"/>
                <w:u w:val="none"/>
              </w:rPr>
            </w:pPr>
            <w:r w:rsidRPr="00C6282F">
              <w:t xml:space="preserve">The organization considers all previously determined facts, allows the introduction of new information and considers and assesses sound medical evidence and makes a decision that is not bound by the decisions or conclusions of the Internal Appeal. </w:t>
            </w:r>
          </w:p>
        </w:tc>
      </w:tr>
      <w:tr w:rsidR="00C6282F" w14:paraId="0F6E0C36" w14:textId="77777777" w:rsidTr="00BD031B">
        <w:tc>
          <w:tcPr>
            <w:tcW w:w="909" w:type="pct"/>
          </w:tcPr>
          <w:p w14:paraId="6FC4FF63" w14:textId="77777777" w:rsidR="00C6282F" w:rsidRDefault="00C6282F" w:rsidP="00BF6334">
            <w:pPr>
              <w:spacing w:before="120" w:after="120"/>
              <w:jc w:val="center"/>
              <w:rPr>
                <w:rStyle w:val="Hyperlink"/>
              </w:rPr>
            </w:pPr>
            <w:r w:rsidRPr="0046461C">
              <w:rPr>
                <w:b/>
                <w:color w:val="000000"/>
              </w:rPr>
              <w:t>IRS</w:t>
            </w:r>
          </w:p>
        </w:tc>
        <w:tc>
          <w:tcPr>
            <w:tcW w:w="1390" w:type="pct"/>
          </w:tcPr>
          <w:p w14:paraId="738665AF" w14:textId="77777777" w:rsidR="00C6282F" w:rsidRPr="00B75227" w:rsidRDefault="00C6282F" w:rsidP="00BF6334">
            <w:pPr>
              <w:spacing w:before="120" w:after="120"/>
              <w:rPr>
                <w:rStyle w:val="Hyperlink"/>
                <w:rFonts w:cs="Arial"/>
                <w:color w:val="auto"/>
                <w:szCs w:val="22"/>
                <w:u w:val="none"/>
              </w:rPr>
            </w:pPr>
            <w:r w:rsidRPr="002A683B">
              <w:rPr>
                <w:rFonts w:cs="Arial"/>
              </w:rPr>
              <w:t xml:space="preserve">Identical, Related or Similar </w:t>
            </w:r>
          </w:p>
        </w:tc>
        <w:tc>
          <w:tcPr>
            <w:tcW w:w="2701" w:type="pct"/>
          </w:tcPr>
          <w:p w14:paraId="05F7D9FF" w14:textId="77777777" w:rsidR="00C6282F" w:rsidRDefault="00C6282F" w:rsidP="00BF6334">
            <w:pPr>
              <w:spacing w:before="120" w:after="120"/>
              <w:rPr>
                <w:rStyle w:val="Hyperlink"/>
              </w:rPr>
            </w:pPr>
            <w:r w:rsidRPr="002A683B">
              <w:rPr>
                <w:rFonts w:cs="Arial"/>
              </w:rPr>
              <w:t>Referring to DESI medications</w:t>
            </w:r>
          </w:p>
        </w:tc>
      </w:tr>
      <w:tr w:rsidR="006917CA" w14:paraId="7625EF0C" w14:textId="77777777" w:rsidTr="00BD031B">
        <w:tc>
          <w:tcPr>
            <w:tcW w:w="909" w:type="pct"/>
          </w:tcPr>
          <w:p w14:paraId="1BD19227" w14:textId="15F32DE3" w:rsidR="00F663B6" w:rsidRPr="0046461C" w:rsidRDefault="00D07B77" w:rsidP="00BF6334">
            <w:pPr>
              <w:spacing w:before="120" w:after="120"/>
              <w:jc w:val="center"/>
              <w:rPr>
                <w:b/>
                <w:color w:val="000000"/>
              </w:rPr>
            </w:pPr>
            <w:r>
              <w:rPr>
                <w:b/>
                <w:noProof/>
                <w:color w:val="000000"/>
              </w:rPr>
              <w:drawing>
                <wp:inline distT="0" distB="0" distL="0" distR="0" wp14:anchorId="2D341B35" wp14:editId="6BE7C415">
                  <wp:extent cx="304762" cy="304762"/>
                  <wp:effectExtent l="0" t="0" r="635" b="635"/>
                  <wp:docPr id="1773239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239383" name="Picture 1773239383"/>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F663B6">
              <w:rPr>
                <w:b/>
                <w:color w:val="000000"/>
              </w:rPr>
              <w:t>ISM</w:t>
            </w:r>
          </w:p>
        </w:tc>
        <w:tc>
          <w:tcPr>
            <w:tcW w:w="1390" w:type="pct"/>
          </w:tcPr>
          <w:p w14:paraId="51E093D8" w14:textId="7933E5E2" w:rsidR="00F663B6" w:rsidRPr="002A683B" w:rsidRDefault="003C1774" w:rsidP="00BF6334">
            <w:pPr>
              <w:spacing w:before="120" w:after="120"/>
              <w:rPr>
                <w:rFonts w:cs="Arial"/>
              </w:rPr>
            </w:pPr>
            <w:r>
              <w:rPr>
                <w:rFonts w:cs="Arial"/>
              </w:rPr>
              <w:t>Integrated Service Model</w:t>
            </w:r>
          </w:p>
        </w:tc>
        <w:tc>
          <w:tcPr>
            <w:tcW w:w="2701" w:type="pct"/>
          </w:tcPr>
          <w:p w14:paraId="2F94AFB8" w14:textId="512747F3" w:rsidR="00F663B6" w:rsidRPr="002A683B" w:rsidRDefault="003C1774" w:rsidP="00BF6334">
            <w:pPr>
              <w:spacing w:before="120" w:after="120"/>
              <w:rPr>
                <w:rFonts w:cs="Arial"/>
              </w:rPr>
            </w:pPr>
            <w:r>
              <w:rPr>
                <w:rFonts w:cs="Arial"/>
              </w:rPr>
              <w:t xml:space="preserve">A team that </w:t>
            </w:r>
            <w:proofErr w:type="gramStart"/>
            <w:r>
              <w:rPr>
                <w:rFonts w:cs="Arial"/>
              </w:rPr>
              <w:t>is trained</w:t>
            </w:r>
            <w:proofErr w:type="gramEnd"/>
            <w:r>
              <w:rPr>
                <w:rFonts w:cs="Arial"/>
              </w:rPr>
              <w:t xml:space="preserve"> to </w:t>
            </w:r>
            <w:proofErr w:type="gramStart"/>
            <w:r>
              <w:rPr>
                <w:rFonts w:cs="Arial"/>
              </w:rPr>
              <w:t>handle</w:t>
            </w:r>
            <w:proofErr w:type="gramEnd"/>
            <w:r>
              <w:rPr>
                <w:rFonts w:cs="Arial"/>
              </w:rPr>
              <w:t xml:space="preserve"> both </w:t>
            </w:r>
            <w:r w:rsidR="006917CA">
              <w:rPr>
                <w:rFonts w:cs="Arial"/>
              </w:rPr>
              <w:t>members’</w:t>
            </w:r>
            <w:r w:rsidR="00885F30">
              <w:rPr>
                <w:rFonts w:cs="Arial"/>
              </w:rPr>
              <w:t xml:space="preserve"> prescription needs and medical questions, to better assist our members by reducing transfer and </w:t>
            </w:r>
            <w:proofErr w:type="gramStart"/>
            <w:r w:rsidR="00885F30">
              <w:rPr>
                <w:rFonts w:cs="Arial"/>
              </w:rPr>
              <w:t>wait</w:t>
            </w:r>
            <w:proofErr w:type="gramEnd"/>
            <w:r w:rsidR="00885F30">
              <w:rPr>
                <w:rFonts w:cs="Arial"/>
              </w:rPr>
              <w:t xml:space="preserve"> times to allow for a better member experience.</w:t>
            </w:r>
          </w:p>
        </w:tc>
      </w:tr>
      <w:tr w:rsidR="00C6282F" w14:paraId="4415AB9A" w14:textId="77777777" w:rsidTr="00BD031B">
        <w:tc>
          <w:tcPr>
            <w:tcW w:w="909" w:type="pct"/>
            <w:vMerge w:val="restart"/>
          </w:tcPr>
          <w:p w14:paraId="1DB0067C" w14:textId="77777777" w:rsidR="00C6282F" w:rsidRDefault="00C6282F" w:rsidP="00BF6334">
            <w:pPr>
              <w:tabs>
                <w:tab w:val="left" w:pos="1262"/>
              </w:tabs>
              <w:spacing w:before="120" w:after="120"/>
              <w:jc w:val="center"/>
              <w:rPr>
                <w:rStyle w:val="Hyperlink"/>
              </w:rPr>
            </w:pPr>
            <w:r w:rsidRPr="0046461C">
              <w:rPr>
                <w:b/>
                <w:color w:val="000000"/>
              </w:rPr>
              <w:t>IU</w:t>
            </w:r>
          </w:p>
        </w:tc>
        <w:tc>
          <w:tcPr>
            <w:tcW w:w="1390" w:type="pct"/>
          </w:tcPr>
          <w:p w14:paraId="04F585F6" w14:textId="77777777" w:rsidR="00C6282F" w:rsidRPr="00B75227" w:rsidRDefault="00C6282F" w:rsidP="00BF6334">
            <w:pPr>
              <w:spacing w:before="120" w:after="120"/>
              <w:rPr>
                <w:rStyle w:val="Hyperlink"/>
                <w:color w:val="auto"/>
                <w:szCs w:val="22"/>
                <w:u w:val="none"/>
              </w:rPr>
            </w:pPr>
            <w:r w:rsidRPr="002A683B">
              <w:t xml:space="preserve">Intermittent Use </w:t>
            </w:r>
          </w:p>
        </w:tc>
        <w:tc>
          <w:tcPr>
            <w:tcW w:w="2701" w:type="pct"/>
          </w:tcPr>
          <w:p w14:paraId="5A20E9B6" w14:textId="77777777" w:rsidR="00C6282F" w:rsidRDefault="00C6282F" w:rsidP="00BF6334">
            <w:pPr>
              <w:spacing w:before="120" w:after="120"/>
              <w:rPr>
                <w:rStyle w:val="Hyperlink"/>
              </w:rPr>
            </w:pPr>
            <w:r w:rsidRPr="002A683B">
              <w:t>Non-routine, non-daily, or sporadic use of drugs.</w:t>
            </w:r>
          </w:p>
        </w:tc>
      </w:tr>
      <w:tr w:rsidR="00C6282F" w14:paraId="4B821205" w14:textId="77777777" w:rsidTr="00BD031B">
        <w:tc>
          <w:tcPr>
            <w:tcW w:w="909" w:type="pct"/>
            <w:vMerge/>
          </w:tcPr>
          <w:p w14:paraId="536BC5FD" w14:textId="77777777" w:rsidR="00C6282F" w:rsidRDefault="00C6282F" w:rsidP="00BF6334">
            <w:pPr>
              <w:spacing w:before="120" w:after="120"/>
              <w:rPr>
                <w:rStyle w:val="Hyperlink"/>
              </w:rPr>
            </w:pPr>
          </w:p>
        </w:tc>
        <w:tc>
          <w:tcPr>
            <w:tcW w:w="1390" w:type="pct"/>
          </w:tcPr>
          <w:p w14:paraId="68974A1B" w14:textId="77777777" w:rsidR="00C6282F" w:rsidRPr="00B75227" w:rsidRDefault="00C6282F" w:rsidP="00BF6334">
            <w:pPr>
              <w:spacing w:before="120" w:after="120"/>
              <w:rPr>
                <w:rStyle w:val="Hyperlink"/>
                <w:color w:val="auto"/>
                <w:szCs w:val="22"/>
                <w:u w:val="none"/>
              </w:rPr>
            </w:pPr>
            <w:r w:rsidRPr="002A683B">
              <w:t>International Unit</w:t>
            </w:r>
          </w:p>
        </w:tc>
        <w:tc>
          <w:tcPr>
            <w:tcW w:w="2701" w:type="pct"/>
          </w:tcPr>
          <w:p w14:paraId="0F02EDCA" w14:textId="77777777" w:rsidR="00C6282F" w:rsidRDefault="00C6282F" w:rsidP="00BF6334">
            <w:pPr>
              <w:spacing w:before="120" w:after="120"/>
              <w:rPr>
                <w:rStyle w:val="Hyperlink"/>
              </w:rPr>
            </w:pPr>
            <w:r w:rsidRPr="002A683B">
              <w:rPr>
                <w:color w:val="202124"/>
              </w:rPr>
              <w:t>A unit of activity or potency for vitamins, hormones, or other substances, defined individually for each substance in terms of the activity of a standard quantity or preparation</w:t>
            </w:r>
          </w:p>
        </w:tc>
      </w:tr>
      <w:tr w:rsidR="00BF6334" w14:paraId="408ED566" w14:textId="77777777" w:rsidTr="00BD031B">
        <w:tc>
          <w:tcPr>
            <w:tcW w:w="909" w:type="pct"/>
          </w:tcPr>
          <w:p w14:paraId="2143668F" w14:textId="77777777" w:rsidR="00C6282F" w:rsidRDefault="00C6282F" w:rsidP="00BF6334">
            <w:pPr>
              <w:spacing w:before="120" w:after="120"/>
              <w:jc w:val="center"/>
              <w:rPr>
                <w:rStyle w:val="Hyperlink"/>
              </w:rPr>
            </w:pPr>
            <w:r w:rsidRPr="00C22B9F">
              <w:rPr>
                <w:b/>
                <w:color w:val="000000"/>
              </w:rPr>
              <w:t>IUD</w:t>
            </w:r>
          </w:p>
        </w:tc>
        <w:tc>
          <w:tcPr>
            <w:tcW w:w="1390" w:type="pct"/>
          </w:tcPr>
          <w:p w14:paraId="31C24934" w14:textId="77777777" w:rsidR="00C6282F" w:rsidRPr="00B75227" w:rsidRDefault="00C6282F" w:rsidP="00BF6334">
            <w:pPr>
              <w:spacing w:before="120" w:after="120"/>
              <w:rPr>
                <w:rStyle w:val="Hyperlink"/>
                <w:color w:val="auto"/>
                <w:szCs w:val="22"/>
                <w:u w:val="none"/>
              </w:rPr>
            </w:pPr>
            <w:r w:rsidRPr="0046461C">
              <w:t>Intrauterine Device</w:t>
            </w:r>
          </w:p>
        </w:tc>
        <w:tc>
          <w:tcPr>
            <w:tcW w:w="2701" w:type="pct"/>
          </w:tcPr>
          <w:p w14:paraId="057F0DC9" w14:textId="77777777" w:rsidR="00C6282F" w:rsidRDefault="00C6282F" w:rsidP="00BF6334">
            <w:pPr>
              <w:spacing w:before="120" w:after="120"/>
              <w:rPr>
                <w:rStyle w:val="Hyperlink"/>
              </w:rPr>
            </w:pPr>
            <w:r w:rsidRPr="002A683B">
              <w:t>A small plastic T-shaped device used for birth control. It is inserted into the uterus where it stays to prevent pregnancy.</w:t>
            </w:r>
          </w:p>
        </w:tc>
      </w:tr>
      <w:tr w:rsidR="00BF6334" w14:paraId="6FE5EBBC" w14:textId="77777777" w:rsidTr="00BD031B">
        <w:tc>
          <w:tcPr>
            <w:tcW w:w="909" w:type="pct"/>
          </w:tcPr>
          <w:p w14:paraId="2568167C" w14:textId="77777777" w:rsidR="00C6282F" w:rsidRDefault="00C6282F" w:rsidP="00BF6334">
            <w:pPr>
              <w:tabs>
                <w:tab w:val="left" w:pos="1844"/>
              </w:tabs>
              <w:spacing w:before="120" w:after="120"/>
              <w:jc w:val="center"/>
              <w:rPr>
                <w:rStyle w:val="Hyperlink"/>
              </w:rPr>
            </w:pPr>
            <w:r w:rsidRPr="00CE205A">
              <w:rPr>
                <w:b/>
                <w:color w:val="000000"/>
              </w:rPr>
              <w:t>IUI</w:t>
            </w:r>
          </w:p>
        </w:tc>
        <w:tc>
          <w:tcPr>
            <w:tcW w:w="1390" w:type="pct"/>
          </w:tcPr>
          <w:p w14:paraId="2533489F" w14:textId="77777777" w:rsidR="00C6282F" w:rsidRDefault="00C6282F" w:rsidP="00BF6334">
            <w:pPr>
              <w:spacing w:before="120" w:after="120"/>
              <w:rPr>
                <w:rStyle w:val="Hyperlink"/>
              </w:rPr>
            </w:pPr>
            <w:bookmarkStart w:id="5" w:name="OLE_LINK5"/>
            <w:bookmarkStart w:id="6" w:name="OLE_LINK6"/>
            <w:r w:rsidRPr="0046461C">
              <w:t>Integrated User Interface</w:t>
            </w:r>
            <w:bookmarkEnd w:id="5"/>
            <w:bookmarkEnd w:id="6"/>
          </w:p>
        </w:tc>
        <w:tc>
          <w:tcPr>
            <w:tcW w:w="2701" w:type="pct"/>
          </w:tcPr>
          <w:p w14:paraId="3B75D0BB" w14:textId="77777777" w:rsidR="00C6282F" w:rsidRDefault="00C6282F" w:rsidP="00BF6334">
            <w:pPr>
              <w:spacing w:before="120" w:after="120"/>
              <w:rPr>
                <w:rStyle w:val="Hyperlink"/>
              </w:rPr>
            </w:pPr>
            <w:r w:rsidRPr="006D0E22">
              <w:rPr>
                <w:rFonts w:cs="Arial"/>
                <w:shd w:val="clear" w:color="auto" w:fill="FFFFFF"/>
              </w:rPr>
              <w:t>Point of human-computer interaction and communication in a device.</w:t>
            </w:r>
          </w:p>
        </w:tc>
      </w:tr>
      <w:tr w:rsidR="00BF6334" w14:paraId="27050735" w14:textId="77777777" w:rsidTr="00BD031B">
        <w:tc>
          <w:tcPr>
            <w:tcW w:w="909" w:type="pct"/>
          </w:tcPr>
          <w:p w14:paraId="641111E5" w14:textId="77777777" w:rsidR="00C6282F" w:rsidRDefault="00C6282F" w:rsidP="00BF6334">
            <w:pPr>
              <w:tabs>
                <w:tab w:val="left" w:pos="1489"/>
              </w:tabs>
              <w:spacing w:before="120" w:after="120"/>
              <w:jc w:val="center"/>
              <w:rPr>
                <w:rStyle w:val="Hyperlink"/>
              </w:rPr>
            </w:pPr>
            <w:r w:rsidRPr="00C22B9F">
              <w:rPr>
                <w:b/>
                <w:color w:val="000000"/>
              </w:rPr>
              <w:t>IVR</w:t>
            </w:r>
          </w:p>
        </w:tc>
        <w:tc>
          <w:tcPr>
            <w:tcW w:w="1390" w:type="pct"/>
          </w:tcPr>
          <w:p w14:paraId="7DE85A6D" w14:textId="77777777" w:rsidR="00C6282F" w:rsidRDefault="00C6282F" w:rsidP="00BF6334">
            <w:pPr>
              <w:spacing w:before="120" w:after="120"/>
              <w:rPr>
                <w:rStyle w:val="Hyperlink"/>
              </w:rPr>
            </w:pPr>
            <w:r w:rsidRPr="0046461C">
              <w:t>Interactive Voice Response</w:t>
            </w:r>
          </w:p>
        </w:tc>
        <w:tc>
          <w:tcPr>
            <w:tcW w:w="2701" w:type="pct"/>
          </w:tcPr>
          <w:p w14:paraId="55E1F870" w14:textId="77777777" w:rsidR="00C6282F" w:rsidRDefault="00C6282F" w:rsidP="00BF6334">
            <w:pPr>
              <w:spacing w:before="120" w:after="120"/>
              <w:rPr>
                <w:rStyle w:val="Hyperlink"/>
              </w:rPr>
            </w:pPr>
            <w:r w:rsidRPr="002A683B">
              <w:t>Automated method for placing a refill request via a phone in mail order.</w:t>
            </w:r>
          </w:p>
        </w:tc>
      </w:tr>
    </w:tbl>
    <w:p w14:paraId="5E8B3BE5" w14:textId="1708F5EB" w:rsidR="005D5B64" w:rsidRDefault="005D5B64" w:rsidP="00BF6334">
      <w:pPr>
        <w:spacing w:before="120" w:after="120"/>
      </w:pPr>
    </w:p>
    <w:p w14:paraId="2171BBE2" w14:textId="77777777" w:rsidR="00E55B3A" w:rsidRDefault="00E55B3A" w:rsidP="00BF6334">
      <w:pPr>
        <w:spacing w:before="120" w:after="120"/>
      </w:pPr>
    </w:p>
    <w:p w14:paraId="23418A78" w14:textId="322F762E" w:rsidR="00E55B3A" w:rsidRPr="00BF6334" w:rsidRDefault="00C6282F" w:rsidP="00D02501">
      <w:pPr>
        <w:spacing w:before="120"/>
        <w:jc w:val="right"/>
      </w:pPr>
      <w:hyperlink w:anchor="_top" w:history="1">
        <w:r w:rsidRPr="00BF6334">
          <w:rPr>
            <w:rStyle w:val="Hyperlink"/>
          </w:rPr>
          <w:t>Top of</w:t>
        </w:r>
        <w:r w:rsidRPr="00BF6334">
          <w:rPr>
            <w:rStyle w:val="Hyperlink"/>
          </w:rPr>
          <w:t xml:space="preserve"> </w:t>
        </w:r>
        <w:r w:rsidRPr="00BF6334">
          <w:rPr>
            <w:rStyle w:val="Hyperlink"/>
          </w:rPr>
          <w:t>the Document</w:t>
        </w:r>
      </w:hyperlink>
    </w:p>
    <w:tbl>
      <w:tblPr>
        <w:tblW w:w="4992" w:type="pct"/>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Pr>
      <w:tblGrid>
        <w:gridCol w:w="3736"/>
        <w:gridCol w:w="9193"/>
      </w:tblGrid>
      <w:tr w:rsidR="00C6282F" w:rsidRPr="00F25025" w14:paraId="13469941" w14:textId="77777777" w:rsidTr="00380EE7">
        <w:tc>
          <w:tcPr>
            <w:tcW w:w="1445" w:type="pct"/>
            <w:shd w:val="clear" w:color="auto" w:fill="D9D9D9" w:themeFill="background1" w:themeFillShade="D9"/>
          </w:tcPr>
          <w:p w14:paraId="7C56F7CD" w14:textId="64750FA4" w:rsidR="006D0E22" w:rsidRPr="006D0E22" w:rsidRDefault="006D0E22" w:rsidP="00BF6334">
            <w:pPr>
              <w:spacing w:before="120" w:after="120"/>
              <w:jc w:val="center"/>
              <w:rPr>
                <w:rFonts w:cs="Arial"/>
                <w:b/>
                <w:bCs/>
              </w:rPr>
            </w:pPr>
            <w:bookmarkStart w:id="7" w:name="Terms_deff"/>
            <w:r w:rsidRPr="006D0E22">
              <w:rPr>
                <w:rFonts w:cs="Arial"/>
                <w:b/>
                <w:bCs/>
              </w:rPr>
              <w:t>Terms</w:t>
            </w:r>
            <w:bookmarkEnd w:id="7"/>
          </w:p>
        </w:tc>
        <w:tc>
          <w:tcPr>
            <w:tcW w:w="3555" w:type="pct"/>
            <w:shd w:val="clear" w:color="auto" w:fill="D9D9D9" w:themeFill="background1" w:themeFillShade="D9"/>
          </w:tcPr>
          <w:p w14:paraId="2F6D684A" w14:textId="481199EB" w:rsidR="006D0E22" w:rsidRPr="006D0E22" w:rsidRDefault="006D0E22" w:rsidP="00BF6334">
            <w:pPr>
              <w:spacing w:before="120" w:after="120"/>
              <w:jc w:val="center"/>
              <w:rPr>
                <w:b/>
                <w:bCs/>
              </w:rPr>
            </w:pPr>
            <w:r w:rsidRPr="006D0E22">
              <w:rPr>
                <w:b/>
                <w:bCs/>
              </w:rPr>
              <w:t>Definition</w:t>
            </w:r>
          </w:p>
        </w:tc>
      </w:tr>
      <w:tr w:rsidR="00C6282F" w:rsidRPr="00F25025" w14:paraId="4AF8ADE1" w14:textId="77777777" w:rsidTr="00380EE7">
        <w:tc>
          <w:tcPr>
            <w:tcW w:w="1445" w:type="pct"/>
          </w:tcPr>
          <w:p w14:paraId="10CE4B9D" w14:textId="77777777" w:rsidR="00967195" w:rsidRPr="00F25025" w:rsidRDefault="00967195" w:rsidP="00BF6334">
            <w:pPr>
              <w:spacing w:before="120" w:after="120"/>
              <w:rPr>
                <w:rFonts w:cs="Arial"/>
              </w:rPr>
            </w:pPr>
            <w:r>
              <w:rPr>
                <w:rFonts w:cs="Arial"/>
              </w:rPr>
              <w:t xml:space="preserve">Implementation Team </w:t>
            </w:r>
          </w:p>
        </w:tc>
        <w:tc>
          <w:tcPr>
            <w:tcW w:w="3555" w:type="pct"/>
          </w:tcPr>
          <w:p w14:paraId="5537710C" w14:textId="2DB1E6F0" w:rsidR="00967195" w:rsidRPr="00E517E4" w:rsidRDefault="00967195" w:rsidP="00BF6334">
            <w:pPr>
              <w:spacing w:before="120" w:after="120"/>
              <w:rPr>
                <w:bCs/>
              </w:rPr>
            </w:pPr>
            <w:r w:rsidRPr="00E517E4">
              <w:rPr>
                <w:bCs/>
              </w:rPr>
              <w:t xml:space="preserve">The department within the Client Operations Business Unit that coordinates efforts Qualified Clients to sponsor new and expanding Medicare Part D Plan offerings. </w:t>
            </w:r>
          </w:p>
        </w:tc>
      </w:tr>
      <w:tr w:rsidR="00C6282F" w:rsidRPr="00F25025" w14:paraId="5A0243E3" w14:textId="77777777" w:rsidTr="00380EE7">
        <w:tc>
          <w:tcPr>
            <w:tcW w:w="1445" w:type="pct"/>
            <w:shd w:val="clear" w:color="auto" w:fill="auto"/>
          </w:tcPr>
          <w:p w14:paraId="3CDA9EF7" w14:textId="77777777" w:rsidR="00F6427E" w:rsidRPr="00E517E4" w:rsidRDefault="00F6427E" w:rsidP="00BF6334">
            <w:pPr>
              <w:spacing w:before="120" w:after="120"/>
              <w:rPr>
                <w:rFonts w:cs="Arial"/>
              </w:rPr>
            </w:pPr>
            <w:r w:rsidRPr="00E517E4">
              <w:t>Incomm Premium Payments</w:t>
            </w:r>
          </w:p>
        </w:tc>
        <w:tc>
          <w:tcPr>
            <w:tcW w:w="3555" w:type="pct"/>
            <w:shd w:val="clear" w:color="auto" w:fill="auto"/>
          </w:tcPr>
          <w:p w14:paraId="750EF60D" w14:textId="0C42C551" w:rsidR="00F6427E" w:rsidRPr="00F25025" w:rsidRDefault="00F6427E" w:rsidP="00BF6334">
            <w:pPr>
              <w:spacing w:before="120" w:after="120"/>
            </w:pPr>
            <w:r w:rsidRPr="000F184C">
              <w:t>SilverScript only - third party payer used by beneficiaries to pay their Premium Billing payments at any CVS/pharmacy.</w:t>
            </w:r>
          </w:p>
        </w:tc>
      </w:tr>
      <w:tr w:rsidR="00C6282F" w:rsidRPr="00F25025" w14:paraId="58E1A92F" w14:textId="77777777" w:rsidTr="00380EE7">
        <w:tc>
          <w:tcPr>
            <w:tcW w:w="1445" w:type="pct"/>
            <w:shd w:val="clear" w:color="auto" w:fill="auto"/>
          </w:tcPr>
          <w:p w14:paraId="455EF6DA" w14:textId="77777777" w:rsidR="00F6427E" w:rsidRPr="00E517E4" w:rsidRDefault="00F6427E" w:rsidP="00BF6334">
            <w:pPr>
              <w:spacing w:before="120" w:after="120"/>
            </w:pPr>
            <w:r w:rsidRPr="00E517E4">
              <w:t xml:space="preserve">Incremental </w:t>
            </w:r>
          </w:p>
        </w:tc>
        <w:tc>
          <w:tcPr>
            <w:tcW w:w="3555" w:type="pct"/>
            <w:shd w:val="clear" w:color="auto" w:fill="auto"/>
          </w:tcPr>
          <w:p w14:paraId="6730DED6" w14:textId="77777777" w:rsidR="00F6427E" w:rsidRPr="000F184C" w:rsidRDefault="00F6427E" w:rsidP="00BF6334">
            <w:pPr>
              <w:spacing w:before="120" w:after="120"/>
            </w:pPr>
            <w:r w:rsidRPr="009D6B35">
              <w:t>Uncovered months (</w:t>
            </w:r>
            <w:r w:rsidRPr="009D6B35">
              <w:rPr>
                <w:b/>
              </w:rPr>
              <w:t>not cumulative uncovered months</w:t>
            </w:r>
            <w:r w:rsidRPr="009D6B35">
              <w:t>) between disenrollment from the prior plan or end of Beneficiary IEP and enrollment in the current plan.</w:t>
            </w:r>
            <w:r>
              <w:rPr>
                <w:b/>
                <w:color w:val="000000"/>
              </w:rPr>
              <w:t xml:space="preserve"> </w:t>
            </w:r>
          </w:p>
        </w:tc>
      </w:tr>
      <w:tr w:rsidR="00C6282F" w:rsidRPr="00F25025" w14:paraId="40515C0E" w14:textId="77777777" w:rsidTr="00380EE7">
        <w:tc>
          <w:tcPr>
            <w:tcW w:w="1445" w:type="pct"/>
          </w:tcPr>
          <w:p w14:paraId="4427E068" w14:textId="77777777" w:rsidR="00F6427E" w:rsidRPr="00E517E4" w:rsidRDefault="00F6427E" w:rsidP="00BF6334">
            <w:pPr>
              <w:spacing w:before="120" w:after="120"/>
              <w:rPr>
                <w:rFonts w:cs="Arial"/>
              </w:rPr>
            </w:pPr>
            <w:r w:rsidRPr="00E517E4">
              <w:rPr>
                <w:rFonts w:cs="Arial"/>
              </w:rPr>
              <w:t xml:space="preserve">Infocrossing </w:t>
            </w:r>
          </w:p>
        </w:tc>
        <w:tc>
          <w:tcPr>
            <w:tcW w:w="3555" w:type="pct"/>
          </w:tcPr>
          <w:p w14:paraId="48D8CD86" w14:textId="77777777" w:rsidR="00F6427E" w:rsidRPr="00F25025" w:rsidRDefault="00F6427E" w:rsidP="00BF6334">
            <w:pPr>
              <w:spacing w:before="120" w:after="120"/>
            </w:pPr>
            <w:r w:rsidRPr="009D6B35">
              <w:t>Used to access Medicare entitlement verification and enrollment information.</w:t>
            </w:r>
            <w:r>
              <w:t xml:space="preserve"> </w:t>
            </w:r>
          </w:p>
        </w:tc>
      </w:tr>
      <w:tr w:rsidR="00C6282F" w:rsidRPr="00F25025" w14:paraId="6757D365" w14:textId="77777777" w:rsidTr="00380EE7">
        <w:tc>
          <w:tcPr>
            <w:tcW w:w="1445" w:type="pct"/>
          </w:tcPr>
          <w:p w14:paraId="7E57D268" w14:textId="14AA8A07" w:rsidR="00F6427E" w:rsidRPr="00E517E4" w:rsidRDefault="00F6427E" w:rsidP="00BF6334">
            <w:pPr>
              <w:spacing w:before="120" w:after="120"/>
            </w:pPr>
            <w:r w:rsidRPr="00E517E4">
              <w:t xml:space="preserve">Institutions </w:t>
            </w:r>
          </w:p>
        </w:tc>
        <w:tc>
          <w:tcPr>
            <w:tcW w:w="3555" w:type="pct"/>
          </w:tcPr>
          <w:p w14:paraId="0A2FD054" w14:textId="0BB9C4DE" w:rsidR="00F6427E" w:rsidRPr="00F25025" w:rsidRDefault="00F6427E" w:rsidP="00BF6334">
            <w:pPr>
              <w:spacing w:before="120" w:after="120"/>
              <w:rPr>
                <w:rFonts w:cs="Arial"/>
              </w:rPr>
            </w:pPr>
            <w:r w:rsidRPr="009D6B35">
              <w:rPr>
                <w:rFonts w:cs="Arial"/>
              </w:rPr>
              <w:t>When referring to SEP 205 – The definition of Institution differs from that used in determining when an institutionalized full-benefit dual eligible qualifies for the low-income subsidy copayment level of zero</w:t>
            </w:r>
            <w:r w:rsidR="00C6282F" w:rsidRPr="009D6B35">
              <w:rPr>
                <w:rFonts w:cs="Arial"/>
              </w:rPr>
              <w:t xml:space="preserve">. </w:t>
            </w:r>
            <w:r w:rsidRPr="009D6B35">
              <w:rPr>
                <w:rFonts w:cs="Arial"/>
              </w:rPr>
              <w:t>In this institution is defined as a Skilled Nursing Facility (SNF), Nursing Facility (NF), Intermediate Care Facility for the Mentally Retarded (ICF/MR), or a Psychiatric hospital or unit.</w:t>
            </w:r>
            <w:r>
              <w:rPr>
                <w:rFonts w:cs="Arial"/>
              </w:rPr>
              <w:t xml:space="preserve"> </w:t>
            </w:r>
          </w:p>
        </w:tc>
      </w:tr>
      <w:tr w:rsidR="00C6282F" w:rsidRPr="00F25025" w14:paraId="1F387099" w14:textId="77777777" w:rsidTr="00380EE7">
        <w:tc>
          <w:tcPr>
            <w:tcW w:w="1445" w:type="pct"/>
          </w:tcPr>
          <w:p w14:paraId="080CD4EE" w14:textId="77777777" w:rsidR="00F6427E" w:rsidRPr="00E517E4" w:rsidRDefault="00F6427E" w:rsidP="00BF6334">
            <w:pPr>
              <w:spacing w:before="120" w:after="120"/>
            </w:pPr>
            <w:r w:rsidRPr="00E517E4">
              <w:t xml:space="preserve">Internal Tracking Database </w:t>
            </w:r>
          </w:p>
        </w:tc>
        <w:tc>
          <w:tcPr>
            <w:tcW w:w="3555" w:type="pct"/>
          </w:tcPr>
          <w:p w14:paraId="6F515BB7" w14:textId="01ABE1BF" w:rsidR="00F6427E" w:rsidRPr="00F25025" w:rsidRDefault="00CE205A" w:rsidP="00BF6334">
            <w:pPr>
              <w:spacing w:before="120" w:after="120"/>
              <w:rPr>
                <w:rFonts w:cs="Arial"/>
              </w:rPr>
            </w:pPr>
            <w:r w:rsidRPr="009D6B35">
              <w:rPr>
                <w:rFonts w:cs="Arial"/>
              </w:rPr>
              <w:t>An internally developed data repository</w:t>
            </w:r>
            <w:r w:rsidR="00F6427E" w:rsidRPr="009D6B35">
              <w:rPr>
                <w:rFonts w:cs="Arial"/>
              </w:rPr>
              <w:t xml:space="preserve"> centrally located and readily accessible for requests, metrics, tracking and reporting.</w:t>
            </w:r>
            <w:r w:rsidR="00F6427E">
              <w:rPr>
                <w:rFonts w:cs="Arial"/>
              </w:rPr>
              <w:t xml:space="preserve"> </w:t>
            </w:r>
          </w:p>
        </w:tc>
      </w:tr>
      <w:tr w:rsidR="00C6282F" w:rsidRPr="00F25025" w14:paraId="3AE47F3C" w14:textId="77777777" w:rsidTr="00380EE7">
        <w:tc>
          <w:tcPr>
            <w:tcW w:w="1445" w:type="pct"/>
          </w:tcPr>
          <w:p w14:paraId="7E5C8453" w14:textId="77777777" w:rsidR="00F6427E" w:rsidRPr="00E517E4" w:rsidRDefault="00F6427E" w:rsidP="00BF6334">
            <w:pPr>
              <w:spacing w:before="120" w:after="120"/>
            </w:pPr>
            <w:r w:rsidRPr="00E517E4">
              <w:t xml:space="preserve">Internal Transfer Adjustment </w:t>
            </w:r>
          </w:p>
        </w:tc>
        <w:tc>
          <w:tcPr>
            <w:tcW w:w="3555" w:type="pct"/>
          </w:tcPr>
          <w:p w14:paraId="3E4D69E6" w14:textId="77777777" w:rsidR="00F6427E" w:rsidRPr="00F25025" w:rsidRDefault="00F6427E" w:rsidP="00BF6334">
            <w:pPr>
              <w:spacing w:before="120" w:after="120"/>
              <w:rPr>
                <w:rFonts w:cs="Arial"/>
              </w:rPr>
            </w:pPr>
            <w:r w:rsidRPr="009D6B35">
              <w:rPr>
                <w:rFonts w:cs="Arial"/>
              </w:rPr>
              <w:t>An adjustment that moves a Beneficiary’s accumulations from one CAG to another. It satisfies the CMS requirement that a Beneficiary receives credit for all Medicare Part D covered drugs purchased under a prior plan, if changing plans during a plan year.</w:t>
            </w:r>
            <w:r>
              <w:rPr>
                <w:rFonts w:cs="Arial"/>
              </w:rPr>
              <w:t xml:space="preserve"> </w:t>
            </w:r>
          </w:p>
        </w:tc>
      </w:tr>
      <w:tr w:rsidR="00C6282F" w:rsidRPr="00F25025" w14:paraId="2C7D81A3" w14:textId="77777777" w:rsidTr="00380EE7">
        <w:tc>
          <w:tcPr>
            <w:tcW w:w="1445" w:type="pct"/>
          </w:tcPr>
          <w:p w14:paraId="4C42CC44" w14:textId="1CF53E23" w:rsidR="00F6427E" w:rsidRPr="00E517E4" w:rsidRDefault="00F6427E" w:rsidP="00BF6334">
            <w:pPr>
              <w:spacing w:before="120" w:after="120"/>
            </w:pPr>
            <w:r w:rsidRPr="00E517E4">
              <w:rPr>
                <w:color w:val="000000"/>
              </w:rPr>
              <w:t>Interim Assignment</w:t>
            </w:r>
          </w:p>
        </w:tc>
        <w:tc>
          <w:tcPr>
            <w:tcW w:w="3555" w:type="pct"/>
          </w:tcPr>
          <w:p w14:paraId="42C57746" w14:textId="63D31CEB" w:rsidR="00F6427E" w:rsidRPr="00F25025" w:rsidRDefault="00F6427E" w:rsidP="00BF6334">
            <w:pPr>
              <w:spacing w:before="120" w:after="120"/>
            </w:pPr>
            <w:r w:rsidRPr="00F25025">
              <w:rPr>
                <w:rFonts w:cs="MS Sans Serif"/>
                <w:color w:val="000000"/>
              </w:rPr>
              <w:t>Also known as a stretch role.</w:t>
            </w:r>
            <w:r w:rsidR="00C6282F">
              <w:rPr>
                <w:rFonts w:cs="MS Sans Serif"/>
                <w:color w:val="000000"/>
              </w:rPr>
              <w:t xml:space="preserve"> </w:t>
            </w:r>
            <w:r w:rsidRPr="00F25025">
              <w:rPr>
                <w:rFonts w:cs="MS Sans Serif"/>
                <w:color w:val="000000"/>
              </w:rPr>
              <w:t>These assignments generally require a temporary expansion in access due to expanded roles and responsibilities.</w:t>
            </w:r>
          </w:p>
        </w:tc>
      </w:tr>
      <w:tr w:rsidR="00C6282F" w:rsidRPr="00F25025" w14:paraId="1D7DAD59" w14:textId="77777777" w:rsidTr="00380EE7">
        <w:tc>
          <w:tcPr>
            <w:tcW w:w="1445" w:type="pct"/>
          </w:tcPr>
          <w:p w14:paraId="7D20C5EB" w14:textId="77777777" w:rsidR="00F6427E" w:rsidRPr="00E517E4" w:rsidRDefault="00F6427E" w:rsidP="00BF6334">
            <w:pPr>
              <w:spacing w:before="120" w:after="120"/>
            </w:pPr>
            <w:r w:rsidRPr="00E517E4">
              <w:rPr>
                <w:color w:val="000000"/>
              </w:rPr>
              <w:t>Incentive Formulary/Incentive Generic</w:t>
            </w:r>
          </w:p>
        </w:tc>
        <w:tc>
          <w:tcPr>
            <w:tcW w:w="3555" w:type="pct"/>
          </w:tcPr>
          <w:p w14:paraId="0FC8980C" w14:textId="35093D36" w:rsidR="00F6427E" w:rsidRPr="00F25025" w:rsidRDefault="00F6427E" w:rsidP="00BF6334">
            <w:pPr>
              <w:spacing w:before="120" w:after="120"/>
            </w:pPr>
            <w:r w:rsidRPr="00F25025">
              <w:rPr>
                <w:rFonts w:cs="Arial"/>
              </w:rPr>
              <w:t>Refers to prescription benefits plans that have lower co-pay for members who use generic of formulary medications there is a financial incentive for using lower cost medications.</w:t>
            </w:r>
          </w:p>
        </w:tc>
      </w:tr>
      <w:tr w:rsidR="00C6282F" w:rsidRPr="00F25025" w14:paraId="1D8E211D" w14:textId="77777777" w:rsidTr="00380EE7">
        <w:tc>
          <w:tcPr>
            <w:tcW w:w="1445" w:type="pct"/>
          </w:tcPr>
          <w:p w14:paraId="566AF934" w14:textId="77777777" w:rsidR="00F6427E" w:rsidRPr="00E517E4" w:rsidRDefault="00F6427E" w:rsidP="00BF6334">
            <w:pPr>
              <w:spacing w:before="120" w:after="120"/>
            </w:pPr>
            <w:r w:rsidRPr="00E517E4">
              <w:rPr>
                <w:color w:val="000000"/>
              </w:rPr>
              <w:t>Incentivized Drug List</w:t>
            </w:r>
          </w:p>
        </w:tc>
        <w:tc>
          <w:tcPr>
            <w:tcW w:w="3555" w:type="pct"/>
          </w:tcPr>
          <w:p w14:paraId="1EBB969F" w14:textId="3E7E124A" w:rsidR="00F6427E" w:rsidRPr="00F25025" w:rsidRDefault="00F6427E" w:rsidP="00BF6334">
            <w:pPr>
              <w:spacing w:before="120" w:after="120"/>
            </w:pPr>
            <w:r w:rsidRPr="00F25025">
              <w:rPr>
                <w:rFonts w:cs="Arial"/>
              </w:rPr>
              <w:t>Brand medications covered by the plan will be dispensed; however, there may be a higher co-payment required for non-drug list (non-formulary) products.</w:t>
            </w:r>
          </w:p>
        </w:tc>
      </w:tr>
      <w:tr w:rsidR="00C6282F" w:rsidRPr="00F25025" w14:paraId="35053D91" w14:textId="77777777" w:rsidTr="00380EE7">
        <w:tc>
          <w:tcPr>
            <w:tcW w:w="1445" w:type="pct"/>
          </w:tcPr>
          <w:p w14:paraId="3C099218" w14:textId="77777777" w:rsidR="00F6427E" w:rsidRPr="00E517E4" w:rsidRDefault="00F6427E" w:rsidP="00E04797">
            <w:pPr>
              <w:spacing w:before="120" w:after="120"/>
            </w:pPr>
            <w:r w:rsidRPr="00E517E4">
              <w:rPr>
                <w:color w:val="000000"/>
              </w:rPr>
              <w:t>Incident of HIPAA Violation</w:t>
            </w:r>
          </w:p>
        </w:tc>
        <w:tc>
          <w:tcPr>
            <w:tcW w:w="3555" w:type="pct"/>
          </w:tcPr>
          <w:p w14:paraId="053DF5A4" w14:textId="05907A47" w:rsidR="00F6427E" w:rsidRPr="00F25025" w:rsidRDefault="00F6427E" w:rsidP="00E04797">
            <w:pPr>
              <w:spacing w:before="120" w:after="120"/>
            </w:pPr>
            <w:r w:rsidRPr="00F25025">
              <w:rPr>
                <w:rFonts w:cs="Arial"/>
              </w:rPr>
              <w:t>Caller made no claim of HIPAA violation, but CCR recognizes violation and reports it accordingly.</w:t>
            </w:r>
          </w:p>
        </w:tc>
      </w:tr>
      <w:tr w:rsidR="00C6282F" w:rsidRPr="00F25025" w14:paraId="43C15B10" w14:textId="77777777" w:rsidTr="00380EE7">
        <w:tc>
          <w:tcPr>
            <w:tcW w:w="1445" w:type="pct"/>
          </w:tcPr>
          <w:p w14:paraId="171C8D2D" w14:textId="77777777" w:rsidR="00F6427E" w:rsidRPr="00E517E4" w:rsidRDefault="00F6427E" w:rsidP="00E04797">
            <w:pPr>
              <w:spacing w:before="120" w:after="120"/>
            </w:pPr>
            <w:r w:rsidRPr="00E517E4">
              <w:rPr>
                <w:color w:val="000000"/>
              </w:rPr>
              <w:t>Indemnity</w:t>
            </w:r>
            <w:r w:rsidRPr="00E517E4" w:rsidDel="005D5B64">
              <w:t xml:space="preserve"> </w:t>
            </w:r>
          </w:p>
        </w:tc>
        <w:tc>
          <w:tcPr>
            <w:tcW w:w="3555" w:type="pct"/>
          </w:tcPr>
          <w:p w14:paraId="426BFC78" w14:textId="764001C8" w:rsidR="00F6427E" w:rsidRPr="00F25025" w:rsidRDefault="00F6427E" w:rsidP="00E04797">
            <w:pPr>
              <w:spacing w:before="120" w:after="120"/>
            </w:pPr>
            <w:r w:rsidRPr="00F25025">
              <w:t xml:space="preserve">Traditional insurance program whereby the insured person is </w:t>
            </w:r>
            <w:r w:rsidR="00C6282F" w:rsidRPr="00F25025">
              <w:t>reimbursed,</w:t>
            </w:r>
            <w:r w:rsidRPr="00F25025">
              <w:t xml:space="preserve"> or the provider is paid directly for services covered by the health insurance program</w:t>
            </w:r>
            <w:r>
              <w:t>.</w:t>
            </w:r>
          </w:p>
        </w:tc>
      </w:tr>
      <w:tr w:rsidR="00C6282F" w:rsidRPr="00F25025" w14:paraId="796E75B7" w14:textId="77777777" w:rsidTr="00380EE7">
        <w:tc>
          <w:tcPr>
            <w:tcW w:w="1445" w:type="pct"/>
          </w:tcPr>
          <w:p w14:paraId="0D08D753" w14:textId="77777777" w:rsidR="00F6427E" w:rsidRPr="00E517E4" w:rsidRDefault="00F6427E" w:rsidP="00E04797">
            <w:pPr>
              <w:spacing w:before="120" w:after="120"/>
            </w:pPr>
            <w:r w:rsidRPr="00E517E4">
              <w:rPr>
                <w:color w:val="000000"/>
              </w:rPr>
              <w:t>Independent Pharmacy</w:t>
            </w:r>
          </w:p>
        </w:tc>
        <w:tc>
          <w:tcPr>
            <w:tcW w:w="3555" w:type="pct"/>
          </w:tcPr>
          <w:p w14:paraId="596100F4" w14:textId="10914800" w:rsidR="00F6427E" w:rsidRPr="00F25025" w:rsidRDefault="00F6427E" w:rsidP="00E04797">
            <w:pPr>
              <w:spacing w:before="120" w:after="120"/>
            </w:pPr>
            <w:r w:rsidRPr="00F25025">
              <w:t>A non-affiliated, privately owned and operated commercial establishment that dispenses drugs and related therapeutic devices and supplies by a licensed pharmacist.</w:t>
            </w:r>
          </w:p>
        </w:tc>
      </w:tr>
      <w:tr w:rsidR="00C6282F" w:rsidRPr="00F25025" w14:paraId="6084221D" w14:textId="77777777" w:rsidTr="00380EE7">
        <w:tc>
          <w:tcPr>
            <w:tcW w:w="1445" w:type="pct"/>
            <w:shd w:val="clear" w:color="auto" w:fill="auto"/>
          </w:tcPr>
          <w:p w14:paraId="282A020D" w14:textId="77777777" w:rsidR="00F6427E" w:rsidRPr="00E517E4" w:rsidRDefault="00F6427E" w:rsidP="00E04797">
            <w:pPr>
              <w:spacing w:before="120" w:after="120"/>
              <w:rPr>
                <w:color w:val="000000"/>
              </w:rPr>
            </w:pPr>
            <w:r w:rsidRPr="00E517E4">
              <w:t>Inquiry</w:t>
            </w:r>
          </w:p>
        </w:tc>
        <w:tc>
          <w:tcPr>
            <w:tcW w:w="3555" w:type="pct"/>
            <w:shd w:val="clear" w:color="auto" w:fill="auto"/>
          </w:tcPr>
          <w:p w14:paraId="6E9D666A" w14:textId="075D79FE" w:rsidR="00F6427E" w:rsidRPr="000F184C" w:rsidRDefault="00F6427E" w:rsidP="00E04797">
            <w:pPr>
              <w:spacing w:before="120" w:after="120"/>
            </w:pPr>
            <w:r w:rsidRPr="000F184C">
              <w:rPr>
                <w:bCs/>
              </w:rPr>
              <w:t>CMS</w:t>
            </w:r>
            <w:r w:rsidRPr="000F184C">
              <w:t> Defines an inquiry as any oral or written request to a Part D plan sponsor or one of its contractors that does not involve a request for a coverage determination/exception request.</w:t>
            </w:r>
          </w:p>
          <w:p w14:paraId="276EEB78" w14:textId="77777777" w:rsidR="00F6427E" w:rsidRDefault="00F6427E" w:rsidP="00E04797">
            <w:pPr>
              <w:tabs>
                <w:tab w:val="left" w:pos="1140"/>
              </w:tabs>
              <w:spacing w:before="120" w:after="120"/>
              <w:rPr>
                <w:b/>
              </w:rPr>
            </w:pPr>
          </w:p>
          <w:p w14:paraId="654C10EA" w14:textId="77777777" w:rsidR="00F6427E" w:rsidRPr="00587960" w:rsidRDefault="00F6427E" w:rsidP="00E04797">
            <w:pPr>
              <w:tabs>
                <w:tab w:val="left" w:pos="1140"/>
              </w:tabs>
              <w:spacing w:before="120" w:after="120"/>
              <w:rPr>
                <w:b/>
              </w:rPr>
            </w:pPr>
            <w:r w:rsidRPr="00587960">
              <w:rPr>
                <w:b/>
              </w:rPr>
              <w:t>Inquiry Call Types:</w:t>
            </w:r>
          </w:p>
          <w:p w14:paraId="3231D54C" w14:textId="5BD49F4C" w:rsidR="00F6427E" w:rsidRPr="000F184C" w:rsidRDefault="00F6427E" w:rsidP="00E04797">
            <w:pPr>
              <w:numPr>
                <w:ilvl w:val="0"/>
                <w:numId w:val="88"/>
              </w:numPr>
              <w:spacing w:before="120" w:after="120"/>
              <w:ind w:left="432"/>
            </w:pPr>
            <w:r w:rsidRPr="000F184C">
              <w:t xml:space="preserve">Should </w:t>
            </w:r>
            <w:r w:rsidRPr="000F184C">
              <w:rPr>
                <w:rFonts w:cs="Arial"/>
                <w:bCs/>
              </w:rPr>
              <w:t>include</w:t>
            </w:r>
            <w:r w:rsidRPr="000F184C">
              <w:t xml:space="preserve"> routine questions about benefits</w:t>
            </w:r>
            <w:r w:rsidR="00C6282F">
              <w:t>.</w:t>
            </w:r>
          </w:p>
          <w:p w14:paraId="3CD09ADA" w14:textId="77777777" w:rsidR="00F6427E" w:rsidRPr="000F184C" w:rsidRDefault="00F6427E" w:rsidP="00E04797">
            <w:pPr>
              <w:numPr>
                <w:ilvl w:val="0"/>
                <w:numId w:val="88"/>
              </w:numPr>
              <w:spacing w:before="120" w:after="120"/>
              <w:ind w:left="432"/>
            </w:pPr>
            <w:r w:rsidRPr="000F184C">
              <w:rPr>
                <w:rFonts w:cs="Arial"/>
                <w:bCs/>
              </w:rPr>
              <w:t>Beneficiaries</w:t>
            </w:r>
            <w:r w:rsidRPr="000F184C">
              <w:t xml:space="preserve"> will sometimes call to simply ask a question – do not automatically invoke the grievance or coverage determination process.</w:t>
            </w:r>
          </w:p>
          <w:p w14:paraId="6435016A" w14:textId="3613B840" w:rsidR="00F6427E" w:rsidRPr="00F25025" w:rsidRDefault="00F6427E" w:rsidP="00E04797">
            <w:pPr>
              <w:spacing w:before="120" w:after="120"/>
            </w:pPr>
            <w:r w:rsidRPr="00E53C0D">
              <w:rPr>
                <w:b/>
                <w:bCs/>
              </w:rPr>
              <w:t>Note:</w:t>
            </w:r>
            <w:r w:rsidRPr="000F184C">
              <w:t> Sometimes a question is just a question that requires education to clarify.</w:t>
            </w:r>
          </w:p>
        </w:tc>
      </w:tr>
      <w:tr w:rsidR="00C6282F" w:rsidRPr="00F25025" w14:paraId="450AA402" w14:textId="77777777" w:rsidTr="00380EE7">
        <w:tc>
          <w:tcPr>
            <w:tcW w:w="1445" w:type="pct"/>
          </w:tcPr>
          <w:p w14:paraId="30D88DF6" w14:textId="77777777" w:rsidR="001B619A" w:rsidRPr="00E517E4" w:rsidRDefault="001B619A" w:rsidP="00E04797">
            <w:pPr>
              <w:spacing w:before="120" w:after="120"/>
            </w:pPr>
            <w:r w:rsidRPr="00E517E4">
              <w:t>Individual Account Type</w:t>
            </w:r>
          </w:p>
          <w:p w14:paraId="7ECAEA0F" w14:textId="77777777" w:rsidR="001B619A" w:rsidRPr="00E517E4" w:rsidRDefault="001B619A" w:rsidP="00D02501">
            <w:pPr>
              <w:spacing w:before="120" w:after="120"/>
            </w:pPr>
          </w:p>
        </w:tc>
        <w:tc>
          <w:tcPr>
            <w:tcW w:w="3555" w:type="pct"/>
          </w:tcPr>
          <w:p w14:paraId="247F5C74" w14:textId="42D2A72B" w:rsidR="001B619A" w:rsidRPr="00F25025" w:rsidRDefault="001B619A" w:rsidP="00D02501">
            <w:pPr>
              <w:spacing w:before="120" w:after="120"/>
            </w:pPr>
            <w:r w:rsidRPr="00F25025">
              <w:rPr>
                <w:rFonts w:cs="Arial"/>
                <w:bCs/>
              </w:rPr>
              <w:t xml:space="preserve">Search criteria used to retrieve accumulators at an individual level based on member selected in the </w:t>
            </w:r>
            <w:r w:rsidRPr="00F25025">
              <w:rPr>
                <w:rFonts w:cs="Arial"/>
                <w:iCs/>
              </w:rPr>
              <w:t xml:space="preserve">Member/Dependent Information Drop Down. </w:t>
            </w:r>
            <w:r w:rsidRPr="00F25025">
              <w:rPr>
                <w:rFonts w:cs="Arial"/>
                <w:bCs/>
              </w:rPr>
              <w:t>This field should not be used for High Deductible Health plans.</w:t>
            </w:r>
          </w:p>
        </w:tc>
      </w:tr>
      <w:tr w:rsidR="00C6282F" w:rsidRPr="00F25025" w14:paraId="05C807E4" w14:textId="77777777" w:rsidTr="00380EE7">
        <w:tc>
          <w:tcPr>
            <w:tcW w:w="1445" w:type="pct"/>
          </w:tcPr>
          <w:p w14:paraId="4FE7D3BE" w14:textId="77777777" w:rsidR="001B619A" w:rsidRPr="00E517E4" w:rsidRDefault="001B619A" w:rsidP="00E04797">
            <w:pPr>
              <w:spacing w:before="120" w:after="120"/>
            </w:pPr>
            <w:r w:rsidRPr="00E517E4">
              <w:t>Ineligible</w:t>
            </w:r>
          </w:p>
          <w:p w14:paraId="0BB300C2" w14:textId="77777777" w:rsidR="001B619A" w:rsidRPr="00E517E4" w:rsidRDefault="001B619A" w:rsidP="00D02501">
            <w:pPr>
              <w:spacing w:before="120" w:after="120"/>
            </w:pPr>
          </w:p>
        </w:tc>
        <w:tc>
          <w:tcPr>
            <w:tcW w:w="3555" w:type="pct"/>
          </w:tcPr>
          <w:p w14:paraId="6D30D90E" w14:textId="61D956B9" w:rsidR="001B619A" w:rsidRPr="00F25025" w:rsidRDefault="001B619A" w:rsidP="00D02501">
            <w:pPr>
              <w:spacing w:before="120" w:after="120"/>
            </w:pPr>
            <w:r w:rsidRPr="00F25025">
              <w:t xml:space="preserve">Record is found with Member and/or Spouse and/or dependent file is displaying </w:t>
            </w:r>
            <w:r w:rsidRPr="00F25025">
              <w:rPr>
                <w:b/>
              </w:rPr>
              <w:t>‘Ineligible</w:t>
            </w:r>
            <w:r w:rsidR="00C6282F" w:rsidRPr="00F25025">
              <w:rPr>
                <w:b/>
              </w:rPr>
              <w:t>;’</w:t>
            </w:r>
            <w:r w:rsidRPr="00F25025">
              <w:rPr>
                <w:b/>
                <w:color w:val="FF0000"/>
              </w:rPr>
              <w:t xml:space="preserve"> </w:t>
            </w:r>
            <w:r w:rsidRPr="00F25025">
              <w:t xml:space="preserve">however, they claim to have </w:t>
            </w:r>
            <w:r>
              <w:t>our</w:t>
            </w:r>
            <w:r w:rsidRPr="00F25025">
              <w:t xml:space="preserve"> benefits.</w:t>
            </w:r>
          </w:p>
          <w:p w14:paraId="0603F257" w14:textId="77777777" w:rsidR="001B619A" w:rsidRPr="00F25025" w:rsidRDefault="001B619A" w:rsidP="00D02501">
            <w:pPr>
              <w:spacing w:before="120" w:after="120"/>
            </w:pPr>
          </w:p>
          <w:p w14:paraId="73EA7CF0" w14:textId="69E0D3F7" w:rsidR="001B619A" w:rsidRPr="00F25025" w:rsidRDefault="001B619A" w:rsidP="00D02501">
            <w:pPr>
              <w:spacing w:before="120" w:after="120"/>
            </w:pPr>
            <w:r w:rsidRPr="00F25025">
              <w:t>Pop-up box displays the error message:  “Employing Client Not Found Due To No Current Prescription Benefits for Member.”</w:t>
            </w:r>
          </w:p>
        </w:tc>
      </w:tr>
      <w:tr w:rsidR="00C6282F" w:rsidRPr="00F25025" w14:paraId="255622DD" w14:textId="77777777" w:rsidTr="00380EE7">
        <w:tc>
          <w:tcPr>
            <w:tcW w:w="1445" w:type="pct"/>
          </w:tcPr>
          <w:p w14:paraId="55259826" w14:textId="77777777" w:rsidR="001B619A" w:rsidRPr="00E517E4" w:rsidRDefault="001B619A" w:rsidP="00D02501">
            <w:pPr>
              <w:spacing w:before="120" w:after="120"/>
            </w:pPr>
            <w:r w:rsidRPr="00E517E4">
              <w:t>Ingredient Cost</w:t>
            </w:r>
          </w:p>
        </w:tc>
        <w:tc>
          <w:tcPr>
            <w:tcW w:w="3555" w:type="pct"/>
          </w:tcPr>
          <w:p w14:paraId="1E4ACF1C" w14:textId="77777777" w:rsidR="001B619A" w:rsidRPr="00F25025" w:rsidRDefault="001B619A" w:rsidP="00E04797">
            <w:pPr>
              <w:spacing w:before="120" w:after="120"/>
            </w:pPr>
            <w:r w:rsidRPr="00F25025">
              <w:t xml:space="preserve">Cost of the drug product as stated on the prescription drug claim (Ingredient Cost Claimed) or as calculated by </w:t>
            </w:r>
            <w:r>
              <w:t>us</w:t>
            </w:r>
            <w:r w:rsidRPr="00F25025">
              <w:t xml:space="preserve"> for payment to the pharmacy (Ingredient Cost Paid).</w:t>
            </w:r>
          </w:p>
          <w:p w14:paraId="36F82ED4" w14:textId="77777777" w:rsidR="001B619A" w:rsidRPr="00F25025" w:rsidRDefault="001B619A" w:rsidP="00E04797">
            <w:pPr>
              <w:spacing w:before="120" w:after="120"/>
            </w:pPr>
          </w:p>
          <w:p w14:paraId="4C16E4D8" w14:textId="7130A5FC" w:rsidR="001B619A" w:rsidRPr="00F25025" w:rsidRDefault="001B619A" w:rsidP="00E04797">
            <w:pPr>
              <w:spacing w:before="120" w:after="120"/>
            </w:pPr>
            <w:r w:rsidRPr="00F25025">
              <w:t>The ingredient cost to be paid on a claim is the lesser of the ingredient cost claimed by the pharmacy or cardholder, the (NDC) file price of the drug multiplied by the (AWP) discount (if applicable) or the (MAC) price (if applicable) or pharmacies Usual &amp; Customary price.</w:t>
            </w:r>
          </w:p>
        </w:tc>
      </w:tr>
      <w:tr w:rsidR="00C6282F" w:rsidRPr="00F25025" w14:paraId="088ADCC4" w14:textId="77777777" w:rsidTr="00380EE7">
        <w:tc>
          <w:tcPr>
            <w:tcW w:w="1445" w:type="pct"/>
          </w:tcPr>
          <w:p w14:paraId="10360AFE" w14:textId="77777777" w:rsidR="001B619A" w:rsidRPr="00E517E4" w:rsidRDefault="001B619A" w:rsidP="00E04797">
            <w:pPr>
              <w:spacing w:before="120" w:after="120"/>
            </w:pPr>
            <w:r w:rsidRPr="00E517E4">
              <w:rPr>
                <w:color w:val="000000"/>
              </w:rPr>
              <w:t>Initial Issue</w:t>
            </w:r>
          </w:p>
        </w:tc>
        <w:tc>
          <w:tcPr>
            <w:tcW w:w="3555" w:type="pct"/>
          </w:tcPr>
          <w:p w14:paraId="1F0B1E01" w14:textId="725CAD07" w:rsidR="001B619A" w:rsidRPr="00F25025" w:rsidRDefault="001B619A" w:rsidP="00E04797">
            <w:pPr>
              <w:spacing w:before="120" w:after="120"/>
            </w:pPr>
            <w:r w:rsidRPr="00F25025">
              <w:t>Mailing of cards and information packets to a newly- established group.</w:t>
            </w:r>
          </w:p>
        </w:tc>
      </w:tr>
      <w:tr w:rsidR="00C6282F" w:rsidRPr="00F25025" w14:paraId="500454EF" w14:textId="77777777" w:rsidTr="00380EE7">
        <w:tc>
          <w:tcPr>
            <w:tcW w:w="1445" w:type="pct"/>
          </w:tcPr>
          <w:p w14:paraId="14FB917B" w14:textId="77777777" w:rsidR="001B619A" w:rsidRPr="00E517E4" w:rsidRDefault="001B619A" w:rsidP="00E04797">
            <w:pPr>
              <w:spacing w:before="120" w:after="120"/>
            </w:pPr>
            <w:r w:rsidRPr="00E517E4">
              <w:rPr>
                <w:color w:val="000000"/>
              </w:rPr>
              <w:t>Injectables</w:t>
            </w:r>
            <w:r w:rsidRPr="00E517E4" w:rsidDel="00DD4774">
              <w:t xml:space="preserve"> </w:t>
            </w:r>
          </w:p>
        </w:tc>
        <w:tc>
          <w:tcPr>
            <w:tcW w:w="3555" w:type="pct"/>
          </w:tcPr>
          <w:p w14:paraId="79AF2AA7" w14:textId="6866E8BE" w:rsidR="001B619A" w:rsidRPr="00F25025" w:rsidRDefault="001B619A" w:rsidP="00E04797">
            <w:pPr>
              <w:spacing w:before="120" w:after="120"/>
            </w:pPr>
            <w:r w:rsidRPr="00F25025">
              <w:t>Medication delivered through the skin via a needle with syringe.</w:t>
            </w:r>
          </w:p>
        </w:tc>
      </w:tr>
      <w:tr w:rsidR="00C6282F" w:rsidRPr="00F25025" w14:paraId="45B94364" w14:textId="77777777" w:rsidTr="00380EE7">
        <w:tc>
          <w:tcPr>
            <w:tcW w:w="1445" w:type="pct"/>
          </w:tcPr>
          <w:p w14:paraId="66A7FF5C" w14:textId="77777777" w:rsidR="001B619A" w:rsidRPr="00E517E4" w:rsidRDefault="001B619A" w:rsidP="00E04797">
            <w:pPr>
              <w:spacing w:before="120" w:after="120"/>
            </w:pPr>
            <w:r w:rsidRPr="00E517E4">
              <w:rPr>
                <w:color w:val="000000"/>
              </w:rPr>
              <w:t>Injection</w:t>
            </w:r>
            <w:r w:rsidRPr="00E517E4" w:rsidDel="00DD4774">
              <w:t xml:space="preserve"> </w:t>
            </w:r>
          </w:p>
        </w:tc>
        <w:tc>
          <w:tcPr>
            <w:tcW w:w="3555" w:type="pct"/>
          </w:tcPr>
          <w:p w14:paraId="4BACF82A" w14:textId="25C15E56" w:rsidR="001B619A" w:rsidRPr="00F25025" w:rsidRDefault="001B619A" w:rsidP="00E04797">
            <w:pPr>
              <w:spacing w:before="120" w:after="120"/>
            </w:pPr>
            <w:r w:rsidRPr="00F25025">
              <w:t>Delivery of a medication through the skin via a needle with syringe</w:t>
            </w:r>
            <w:r w:rsidR="00C6282F" w:rsidRPr="00F25025">
              <w:t xml:space="preserve">. </w:t>
            </w:r>
            <w:r w:rsidRPr="00F25025">
              <w:t>Many formularies in health plans are not designed to cover injections used in out member settings since that is usually covered under a medical benefit.</w:t>
            </w:r>
          </w:p>
        </w:tc>
      </w:tr>
      <w:tr w:rsidR="00C6282F" w:rsidRPr="00F25025" w14:paraId="4906F1A5" w14:textId="77777777" w:rsidTr="00380EE7">
        <w:trPr>
          <w:trHeight w:val="412"/>
        </w:trPr>
        <w:tc>
          <w:tcPr>
            <w:tcW w:w="1445" w:type="pct"/>
          </w:tcPr>
          <w:p w14:paraId="71427C5E" w14:textId="77777777" w:rsidR="001B619A" w:rsidRPr="00E517E4" w:rsidRDefault="001B619A" w:rsidP="00E04797">
            <w:pPr>
              <w:spacing w:before="120" w:after="120"/>
            </w:pPr>
            <w:r w:rsidRPr="00E517E4">
              <w:rPr>
                <w:color w:val="000000"/>
              </w:rPr>
              <w:t>Innovator</w:t>
            </w:r>
          </w:p>
        </w:tc>
        <w:tc>
          <w:tcPr>
            <w:tcW w:w="3555" w:type="pct"/>
          </w:tcPr>
          <w:p w14:paraId="7C50F654" w14:textId="4E93AF98" w:rsidR="001B619A" w:rsidRPr="00F25025" w:rsidRDefault="001B619A" w:rsidP="00E04797">
            <w:pPr>
              <w:spacing w:before="120" w:after="120"/>
            </w:pPr>
            <w:r w:rsidRPr="00F25025">
              <w:t>Drug manufacturer whose name is listed on the application to the (FDA) for approval of a new drug. Also referred to as "brand" drug.</w:t>
            </w:r>
          </w:p>
        </w:tc>
      </w:tr>
      <w:tr w:rsidR="00C6282F" w:rsidRPr="00F25025" w14:paraId="16749AED" w14:textId="77777777" w:rsidTr="00380EE7">
        <w:trPr>
          <w:trHeight w:val="412"/>
        </w:trPr>
        <w:tc>
          <w:tcPr>
            <w:tcW w:w="1445" w:type="pct"/>
          </w:tcPr>
          <w:p w14:paraId="52FD5391" w14:textId="77777777" w:rsidR="001B619A" w:rsidRPr="00E517E4" w:rsidRDefault="001B619A" w:rsidP="00E04797">
            <w:pPr>
              <w:spacing w:before="120" w:after="120"/>
            </w:pPr>
            <w:r w:rsidRPr="00E517E4">
              <w:rPr>
                <w:color w:val="000000"/>
              </w:rPr>
              <w:t>Insulin</w:t>
            </w:r>
            <w:r w:rsidRPr="00E517E4" w:rsidDel="00DD4774">
              <w:t xml:space="preserve"> </w:t>
            </w:r>
          </w:p>
        </w:tc>
        <w:tc>
          <w:tcPr>
            <w:tcW w:w="3555" w:type="pct"/>
          </w:tcPr>
          <w:p w14:paraId="354E4332" w14:textId="12C43675" w:rsidR="001B619A" w:rsidRPr="00F25025" w:rsidRDefault="001B619A" w:rsidP="00E04797">
            <w:pPr>
              <w:spacing w:before="120" w:after="120"/>
            </w:pPr>
            <w:r w:rsidRPr="00F25025">
              <w:t>Hormone which regulates the metabolism of glucose.</w:t>
            </w:r>
          </w:p>
        </w:tc>
      </w:tr>
      <w:tr w:rsidR="00C6282F" w:rsidRPr="00F25025" w14:paraId="4086AA01" w14:textId="77777777" w:rsidTr="00380EE7">
        <w:trPr>
          <w:trHeight w:val="412"/>
        </w:trPr>
        <w:tc>
          <w:tcPr>
            <w:tcW w:w="1445" w:type="pct"/>
          </w:tcPr>
          <w:p w14:paraId="41ADD6F6" w14:textId="77777777" w:rsidR="001B619A" w:rsidRPr="00E517E4" w:rsidRDefault="001B619A" w:rsidP="00E04797">
            <w:pPr>
              <w:spacing w:before="120" w:after="120"/>
            </w:pPr>
            <w:r w:rsidRPr="00E517E4">
              <w:rPr>
                <w:color w:val="000000"/>
              </w:rPr>
              <w:t>Insulin Kit</w:t>
            </w:r>
          </w:p>
        </w:tc>
        <w:tc>
          <w:tcPr>
            <w:tcW w:w="3555" w:type="pct"/>
          </w:tcPr>
          <w:p w14:paraId="703F1E9F" w14:textId="574EBC27" w:rsidR="001B619A" w:rsidRPr="00F25025" w:rsidRDefault="001B619A" w:rsidP="00E04797">
            <w:pPr>
              <w:spacing w:before="120" w:after="120"/>
            </w:pPr>
            <w:r w:rsidRPr="00F25025">
              <w:rPr>
                <w:rFonts w:cs="Arial"/>
                <w:color w:val="333333"/>
              </w:rPr>
              <w:t>Members with diabetes need prescribed supplies (syringes, test strips, lancets) in order to administer their dosage of insulin</w:t>
            </w:r>
            <w:r w:rsidR="00C6282F" w:rsidRPr="00F25025">
              <w:rPr>
                <w:rFonts w:cs="Arial"/>
                <w:color w:val="333333"/>
              </w:rPr>
              <w:t xml:space="preserve">. </w:t>
            </w:r>
            <w:r w:rsidRPr="00F25025">
              <w:rPr>
                <w:rFonts w:cs="Arial"/>
                <w:color w:val="333333"/>
              </w:rPr>
              <w:t>Many plans provide these supplies in "kits" with one copay for the kit, rather than as individual items with co-pay for each item.</w:t>
            </w:r>
          </w:p>
        </w:tc>
      </w:tr>
      <w:tr w:rsidR="00C6282F" w:rsidRPr="00F25025" w14:paraId="3839B140" w14:textId="77777777" w:rsidTr="00380EE7">
        <w:trPr>
          <w:trHeight w:val="412"/>
        </w:trPr>
        <w:tc>
          <w:tcPr>
            <w:tcW w:w="1445" w:type="pct"/>
          </w:tcPr>
          <w:p w14:paraId="1F326B26" w14:textId="66EC7A2F" w:rsidR="00D762E4" w:rsidRPr="00B3251F" w:rsidRDefault="00D762E4" w:rsidP="00E04797">
            <w:pPr>
              <w:spacing w:before="120" w:after="120"/>
            </w:pPr>
            <w:r w:rsidRPr="00B3251F">
              <w:t xml:space="preserve">Insulin Pen </w:t>
            </w:r>
          </w:p>
        </w:tc>
        <w:tc>
          <w:tcPr>
            <w:tcW w:w="3555" w:type="pct"/>
          </w:tcPr>
          <w:p w14:paraId="6C454374" w14:textId="28EFC3C1" w:rsidR="00D762E4" w:rsidRPr="00B3251F" w:rsidRDefault="00224B19" w:rsidP="00E04797">
            <w:pPr>
              <w:spacing w:before="120" w:after="120"/>
              <w:rPr>
                <w:rFonts w:cs="Arial"/>
              </w:rPr>
            </w:pPr>
            <w:r w:rsidRPr="00B3251F">
              <w:t xml:space="preserve">A device used to inject insulin for treatment of diabetes. It is composed of an insulin cartridge (integrated Add Insulin or bought separately) and a dial to measure the </w:t>
            </w:r>
            <w:r w:rsidR="00C6282F" w:rsidRPr="00B3251F">
              <w:t>dose and</w:t>
            </w:r>
            <w:r w:rsidRPr="00B3251F">
              <w:t xml:space="preserve"> is used with disposable pen needles to deliver the dose.</w:t>
            </w:r>
          </w:p>
        </w:tc>
      </w:tr>
      <w:tr w:rsidR="00C6282F" w:rsidRPr="00F25025" w14:paraId="6C0EB87A" w14:textId="77777777" w:rsidTr="00380EE7">
        <w:trPr>
          <w:trHeight w:val="412"/>
        </w:trPr>
        <w:tc>
          <w:tcPr>
            <w:tcW w:w="1445" w:type="pct"/>
          </w:tcPr>
          <w:p w14:paraId="47D3A446" w14:textId="191858A2" w:rsidR="00AA13C3" w:rsidRPr="00B3251F" w:rsidRDefault="00AA13C3" w:rsidP="00BF6334">
            <w:pPr>
              <w:spacing w:before="120" w:after="120"/>
            </w:pPr>
            <w:r w:rsidRPr="00B3251F">
              <w:t xml:space="preserve">Insulin Syringe </w:t>
            </w:r>
          </w:p>
        </w:tc>
        <w:tc>
          <w:tcPr>
            <w:tcW w:w="3555" w:type="pct"/>
          </w:tcPr>
          <w:p w14:paraId="1D51F41D" w14:textId="4DAB69A8" w:rsidR="00AA13C3" w:rsidRPr="00E57C27" w:rsidRDefault="009E7815" w:rsidP="00BF6334">
            <w:pPr>
              <w:spacing w:before="120" w:after="120"/>
            </w:pPr>
            <w:r w:rsidRPr="00B3251F">
              <w:t>A device used to inject medications or other liquids into body tissues. The syringe for insulin has a hollow plastic tube with a plunger inside and a needle on the end. Primarily used with vials</w:t>
            </w:r>
          </w:p>
        </w:tc>
      </w:tr>
      <w:tr w:rsidR="00C6282F" w:rsidRPr="00F25025" w14:paraId="6849F128" w14:textId="77777777" w:rsidTr="00380EE7">
        <w:trPr>
          <w:trHeight w:val="412"/>
        </w:trPr>
        <w:tc>
          <w:tcPr>
            <w:tcW w:w="1445" w:type="pct"/>
          </w:tcPr>
          <w:p w14:paraId="48A08FD6" w14:textId="77777777" w:rsidR="001B619A" w:rsidRPr="00E517E4" w:rsidRDefault="001B619A" w:rsidP="00BF6334">
            <w:pPr>
              <w:spacing w:before="120" w:after="120"/>
            </w:pPr>
            <w:r w:rsidRPr="00E517E4">
              <w:rPr>
                <w:color w:val="000000"/>
              </w:rPr>
              <w:t>Insurance Carrier</w:t>
            </w:r>
          </w:p>
        </w:tc>
        <w:tc>
          <w:tcPr>
            <w:tcW w:w="3555" w:type="pct"/>
          </w:tcPr>
          <w:p w14:paraId="52BAEE04" w14:textId="281DBE5F" w:rsidR="001B619A" w:rsidRPr="00F25025" w:rsidRDefault="001B619A" w:rsidP="00BF6334">
            <w:pPr>
              <w:spacing w:before="120" w:after="120"/>
            </w:pPr>
            <w:r w:rsidRPr="00F25025">
              <w:t>An organization (usually an insurance company) that assumes financial obligation for the benefit costs and administrative fees associated with the medical, dental, pharmaceutical, etc</w:t>
            </w:r>
            <w:r w:rsidR="00C6282F">
              <w:t>etera</w:t>
            </w:r>
            <w:r w:rsidR="00380EE7">
              <w:t>,</w:t>
            </w:r>
            <w:r w:rsidRPr="00F25025">
              <w:t xml:space="preserve"> for businesses and organizations placed in various groups</w:t>
            </w:r>
            <w:r w:rsidR="00C6282F" w:rsidRPr="00F25025">
              <w:t xml:space="preserve">. </w:t>
            </w:r>
            <w:r w:rsidRPr="00F25025">
              <w:t>The Insurance Carrier receives premiums, both from the businesses and the plan members, as reimbursement for the servicing of the insured plans.</w:t>
            </w:r>
          </w:p>
        </w:tc>
      </w:tr>
      <w:tr w:rsidR="00C6282F" w:rsidRPr="00F25025" w14:paraId="5B944865" w14:textId="77777777" w:rsidTr="00380EE7">
        <w:trPr>
          <w:trHeight w:val="412"/>
        </w:trPr>
        <w:tc>
          <w:tcPr>
            <w:tcW w:w="1445" w:type="pct"/>
          </w:tcPr>
          <w:p w14:paraId="09EF8649" w14:textId="77777777" w:rsidR="001B619A" w:rsidRPr="00E517E4" w:rsidRDefault="001B619A" w:rsidP="00BF6334">
            <w:pPr>
              <w:spacing w:before="120" w:after="120"/>
            </w:pPr>
            <w:r w:rsidRPr="00E517E4">
              <w:rPr>
                <w:color w:val="000000"/>
              </w:rPr>
              <w:t>Insurance Code</w:t>
            </w:r>
          </w:p>
        </w:tc>
        <w:tc>
          <w:tcPr>
            <w:tcW w:w="3555" w:type="pct"/>
          </w:tcPr>
          <w:p w14:paraId="1067076B" w14:textId="65B76576" w:rsidR="001B619A" w:rsidRPr="00F25025" w:rsidRDefault="001B619A" w:rsidP="00BF6334">
            <w:pPr>
              <w:spacing w:before="120" w:after="120"/>
            </w:pPr>
            <w:r w:rsidRPr="00F25025">
              <w:t>Unique identifying number which is assigned to each insurance company, third- party administrator, and multiple employer trust</w:t>
            </w:r>
            <w:r w:rsidR="00C6282F" w:rsidRPr="00F25025">
              <w:t xml:space="preserve">. </w:t>
            </w:r>
          </w:p>
        </w:tc>
      </w:tr>
      <w:tr w:rsidR="00C6282F" w:rsidRPr="00F25025" w14:paraId="2779F3A2" w14:textId="77777777" w:rsidTr="00380EE7">
        <w:trPr>
          <w:trHeight w:val="412"/>
        </w:trPr>
        <w:tc>
          <w:tcPr>
            <w:tcW w:w="1445" w:type="pct"/>
          </w:tcPr>
          <w:p w14:paraId="362E1139" w14:textId="77777777" w:rsidR="001B619A" w:rsidRPr="00E517E4" w:rsidRDefault="001B619A" w:rsidP="00BF6334">
            <w:pPr>
              <w:spacing w:before="120" w:after="120"/>
            </w:pPr>
            <w:r w:rsidRPr="00E517E4">
              <w:rPr>
                <w:color w:val="000000"/>
              </w:rPr>
              <w:t>Insurance Company (Plan Sponsor)</w:t>
            </w:r>
          </w:p>
        </w:tc>
        <w:tc>
          <w:tcPr>
            <w:tcW w:w="3555" w:type="pct"/>
          </w:tcPr>
          <w:p w14:paraId="20578B2E" w14:textId="00B96358" w:rsidR="001B619A" w:rsidRDefault="001B619A" w:rsidP="00BF6334">
            <w:pPr>
              <w:spacing w:before="120" w:after="120"/>
            </w:pPr>
            <w:r w:rsidRPr="00F25025">
              <w:t xml:space="preserve">Client also referred to as a </w:t>
            </w:r>
            <w:r w:rsidR="00C6282F" w:rsidRPr="00F25025">
              <w:t>carrier because</w:t>
            </w:r>
            <w:r w:rsidRPr="00F25025">
              <w:t xml:space="preserve"> they underwrite the insurance for individual groups</w:t>
            </w:r>
            <w:r w:rsidR="00C6282F" w:rsidRPr="00F25025">
              <w:t xml:space="preserve">. </w:t>
            </w:r>
            <w:r w:rsidRPr="00F25025">
              <w:t xml:space="preserve">The insurance company signs the contract with </w:t>
            </w:r>
            <w:r>
              <w:t>us</w:t>
            </w:r>
            <w:r w:rsidRPr="00F25025">
              <w:t xml:space="preserve"> and is financially responsible for all bills incurred by groups insured by them</w:t>
            </w:r>
            <w:r w:rsidR="00C6282F" w:rsidRPr="00F25025">
              <w:t xml:space="preserve">. </w:t>
            </w:r>
          </w:p>
          <w:p w14:paraId="59832486" w14:textId="77777777" w:rsidR="001B619A" w:rsidRDefault="001B619A" w:rsidP="00BF6334">
            <w:pPr>
              <w:spacing w:before="120" w:after="120"/>
            </w:pPr>
          </w:p>
          <w:p w14:paraId="4FA5D219" w14:textId="6324CC48" w:rsidR="001B619A" w:rsidRPr="00F25025" w:rsidRDefault="001B619A" w:rsidP="00BF6334">
            <w:pPr>
              <w:spacing w:before="120" w:after="120"/>
            </w:pPr>
            <w:r w:rsidRPr="00F25025">
              <w:t xml:space="preserve">An insurance company may establish different ‘blocks’ of business within </w:t>
            </w:r>
            <w:r>
              <w:t>our</w:t>
            </w:r>
            <w:r w:rsidRPr="00F25025">
              <w:t xml:space="preserve"> system based on market segment, type of policy, geographic region, etc</w:t>
            </w:r>
            <w:r w:rsidR="00C6282F">
              <w:t>etera</w:t>
            </w:r>
            <w:r w:rsidRPr="00F25025">
              <w:t>.</w:t>
            </w:r>
          </w:p>
        </w:tc>
      </w:tr>
      <w:tr w:rsidR="00C6282F" w:rsidRPr="00F25025" w14:paraId="2554A1A1" w14:textId="77777777" w:rsidTr="00380EE7">
        <w:trPr>
          <w:trHeight w:val="412"/>
        </w:trPr>
        <w:tc>
          <w:tcPr>
            <w:tcW w:w="1445" w:type="pct"/>
          </w:tcPr>
          <w:p w14:paraId="4A7A31CA" w14:textId="77777777" w:rsidR="001B619A" w:rsidRPr="00E517E4" w:rsidRDefault="001B619A" w:rsidP="00BF6334">
            <w:pPr>
              <w:spacing w:before="120" w:after="120"/>
            </w:pPr>
            <w:r w:rsidRPr="00E517E4">
              <w:rPr>
                <w:color w:val="000000"/>
              </w:rPr>
              <w:t>Integrated Benefits</w:t>
            </w:r>
          </w:p>
        </w:tc>
        <w:tc>
          <w:tcPr>
            <w:tcW w:w="3555" w:type="pct"/>
          </w:tcPr>
          <w:p w14:paraId="1EBF20A8" w14:textId="15BDD188" w:rsidR="001B619A" w:rsidRPr="00F25025" w:rsidRDefault="001B619A" w:rsidP="00BF6334">
            <w:pPr>
              <w:spacing w:before="120" w:after="120"/>
            </w:pPr>
            <w:r w:rsidRPr="00F25025">
              <w:t>Combined (single) deductible which includes both medical and prescription costs that must be met before benefits are paid.</w:t>
            </w:r>
          </w:p>
        </w:tc>
      </w:tr>
      <w:tr w:rsidR="00C6282F" w:rsidRPr="00F25025" w14:paraId="303408D3" w14:textId="77777777" w:rsidTr="00380EE7">
        <w:trPr>
          <w:trHeight w:val="412"/>
        </w:trPr>
        <w:tc>
          <w:tcPr>
            <w:tcW w:w="1445" w:type="pct"/>
          </w:tcPr>
          <w:p w14:paraId="589E409E" w14:textId="77777777" w:rsidR="001B619A" w:rsidRPr="00E517E4" w:rsidRDefault="001B619A" w:rsidP="00BF6334">
            <w:pPr>
              <w:spacing w:before="120" w:after="120"/>
              <w:rPr>
                <w:color w:val="000000"/>
              </w:rPr>
            </w:pPr>
            <w:r w:rsidRPr="00E517E4">
              <w:rPr>
                <w:color w:val="000000"/>
              </w:rPr>
              <w:t>Integrated Deductible</w:t>
            </w:r>
          </w:p>
          <w:p w14:paraId="4A21C7C3" w14:textId="77777777" w:rsidR="001B619A" w:rsidRPr="00E517E4" w:rsidRDefault="001B619A" w:rsidP="00BF6334">
            <w:pPr>
              <w:spacing w:before="120" w:after="120"/>
            </w:pPr>
          </w:p>
        </w:tc>
        <w:tc>
          <w:tcPr>
            <w:tcW w:w="3555" w:type="pct"/>
          </w:tcPr>
          <w:p w14:paraId="55E1EA01" w14:textId="2E1C1883" w:rsidR="001B619A" w:rsidRPr="00F25025" w:rsidRDefault="001B619A" w:rsidP="00BF6334">
            <w:pPr>
              <w:spacing w:before="120" w:after="120"/>
            </w:pPr>
            <w:r w:rsidRPr="00F25025">
              <w:t xml:space="preserve">When one deductible amount applies to the medical and prescription insurance. </w:t>
            </w:r>
          </w:p>
          <w:p w14:paraId="29976615" w14:textId="1FE4CC4D" w:rsidR="001B619A" w:rsidRPr="00F25025" w:rsidRDefault="009E5748" w:rsidP="00BF6334">
            <w:pPr>
              <w:spacing w:before="120" w:after="120"/>
              <w:ind w:left="288"/>
            </w:pPr>
            <w:r>
              <w:rPr>
                <w:noProof/>
                <w:color w:val="000000"/>
              </w:rPr>
              <w:drawing>
                <wp:inline distT="0" distB="0" distL="0" distR="0" wp14:anchorId="4B072CA3" wp14:editId="5CDD7383">
                  <wp:extent cx="238125" cy="209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1B619A" w:rsidRPr="00F25025">
              <w:t xml:space="preserve"> I will take a look at your plan design to determine if the deductible is impacting the price of your medication. </w:t>
            </w:r>
          </w:p>
        </w:tc>
      </w:tr>
      <w:tr w:rsidR="00C6282F" w:rsidRPr="00F25025" w14:paraId="4E3C58E6" w14:textId="77777777" w:rsidTr="00380EE7">
        <w:trPr>
          <w:trHeight w:val="412"/>
        </w:trPr>
        <w:tc>
          <w:tcPr>
            <w:tcW w:w="1445" w:type="pct"/>
          </w:tcPr>
          <w:p w14:paraId="4C1F12DF" w14:textId="77777777" w:rsidR="001B619A" w:rsidRPr="00E517E4" w:rsidRDefault="001B619A" w:rsidP="00BF6334">
            <w:pPr>
              <w:spacing w:before="120" w:after="120"/>
            </w:pPr>
            <w:r w:rsidRPr="00E517E4">
              <w:rPr>
                <w:color w:val="000000"/>
              </w:rPr>
              <w:t>Interchange</w:t>
            </w:r>
            <w:r w:rsidRPr="00E517E4" w:rsidDel="00DD4774">
              <w:t xml:space="preserve"> </w:t>
            </w:r>
          </w:p>
        </w:tc>
        <w:tc>
          <w:tcPr>
            <w:tcW w:w="3555" w:type="pct"/>
          </w:tcPr>
          <w:p w14:paraId="7C4A6CC9" w14:textId="30EA98FA" w:rsidR="001B619A" w:rsidRPr="00F25025" w:rsidRDefault="001B619A" w:rsidP="00BF6334">
            <w:pPr>
              <w:spacing w:before="120" w:after="120"/>
            </w:pPr>
            <w:r w:rsidRPr="00F25025">
              <w:t>Act or process of dispensing one prescribed medication in place of another generally on the basis of chemical (generic) equivalency</w:t>
            </w:r>
            <w:r w:rsidR="00C6282F" w:rsidRPr="00F25025">
              <w:t xml:space="preserve">. </w:t>
            </w:r>
            <w:r w:rsidRPr="00F25025">
              <w:t>In some states or health plans, therapeutic (brand) equivalency may also be done in some therapeutic categories</w:t>
            </w:r>
            <w:r w:rsidR="00C6282F" w:rsidRPr="00F25025">
              <w:t xml:space="preserve">. </w:t>
            </w:r>
          </w:p>
        </w:tc>
      </w:tr>
      <w:tr w:rsidR="00C6282F" w:rsidRPr="00F25025" w14:paraId="3022FE9B" w14:textId="77777777" w:rsidTr="00380EE7">
        <w:trPr>
          <w:trHeight w:val="412"/>
        </w:trPr>
        <w:tc>
          <w:tcPr>
            <w:tcW w:w="1445" w:type="pct"/>
          </w:tcPr>
          <w:p w14:paraId="24916F05" w14:textId="77777777" w:rsidR="001B619A" w:rsidRPr="00E517E4" w:rsidRDefault="001B619A" w:rsidP="00BF6334">
            <w:pPr>
              <w:spacing w:before="120" w:after="120"/>
            </w:pPr>
            <w:r w:rsidRPr="00E517E4">
              <w:rPr>
                <w:color w:val="000000"/>
              </w:rPr>
              <w:t>Internet Pharmacy</w:t>
            </w:r>
          </w:p>
        </w:tc>
        <w:tc>
          <w:tcPr>
            <w:tcW w:w="3555" w:type="pct"/>
          </w:tcPr>
          <w:p w14:paraId="567A6289" w14:textId="5267BA80" w:rsidR="001B619A" w:rsidRPr="00F25025" w:rsidRDefault="001B619A" w:rsidP="00BF6334">
            <w:pPr>
              <w:spacing w:before="120" w:after="120"/>
            </w:pPr>
            <w:r w:rsidRPr="00F25025">
              <w:t>Organization that provides pharmacy services via the Internet and utilizes mail delivery of medications. A voluntary registration program with the National Association of Pharmacy (NABP) allows an Internet pharmacy to display a Verified Internet Pharmacy Provider Site (VIPPS) designation on its Web site</w:t>
            </w:r>
            <w:r w:rsidR="00C6282F" w:rsidRPr="00F25025">
              <w:t xml:space="preserve">. </w:t>
            </w:r>
          </w:p>
        </w:tc>
      </w:tr>
      <w:tr w:rsidR="00C6282F" w:rsidRPr="00F25025" w14:paraId="69E6A068" w14:textId="77777777" w:rsidTr="00380EE7">
        <w:trPr>
          <w:trHeight w:val="412"/>
        </w:trPr>
        <w:tc>
          <w:tcPr>
            <w:tcW w:w="1445" w:type="pct"/>
          </w:tcPr>
          <w:p w14:paraId="7572D1FB" w14:textId="77777777" w:rsidR="001B619A" w:rsidRPr="00E517E4" w:rsidRDefault="001B619A" w:rsidP="00BF6334">
            <w:pPr>
              <w:spacing w:before="120" w:after="120"/>
            </w:pPr>
            <w:r w:rsidRPr="00E517E4">
              <w:rPr>
                <w:color w:val="000000"/>
              </w:rPr>
              <w:t>Intervention</w:t>
            </w:r>
            <w:r w:rsidRPr="00E517E4" w:rsidDel="00DD4774">
              <w:t xml:space="preserve"> </w:t>
            </w:r>
          </w:p>
        </w:tc>
        <w:tc>
          <w:tcPr>
            <w:tcW w:w="3555" w:type="pct"/>
          </w:tcPr>
          <w:p w14:paraId="50EE8DC2" w14:textId="46AF7642" w:rsidR="001B619A" w:rsidRPr="00F25025" w:rsidRDefault="001B619A" w:rsidP="00BF6334">
            <w:pPr>
              <w:spacing w:before="120" w:after="120"/>
            </w:pPr>
            <w:r w:rsidRPr="00F25025">
              <w:t xml:space="preserve">Proactive disease management. Connecting with members, </w:t>
            </w:r>
            <w:r w:rsidR="00C6282F" w:rsidRPr="00F25025">
              <w:t>pharmacists,</w:t>
            </w:r>
            <w:r w:rsidRPr="00F25025">
              <w:t xml:space="preserve"> and prescribers to promote wellness, rather than reactive therapy upon illness or disease. </w:t>
            </w:r>
          </w:p>
          <w:p w14:paraId="6AC123D1" w14:textId="77777777" w:rsidR="001B619A" w:rsidRPr="00F25025" w:rsidRDefault="001B619A" w:rsidP="00BF6334">
            <w:pPr>
              <w:spacing w:before="120" w:after="120"/>
            </w:pPr>
          </w:p>
          <w:p w14:paraId="0E87E8B0" w14:textId="77777777" w:rsidR="001B619A" w:rsidRPr="00F25025" w:rsidRDefault="001B619A" w:rsidP="00BF6334">
            <w:pPr>
              <w:spacing w:before="120" w:after="120"/>
            </w:pPr>
            <w:r>
              <w:t>We</w:t>
            </w:r>
            <w:r w:rsidRPr="00F25025">
              <w:t xml:space="preserve"> offer several intervention platforms:  </w:t>
            </w:r>
          </w:p>
          <w:p w14:paraId="0EF660A9" w14:textId="77777777" w:rsidR="001B619A" w:rsidRPr="00C6282F" w:rsidRDefault="001B619A" w:rsidP="00BF6334">
            <w:pPr>
              <w:numPr>
                <w:ilvl w:val="0"/>
                <w:numId w:val="49"/>
              </w:numPr>
              <w:spacing w:before="120" w:after="120"/>
              <w:ind w:left="432"/>
            </w:pPr>
            <w:r w:rsidRPr="00C6282F">
              <w:t>Retail pharmacy benefits</w:t>
            </w:r>
          </w:p>
          <w:p w14:paraId="1CE6FA21" w14:textId="77777777" w:rsidR="001B619A" w:rsidRPr="00C6282F" w:rsidRDefault="001B619A" w:rsidP="00BF6334">
            <w:pPr>
              <w:numPr>
                <w:ilvl w:val="0"/>
                <w:numId w:val="49"/>
              </w:numPr>
              <w:spacing w:before="120" w:after="120"/>
              <w:ind w:left="432"/>
            </w:pPr>
            <w:r w:rsidRPr="00C6282F">
              <w:t>Mail-order pharmacy services</w:t>
            </w:r>
          </w:p>
          <w:p w14:paraId="64168972" w14:textId="77777777" w:rsidR="001B619A" w:rsidRPr="00C6282F" w:rsidRDefault="001B619A" w:rsidP="00BF6334">
            <w:pPr>
              <w:numPr>
                <w:ilvl w:val="0"/>
                <w:numId w:val="49"/>
              </w:numPr>
              <w:spacing w:before="120" w:after="120"/>
              <w:ind w:left="432"/>
            </w:pPr>
            <w:r w:rsidRPr="00C6282F">
              <w:t xml:space="preserve">PerformanceRx Intervention </w:t>
            </w:r>
          </w:p>
          <w:p w14:paraId="4FA3C2DD" w14:textId="77777777" w:rsidR="001B619A" w:rsidRPr="00C6282F" w:rsidRDefault="001B619A" w:rsidP="00BF6334">
            <w:pPr>
              <w:numPr>
                <w:ilvl w:val="0"/>
                <w:numId w:val="49"/>
              </w:numPr>
              <w:spacing w:before="120" w:after="120"/>
              <w:ind w:left="432"/>
            </w:pPr>
            <w:r w:rsidRPr="00C6282F">
              <w:t xml:space="preserve">Disease prevention and management </w:t>
            </w:r>
          </w:p>
          <w:p w14:paraId="7A92B996" w14:textId="545896B8" w:rsidR="001B619A" w:rsidRPr="00C6282F" w:rsidRDefault="001B619A" w:rsidP="00BF6334">
            <w:pPr>
              <w:numPr>
                <w:ilvl w:val="0"/>
                <w:numId w:val="49"/>
              </w:numPr>
              <w:spacing w:before="120" w:after="120"/>
              <w:ind w:left="432"/>
            </w:pPr>
            <w:r w:rsidRPr="00C6282F">
              <w:t>Electronic prescriber intervention products</w:t>
            </w:r>
          </w:p>
        </w:tc>
      </w:tr>
      <w:tr w:rsidR="00C6282F" w:rsidRPr="00F25025" w14:paraId="33B85DEB" w14:textId="77777777" w:rsidTr="00380EE7">
        <w:trPr>
          <w:trHeight w:val="523"/>
        </w:trPr>
        <w:tc>
          <w:tcPr>
            <w:tcW w:w="1445" w:type="pct"/>
          </w:tcPr>
          <w:p w14:paraId="161E3A9B" w14:textId="181D05BA" w:rsidR="001B619A" w:rsidRPr="00E517E4" w:rsidRDefault="001B619A" w:rsidP="00BF6334">
            <w:pPr>
              <w:spacing w:before="120" w:after="120"/>
            </w:pPr>
            <w:r w:rsidRPr="00E517E4">
              <w:rPr>
                <w:color w:val="000000"/>
              </w:rPr>
              <w:t>Intervention Reversal</w:t>
            </w:r>
          </w:p>
        </w:tc>
        <w:tc>
          <w:tcPr>
            <w:tcW w:w="3555" w:type="pct"/>
          </w:tcPr>
          <w:p w14:paraId="4315BB1F" w14:textId="596E9032" w:rsidR="001B619A" w:rsidRPr="00F25025" w:rsidRDefault="001B619A" w:rsidP="00BF6334">
            <w:pPr>
              <w:spacing w:before="120" w:after="120"/>
            </w:pPr>
            <w:r w:rsidRPr="00F34CBD">
              <w:rPr>
                <w:color w:val="000000"/>
              </w:rPr>
              <w:t>Action that will be taken when the member refuses the preferred alternative and requests that the non-preferred/originally prescribed medication be dispensed</w:t>
            </w:r>
            <w:r w:rsidR="00C6282F" w:rsidRPr="00F34CBD">
              <w:rPr>
                <w:color w:val="000000"/>
              </w:rPr>
              <w:t xml:space="preserve">. </w:t>
            </w:r>
            <w:r w:rsidRPr="00F34CBD">
              <w:rPr>
                <w:color w:val="000000"/>
              </w:rPr>
              <w:t xml:space="preserve">Formerly known as “Changeback”.  Also refers to the team within </w:t>
            </w:r>
            <w:r w:rsidR="00380EE7">
              <w:rPr>
                <w:color w:val="000000"/>
              </w:rPr>
              <w:t>Clinical Care Services (</w:t>
            </w:r>
            <w:r w:rsidRPr="00F34CBD">
              <w:rPr>
                <w:color w:val="000000"/>
              </w:rPr>
              <w:t>CCS</w:t>
            </w:r>
            <w:r w:rsidR="00380EE7">
              <w:rPr>
                <w:color w:val="000000"/>
              </w:rPr>
              <w:t>)</w:t>
            </w:r>
            <w:r w:rsidRPr="00F34CBD">
              <w:rPr>
                <w:color w:val="000000"/>
              </w:rPr>
              <w:t xml:space="preserve"> that handles these requests.</w:t>
            </w:r>
          </w:p>
        </w:tc>
      </w:tr>
      <w:tr w:rsidR="00C6282F" w:rsidRPr="00F25025" w14:paraId="54681E4E" w14:textId="77777777" w:rsidTr="00380EE7">
        <w:tc>
          <w:tcPr>
            <w:tcW w:w="1445" w:type="pct"/>
          </w:tcPr>
          <w:p w14:paraId="70A6DDDC" w14:textId="0EA140E6" w:rsidR="001B619A" w:rsidRPr="00E517E4" w:rsidRDefault="001B619A" w:rsidP="00BF6334">
            <w:pPr>
              <w:spacing w:before="120" w:after="120"/>
            </w:pPr>
            <w:r w:rsidRPr="00E517E4">
              <w:rPr>
                <w:color w:val="000000"/>
              </w:rPr>
              <w:t>Invalid</w:t>
            </w:r>
            <w:r w:rsidRPr="00E517E4" w:rsidDel="00346731">
              <w:t xml:space="preserve"> </w:t>
            </w:r>
          </w:p>
        </w:tc>
        <w:tc>
          <w:tcPr>
            <w:tcW w:w="3555" w:type="pct"/>
          </w:tcPr>
          <w:p w14:paraId="4C9A3ECD" w14:textId="77777777" w:rsidR="001B619A" w:rsidRPr="00F25025" w:rsidRDefault="001B619A" w:rsidP="00BF6334">
            <w:pPr>
              <w:spacing w:before="120" w:after="120"/>
            </w:pPr>
            <w:r w:rsidRPr="00F25025">
              <w:t>Not available as written, need clarification of information.</w:t>
            </w:r>
          </w:p>
        </w:tc>
      </w:tr>
      <w:tr w:rsidR="00C6282F" w:rsidRPr="00F25025" w14:paraId="69EA1F95" w14:textId="77777777" w:rsidTr="00380EE7">
        <w:tc>
          <w:tcPr>
            <w:tcW w:w="1445" w:type="pct"/>
            <w:shd w:val="clear" w:color="auto" w:fill="auto"/>
          </w:tcPr>
          <w:p w14:paraId="1F33CAF1" w14:textId="35260527" w:rsidR="001B619A" w:rsidRPr="00E517E4" w:rsidRDefault="30997662" w:rsidP="00BF6334">
            <w:pPr>
              <w:spacing w:before="120" w:after="120"/>
            </w:pPr>
            <w:r w:rsidRPr="4765C422">
              <w:t>Involuntary Disenrollment</w:t>
            </w:r>
          </w:p>
        </w:tc>
        <w:tc>
          <w:tcPr>
            <w:tcW w:w="3555" w:type="pct"/>
            <w:shd w:val="clear" w:color="auto" w:fill="auto"/>
          </w:tcPr>
          <w:p w14:paraId="2F5BA588" w14:textId="23A4EA1E" w:rsidR="001B619A" w:rsidRPr="00F25025" w:rsidRDefault="30997662" w:rsidP="00BF6334">
            <w:pPr>
              <w:spacing w:before="120" w:after="120"/>
            </w:pPr>
            <w:r w:rsidRPr="4765C422">
              <w:t xml:space="preserve">A beneficiary is removed from the plan without their request. </w:t>
            </w:r>
          </w:p>
        </w:tc>
      </w:tr>
      <w:tr w:rsidR="00C6282F" w:rsidRPr="00F25025" w14:paraId="6B18E68B" w14:textId="77777777" w:rsidTr="00380EE7">
        <w:tc>
          <w:tcPr>
            <w:tcW w:w="1445" w:type="pct"/>
            <w:shd w:val="clear" w:color="auto" w:fill="auto"/>
          </w:tcPr>
          <w:p w14:paraId="2CD7A6E7" w14:textId="2D902F51" w:rsidR="00955801" w:rsidRPr="4765C422" w:rsidRDefault="00C6282F" w:rsidP="00BF6334">
            <w:pPr>
              <w:spacing w:before="120" w:after="120"/>
            </w:pPr>
            <w:r>
              <w:t xml:space="preserve"> </w:t>
            </w:r>
            <w:r w:rsidR="00955801">
              <w:t>Issuer</w:t>
            </w:r>
          </w:p>
        </w:tc>
        <w:tc>
          <w:tcPr>
            <w:tcW w:w="3555" w:type="pct"/>
            <w:shd w:val="clear" w:color="auto" w:fill="auto"/>
          </w:tcPr>
          <w:p w14:paraId="682AB246" w14:textId="0528F6BD" w:rsidR="00955801" w:rsidRPr="4765C422" w:rsidRDefault="00955801" w:rsidP="00BF6334">
            <w:pPr>
              <w:spacing w:before="120" w:after="120"/>
            </w:pPr>
            <w:r w:rsidRPr="4765C422">
              <w:t xml:space="preserve">An identification that may be on a member's ID card. </w:t>
            </w:r>
          </w:p>
        </w:tc>
      </w:tr>
    </w:tbl>
    <w:p w14:paraId="7BF25923" w14:textId="77777777" w:rsidR="00D87929" w:rsidRPr="004E00B6" w:rsidRDefault="00D87929" w:rsidP="00BF6334">
      <w:pPr>
        <w:spacing w:before="120" w:after="120"/>
        <w:rPr>
          <w:sz w:val="20"/>
          <w:szCs w:val="20"/>
        </w:rPr>
      </w:pPr>
    </w:p>
    <w:p w14:paraId="1B528B74" w14:textId="7309099F" w:rsidR="00675566" w:rsidRPr="003D15F3" w:rsidRDefault="00675566" w:rsidP="00BF6334">
      <w:pPr>
        <w:spacing w:before="120" w:after="120"/>
        <w:jc w:val="right"/>
        <w:rPr>
          <w:color w:val="FF0000"/>
        </w:rPr>
      </w:pPr>
      <w:hyperlink w:anchor="_OneSource_Glossary_of" w:history="1">
        <w:r w:rsidRPr="003D15F3">
          <w:rPr>
            <w:rStyle w:val="Hyperlink"/>
          </w:rPr>
          <w:t>To</w:t>
        </w:r>
        <w:r w:rsidRPr="003D15F3">
          <w:rPr>
            <w:rStyle w:val="Hyperlink"/>
          </w:rPr>
          <w:t>p</w:t>
        </w:r>
        <w:r w:rsidRPr="003D15F3">
          <w:rPr>
            <w:rStyle w:val="Hyperlink"/>
          </w:rPr>
          <w:t xml:space="preserve"> of the Document</w:t>
        </w:r>
      </w:hyperlink>
    </w:p>
    <w:p w14:paraId="48BC9ECE" w14:textId="77777777" w:rsidR="00ED4CFD" w:rsidRPr="004E00B6" w:rsidRDefault="00ED4CFD" w:rsidP="00BF6334">
      <w:pPr>
        <w:spacing w:before="120" w:after="120"/>
        <w:jc w:val="center"/>
        <w:rPr>
          <w:sz w:val="16"/>
          <w:szCs w:val="16"/>
        </w:rPr>
      </w:pPr>
    </w:p>
    <w:p w14:paraId="0725317C" w14:textId="77777777" w:rsidR="00ED4CFD" w:rsidRPr="004E00B6" w:rsidRDefault="00ED4CFD" w:rsidP="00BF6334">
      <w:pPr>
        <w:spacing w:before="120" w:after="120"/>
        <w:jc w:val="center"/>
        <w:rPr>
          <w:sz w:val="16"/>
          <w:szCs w:val="16"/>
        </w:rPr>
      </w:pPr>
      <w:r w:rsidRPr="004E00B6">
        <w:rPr>
          <w:sz w:val="16"/>
          <w:szCs w:val="16"/>
        </w:rPr>
        <w:t>Not To Be Reproduced Or Disclosed to Others Without Prior Written Approval</w:t>
      </w:r>
    </w:p>
    <w:p w14:paraId="38E8240F" w14:textId="77777777" w:rsidR="00ED4CFD" w:rsidRPr="00C247CB" w:rsidRDefault="00ED4CFD" w:rsidP="00BF6334">
      <w:pPr>
        <w:spacing w:before="120" w:after="120"/>
        <w:jc w:val="center"/>
        <w:rPr>
          <w:b/>
          <w:color w:val="000000"/>
          <w:sz w:val="16"/>
          <w:szCs w:val="16"/>
        </w:rPr>
      </w:pPr>
      <w:r w:rsidRPr="004E00B6">
        <w:rPr>
          <w:b/>
          <w:color w:val="000000"/>
          <w:sz w:val="16"/>
          <w:szCs w:val="16"/>
        </w:rPr>
        <w:t>ELECTRONIC DATA = OFFICIAL VERSION – PAPER COPY – INFORMATIONAL ONLY</w:t>
      </w:r>
    </w:p>
    <w:p w14:paraId="3CBC2E43" w14:textId="2321B678" w:rsidR="00ED4CFD" w:rsidRPr="00A47CB1" w:rsidRDefault="00ED4CFD" w:rsidP="00BF6334">
      <w:pPr>
        <w:spacing w:before="120" w:after="120"/>
        <w:jc w:val="right"/>
        <w:rPr>
          <w:sz w:val="20"/>
          <w:szCs w:val="20"/>
        </w:rPr>
      </w:pPr>
    </w:p>
    <w:sectPr w:rsidR="00ED4CFD" w:rsidRPr="00A47CB1" w:rsidSect="00303F88">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1614AC" w14:textId="77777777" w:rsidR="006172EA" w:rsidRDefault="006172EA">
      <w:r>
        <w:separator/>
      </w:r>
    </w:p>
  </w:endnote>
  <w:endnote w:type="continuationSeparator" w:id="0">
    <w:p w14:paraId="0AE4C4E7" w14:textId="77777777" w:rsidR="006172EA" w:rsidRDefault="00617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MS Sans Serif">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CB04C6" w14:textId="77777777" w:rsidR="006172EA" w:rsidRDefault="006172EA">
      <w:r>
        <w:separator/>
      </w:r>
    </w:p>
  </w:footnote>
  <w:footnote w:type="continuationSeparator" w:id="0">
    <w:p w14:paraId="189AC1E5" w14:textId="77777777" w:rsidR="006172EA" w:rsidRDefault="00617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F0983"/>
    <w:multiLevelType w:val="hybridMultilevel"/>
    <w:tmpl w:val="2F60BAB4"/>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 w15:restartNumberingAfterBreak="0">
    <w:nsid w:val="02885012"/>
    <w:multiLevelType w:val="hybridMultilevel"/>
    <w:tmpl w:val="ECD8E1E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C31F97"/>
    <w:multiLevelType w:val="hybridMultilevel"/>
    <w:tmpl w:val="33664C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31D1F78"/>
    <w:multiLevelType w:val="hybridMultilevel"/>
    <w:tmpl w:val="0A888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1527D2"/>
    <w:multiLevelType w:val="hybridMultilevel"/>
    <w:tmpl w:val="D2CA2DC2"/>
    <w:lvl w:ilvl="0" w:tplc="C536332A">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A6483C"/>
    <w:multiLevelType w:val="hybridMultilevel"/>
    <w:tmpl w:val="D6366D1E"/>
    <w:lvl w:ilvl="0" w:tplc="DD522A44">
      <w:start w:val="1"/>
      <w:numFmt w:val="decimal"/>
      <w:lvlText w:val="%1."/>
      <w:lvlJc w:val="left"/>
      <w:pPr>
        <w:ind w:left="360" w:hanging="360"/>
      </w:pPr>
      <w:rPr>
        <w:rFonts w:hint="default"/>
        <w:b w:val="0"/>
        <w:i w:val="0"/>
        <w:sz w:val="24"/>
        <w:szCs w:val="24"/>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06BB6983"/>
    <w:multiLevelType w:val="hybridMultilevel"/>
    <w:tmpl w:val="0ED0C26A"/>
    <w:lvl w:ilvl="0" w:tplc="AD1822D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091454"/>
    <w:multiLevelType w:val="hybridMultilevel"/>
    <w:tmpl w:val="2E8CF5C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86B1682"/>
    <w:multiLevelType w:val="hybridMultilevel"/>
    <w:tmpl w:val="A5C8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DD3CC7"/>
    <w:multiLevelType w:val="hybridMultilevel"/>
    <w:tmpl w:val="BAC0D0F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09CA4038"/>
    <w:multiLevelType w:val="multilevel"/>
    <w:tmpl w:val="C066B8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0A8659E8"/>
    <w:multiLevelType w:val="hybridMultilevel"/>
    <w:tmpl w:val="02804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240922"/>
    <w:multiLevelType w:val="multilevel"/>
    <w:tmpl w:val="23FC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B7963CC"/>
    <w:multiLevelType w:val="hybridMultilevel"/>
    <w:tmpl w:val="FF224F5E"/>
    <w:lvl w:ilvl="0" w:tplc="5D3EAE0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15" w15:restartNumberingAfterBreak="0">
    <w:nsid w:val="0D743D8C"/>
    <w:multiLevelType w:val="hybridMultilevel"/>
    <w:tmpl w:val="D03C0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34124D"/>
    <w:multiLevelType w:val="hybridMultilevel"/>
    <w:tmpl w:val="92EE4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0E6910E5"/>
    <w:multiLevelType w:val="hybridMultilevel"/>
    <w:tmpl w:val="AEC8AE90"/>
    <w:lvl w:ilvl="0" w:tplc="FB50EC2A">
      <w:start w:val="1"/>
      <w:numFmt w:val="bullet"/>
      <w:lvlText w:val=""/>
      <w:lvlJc w:val="left"/>
      <w:pPr>
        <w:tabs>
          <w:tab w:val="num" w:pos="1296"/>
        </w:tabs>
        <w:ind w:left="1296" w:hanging="288"/>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E7728BF"/>
    <w:multiLevelType w:val="hybridMultilevel"/>
    <w:tmpl w:val="A7ACEA94"/>
    <w:lvl w:ilvl="0" w:tplc="3480766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0E921E3F"/>
    <w:multiLevelType w:val="hybridMultilevel"/>
    <w:tmpl w:val="062C1C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0EF867E2"/>
    <w:multiLevelType w:val="hybridMultilevel"/>
    <w:tmpl w:val="40F097BE"/>
    <w:lvl w:ilvl="0" w:tplc="FB50EC2A">
      <w:start w:val="1"/>
      <w:numFmt w:val="bullet"/>
      <w:lvlText w:val=""/>
      <w:lvlJc w:val="left"/>
      <w:pPr>
        <w:tabs>
          <w:tab w:val="num" w:pos="1296"/>
        </w:tabs>
        <w:ind w:left="1296" w:hanging="288"/>
      </w:pPr>
      <w:rPr>
        <w:rFonts w:ascii="Symbol" w:hAnsi="Symbol"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063630E"/>
    <w:multiLevelType w:val="hybridMultilevel"/>
    <w:tmpl w:val="D53279B8"/>
    <w:lvl w:ilvl="0" w:tplc="C868EF1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C629A0"/>
    <w:multiLevelType w:val="multilevel"/>
    <w:tmpl w:val="455429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18003A5"/>
    <w:multiLevelType w:val="hybridMultilevel"/>
    <w:tmpl w:val="22BA7A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1D2681D"/>
    <w:multiLevelType w:val="multilevel"/>
    <w:tmpl w:val="F176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20F72B2"/>
    <w:multiLevelType w:val="multilevel"/>
    <w:tmpl w:val="CA6C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29B7BB4"/>
    <w:multiLevelType w:val="hybridMultilevel"/>
    <w:tmpl w:val="EFB47630"/>
    <w:lvl w:ilvl="0" w:tplc="96D4C75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3222CE9"/>
    <w:multiLevelType w:val="hybridMultilevel"/>
    <w:tmpl w:val="61648F8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4A665FB"/>
    <w:multiLevelType w:val="hybridMultilevel"/>
    <w:tmpl w:val="AAE0BC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4AC44F8"/>
    <w:multiLevelType w:val="hybridMultilevel"/>
    <w:tmpl w:val="5C56E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5702678"/>
    <w:multiLevelType w:val="hybridMultilevel"/>
    <w:tmpl w:val="F2184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860583E"/>
    <w:multiLevelType w:val="hybridMultilevel"/>
    <w:tmpl w:val="1708DB2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18D02B3B"/>
    <w:multiLevelType w:val="multilevel"/>
    <w:tmpl w:val="52B2E4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19742129"/>
    <w:multiLevelType w:val="hybridMultilevel"/>
    <w:tmpl w:val="C8502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AC77AA6"/>
    <w:multiLevelType w:val="hybridMultilevel"/>
    <w:tmpl w:val="F8D0DED4"/>
    <w:lvl w:ilvl="0" w:tplc="AD1822DC">
      <w:start w:val="1"/>
      <w:numFmt w:val="bullet"/>
      <w:lvlText w:val=""/>
      <w:lvlJc w:val="left"/>
      <w:pPr>
        <w:tabs>
          <w:tab w:val="num" w:pos="1080"/>
        </w:tabs>
        <w:ind w:left="1080" w:hanging="432"/>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1BC57F36"/>
    <w:multiLevelType w:val="hybridMultilevel"/>
    <w:tmpl w:val="3D204A2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20081906"/>
    <w:multiLevelType w:val="multilevel"/>
    <w:tmpl w:val="829889E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20312638"/>
    <w:multiLevelType w:val="hybridMultilevel"/>
    <w:tmpl w:val="E09A0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0811C4F"/>
    <w:multiLevelType w:val="multilevel"/>
    <w:tmpl w:val="79563F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20A6391C"/>
    <w:multiLevelType w:val="hybridMultilevel"/>
    <w:tmpl w:val="6414D0B8"/>
    <w:lvl w:ilvl="0" w:tplc="AD1822DC">
      <w:start w:val="1"/>
      <w:numFmt w:val="bullet"/>
      <w:lvlText w:val=""/>
      <w:lvlJc w:val="left"/>
      <w:pPr>
        <w:tabs>
          <w:tab w:val="num" w:pos="720"/>
        </w:tabs>
        <w:ind w:left="720" w:hanging="432"/>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24C314AB"/>
    <w:multiLevelType w:val="hybridMultilevel"/>
    <w:tmpl w:val="412A7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4D66150"/>
    <w:multiLevelType w:val="hybridMultilevel"/>
    <w:tmpl w:val="EA6A8E48"/>
    <w:lvl w:ilvl="0" w:tplc="FDFA02D4">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27383C65"/>
    <w:multiLevelType w:val="hybridMultilevel"/>
    <w:tmpl w:val="5A689B1C"/>
    <w:lvl w:ilvl="0" w:tplc="3480766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7D26B19"/>
    <w:multiLevelType w:val="hybridMultilevel"/>
    <w:tmpl w:val="E2A0C756"/>
    <w:lvl w:ilvl="0" w:tplc="69E2A0F6">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4" w15:restartNumberingAfterBreak="0">
    <w:nsid w:val="28253C8E"/>
    <w:multiLevelType w:val="hybridMultilevel"/>
    <w:tmpl w:val="BA724B80"/>
    <w:lvl w:ilvl="0" w:tplc="5AACFADE">
      <w:start w:val="1"/>
      <w:numFmt w:val="bullet"/>
      <w:lvlText w:val=""/>
      <w:lvlJc w:val="left"/>
      <w:pPr>
        <w:tabs>
          <w:tab w:val="num" w:pos="1080"/>
        </w:tabs>
        <w:ind w:left="1080" w:hanging="360"/>
      </w:pPr>
      <w:rPr>
        <w:rFonts w:ascii="Symbol" w:hAnsi="Symbol"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294874B3"/>
    <w:multiLevelType w:val="hybridMultilevel"/>
    <w:tmpl w:val="B24213C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29EC0316"/>
    <w:multiLevelType w:val="hybridMultilevel"/>
    <w:tmpl w:val="11C63CBA"/>
    <w:lvl w:ilvl="0" w:tplc="FB50EC2A">
      <w:start w:val="1"/>
      <w:numFmt w:val="bullet"/>
      <w:lvlText w:val=""/>
      <w:lvlJc w:val="left"/>
      <w:pPr>
        <w:tabs>
          <w:tab w:val="num" w:pos="1296"/>
        </w:tabs>
        <w:ind w:left="1296" w:hanging="288"/>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2A791365"/>
    <w:multiLevelType w:val="hybridMultilevel"/>
    <w:tmpl w:val="9EA23578"/>
    <w:lvl w:ilvl="0" w:tplc="8EE431B2">
      <w:start w:val="1"/>
      <w:numFmt w:val="bullet"/>
      <w:lvlText w:val=""/>
      <w:lvlJc w:val="left"/>
      <w:pPr>
        <w:ind w:left="360" w:hanging="360"/>
      </w:pPr>
      <w:rPr>
        <w:rFonts w:ascii="Symbol" w:hAnsi="Symbol" w:hint="default"/>
        <w:b/>
        <w:bCs/>
        <w:i w:val="0"/>
        <w:color w:val="auto"/>
        <w:sz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2A873DE5"/>
    <w:multiLevelType w:val="hybridMultilevel"/>
    <w:tmpl w:val="7EDAF1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2C6F57BD"/>
    <w:multiLevelType w:val="hybridMultilevel"/>
    <w:tmpl w:val="7E66AE9E"/>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0" w15:restartNumberingAfterBreak="0">
    <w:nsid w:val="2CCB1737"/>
    <w:multiLevelType w:val="hybridMultilevel"/>
    <w:tmpl w:val="819A8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D6660CF"/>
    <w:multiLevelType w:val="hybridMultilevel"/>
    <w:tmpl w:val="42D659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2" w15:restartNumberingAfterBreak="0">
    <w:nsid w:val="2E42547C"/>
    <w:multiLevelType w:val="hybridMultilevel"/>
    <w:tmpl w:val="A7A0578E"/>
    <w:lvl w:ilvl="0" w:tplc="04090001">
      <w:start w:val="1"/>
      <w:numFmt w:val="bullet"/>
      <w:lvlText w:val=""/>
      <w:lvlJc w:val="left"/>
      <w:pPr>
        <w:ind w:left="360" w:hanging="360"/>
      </w:pPr>
      <w:rPr>
        <w:rFonts w:ascii="Symbol" w:hAnsi="Symbol" w:hint="default"/>
        <w:color w:val="00000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2E860477"/>
    <w:multiLevelType w:val="hybridMultilevel"/>
    <w:tmpl w:val="ED462534"/>
    <w:lvl w:ilvl="0" w:tplc="FB50EC2A">
      <w:start w:val="1"/>
      <w:numFmt w:val="bullet"/>
      <w:lvlText w:val=""/>
      <w:lvlJc w:val="left"/>
      <w:pPr>
        <w:tabs>
          <w:tab w:val="num" w:pos="1296"/>
        </w:tabs>
        <w:ind w:left="1296" w:hanging="288"/>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F7A1575"/>
    <w:multiLevelType w:val="multilevel"/>
    <w:tmpl w:val="D5E8AB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304469E8"/>
    <w:multiLevelType w:val="hybridMultilevel"/>
    <w:tmpl w:val="8DB4BDA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313E5143"/>
    <w:multiLevelType w:val="multilevel"/>
    <w:tmpl w:val="B9CC4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20C2AEE"/>
    <w:multiLevelType w:val="hybridMultilevel"/>
    <w:tmpl w:val="75524E5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3586128B"/>
    <w:multiLevelType w:val="hybridMultilevel"/>
    <w:tmpl w:val="642A0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8107DF9"/>
    <w:multiLevelType w:val="multilevel"/>
    <w:tmpl w:val="0174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8BB2A05"/>
    <w:multiLevelType w:val="hybridMultilevel"/>
    <w:tmpl w:val="49EE928C"/>
    <w:lvl w:ilvl="0" w:tplc="DD522A44">
      <w:start w:val="1"/>
      <w:numFmt w:val="decimal"/>
      <w:lvlText w:val="%1."/>
      <w:lvlJc w:val="left"/>
      <w:pPr>
        <w:ind w:left="360" w:hanging="360"/>
      </w:pPr>
      <w:rPr>
        <w:rFonts w:hint="default"/>
        <w:b w:val="0"/>
        <w:i w:val="0"/>
        <w:sz w:val="24"/>
        <w:szCs w:val="24"/>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3AC67D75"/>
    <w:multiLevelType w:val="hybridMultilevel"/>
    <w:tmpl w:val="8C4CC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B7701A9"/>
    <w:multiLevelType w:val="hybridMultilevel"/>
    <w:tmpl w:val="C3423E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3BF72796"/>
    <w:multiLevelType w:val="hybridMultilevel"/>
    <w:tmpl w:val="B8DA3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DD30662"/>
    <w:multiLevelType w:val="hybridMultilevel"/>
    <w:tmpl w:val="3FECB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E0B6ADF"/>
    <w:multiLevelType w:val="multilevel"/>
    <w:tmpl w:val="8F8E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F126899"/>
    <w:multiLevelType w:val="hybridMultilevel"/>
    <w:tmpl w:val="190C5C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FC659AA"/>
    <w:multiLevelType w:val="hybridMultilevel"/>
    <w:tmpl w:val="2BAC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1B86BAE"/>
    <w:multiLevelType w:val="hybridMultilevel"/>
    <w:tmpl w:val="94F2B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4204566F"/>
    <w:multiLevelType w:val="hybridMultilevel"/>
    <w:tmpl w:val="6E482A06"/>
    <w:lvl w:ilvl="0" w:tplc="C536332A">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28E1416"/>
    <w:multiLevelType w:val="multilevel"/>
    <w:tmpl w:val="8314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424612A"/>
    <w:multiLevelType w:val="hybridMultilevel"/>
    <w:tmpl w:val="B622DDEC"/>
    <w:lvl w:ilvl="0" w:tplc="56DA4188">
      <w:start w:val="1"/>
      <w:numFmt w:val="bullet"/>
      <w:pStyle w:val="BulletLevel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44CB6C01"/>
    <w:multiLevelType w:val="multilevel"/>
    <w:tmpl w:val="7ED8C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5563552"/>
    <w:multiLevelType w:val="hybridMultilevel"/>
    <w:tmpl w:val="9014F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5E11AFB"/>
    <w:multiLevelType w:val="multilevel"/>
    <w:tmpl w:val="F176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64A595D"/>
    <w:multiLevelType w:val="hybridMultilevel"/>
    <w:tmpl w:val="2F320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7EB5252"/>
    <w:multiLevelType w:val="multilevel"/>
    <w:tmpl w:val="923CB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80C3DEE"/>
    <w:multiLevelType w:val="hybridMultilevel"/>
    <w:tmpl w:val="10E69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9521049"/>
    <w:multiLevelType w:val="hybridMultilevel"/>
    <w:tmpl w:val="DB108F5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D1678EF"/>
    <w:multiLevelType w:val="hybridMultilevel"/>
    <w:tmpl w:val="C0D8D0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0" w15:restartNumberingAfterBreak="0">
    <w:nsid w:val="4D4218DD"/>
    <w:multiLevelType w:val="multilevel"/>
    <w:tmpl w:val="0FF8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DC953E4"/>
    <w:multiLevelType w:val="hybridMultilevel"/>
    <w:tmpl w:val="6B2E4F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15:restartNumberingAfterBreak="0">
    <w:nsid w:val="4DE46C55"/>
    <w:multiLevelType w:val="hybridMultilevel"/>
    <w:tmpl w:val="DB6EAF66"/>
    <w:lvl w:ilvl="0" w:tplc="0409000F">
      <w:start w:val="1"/>
      <w:numFmt w:val="decimal"/>
      <w:pStyle w:val="BulletText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DF04165"/>
    <w:multiLevelType w:val="multilevel"/>
    <w:tmpl w:val="AA2860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E487448"/>
    <w:multiLevelType w:val="hybridMultilevel"/>
    <w:tmpl w:val="7D8CF4E2"/>
    <w:lvl w:ilvl="0" w:tplc="5AACFADE">
      <w:start w:val="1"/>
      <w:numFmt w:val="bullet"/>
      <w:lvlText w:val=""/>
      <w:lvlJc w:val="left"/>
      <w:pPr>
        <w:tabs>
          <w:tab w:val="num" w:pos="1080"/>
        </w:tabs>
        <w:ind w:left="1080" w:hanging="360"/>
      </w:pPr>
      <w:rPr>
        <w:rFonts w:ascii="Symbol" w:hAnsi="Symbol"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4E8E5605"/>
    <w:multiLevelType w:val="hybridMultilevel"/>
    <w:tmpl w:val="A11658F0"/>
    <w:lvl w:ilvl="0" w:tplc="C536332A">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F94280E"/>
    <w:multiLevelType w:val="multilevel"/>
    <w:tmpl w:val="9C54A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FC61FCD"/>
    <w:multiLevelType w:val="hybridMultilevel"/>
    <w:tmpl w:val="847E3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00A4D4B"/>
    <w:multiLevelType w:val="hybridMultilevel"/>
    <w:tmpl w:val="E7FC7334"/>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50284A4C"/>
    <w:multiLevelType w:val="hybridMultilevel"/>
    <w:tmpl w:val="F420065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508F55A8"/>
    <w:multiLevelType w:val="hybridMultilevel"/>
    <w:tmpl w:val="ABE27D2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5211184D"/>
    <w:multiLevelType w:val="hybridMultilevel"/>
    <w:tmpl w:val="0B9E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273432D"/>
    <w:multiLevelType w:val="hybridMultilevel"/>
    <w:tmpl w:val="9D94A2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55EC0589"/>
    <w:multiLevelType w:val="hybridMultilevel"/>
    <w:tmpl w:val="031826DA"/>
    <w:lvl w:ilvl="0" w:tplc="5798E208">
      <w:start w:val="1"/>
      <w:numFmt w:val="bullet"/>
      <w:lvlText w:val=""/>
      <w:lvlJc w:val="left"/>
      <w:pPr>
        <w:tabs>
          <w:tab w:val="num" w:pos="720"/>
        </w:tabs>
        <w:ind w:left="720" w:hanging="360"/>
      </w:pPr>
      <w:rPr>
        <w:rFonts w:ascii="Symbol" w:hAnsi="Symbol" w:hint="default"/>
        <w:color w:val="auto"/>
        <w:spacing w:val="0"/>
        <w:position w:val="1"/>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57674855"/>
    <w:multiLevelType w:val="hybridMultilevel"/>
    <w:tmpl w:val="452AB18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5" w15:restartNumberingAfterBreak="0">
    <w:nsid w:val="584C2F7C"/>
    <w:multiLevelType w:val="hybridMultilevel"/>
    <w:tmpl w:val="C87CF50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6" w15:restartNumberingAfterBreak="0">
    <w:nsid w:val="5A787092"/>
    <w:multiLevelType w:val="hybridMultilevel"/>
    <w:tmpl w:val="5E72C06A"/>
    <w:lvl w:ilvl="0" w:tplc="4418A4DA">
      <w:start w:val="1"/>
      <w:numFmt w:val="bullet"/>
      <w:lvlText w:val=""/>
      <w:lvlJc w:val="left"/>
      <w:pPr>
        <w:tabs>
          <w:tab w:val="num" w:pos="720"/>
        </w:tabs>
        <w:ind w:left="720" w:hanging="360"/>
      </w:pPr>
      <w:rPr>
        <w:rFonts w:ascii="Symbol" w:hAnsi="Symbol" w:hint="default"/>
        <w:color w:val="000000"/>
      </w:rPr>
    </w:lvl>
    <w:lvl w:ilvl="1" w:tplc="32F447A6">
      <w:start w:val="1"/>
      <w:numFmt w:val="bullet"/>
      <w:lvlText w:val=""/>
      <w:lvlJc w:val="left"/>
      <w:pPr>
        <w:tabs>
          <w:tab w:val="num" w:pos="1253"/>
        </w:tabs>
        <w:ind w:left="1253" w:hanging="173"/>
      </w:pPr>
      <w:rPr>
        <w:rFonts w:ascii="Symbol" w:hAnsi="Symbol" w:hint="default"/>
        <w:b w:val="0"/>
        <w:i w:val="0"/>
        <w:color w:val="auto"/>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5CEF7EE8"/>
    <w:multiLevelType w:val="hybridMultilevel"/>
    <w:tmpl w:val="2D7427E8"/>
    <w:lvl w:ilvl="0" w:tplc="7514E8AC">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8" w15:restartNumberingAfterBreak="0">
    <w:nsid w:val="5E10620E"/>
    <w:multiLevelType w:val="hybridMultilevel"/>
    <w:tmpl w:val="FB9A0F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 w15:restartNumberingAfterBreak="0">
    <w:nsid w:val="5E2F6FA3"/>
    <w:multiLevelType w:val="hybridMultilevel"/>
    <w:tmpl w:val="0BFAB8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5ECD2FFC"/>
    <w:multiLevelType w:val="hybridMultilevel"/>
    <w:tmpl w:val="11A6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0AA12B5"/>
    <w:multiLevelType w:val="multilevel"/>
    <w:tmpl w:val="D706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0B53F95"/>
    <w:multiLevelType w:val="hybridMultilevel"/>
    <w:tmpl w:val="F5A6A7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3" w15:restartNumberingAfterBreak="0">
    <w:nsid w:val="62035E06"/>
    <w:multiLevelType w:val="hybridMultilevel"/>
    <w:tmpl w:val="D0F6F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89761B"/>
    <w:multiLevelType w:val="multilevel"/>
    <w:tmpl w:val="8EF6F7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5" w15:restartNumberingAfterBreak="0">
    <w:nsid w:val="63075B3A"/>
    <w:multiLevelType w:val="hybridMultilevel"/>
    <w:tmpl w:val="2F3A25A8"/>
    <w:lvl w:ilvl="0" w:tplc="5AAC06DC">
      <w:start w:val="1"/>
      <w:numFmt w:val="bullet"/>
      <w:pStyle w:val="BulletText1"/>
      <w:lvlText w:val=""/>
      <w:lvlJc w:val="left"/>
      <w:pPr>
        <w:tabs>
          <w:tab w:val="num" w:pos="1800"/>
        </w:tabs>
        <w:ind w:left="1800" w:hanging="360"/>
      </w:pPr>
      <w:rPr>
        <w:rFonts w:ascii="Symbol" w:hAnsi="Symbol" w:hint="default"/>
      </w:rPr>
    </w:lvl>
    <w:lvl w:ilvl="1" w:tplc="8056E7F6">
      <w:start w:val="1"/>
      <w:numFmt w:val="bullet"/>
      <w:lvlText w:val="o"/>
      <w:lvlJc w:val="left"/>
      <w:pPr>
        <w:tabs>
          <w:tab w:val="num" w:pos="1627"/>
        </w:tabs>
        <w:ind w:left="1627" w:hanging="360"/>
      </w:pPr>
      <w:rPr>
        <w:rFonts w:ascii="Courier New" w:hAnsi="Courier New" w:hint="default"/>
      </w:rPr>
    </w:lvl>
    <w:lvl w:ilvl="2" w:tplc="61AA21D4">
      <w:start w:val="1"/>
      <w:numFmt w:val="bullet"/>
      <w:lvlText w:val=""/>
      <w:lvlJc w:val="left"/>
      <w:pPr>
        <w:tabs>
          <w:tab w:val="num" w:pos="2347"/>
        </w:tabs>
        <w:ind w:left="2347" w:hanging="360"/>
      </w:pPr>
      <w:rPr>
        <w:rFonts w:ascii="Wingdings" w:hAnsi="Wingdings" w:hint="default"/>
      </w:rPr>
    </w:lvl>
    <w:lvl w:ilvl="3" w:tplc="4B4C24EC" w:tentative="1">
      <w:start w:val="1"/>
      <w:numFmt w:val="bullet"/>
      <w:lvlText w:val=""/>
      <w:lvlJc w:val="left"/>
      <w:pPr>
        <w:tabs>
          <w:tab w:val="num" w:pos="3067"/>
        </w:tabs>
        <w:ind w:left="3067" w:hanging="360"/>
      </w:pPr>
      <w:rPr>
        <w:rFonts w:ascii="Symbol" w:hAnsi="Symbol" w:hint="default"/>
      </w:rPr>
    </w:lvl>
    <w:lvl w:ilvl="4" w:tplc="C2C802B2" w:tentative="1">
      <w:start w:val="1"/>
      <w:numFmt w:val="bullet"/>
      <w:lvlText w:val="o"/>
      <w:lvlJc w:val="left"/>
      <w:pPr>
        <w:tabs>
          <w:tab w:val="num" w:pos="3787"/>
        </w:tabs>
        <w:ind w:left="3787" w:hanging="360"/>
      </w:pPr>
      <w:rPr>
        <w:rFonts w:ascii="Courier New" w:hAnsi="Courier New" w:hint="default"/>
      </w:rPr>
    </w:lvl>
    <w:lvl w:ilvl="5" w:tplc="C3A4F38A" w:tentative="1">
      <w:start w:val="1"/>
      <w:numFmt w:val="bullet"/>
      <w:lvlText w:val=""/>
      <w:lvlJc w:val="left"/>
      <w:pPr>
        <w:tabs>
          <w:tab w:val="num" w:pos="4507"/>
        </w:tabs>
        <w:ind w:left="4507" w:hanging="360"/>
      </w:pPr>
      <w:rPr>
        <w:rFonts w:ascii="Wingdings" w:hAnsi="Wingdings" w:hint="default"/>
      </w:rPr>
    </w:lvl>
    <w:lvl w:ilvl="6" w:tplc="B6F0B382" w:tentative="1">
      <w:start w:val="1"/>
      <w:numFmt w:val="bullet"/>
      <w:lvlText w:val=""/>
      <w:lvlJc w:val="left"/>
      <w:pPr>
        <w:tabs>
          <w:tab w:val="num" w:pos="5227"/>
        </w:tabs>
        <w:ind w:left="5227" w:hanging="360"/>
      </w:pPr>
      <w:rPr>
        <w:rFonts w:ascii="Symbol" w:hAnsi="Symbol" w:hint="default"/>
      </w:rPr>
    </w:lvl>
    <w:lvl w:ilvl="7" w:tplc="19CAAE9E" w:tentative="1">
      <w:start w:val="1"/>
      <w:numFmt w:val="bullet"/>
      <w:lvlText w:val="o"/>
      <w:lvlJc w:val="left"/>
      <w:pPr>
        <w:tabs>
          <w:tab w:val="num" w:pos="5947"/>
        </w:tabs>
        <w:ind w:left="5947" w:hanging="360"/>
      </w:pPr>
      <w:rPr>
        <w:rFonts w:ascii="Courier New" w:hAnsi="Courier New" w:hint="default"/>
      </w:rPr>
    </w:lvl>
    <w:lvl w:ilvl="8" w:tplc="8DFA4BDA" w:tentative="1">
      <w:start w:val="1"/>
      <w:numFmt w:val="bullet"/>
      <w:lvlText w:val=""/>
      <w:lvlJc w:val="left"/>
      <w:pPr>
        <w:tabs>
          <w:tab w:val="num" w:pos="6667"/>
        </w:tabs>
        <w:ind w:left="6667" w:hanging="360"/>
      </w:pPr>
      <w:rPr>
        <w:rFonts w:ascii="Wingdings" w:hAnsi="Wingdings" w:hint="default"/>
      </w:rPr>
    </w:lvl>
  </w:abstractNum>
  <w:abstractNum w:abstractNumId="106" w15:restartNumberingAfterBreak="0">
    <w:nsid w:val="63BC784C"/>
    <w:multiLevelType w:val="hybridMultilevel"/>
    <w:tmpl w:val="C03C60A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7" w15:restartNumberingAfterBreak="0">
    <w:nsid w:val="64A8418F"/>
    <w:multiLevelType w:val="hybridMultilevel"/>
    <w:tmpl w:val="A91E7F3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8" w15:restartNumberingAfterBreak="0">
    <w:nsid w:val="64DA3ADF"/>
    <w:multiLevelType w:val="hybridMultilevel"/>
    <w:tmpl w:val="712AE59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4E75102"/>
    <w:multiLevelType w:val="hybridMultilevel"/>
    <w:tmpl w:val="13BA0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15:restartNumberingAfterBreak="0">
    <w:nsid w:val="655A6F26"/>
    <w:multiLevelType w:val="multilevel"/>
    <w:tmpl w:val="9666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59602C2"/>
    <w:multiLevelType w:val="hybridMultilevel"/>
    <w:tmpl w:val="E0E2D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2" w15:restartNumberingAfterBreak="0">
    <w:nsid w:val="662C69E8"/>
    <w:multiLevelType w:val="hybridMultilevel"/>
    <w:tmpl w:val="A93A8774"/>
    <w:lvl w:ilvl="0" w:tplc="04090001">
      <w:start w:val="1"/>
      <w:numFmt w:val="bullet"/>
      <w:lvlText w:val=""/>
      <w:lvlJc w:val="left"/>
      <w:pPr>
        <w:tabs>
          <w:tab w:val="num" w:pos="720"/>
        </w:tabs>
        <w:ind w:left="720" w:hanging="360"/>
      </w:pPr>
      <w:rPr>
        <w:rFonts w:ascii="Symbol" w:hAnsi="Symbol" w:hint="default"/>
      </w:rPr>
    </w:lvl>
    <w:lvl w:ilvl="1" w:tplc="AD1822DC">
      <w:start w:val="1"/>
      <w:numFmt w:val="bullet"/>
      <w:lvlText w:val=""/>
      <w:lvlJc w:val="left"/>
      <w:pPr>
        <w:tabs>
          <w:tab w:val="num" w:pos="1512"/>
        </w:tabs>
        <w:ind w:left="1512" w:hanging="432"/>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15:restartNumberingAfterBreak="0">
    <w:nsid w:val="66CF68B8"/>
    <w:multiLevelType w:val="hybridMultilevel"/>
    <w:tmpl w:val="5382F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8537AA6"/>
    <w:multiLevelType w:val="hybridMultilevel"/>
    <w:tmpl w:val="5E6AA688"/>
    <w:lvl w:ilvl="0" w:tplc="F18AD008">
      <w:numFmt w:val="bullet"/>
      <w:lvlText w:val=""/>
      <w:lvlJc w:val="left"/>
      <w:pPr>
        <w:tabs>
          <w:tab w:val="num" w:pos="360"/>
        </w:tabs>
        <w:ind w:left="360" w:hanging="360"/>
      </w:pPr>
      <w:rPr>
        <w:rFonts w:ascii="Symbol" w:eastAsia="Times New Roman" w:hAnsi="Symbol" w:cs="Verdana"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5" w15:restartNumberingAfterBreak="0">
    <w:nsid w:val="69663E59"/>
    <w:multiLevelType w:val="hybridMultilevel"/>
    <w:tmpl w:val="1C705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9C618A4"/>
    <w:multiLevelType w:val="hybridMultilevel"/>
    <w:tmpl w:val="FE627E6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7" w15:restartNumberingAfterBreak="0">
    <w:nsid w:val="6A4A5E71"/>
    <w:multiLevelType w:val="multilevel"/>
    <w:tmpl w:val="A9A4A5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8" w15:restartNumberingAfterBreak="0">
    <w:nsid w:val="6CB702ED"/>
    <w:multiLevelType w:val="hybridMultilevel"/>
    <w:tmpl w:val="B91020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9" w15:restartNumberingAfterBreak="0">
    <w:nsid w:val="6E2B3BA4"/>
    <w:multiLevelType w:val="hybridMultilevel"/>
    <w:tmpl w:val="A5D0A33E"/>
    <w:lvl w:ilvl="0" w:tplc="FB50EC2A">
      <w:start w:val="1"/>
      <w:numFmt w:val="bullet"/>
      <w:lvlText w:val=""/>
      <w:lvlJc w:val="left"/>
      <w:pPr>
        <w:tabs>
          <w:tab w:val="num" w:pos="1008"/>
        </w:tabs>
        <w:ind w:left="1008" w:hanging="288"/>
      </w:pPr>
      <w:rPr>
        <w:rFonts w:ascii="Symbol" w:hAnsi="Symbol" w:hint="default"/>
        <w:sz w:val="24"/>
        <w:szCs w:val="24"/>
      </w:rPr>
    </w:lvl>
    <w:lvl w:ilvl="1" w:tplc="04090003" w:tentative="1">
      <w:start w:val="1"/>
      <w:numFmt w:val="bullet"/>
      <w:lvlText w:val="o"/>
      <w:lvlJc w:val="left"/>
      <w:pPr>
        <w:tabs>
          <w:tab w:val="num" w:pos="1152"/>
        </w:tabs>
        <w:ind w:left="1152" w:hanging="360"/>
      </w:pPr>
      <w:rPr>
        <w:rFonts w:ascii="Courier New" w:hAnsi="Courier New" w:cs="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120" w15:restartNumberingAfterBreak="0">
    <w:nsid w:val="6E4C18E4"/>
    <w:multiLevelType w:val="hybridMultilevel"/>
    <w:tmpl w:val="1FD47372"/>
    <w:lvl w:ilvl="0" w:tplc="04090001">
      <w:start w:val="1"/>
      <w:numFmt w:val="bullet"/>
      <w:lvlText w:val=""/>
      <w:lvlJc w:val="left"/>
      <w:pPr>
        <w:tabs>
          <w:tab w:val="num" w:pos="432"/>
        </w:tabs>
        <w:ind w:left="432" w:hanging="432"/>
      </w:pPr>
      <w:rPr>
        <w:rFonts w:ascii="Symbol" w:hAnsi="Symbol"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1" w15:restartNumberingAfterBreak="0">
    <w:nsid w:val="6F67182F"/>
    <w:multiLevelType w:val="multilevel"/>
    <w:tmpl w:val="E4981F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2" w15:restartNumberingAfterBreak="0">
    <w:nsid w:val="70BD644E"/>
    <w:multiLevelType w:val="multilevel"/>
    <w:tmpl w:val="BDA051D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3" w15:restartNumberingAfterBreak="0">
    <w:nsid w:val="71CF51AA"/>
    <w:multiLevelType w:val="hybridMultilevel"/>
    <w:tmpl w:val="2828D89C"/>
    <w:lvl w:ilvl="0" w:tplc="939E9428">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1E07217"/>
    <w:multiLevelType w:val="multilevel"/>
    <w:tmpl w:val="51267A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5" w15:restartNumberingAfterBreak="0">
    <w:nsid w:val="722134C9"/>
    <w:multiLevelType w:val="hybridMultilevel"/>
    <w:tmpl w:val="66EA95C6"/>
    <w:lvl w:ilvl="0" w:tplc="34807664">
      <w:start w:val="1"/>
      <w:numFmt w:val="bullet"/>
      <w:lvlText w:val=""/>
      <w:lvlJc w:val="left"/>
      <w:pPr>
        <w:ind w:left="880" w:hanging="360"/>
      </w:pPr>
      <w:rPr>
        <w:rFonts w:ascii="Symbol" w:hAnsi="Symbol" w:hint="default"/>
        <w:color w:val="auto"/>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26" w15:restartNumberingAfterBreak="0">
    <w:nsid w:val="72544FAF"/>
    <w:multiLevelType w:val="multilevel"/>
    <w:tmpl w:val="47EC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735E32F7"/>
    <w:multiLevelType w:val="hybridMultilevel"/>
    <w:tmpl w:val="D568A7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8" w15:restartNumberingAfterBreak="0">
    <w:nsid w:val="74D97317"/>
    <w:multiLevelType w:val="hybridMultilevel"/>
    <w:tmpl w:val="FBAED5F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9" w15:restartNumberingAfterBreak="0">
    <w:nsid w:val="7521407A"/>
    <w:multiLevelType w:val="hybridMultilevel"/>
    <w:tmpl w:val="AC20DFF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30" w15:restartNumberingAfterBreak="0">
    <w:nsid w:val="75A1704C"/>
    <w:multiLevelType w:val="hybridMultilevel"/>
    <w:tmpl w:val="4CCA4B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7AE2430"/>
    <w:multiLevelType w:val="hybridMultilevel"/>
    <w:tmpl w:val="EFDEA76C"/>
    <w:lvl w:ilvl="0" w:tplc="8B9E9A66">
      <w:numFmt w:val="bullet"/>
      <w:lvlText w:val="•"/>
      <w:lvlJc w:val="left"/>
      <w:pPr>
        <w:ind w:left="1440" w:hanging="720"/>
      </w:pPr>
      <w:rPr>
        <w:rFonts w:ascii="Verdana" w:eastAsia="Calibri" w:hAnsi="Verdana"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2" w15:restartNumberingAfterBreak="0">
    <w:nsid w:val="7817569C"/>
    <w:multiLevelType w:val="hybridMultilevel"/>
    <w:tmpl w:val="EDDCD4C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3" w15:restartNumberingAfterBreak="0">
    <w:nsid w:val="79D3683D"/>
    <w:multiLevelType w:val="hybridMultilevel"/>
    <w:tmpl w:val="76146778"/>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4" w15:restartNumberingAfterBreak="0">
    <w:nsid w:val="7A211B6A"/>
    <w:multiLevelType w:val="hybridMultilevel"/>
    <w:tmpl w:val="EE027A1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5" w15:restartNumberingAfterBreak="0">
    <w:nsid w:val="7AC11362"/>
    <w:multiLevelType w:val="multilevel"/>
    <w:tmpl w:val="A8D4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7B077DEA"/>
    <w:multiLevelType w:val="hybridMultilevel"/>
    <w:tmpl w:val="9A006EE2"/>
    <w:lvl w:ilvl="0" w:tplc="C536332A">
      <w:numFmt w:val="bullet"/>
      <w:lvlText w:val="•"/>
      <w:lvlJc w:val="left"/>
      <w:pPr>
        <w:ind w:left="720" w:hanging="360"/>
      </w:pPr>
      <w:rPr>
        <w:rFonts w:ascii="Verdana" w:eastAsia="Times New Roman" w:hAnsi="Verdana"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7B3E579F"/>
    <w:multiLevelType w:val="hybridMultilevel"/>
    <w:tmpl w:val="9300EAE6"/>
    <w:lvl w:ilvl="0" w:tplc="5AACFADE">
      <w:start w:val="1"/>
      <w:numFmt w:val="bullet"/>
      <w:lvlText w:val=""/>
      <w:lvlJc w:val="left"/>
      <w:pPr>
        <w:tabs>
          <w:tab w:val="num" w:pos="1080"/>
        </w:tabs>
        <w:ind w:left="1080" w:hanging="360"/>
      </w:pPr>
      <w:rPr>
        <w:rFonts w:ascii="Symbol" w:hAnsi="Symbol" w:hint="default"/>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8" w15:restartNumberingAfterBreak="0">
    <w:nsid w:val="7BA40A33"/>
    <w:multiLevelType w:val="hybridMultilevel"/>
    <w:tmpl w:val="926EF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C2D1A7C"/>
    <w:multiLevelType w:val="hybridMultilevel"/>
    <w:tmpl w:val="67848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7C5A4BBD"/>
    <w:multiLevelType w:val="hybridMultilevel"/>
    <w:tmpl w:val="94309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7D9C2AC9"/>
    <w:multiLevelType w:val="hybridMultilevel"/>
    <w:tmpl w:val="4F26F74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57705103">
    <w:abstractNumId w:val="71"/>
  </w:num>
  <w:num w:numId="2" w16cid:durableId="908227764">
    <w:abstractNumId w:val="105"/>
  </w:num>
  <w:num w:numId="3" w16cid:durableId="103236506">
    <w:abstractNumId w:val="84"/>
  </w:num>
  <w:num w:numId="4" w16cid:durableId="1011103407">
    <w:abstractNumId w:val="7"/>
  </w:num>
  <w:num w:numId="5" w16cid:durableId="1987975017">
    <w:abstractNumId w:val="45"/>
  </w:num>
  <w:num w:numId="6" w16cid:durableId="1709842656">
    <w:abstractNumId w:val="106"/>
  </w:num>
  <w:num w:numId="7" w16cid:durableId="785200791">
    <w:abstractNumId w:val="78"/>
  </w:num>
  <w:num w:numId="8" w16cid:durableId="73820700">
    <w:abstractNumId w:val="90"/>
  </w:num>
  <w:num w:numId="9" w16cid:durableId="1646619660">
    <w:abstractNumId w:val="88"/>
  </w:num>
  <w:num w:numId="10" w16cid:durableId="696734290">
    <w:abstractNumId w:val="31"/>
  </w:num>
  <w:num w:numId="11" w16cid:durableId="840701659">
    <w:abstractNumId w:val="107"/>
  </w:num>
  <w:num w:numId="12" w16cid:durableId="730737494">
    <w:abstractNumId w:val="108"/>
  </w:num>
  <w:num w:numId="13" w16cid:durableId="2020354420">
    <w:abstractNumId w:val="137"/>
  </w:num>
  <w:num w:numId="14" w16cid:durableId="1845895632">
    <w:abstractNumId w:val="141"/>
  </w:num>
  <w:num w:numId="15" w16cid:durableId="708184502">
    <w:abstractNumId w:val="1"/>
  </w:num>
  <w:num w:numId="16" w16cid:durableId="1877501767">
    <w:abstractNumId w:val="55"/>
  </w:num>
  <w:num w:numId="17" w16cid:durableId="1619067256">
    <w:abstractNumId w:val="132"/>
  </w:num>
  <w:num w:numId="18" w16cid:durableId="1698776378">
    <w:abstractNumId w:val="95"/>
  </w:num>
  <w:num w:numId="19" w16cid:durableId="1236009195">
    <w:abstractNumId w:val="134"/>
  </w:num>
  <w:num w:numId="20" w16cid:durableId="982463253">
    <w:abstractNumId w:val="57"/>
  </w:num>
  <w:num w:numId="21" w16cid:durableId="174344053">
    <w:abstractNumId w:val="23"/>
  </w:num>
  <w:num w:numId="22" w16cid:durableId="247693157">
    <w:abstractNumId w:val="49"/>
  </w:num>
  <w:num w:numId="23" w16cid:durableId="1829400660">
    <w:abstractNumId w:val="39"/>
  </w:num>
  <w:num w:numId="24" w16cid:durableId="1209999956">
    <w:abstractNumId w:val="102"/>
  </w:num>
  <w:num w:numId="25" w16cid:durableId="752244918">
    <w:abstractNumId w:val="81"/>
  </w:num>
  <w:num w:numId="26" w16cid:durableId="1148941821">
    <w:abstractNumId w:val="68"/>
  </w:num>
  <w:num w:numId="27" w16cid:durableId="1260018251">
    <w:abstractNumId w:val="10"/>
  </w:num>
  <w:num w:numId="28" w16cid:durableId="427505270">
    <w:abstractNumId w:val="34"/>
  </w:num>
  <w:num w:numId="29" w16cid:durableId="696660561">
    <w:abstractNumId w:val="98"/>
  </w:num>
  <w:num w:numId="30" w16cid:durableId="946816127">
    <w:abstractNumId w:val="0"/>
  </w:num>
  <w:num w:numId="31" w16cid:durableId="784036470">
    <w:abstractNumId w:val="28"/>
  </w:num>
  <w:num w:numId="32" w16cid:durableId="918633572">
    <w:abstractNumId w:val="118"/>
  </w:num>
  <w:num w:numId="33" w16cid:durableId="2033336026">
    <w:abstractNumId w:val="119"/>
  </w:num>
  <w:num w:numId="34" w16cid:durableId="1715424383">
    <w:abstractNumId w:val="46"/>
  </w:num>
  <w:num w:numId="35" w16cid:durableId="21707152">
    <w:abstractNumId w:val="20"/>
  </w:num>
  <w:num w:numId="36" w16cid:durableId="1829129575">
    <w:abstractNumId w:val="17"/>
  </w:num>
  <w:num w:numId="37" w16cid:durableId="82334929">
    <w:abstractNumId w:val="97"/>
  </w:num>
  <w:num w:numId="38" w16cid:durableId="2024740753">
    <w:abstractNumId w:val="9"/>
  </w:num>
  <w:num w:numId="39" w16cid:durableId="723262040">
    <w:abstractNumId w:val="128"/>
  </w:num>
  <w:num w:numId="40" w16cid:durableId="565342278">
    <w:abstractNumId w:val="127"/>
  </w:num>
  <w:num w:numId="41" w16cid:durableId="1954094192">
    <w:abstractNumId w:val="114"/>
  </w:num>
  <w:num w:numId="42" w16cid:durableId="1670670228">
    <w:abstractNumId w:val="21"/>
  </w:num>
  <w:num w:numId="43" w16cid:durableId="1430269276">
    <w:abstractNumId w:val="14"/>
  </w:num>
  <w:num w:numId="44" w16cid:durableId="547491012">
    <w:abstractNumId w:val="52"/>
  </w:num>
  <w:num w:numId="45" w16cid:durableId="933364730">
    <w:abstractNumId w:val="26"/>
  </w:num>
  <w:num w:numId="46" w16cid:durableId="329145200">
    <w:abstractNumId w:val="29"/>
  </w:num>
  <w:num w:numId="47" w16cid:durableId="21519603">
    <w:abstractNumId w:val="93"/>
  </w:num>
  <w:num w:numId="48" w16cid:durableId="296910091">
    <w:abstractNumId w:val="129"/>
  </w:num>
  <w:num w:numId="49" w16cid:durableId="1935943278">
    <w:abstractNumId w:val="123"/>
  </w:num>
  <w:num w:numId="50" w16cid:durableId="411200444">
    <w:abstractNumId w:val="30"/>
  </w:num>
  <w:num w:numId="51" w16cid:durableId="1952279448">
    <w:abstractNumId w:val="37"/>
  </w:num>
  <w:num w:numId="52" w16cid:durableId="608241358">
    <w:abstractNumId w:val="136"/>
  </w:num>
  <w:num w:numId="53" w16cid:durableId="744257035">
    <w:abstractNumId w:val="15"/>
  </w:num>
  <w:num w:numId="54" w16cid:durableId="1355615217">
    <w:abstractNumId w:val="50"/>
  </w:num>
  <w:num w:numId="55" w16cid:durableId="1159033375">
    <w:abstractNumId w:val="85"/>
  </w:num>
  <w:num w:numId="56" w16cid:durableId="1852453526">
    <w:abstractNumId w:val="69"/>
  </w:num>
  <w:num w:numId="57" w16cid:durableId="788623487">
    <w:abstractNumId w:val="4"/>
  </w:num>
  <w:num w:numId="58" w16cid:durableId="428620866">
    <w:abstractNumId w:val="53"/>
  </w:num>
  <w:num w:numId="59" w16cid:durableId="808011708">
    <w:abstractNumId w:val="87"/>
  </w:num>
  <w:num w:numId="60" w16cid:durableId="1232614903">
    <w:abstractNumId w:val="112"/>
  </w:num>
  <w:num w:numId="61" w16cid:durableId="971521144">
    <w:abstractNumId w:val="67"/>
  </w:num>
  <w:num w:numId="62" w16cid:durableId="1209144719">
    <w:abstractNumId w:val="63"/>
  </w:num>
  <w:num w:numId="63" w16cid:durableId="455803822">
    <w:abstractNumId w:val="100"/>
  </w:num>
  <w:num w:numId="64" w16cid:durableId="1543250371">
    <w:abstractNumId w:val="64"/>
  </w:num>
  <w:num w:numId="65" w16cid:durableId="1522816731">
    <w:abstractNumId w:val="62"/>
  </w:num>
  <w:num w:numId="66" w16cid:durableId="1278411870">
    <w:abstractNumId w:val="109"/>
  </w:num>
  <w:num w:numId="67" w16cid:durableId="1592815493">
    <w:abstractNumId w:val="113"/>
  </w:num>
  <w:num w:numId="68" w16cid:durableId="1623917997">
    <w:abstractNumId w:val="35"/>
  </w:num>
  <w:num w:numId="69" w16cid:durableId="1112356253">
    <w:abstractNumId w:val="6"/>
  </w:num>
  <w:num w:numId="70" w16cid:durableId="673189179">
    <w:abstractNumId w:val="111"/>
  </w:num>
  <w:num w:numId="71" w16cid:durableId="1525317611">
    <w:abstractNumId w:val="41"/>
  </w:num>
  <w:num w:numId="72" w16cid:durableId="1127553746">
    <w:abstractNumId w:val="138"/>
  </w:num>
  <w:num w:numId="73" w16cid:durableId="371350459">
    <w:abstractNumId w:val="83"/>
  </w:num>
  <w:num w:numId="74" w16cid:durableId="41908164">
    <w:abstractNumId w:val="58"/>
  </w:num>
  <w:num w:numId="75" w16cid:durableId="1575550980">
    <w:abstractNumId w:val="42"/>
  </w:num>
  <w:num w:numId="76" w16cid:durableId="864901609">
    <w:abstractNumId w:val="8"/>
  </w:num>
  <w:num w:numId="77" w16cid:durableId="1418747774">
    <w:abstractNumId w:val="60"/>
  </w:num>
  <w:num w:numId="78" w16cid:durableId="1680153192">
    <w:abstractNumId w:val="19"/>
  </w:num>
  <w:num w:numId="79" w16cid:durableId="1861779316">
    <w:abstractNumId w:val="79"/>
  </w:num>
  <w:num w:numId="80" w16cid:durableId="1371951255">
    <w:abstractNumId w:val="86"/>
  </w:num>
  <w:num w:numId="81" w16cid:durableId="1548761295">
    <w:abstractNumId w:val="135"/>
  </w:num>
  <w:num w:numId="82" w16cid:durableId="99493123">
    <w:abstractNumId w:val="24"/>
  </w:num>
  <w:num w:numId="83" w16cid:durableId="931469417">
    <w:abstractNumId w:val="51"/>
  </w:num>
  <w:num w:numId="84" w16cid:durableId="2139446681">
    <w:abstractNumId w:val="74"/>
  </w:num>
  <w:num w:numId="85" w16cid:durableId="1159272978">
    <w:abstractNumId w:val="5"/>
  </w:num>
  <w:num w:numId="86" w16cid:durableId="162938698">
    <w:abstractNumId w:val="70"/>
  </w:num>
  <w:num w:numId="87" w16cid:durableId="1434668654">
    <w:abstractNumId w:val="11"/>
  </w:num>
  <w:num w:numId="88" w16cid:durableId="945117989">
    <w:abstractNumId w:val="47"/>
  </w:num>
  <w:num w:numId="89" w16cid:durableId="229847581">
    <w:abstractNumId w:val="48"/>
  </w:num>
  <w:num w:numId="90" w16cid:durableId="1159804571">
    <w:abstractNumId w:val="140"/>
  </w:num>
  <w:num w:numId="91" w16cid:durableId="341248818">
    <w:abstractNumId w:val="76"/>
  </w:num>
  <w:num w:numId="92" w16cid:durableId="141971085">
    <w:abstractNumId w:val="2"/>
  </w:num>
  <w:num w:numId="93" w16cid:durableId="1381637712">
    <w:abstractNumId w:val="65"/>
  </w:num>
  <w:num w:numId="94" w16cid:durableId="574513706">
    <w:abstractNumId w:val="56"/>
  </w:num>
  <w:num w:numId="95" w16cid:durableId="1835993456">
    <w:abstractNumId w:val="92"/>
  </w:num>
  <w:num w:numId="96" w16cid:durableId="803736302">
    <w:abstractNumId w:val="40"/>
  </w:num>
  <w:num w:numId="97" w16cid:durableId="1860854651">
    <w:abstractNumId w:val="120"/>
  </w:num>
  <w:num w:numId="98" w16cid:durableId="1269317956">
    <w:abstractNumId w:val="77"/>
  </w:num>
  <w:num w:numId="99" w16cid:durableId="216670755">
    <w:abstractNumId w:val="99"/>
  </w:num>
  <w:num w:numId="100" w16cid:durableId="1839691390">
    <w:abstractNumId w:val="33"/>
  </w:num>
  <w:num w:numId="101" w16cid:durableId="67772944">
    <w:abstractNumId w:val="139"/>
  </w:num>
  <w:num w:numId="102" w16cid:durableId="91750597">
    <w:abstractNumId w:val="131"/>
  </w:num>
  <w:num w:numId="103" w16cid:durableId="936017018">
    <w:abstractNumId w:val="73"/>
  </w:num>
  <w:num w:numId="104" w16cid:durableId="254172532">
    <w:abstractNumId w:val="3"/>
  </w:num>
  <w:num w:numId="105" w16cid:durableId="137501838">
    <w:abstractNumId w:val="82"/>
  </w:num>
  <w:num w:numId="106" w16cid:durableId="672531598">
    <w:abstractNumId w:val="96"/>
  </w:num>
  <w:num w:numId="107" w16cid:durableId="326902196">
    <w:abstractNumId w:val="103"/>
  </w:num>
  <w:num w:numId="108" w16cid:durableId="664473115">
    <w:abstractNumId w:val="61"/>
  </w:num>
  <w:num w:numId="109" w16cid:durableId="203711512">
    <w:abstractNumId w:val="9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1414814331">
    <w:abstractNumId w:val="115"/>
  </w:num>
  <w:num w:numId="111" w16cid:durableId="2036152187">
    <w:abstractNumId w:val="16"/>
  </w:num>
  <w:num w:numId="112" w16cid:durableId="819420088">
    <w:abstractNumId w:val="110"/>
  </w:num>
  <w:num w:numId="113" w16cid:durableId="1481733405">
    <w:abstractNumId w:val="43"/>
  </w:num>
  <w:num w:numId="114" w16cid:durableId="836380200">
    <w:abstractNumId w:val="101"/>
  </w:num>
  <w:num w:numId="115" w16cid:durableId="1932005118">
    <w:abstractNumId w:val="75"/>
  </w:num>
  <w:num w:numId="116" w16cid:durableId="1745374022">
    <w:abstractNumId w:val="66"/>
  </w:num>
  <w:num w:numId="117" w16cid:durableId="2039968838">
    <w:abstractNumId w:val="91"/>
  </w:num>
  <w:num w:numId="118" w16cid:durableId="1798376692">
    <w:abstractNumId w:val="130"/>
  </w:num>
  <w:num w:numId="119" w16cid:durableId="1242788010">
    <w:abstractNumId w:val="72"/>
  </w:num>
  <w:num w:numId="120" w16cid:durableId="1278374109">
    <w:abstractNumId w:val="126"/>
  </w:num>
  <w:num w:numId="121" w16cid:durableId="1576671317">
    <w:abstractNumId w:val="44"/>
  </w:num>
  <w:num w:numId="122" w16cid:durableId="163329050">
    <w:abstractNumId w:val="133"/>
  </w:num>
  <w:num w:numId="123" w16cid:durableId="86654908">
    <w:abstractNumId w:val="116"/>
  </w:num>
  <w:num w:numId="124" w16cid:durableId="685181876">
    <w:abstractNumId w:val="89"/>
  </w:num>
  <w:num w:numId="125" w16cid:durableId="5403258">
    <w:abstractNumId w:val="134"/>
  </w:num>
  <w:num w:numId="126" w16cid:durableId="324093995">
    <w:abstractNumId w:val="22"/>
  </w:num>
  <w:num w:numId="127" w16cid:durableId="1874070638">
    <w:abstractNumId w:val="104"/>
  </w:num>
  <w:num w:numId="128" w16cid:durableId="440954228">
    <w:abstractNumId w:val="32"/>
  </w:num>
  <w:num w:numId="129" w16cid:durableId="635645086">
    <w:abstractNumId w:val="38"/>
  </w:num>
  <w:num w:numId="130" w16cid:durableId="1441221314">
    <w:abstractNumId w:val="36"/>
  </w:num>
  <w:num w:numId="131" w16cid:durableId="1214342615">
    <w:abstractNumId w:val="122"/>
  </w:num>
  <w:num w:numId="132" w16cid:durableId="1586186318">
    <w:abstractNumId w:val="117"/>
  </w:num>
  <w:num w:numId="133" w16cid:durableId="824975097">
    <w:abstractNumId w:val="124"/>
  </w:num>
  <w:num w:numId="134" w16cid:durableId="1138641886">
    <w:abstractNumId w:val="121"/>
  </w:num>
  <w:num w:numId="135" w16cid:durableId="2108306192">
    <w:abstractNumId w:val="54"/>
  </w:num>
  <w:num w:numId="136" w16cid:durableId="796876741">
    <w:abstractNumId w:val="59"/>
  </w:num>
  <w:num w:numId="137" w16cid:durableId="1966546586">
    <w:abstractNumId w:val="25"/>
  </w:num>
  <w:num w:numId="138" w16cid:durableId="937372876">
    <w:abstractNumId w:val="12"/>
  </w:num>
  <w:num w:numId="139" w16cid:durableId="1951400005">
    <w:abstractNumId w:val="80"/>
  </w:num>
  <w:num w:numId="140" w16cid:durableId="1954244287">
    <w:abstractNumId w:val="138"/>
  </w:num>
  <w:num w:numId="141" w16cid:durableId="403995078">
    <w:abstractNumId w:val="83"/>
  </w:num>
  <w:num w:numId="142" w16cid:durableId="1179345549">
    <w:abstractNumId w:val="18"/>
  </w:num>
  <w:num w:numId="143" w16cid:durableId="289558605">
    <w:abstractNumId w:val="125"/>
  </w:num>
  <w:num w:numId="144" w16cid:durableId="688483414">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16cid:durableId="721513912">
    <w:abstractNumId w:val="13"/>
  </w:num>
  <w:num w:numId="146" w16cid:durableId="1990016498">
    <w:abstractNumId w:val="27"/>
  </w:num>
  <w:numIdMacAtCleanup w:val="1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01F7"/>
    <w:rsid w:val="00002792"/>
    <w:rsid w:val="00003364"/>
    <w:rsid w:val="00004B28"/>
    <w:rsid w:val="0000515D"/>
    <w:rsid w:val="000054CE"/>
    <w:rsid w:val="00005B44"/>
    <w:rsid w:val="000075B1"/>
    <w:rsid w:val="00007C9C"/>
    <w:rsid w:val="00010611"/>
    <w:rsid w:val="00010681"/>
    <w:rsid w:val="00010C12"/>
    <w:rsid w:val="00010F77"/>
    <w:rsid w:val="00010FA6"/>
    <w:rsid w:val="000134AA"/>
    <w:rsid w:val="00014C17"/>
    <w:rsid w:val="00014D88"/>
    <w:rsid w:val="00015A2E"/>
    <w:rsid w:val="00017369"/>
    <w:rsid w:val="000201A8"/>
    <w:rsid w:val="000227E2"/>
    <w:rsid w:val="00023194"/>
    <w:rsid w:val="00025EFD"/>
    <w:rsid w:val="00026BC9"/>
    <w:rsid w:val="00027DA6"/>
    <w:rsid w:val="00031DC2"/>
    <w:rsid w:val="00032032"/>
    <w:rsid w:val="00032400"/>
    <w:rsid w:val="000335D9"/>
    <w:rsid w:val="000338DC"/>
    <w:rsid w:val="00034ACB"/>
    <w:rsid w:val="00036C9D"/>
    <w:rsid w:val="00037A58"/>
    <w:rsid w:val="00041AA8"/>
    <w:rsid w:val="00041E0B"/>
    <w:rsid w:val="00042AC2"/>
    <w:rsid w:val="00042CF8"/>
    <w:rsid w:val="00044858"/>
    <w:rsid w:val="00045031"/>
    <w:rsid w:val="00045F69"/>
    <w:rsid w:val="00047C8F"/>
    <w:rsid w:val="00050572"/>
    <w:rsid w:val="00051400"/>
    <w:rsid w:val="0005167B"/>
    <w:rsid w:val="0005195C"/>
    <w:rsid w:val="00052241"/>
    <w:rsid w:val="00052BBC"/>
    <w:rsid w:val="000547CA"/>
    <w:rsid w:val="000548DA"/>
    <w:rsid w:val="00055791"/>
    <w:rsid w:val="00056815"/>
    <w:rsid w:val="00056CD2"/>
    <w:rsid w:val="00056CE4"/>
    <w:rsid w:val="000622A5"/>
    <w:rsid w:val="00062302"/>
    <w:rsid w:val="0006245D"/>
    <w:rsid w:val="000625BD"/>
    <w:rsid w:val="0006270F"/>
    <w:rsid w:val="00064602"/>
    <w:rsid w:val="0006474D"/>
    <w:rsid w:val="00064FF2"/>
    <w:rsid w:val="000650AC"/>
    <w:rsid w:val="00065919"/>
    <w:rsid w:val="00066050"/>
    <w:rsid w:val="00071D07"/>
    <w:rsid w:val="00072569"/>
    <w:rsid w:val="00073BC9"/>
    <w:rsid w:val="000749B2"/>
    <w:rsid w:val="00074FA4"/>
    <w:rsid w:val="00076B01"/>
    <w:rsid w:val="000774D3"/>
    <w:rsid w:val="00077C9F"/>
    <w:rsid w:val="00080725"/>
    <w:rsid w:val="00082396"/>
    <w:rsid w:val="0008247E"/>
    <w:rsid w:val="000825E5"/>
    <w:rsid w:val="0008497F"/>
    <w:rsid w:val="00084B4D"/>
    <w:rsid w:val="000865DE"/>
    <w:rsid w:val="0008665F"/>
    <w:rsid w:val="00086C24"/>
    <w:rsid w:val="00086F6D"/>
    <w:rsid w:val="000871E4"/>
    <w:rsid w:val="00087F0B"/>
    <w:rsid w:val="00090296"/>
    <w:rsid w:val="00090565"/>
    <w:rsid w:val="00090879"/>
    <w:rsid w:val="00090B98"/>
    <w:rsid w:val="00090BC9"/>
    <w:rsid w:val="0009241D"/>
    <w:rsid w:val="00093AB8"/>
    <w:rsid w:val="000941B9"/>
    <w:rsid w:val="00094EAD"/>
    <w:rsid w:val="0009696D"/>
    <w:rsid w:val="00096E75"/>
    <w:rsid w:val="000A05D9"/>
    <w:rsid w:val="000A2255"/>
    <w:rsid w:val="000A2518"/>
    <w:rsid w:val="000A7970"/>
    <w:rsid w:val="000B03DF"/>
    <w:rsid w:val="000B0EE5"/>
    <w:rsid w:val="000B1E6F"/>
    <w:rsid w:val="000B2078"/>
    <w:rsid w:val="000B3A78"/>
    <w:rsid w:val="000B3C4C"/>
    <w:rsid w:val="000B5AAA"/>
    <w:rsid w:val="000B5D64"/>
    <w:rsid w:val="000B5EC3"/>
    <w:rsid w:val="000B7FC0"/>
    <w:rsid w:val="000C0E7B"/>
    <w:rsid w:val="000C1DDD"/>
    <w:rsid w:val="000C2425"/>
    <w:rsid w:val="000C311D"/>
    <w:rsid w:val="000C370B"/>
    <w:rsid w:val="000C480B"/>
    <w:rsid w:val="000C49C7"/>
    <w:rsid w:val="000C53B6"/>
    <w:rsid w:val="000C70B2"/>
    <w:rsid w:val="000D13D0"/>
    <w:rsid w:val="000D6714"/>
    <w:rsid w:val="000D79EF"/>
    <w:rsid w:val="000E055D"/>
    <w:rsid w:val="000E0A62"/>
    <w:rsid w:val="000E1315"/>
    <w:rsid w:val="000E26C9"/>
    <w:rsid w:val="000E381B"/>
    <w:rsid w:val="000E3FA8"/>
    <w:rsid w:val="000E6AF5"/>
    <w:rsid w:val="000E6C31"/>
    <w:rsid w:val="000E6FCB"/>
    <w:rsid w:val="000E7B23"/>
    <w:rsid w:val="000F07CA"/>
    <w:rsid w:val="000F2056"/>
    <w:rsid w:val="000F23E8"/>
    <w:rsid w:val="000F3BC0"/>
    <w:rsid w:val="000F4AA7"/>
    <w:rsid w:val="000F710F"/>
    <w:rsid w:val="001017A0"/>
    <w:rsid w:val="00102D43"/>
    <w:rsid w:val="001033BC"/>
    <w:rsid w:val="00104A7D"/>
    <w:rsid w:val="001069EB"/>
    <w:rsid w:val="00111035"/>
    <w:rsid w:val="00111C18"/>
    <w:rsid w:val="0011275E"/>
    <w:rsid w:val="001128CA"/>
    <w:rsid w:val="00112EA0"/>
    <w:rsid w:val="0011383B"/>
    <w:rsid w:val="00114918"/>
    <w:rsid w:val="0011577D"/>
    <w:rsid w:val="00115EF2"/>
    <w:rsid w:val="0012224D"/>
    <w:rsid w:val="00122AB1"/>
    <w:rsid w:val="00122B8F"/>
    <w:rsid w:val="00122E3C"/>
    <w:rsid w:val="001234F8"/>
    <w:rsid w:val="001251F8"/>
    <w:rsid w:val="00127F40"/>
    <w:rsid w:val="0013059A"/>
    <w:rsid w:val="00130E21"/>
    <w:rsid w:val="0013188F"/>
    <w:rsid w:val="00134716"/>
    <w:rsid w:val="00134D7C"/>
    <w:rsid w:val="001358DD"/>
    <w:rsid w:val="00137140"/>
    <w:rsid w:val="001371BC"/>
    <w:rsid w:val="0014205C"/>
    <w:rsid w:val="001421BD"/>
    <w:rsid w:val="0014311F"/>
    <w:rsid w:val="00144859"/>
    <w:rsid w:val="00145ED7"/>
    <w:rsid w:val="0014616D"/>
    <w:rsid w:val="001463FF"/>
    <w:rsid w:val="00147B42"/>
    <w:rsid w:val="00150036"/>
    <w:rsid w:val="001540E4"/>
    <w:rsid w:val="001541C7"/>
    <w:rsid w:val="00155DEB"/>
    <w:rsid w:val="00157785"/>
    <w:rsid w:val="001602C6"/>
    <w:rsid w:val="00161DAC"/>
    <w:rsid w:val="0016221B"/>
    <w:rsid w:val="0016273A"/>
    <w:rsid w:val="00163116"/>
    <w:rsid w:val="00167B21"/>
    <w:rsid w:val="00167CED"/>
    <w:rsid w:val="001736D9"/>
    <w:rsid w:val="00173A9A"/>
    <w:rsid w:val="00173D8A"/>
    <w:rsid w:val="00174371"/>
    <w:rsid w:val="0017769E"/>
    <w:rsid w:val="0018058A"/>
    <w:rsid w:val="00180D96"/>
    <w:rsid w:val="0018240D"/>
    <w:rsid w:val="0018433E"/>
    <w:rsid w:val="00184490"/>
    <w:rsid w:val="00185337"/>
    <w:rsid w:val="00185AB3"/>
    <w:rsid w:val="00185D44"/>
    <w:rsid w:val="001874F5"/>
    <w:rsid w:val="001902FC"/>
    <w:rsid w:val="00190387"/>
    <w:rsid w:val="00190D89"/>
    <w:rsid w:val="00191082"/>
    <w:rsid w:val="001914F7"/>
    <w:rsid w:val="00191C57"/>
    <w:rsid w:val="00191D97"/>
    <w:rsid w:val="001923C2"/>
    <w:rsid w:val="0019353A"/>
    <w:rsid w:val="00197F3D"/>
    <w:rsid w:val="001A0C09"/>
    <w:rsid w:val="001A2FB4"/>
    <w:rsid w:val="001A36CF"/>
    <w:rsid w:val="001A386D"/>
    <w:rsid w:val="001A3FCC"/>
    <w:rsid w:val="001A446E"/>
    <w:rsid w:val="001A5527"/>
    <w:rsid w:val="001A561F"/>
    <w:rsid w:val="001A60A3"/>
    <w:rsid w:val="001A7ABE"/>
    <w:rsid w:val="001B08F6"/>
    <w:rsid w:val="001B0AEC"/>
    <w:rsid w:val="001B12F6"/>
    <w:rsid w:val="001B1CA3"/>
    <w:rsid w:val="001B1F6F"/>
    <w:rsid w:val="001B29ED"/>
    <w:rsid w:val="001B32B4"/>
    <w:rsid w:val="001B356C"/>
    <w:rsid w:val="001B4115"/>
    <w:rsid w:val="001B5416"/>
    <w:rsid w:val="001B619A"/>
    <w:rsid w:val="001B7AB7"/>
    <w:rsid w:val="001C0AEB"/>
    <w:rsid w:val="001C0E63"/>
    <w:rsid w:val="001C1A36"/>
    <w:rsid w:val="001C342D"/>
    <w:rsid w:val="001C358C"/>
    <w:rsid w:val="001C430A"/>
    <w:rsid w:val="001D0CC9"/>
    <w:rsid w:val="001D180A"/>
    <w:rsid w:val="001D3359"/>
    <w:rsid w:val="001D3364"/>
    <w:rsid w:val="001D354C"/>
    <w:rsid w:val="001D38AA"/>
    <w:rsid w:val="001D480E"/>
    <w:rsid w:val="001D586C"/>
    <w:rsid w:val="001D5F7C"/>
    <w:rsid w:val="001D76F9"/>
    <w:rsid w:val="001D7BC2"/>
    <w:rsid w:val="001D7DE5"/>
    <w:rsid w:val="001E1F63"/>
    <w:rsid w:val="001E263F"/>
    <w:rsid w:val="001E3A21"/>
    <w:rsid w:val="001F30D9"/>
    <w:rsid w:val="001F37C3"/>
    <w:rsid w:val="001F4265"/>
    <w:rsid w:val="001F4A1D"/>
    <w:rsid w:val="001F4EAD"/>
    <w:rsid w:val="001F70A8"/>
    <w:rsid w:val="001F76B7"/>
    <w:rsid w:val="00200BF9"/>
    <w:rsid w:val="002016B4"/>
    <w:rsid w:val="002026D3"/>
    <w:rsid w:val="0020323F"/>
    <w:rsid w:val="00203474"/>
    <w:rsid w:val="00204294"/>
    <w:rsid w:val="00205A1D"/>
    <w:rsid w:val="00205AFA"/>
    <w:rsid w:val="00206165"/>
    <w:rsid w:val="00207C7B"/>
    <w:rsid w:val="00210090"/>
    <w:rsid w:val="00210A1A"/>
    <w:rsid w:val="00210B00"/>
    <w:rsid w:val="00210D2C"/>
    <w:rsid w:val="00210F5C"/>
    <w:rsid w:val="00211238"/>
    <w:rsid w:val="00211E25"/>
    <w:rsid w:val="0021213A"/>
    <w:rsid w:val="0021326B"/>
    <w:rsid w:val="00213500"/>
    <w:rsid w:val="00213A73"/>
    <w:rsid w:val="002142D2"/>
    <w:rsid w:val="00214464"/>
    <w:rsid w:val="00214AB9"/>
    <w:rsid w:val="00215763"/>
    <w:rsid w:val="00215AC2"/>
    <w:rsid w:val="002160AF"/>
    <w:rsid w:val="00216B1A"/>
    <w:rsid w:val="00220D9D"/>
    <w:rsid w:val="002211BC"/>
    <w:rsid w:val="0022153E"/>
    <w:rsid w:val="00221600"/>
    <w:rsid w:val="002217A5"/>
    <w:rsid w:val="00221DFA"/>
    <w:rsid w:val="00222DB1"/>
    <w:rsid w:val="00223AE5"/>
    <w:rsid w:val="00224439"/>
    <w:rsid w:val="002245D3"/>
    <w:rsid w:val="00224B19"/>
    <w:rsid w:val="00226C9F"/>
    <w:rsid w:val="00226CDD"/>
    <w:rsid w:val="00226E43"/>
    <w:rsid w:val="002272AF"/>
    <w:rsid w:val="00227CC1"/>
    <w:rsid w:val="002303F3"/>
    <w:rsid w:val="002310B0"/>
    <w:rsid w:val="00231F03"/>
    <w:rsid w:val="00232BCC"/>
    <w:rsid w:val="00233067"/>
    <w:rsid w:val="00233B04"/>
    <w:rsid w:val="00234586"/>
    <w:rsid w:val="002366F5"/>
    <w:rsid w:val="0024083A"/>
    <w:rsid w:val="002412C0"/>
    <w:rsid w:val="0024332A"/>
    <w:rsid w:val="002433B0"/>
    <w:rsid w:val="00243B19"/>
    <w:rsid w:val="002455B6"/>
    <w:rsid w:val="002467D2"/>
    <w:rsid w:val="00247342"/>
    <w:rsid w:val="00247B66"/>
    <w:rsid w:val="00251923"/>
    <w:rsid w:val="00251FEE"/>
    <w:rsid w:val="00252174"/>
    <w:rsid w:val="00254E5B"/>
    <w:rsid w:val="0025651E"/>
    <w:rsid w:val="002566E3"/>
    <w:rsid w:val="0025798A"/>
    <w:rsid w:val="002609A1"/>
    <w:rsid w:val="00260AAA"/>
    <w:rsid w:val="002619B4"/>
    <w:rsid w:val="002619E3"/>
    <w:rsid w:val="002636CD"/>
    <w:rsid w:val="00263706"/>
    <w:rsid w:val="00263A89"/>
    <w:rsid w:val="00263F14"/>
    <w:rsid w:val="00264F0F"/>
    <w:rsid w:val="002659D1"/>
    <w:rsid w:val="00266CC3"/>
    <w:rsid w:val="00267133"/>
    <w:rsid w:val="00270370"/>
    <w:rsid w:val="002708A6"/>
    <w:rsid w:val="0027147F"/>
    <w:rsid w:val="00271E64"/>
    <w:rsid w:val="00275183"/>
    <w:rsid w:val="002762C2"/>
    <w:rsid w:val="00276698"/>
    <w:rsid w:val="00284992"/>
    <w:rsid w:val="00284AA7"/>
    <w:rsid w:val="00285062"/>
    <w:rsid w:val="00287EB6"/>
    <w:rsid w:val="002905FA"/>
    <w:rsid w:val="00292101"/>
    <w:rsid w:val="00292EB4"/>
    <w:rsid w:val="00293A8B"/>
    <w:rsid w:val="00294613"/>
    <w:rsid w:val="00294EED"/>
    <w:rsid w:val="00296D87"/>
    <w:rsid w:val="002971C0"/>
    <w:rsid w:val="0029786C"/>
    <w:rsid w:val="00297B2F"/>
    <w:rsid w:val="002A08D6"/>
    <w:rsid w:val="002A180D"/>
    <w:rsid w:val="002A3B83"/>
    <w:rsid w:val="002A4437"/>
    <w:rsid w:val="002A5D8E"/>
    <w:rsid w:val="002A683B"/>
    <w:rsid w:val="002A6883"/>
    <w:rsid w:val="002B07E8"/>
    <w:rsid w:val="002B0BF7"/>
    <w:rsid w:val="002B1ECF"/>
    <w:rsid w:val="002B2BB0"/>
    <w:rsid w:val="002B3DDB"/>
    <w:rsid w:val="002B593E"/>
    <w:rsid w:val="002B5DF9"/>
    <w:rsid w:val="002B7102"/>
    <w:rsid w:val="002B7629"/>
    <w:rsid w:val="002C0572"/>
    <w:rsid w:val="002C1868"/>
    <w:rsid w:val="002C228F"/>
    <w:rsid w:val="002C2849"/>
    <w:rsid w:val="002C29DE"/>
    <w:rsid w:val="002C36C7"/>
    <w:rsid w:val="002C4B07"/>
    <w:rsid w:val="002C4F40"/>
    <w:rsid w:val="002C54EA"/>
    <w:rsid w:val="002C6D10"/>
    <w:rsid w:val="002C7767"/>
    <w:rsid w:val="002D06CE"/>
    <w:rsid w:val="002D0E33"/>
    <w:rsid w:val="002D0F23"/>
    <w:rsid w:val="002D1D3C"/>
    <w:rsid w:val="002D210E"/>
    <w:rsid w:val="002D2D8D"/>
    <w:rsid w:val="002D36A1"/>
    <w:rsid w:val="002D3B34"/>
    <w:rsid w:val="002D4B52"/>
    <w:rsid w:val="002D5C8D"/>
    <w:rsid w:val="002D5D79"/>
    <w:rsid w:val="002D6437"/>
    <w:rsid w:val="002D65B1"/>
    <w:rsid w:val="002D76F6"/>
    <w:rsid w:val="002D7736"/>
    <w:rsid w:val="002D79EF"/>
    <w:rsid w:val="002E1608"/>
    <w:rsid w:val="002E25BB"/>
    <w:rsid w:val="002E28ED"/>
    <w:rsid w:val="002E4276"/>
    <w:rsid w:val="002E4290"/>
    <w:rsid w:val="002E42B3"/>
    <w:rsid w:val="002E55E2"/>
    <w:rsid w:val="002E5C47"/>
    <w:rsid w:val="002E6108"/>
    <w:rsid w:val="002F01C7"/>
    <w:rsid w:val="002F06C9"/>
    <w:rsid w:val="002F0A9A"/>
    <w:rsid w:val="002F0B3F"/>
    <w:rsid w:val="002F1216"/>
    <w:rsid w:val="002F2CD6"/>
    <w:rsid w:val="002F378E"/>
    <w:rsid w:val="002F4ACC"/>
    <w:rsid w:val="002F4C62"/>
    <w:rsid w:val="002F544B"/>
    <w:rsid w:val="002F62CD"/>
    <w:rsid w:val="002F69F2"/>
    <w:rsid w:val="002F784B"/>
    <w:rsid w:val="002F7FC8"/>
    <w:rsid w:val="00302C87"/>
    <w:rsid w:val="00303797"/>
    <w:rsid w:val="00303F88"/>
    <w:rsid w:val="003041D8"/>
    <w:rsid w:val="00305B05"/>
    <w:rsid w:val="00306638"/>
    <w:rsid w:val="0031097D"/>
    <w:rsid w:val="00311F4B"/>
    <w:rsid w:val="0031372D"/>
    <w:rsid w:val="003146BC"/>
    <w:rsid w:val="00314F5E"/>
    <w:rsid w:val="00315000"/>
    <w:rsid w:val="00315494"/>
    <w:rsid w:val="003155AF"/>
    <w:rsid w:val="00315A3A"/>
    <w:rsid w:val="00315CAA"/>
    <w:rsid w:val="00315FF6"/>
    <w:rsid w:val="00316658"/>
    <w:rsid w:val="00316D1A"/>
    <w:rsid w:val="00320F1B"/>
    <w:rsid w:val="0032180F"/>
    <w:rsid w:val="00321A94"/>
    <w:rsid w:val="00321AB2"/>
    <w:rsid w:val="00321B36"/>
    <w:rsid w:val="003237B0"/>
    <w:rsid w:val="00325394"/>
    <w:rsid w:val="003270B3"/>
    <w:rsid w:val="00327435"/>
    <w:rsid w:val="0033007A"/>
    <w:rsid w:val="0033062C"/>
    <w:rsid w:val="00330FD0"/>
    <w:rsid w:val="003324B9"/>
    <w:rsid w:val="00332961"/>
    <w:rsid w:val="00336C60"/>
    <w:rsid w:val="0033787B"/>
    <w:rsid w:val="00337E37"/>
    <w:rsid w:val="003405F9"/>
    <w:rsid w:val="00341A97"/>
    <w:rsid w:val="00342A8A"/>
    <w:rsid w:val="003437C2"/>
    <w:rsid w:val="00344E15"/>
    <w:rsid w:val="00345335"/>
    <w:rsid w:val="00345A43"/>
    <w:rsid w:val="003461AA"/>
    <w:rsid w:val="00346385"/>
    <w:rsid w:val="00346731"/>
    <w:rsid w:val="00346AAA"/>
    <w:rsid w:val="00346AD1"/>
    <w:rsid w:val="003472E6"/>
    <w:rsid w:val="003473BA"/>
    <w:rsid w:val="00347AB2"/>
    <w:rsid w:val="003527E0"/>
    <w:rsid w:val="00354E8E"/>
    <w:rsid w:val="00357199"/>
    <w:rsid w:val="00362466"/>
    <w:rsid w:val="00363086"/>
    <w:rsid w:val="003635C7"/>
    <w:rsid w:val="00364357"/>
    <w:rsid w:val="00365C0D"/>
    <w:rsid w:val="00367A2B"/>
    <w:rsid w:val="00367A49"/>
    <w:rsid w:val="0037058E"/>
    <w:rsid w:val="00373988"/>
    <w:rsid w:val="00373AD8"/>
    <w:rsid w:val="003740E3"/>
    <w:rsid w:val="00374494"/>
    <w:rsid w:val="003746C3"/>
    <w:rsid w:val="00375E2C"/>
    <w:rsid w:val="0037627E"/>
    <w:rsid w:val="00376810"/>
    <w:rsid w:val="003801EA"/>
    <w:rsid w:val="0038087E"/>
    <w:rsid w:val="00380EE7"/>
    <w:rsid w:val="0038169E"/>
    <w:rsid w:val="00383D85"/>
    <w:rsid w:val="0038596E"/>
    <w:rsid w:val="00387D5D"/>
    <w:rsid w:val="00390AAA"/>
    <w:rsid w:val="00392867"/>
    <w:rsid w:val="00393FB2"/>
    <w:rsid w:val="00394B2D"/>
    <w:rsid w:val="00396146"/>
    <w:rsid w:val="003966FB"/>
    <w:rsid w:val="00397229"/>
    <w:rsid w:val="00397BE0"/>
    <w:rsid w:val="003A0007"/>
    <w:rsid w:val="003A027D"/>
    <w:rsid w:val="003A063F"/>
    <w:rsid w:val="003A116B"/>
    <w:rsid w:val="003A11FC"/>
    <w:rsid w:val="003A18AC"/>
    <w:rsid w:val="003A28F2"/>
    <w:rsid w:val="003A2BEC"/>
    <w:rsid w:val="003A4F2D"/>
    <w:rsid w:val="003A4F2E"/>
    <w:rsid w:val="003A63EC"/>
    <w:rsid w:val="003B031C"/>
    <w:rsid w:val="003B16FB"/>
    <w:rsid w:val="003B3337"/>
    <w:rsid w:val="003B4BF5"/>
    <w:rsid w:val="003B4DAA"/>
    <w:rsid w:val="003B5AF7"/>
    <w:rsid w:val="003B6AB1"/>
    <w:rsid w:val="003B7947"/>
    <w:rsid w:val="003C003A"/>
    <w:rsid w:val="003C04D7"/>
    <w:rsid w:val="003C06CF"/>
    <w:rsid w:val="003C1774"/>
    <w:rsid w:val="003C3A53"/>
    <w:rsid w:val="003C46C8"/>
    <w:rsid w:val="003C5063"/>
    <w:rsid w:val="003C5837"/>
    <w:rsid w:val="003C66D9"/>
    <w:rsid w:val="003C67D7"/>
    <w:rsid w:val="003C69B6"/>
    <w:rsid w:val="003C75ED"/>
    <w:rsid w:val="003D1354"/>
    <w:rsid w:val="003D15F3"/>
    <w:rsid w:val="003D1D39"/>
    <w:rsid w:val="003D1F31"/>
    <w:rsid w:val="003D4683"/>
    <w:rsid w:val="003D4CF4"/>
    <w:rsid w:val="003D4FF7"/>
    <w:rsid w:val="003E09FD"/>
    <w:rsid w:val="003E0D0B"/>
    <w:rsid w:val="003E1A4B"/>
    <w:rsid w:val="003E2B88"/>
    <w:rsid w:val="003E3504"/>
    <w:rsid w:val="003E3D95"/>
    <w:rsid w:val="003E4CAB"/>
    <w:rsid w:val="003E6CFE"/>
    <w:rsid w:val="003E7859"/>
    <w:rsid w:val="003E7B74"/>
    <w:rsid w:val="003E7D51"/>
    <w:rsid w:val="003F03BE"/>
    <w:rsid w:val="003F0922"/>
    <w:rsid w:val="003F2BCC"/>
    <w:rsid w:val="003F5DFD"/>
    <w:rsid w:val="003F5E35"/>
    <w:rsid w:val="003F72DB"/>
    <w:rsid w:val="00402D4C"/>
    <w:rsid w:val="00404816"/>
    <w:rsid w:val="00405C60"/>
    <w:rsid w:val="00405CC9"/>
    <w:rsid w:val="00406DB5"/>
    <w:rsid w:val="00410D46"/>
    <w:rsid w:val="004121A5"/>
    <w:rsid w:val="004142F4"/>
    <w:rsid w:val="00417019"/>
    <w:rsid w:val="0041743C"/>
    <w:rsid w:val="00422168"/>
    <w:rsid w:val="00422E2B"/>
    <w:rsid w:val="0042344D"/>
    <w:rsid w:val="004236AA"/>
    <w:rsid w:val="00423E87"/>
    <w:rsid w:val="00425288"/>
    <w:rsid w:val="00426062"/>
    <w:rsid w:val="00426847"/>
    <w:rsid w:val="004300BA"/>
    <w:rsid w:val="00430E41"/>
    <w:rsid w:val="004318E4"/>
    <w:rsid w:val="00431BF4"/>
    <w:rsid w:val="00432844"/>
    <w:rsid w:val="00433B1A"/>
    <w:rsid w:val="00433F25"/>
    <w:rsid w:val="0043478C"/>
    <w:rsid w:val="0043497C"/>
    <w:rsid w:val="00435D4B"/>
    <w:rsid w:val="00441873"/>
    <w:rsid w:val="00441956"/>
    <w:rsid w:val="00442614"/>
    <w:rsid w:val="004429A0"/>
    <w:rsid w:val="0044457D"/>
    <w:rsid w:val="004448F6"/>
    <w:rsid w:val="004454B4"/>
    <w:rsid w:val="00445E06"/>
    <w:rsid w:val="00446282"/>
    <w:rsid w:val="0044739F"/>
    <w:rsid w:val="00450646"/>
    <w:rsid w:val="004512A1"/>
    <w:rsid w:val="004517A6"/>
    <w:rsid w:val="00453F34"/>
    <w:rsid w:val="00456C4E"/>
    <w:rsid w:val="00456F41"/>
    <w:rsid w:val="0045711B"/>
    <w:rsid w:val="0045780A"/>
    <w:rsid w:val="00457EAE"/>
    <w:rsid w:val="00460203"/>
    <w:rsid w:val="00460722"/>
    <w:rsid w:val="004612D8"/>
    <w:rsid w:val="00461A82"/>
    <w:rsid w:val="00462E23"/>
    <w:rsid w:val="00462E9D"/>
    <w:rsid w:val="0046461C"/>
    <w:rsid w:val="00466D24"/>
    <w:rsid w:val="004674BD"/>
    <w:rsid w:val="00471F16"/>
    <w:rsid w:val="00473750"/>
    <w:rsid w:val="00473C32"/>
    <w:rsid w:val="00473C5E"/>
    <w:rsid w:val="00474E7C"/>
    <w:rsid w:val="0047549A"/>
    <w:rsid w:val="004764BB"/>
    <w:rsid w:val="004767EC"/>
    <w:rsid w:val="00477426"/>
    <w:rsid w:val="00477ADA"/>
    <w:rsid w:val="00477F32"/>
    <w:rsid w:val="0048102F"/>
    <w:rsid w:val="0048118C"/>
    <w:rsid w:val="00481677"/>
    <w:rsid w:val="00481AC5"/>
    <w:rsid w:val="0048347A"/>
    <w:rsid w:val="00485A27"/>
    <w:rsid w:val="00485B44"/>
    <w:rsid w:val="00490036"/>
    <w:rsid w:val="00490172"/>
    <w:rsid w:val="00490676"/>
    <w:rsid w:val="0049205C"/>
    <w:rsid w:val="00492890"/>
    <w:rsid w:val="004930C5"/>
    <w:rsid w:val="00493E6A"/>
    <w:rsid w:val="00493EFB"/>
    <w:rsid w:val="004946A2"/>
    <w:rsid w:val="00494AF4"/>
    <w:rsid w:val="00494C63"/>
    <w:rsid w:val="00496C7F"/>
    <w:rsid w:val="004A0083"/>
    <w:rsid w:val="004A1C82"/>
    <w:rsid w:val="004A1E8E"/>
    <w:rsid w:val="004A1ECB"/>
    <w:rsid w:val="004A338A"/>
    <w:rsid w:val="004A3C48"/>
    <w:rsid w:val="004A409E"/>
    <w:rsid w:val="004A475B"/>
    <w:rsid w:val="004A5A08"/>
    <w:rsid w:val="004A7E6D"/>
    <w:rsid w:val="004B0652"/>
    <w:rsid w:val="004B0E32"/>
    <w:rsid w:val="004B198D"/>
    <w:rsid w:val="004B2626"/>
    <w:rsid w:val="004B37EC"/>
    <w:rsid w:val="004B37FD"/>
    <w:rsid w:val="004B3884"/>
    <w:rsid w:val="004B5249"/>
    <w:rsid w:val="004B6956"/>
    <w:rsid w:val="004C184C"/>
    <w:rsid w:val="004C280B"/>
    <w:rsid w:val="004C31E0"/>
    <w:rsid w:val="004C647F"/>
    <w:rsid w:val="004C6E91"/>
    <w:rsid w:val="004C73F8"/>
    <w:rsid w:val="004C7705"/>
    <w:rsid w:val="004D05B6"/>
    <w:rsid w:val="004D09FC"/>
    <w:rsid w:val="004D2D8D"/>
    <w:rsid w:val="004D2F12"/>
    <w:rsid w:val="004D3B8D"/>
    <w:rsid w:val="004D43CB"/>
    <w:rsid w:val="004D490C"/>
    <w:rsid w:val="004D59ED"/>
    <w:rsid w:val="004D5C3B"/>
    <w:rsid w:val="004D64B1"/>
    <w:rsid w:val="004D732A"/>
    <w:rsid w:val="004E00B6"/>
    <w:rsid w:val="004E0273"/>
    <w:rsid w:val="004E0B1E"/>
    <w:rsid w:val="004E150A"/>
    <w:rsid w:val="004E1F93"/>
    <w:rsid w:val="004E2580"/>
    <w:rsid w:val="004E3EF1"/>
    <w:rsid w:val="004E440D"/>
    <w:rsid w:val="004E618E"/>
    <w:rsid w:val="004E6199"/>
    <w:rsid w:val="004E645B"/>
    <w:rsid w:val="004E6930"/>
    <w:rsid w:val="004F003E"/>
    <w:rsid w:val="004F7221"/>
    <w:rsid w:val="004F7269"/>
    <w:rsid w:val="005006EA"/>
    <w:rsid w:val="005013F3"/>
    <w:rsid w:val="00502CA5"/>
    <w:rsid w:val="00503345"/>
    <w:rsid w:val="00505061"/>
    <w:rsid w:val="005051D3"/>
    <w:rsid w:val="0050535E"/>
    <w:rsid w:val="00505F78"/>
    <w:rsid w:val="00506F29"/>
    <w:rsid w:val="005108D7"/>
    <w:rsid w:val="005111E6"/>
    <w:rsid w:val="00511E85"/>
    <w:rsid w:val="00512C52"/>
    <w:rsid w:val="005132F6"/>
    <w:rsid w:val="00513A08"/>
    <w:rsid w:val="00514809"/>
    <w:rsid w:val="00515FDC"/>
    <w:rsid w:val="005171D1"/>
    <w:rsid w:val="005206FA"/>
    <w:rsid w:val="00520CC8"/>
    <w:rsid w:val="005212F0"/>
    <w:rsid w:val="0052170E"/>
    <w:rsid w:val="00522E77"/>
    <w:rsid w:val="00524CDD"/>
    <w:rsid w:val="00524FE7"/>
    <w:rsid w:val="005252CB"/>
    <w:rsid w:val="00526DDB"/>
    <w:rsid w:val="0052791A"/>
    <w:rsid w:val="00530089"/>
    <w:rsid w:val="00531298"/>
    <w:rsid w:val="00531786"/>
    <w:rsid w:val="005323C8"/>
    <w:rsid w:val="005333A8"/>
    <w:rsid w:val="00536752"/>
    <w:rsid w:val="00537581"/>
    <w:rsid w:val="0054227A"/>
    <w:rsid w:val="00543EAA"/>
    <w:rsid w:val="0054427D"/>
    <w:rsid w:val="005455EE"/>
    <w:rsid w:val="00545CFB"/>
    <w:rsid w:val="00550356"/>
    <w:rsid w:val="005509DE"/>
    <w:rsid w:val="005533C5"/>
    <w:rsid w:val="005543ED"/>
    <w:rsid w:val="00554C3A"/>
    <w:rsid w:val="00554C54"/>
    <w:rsid w:val="00556139"/>
    <w:rsid w:val="00556A35"/>
    <w:rsid w:val="00560250"/>
    <w:rsid w:val="00560C74"/>
    <w:rsid w:val="00562B84"/>
    <w:rsid w:val="00564401"/>
    <w:rsid w:val="00564F39"/>
    <w:rsid w:val="0056649B"/>
    <w:rsid w:val="00566EBE"/>
    <w:rsid w:val="0057178A"/>
    <w:rsid w:val="00571EA9"/>
    <w:rsid w:val="0057253A"/>
    <w:rsid w:val="00573712"/>
    <w:rsid w:val="005744DC"/>
    <w:rsid w:val="0057499A"/>
    <w:rsid w:val="0057615C"/>
    <w:rsid w:val="0057737B"/>
    <w:rsid w:val="005779C6"/>
    <w:rsid w:val="00581225"/>
    <w:rsid w:val="00581A54"/>
    <w:rsid w:val="00581C8B"/>
    <w:rsid w:val="00582439"/>
    <w:rsid w:val="0058658C"/>
    <w:rsid w:val="00586E42"/>
    <w:rsid w:val="00587960"/>
    <w:rsid w:val="00587AD5"/>
    <w:rsid w:val="00590FF1"/>
    <w:rsid w:val="005910B5"/>
    <w:rsid w:val="00591B48"/>
    <w:rsid w:val="0059273D"/>
    <w:rsid w:val="005935B8"/>
    <w:rsid w:val="00593E04"/>
    <w:rsid w:val="00593FF9"/>
    <w:rsid w:val="00595B34"/>
    <w:rsid w:val="00596803"/>
    <w:rsid w:val="00597205"/>
    <w:rsid w:val="005A1147"/>
    <w:rsid w:val="005A1AE1"/>
    <w:rsid w:val="005A46A7"/>
    <w:rsid w:val="005A50FA"/>
    <w:rsid w:val="005A7377"/>
    <w:rsid w:val="005B0A9E"/>
    <w:rsid w:val="005B0C21"/>
    <w:rsid w:val="005B0CE8"/>
    <w:rsid w:val="005B1530"/>
    <w:rsid w:val="005B1A46"/>
    <w:rsid w:val="005B3CEE"/>
    <w:rsid w:val="005B4747"/>
    <w:rsid w:val="005B4AC6"/>
    <w:rsid w:val="005B7389"/>
    <w:rsid w:val="005C0386"/>
    <w:rsid w:val="005C0B03"/>
    <w:rsid w:val="005C13AB"/>
    <w:rsid w:val="005C31F9"/>
    <w:rsid w:val="005C3397"/>
    <w:rsid w:val="005C429C"/>
    <w:rsid w:val="005C431C"/>
    <w:rsid w:val="005C47DC"/>
    <w:rsid w:val="005C4DA2"/>
    <w:rsid w:val="005C7484"/>
    <w:rsid w:val="005C7D92"/>
    <w:rsid w:val="005D11F5"/>
    <w:rsid w:val="005D1A75"/>
    <w:rsid w:val="005D1BCC"/>
    <w:rsid w:val="005D266A"/>
    <w:rsid w:val="005D26B0"/>
    <w:rsid w:val="005D41FB"/>
    <w:rsid w:val="005D5B64"/>
    <w:rsid w:val="005D5B6D"/>
    <w:rsid w:val="005D5BE6"/>
    <w:rsid w:val="005E0154"/>
    <w:rsid w:val="005E168F"/>
    <w:rsid w:val="005E2F78"/>
    <w:rsid w:val="005E3E70"/>
    <w:rsid w:val="005E6394"/>
    <w:rsid w:val="005E685C"/>
    <w:rsid w:val="005E6AC9"/>
    <w:rsid w:val="005E76BF"/>
    <w:rsid w:val="005F13C5"/>
    <w:rsid w:val="005F1746"/>
    <w:rsid w:val="005F2010"/>
    <w:rsid w:val="005F301E"/>
    <w:rsid w:val="005F39BA"/>
    <w:rsid w:val="005F42B4"/>
    <w:rsid w:val="005F5B90"/>
    <w:rsid w:val="005F63B0"/>
    <w:rsid w:val="005F69C0"/>
    <w:rsid w:val="0060150F"/>
    <w:rsid w:val="0060220C"/>
    <w:rsid w:val="0060252B"/>
    <w:rsid w:val="006027AA"/>
    <w:rsid w:val="00603F21"/>
    <w:rsid w:val="00605403"/>
    <w:rsid w:val="0060683E"/>
    <w:rsid w:val="00607515"/>
    <w:rsid w:val="00607DB2"/>
    <w:rsid w:val="00610646"/>
    <w:rsid w:val="00610CF8"/>
    <w:rsid w:val="00610D01"/>
    <w:rsid w:val="00611B1F"/>
    <w:rsid w:val="00612BB2"/>
    <w:rsid w:val="00612CA5"/>
    <w:rsid w:val="00612F34"/>
    <w:rsid w:val="0061352A"/>
    <w:rsid w:val="00613A94"/>
    <w:rsid w:val="00613CF7"/>
    <w:rsid w:val="00614114"/>
    <w:rsid w:val="006158B6"/>
    <w:rsid w:val="00616034"/>
    <w:rsid w:val="0061711B"/>
    <w:rsid w:val="006172EA"/>
    <w:rsid w:val="006206BF"/>
    <w:rsid w:val="00622228"/>
    <w:rsid w:val="00622D77"/>
    <w:rsid w:val="00622EE7"/>
    <w:rsid w:val="00623818"/>
    <w:rsid w:val="0062432C"/>
    <w:rsid w:val="00624EB8"/>
    <w:rsid w:val="00625247"/>
    <w:rsid w:val="00626804"/>
    <w:rsid w:val="00626A6A"/>
    <w:rsid w:val="00627D1F"/>
    <w:rsid w:val="00627FF2"/>
    <w:rsid w:val="00630550"/>
    <w:rsid w:val="00631327"/>
    <w:rsid w:val="00631394"/>
    <w:rsid w:val="0063204E"/>
    <w:rsid w:val="0063292F"/>
    <w:rsid w:val="006335A5"/>
    <w:rsid w:val="00633F48"/>
    <w:rsid w:val="00635ED9"/>
    <w:rsid w:val="00636078"/>
    <w:rsid w:val="00636B18"/>
    <w:rsid w:val="00637C21"/>
    <w:rsid w:val="00637CA1"/>
    <w:rsid w:val="0064290A"/>
    <w:rsid w:val="00642926"/>
    <w:rsid w:val="00643123"/>
    <w:rsid w:val="00643126"/>
    <w:rsid w:val="00644E7C"/>
    <w:rsid w:val="00645492"/>
    <w:rsid w:val="00645F68"/>
    <w:rsid w:val="006472E6"/>
    <w:rsid w:val="0064734C"/>
    <w:rsid w:val="00650634"/>
    <w:rsid w:val="00652F46"/>
    <w:rsid w:val="0065471A"/>
    <w:rsid w:val="00654A2D"/>
    <w:rsid w:val="006557FE"/>
    <w:rsid w:val="00656928"/>
    <w:rsid w:val="00656E7C"/>
    <w:rsid w:val="00656EAF"/>
    <w:rsid w:val="00661CDC"/>
    <w:rsid w:val="006622F8"/>
    <w:rsid w:val="00663675"/>
    <w:rsid w:val="00663F2C"/>
    <w:rsid w:val="00664480"/>
    <w:rsid w:val="00666CFF"/>
    <w:rsid w:val="006723B0"/>
    <w:rsid w:val="00672E75"/>
    <w:rsid w:val="00674CF6"/>
    <w:rsid w:val="00675566"/>
    <w:rsid w:val="00675E53"/>
    <w:rsid w:val="006778B7"/>
    <w:rsid w:val="00680781"/>
    <w:rsid w:val="00680C5C"/>
    <w:rsid w:val="00680D12"/>
    <w:rsid w:val="006813F3"/>
    <w:rsid w:val="0068162D"/>
    <w:rsid w:val="006824AE"/>
    <w:rsid w:val="00684A2A"/>
    <w:rsid w:val="00684B06"/>
    <w:rsid w:val="00686C7B"/>
    <w:rsid w:val="006917CA"/>
    <w:rsid w:val="00691C74"/>
    <w:rsid w:val="00691C97"/>
    <w:rsid w:val="0069312A"/>
    <w:rsid w:val="006959BE"/>
    <w:rsid w:val="006A0076"/>
    <w:rsid w:val="006A0481"/>
    <w:rsid w:val="006A26F0"/>
    <w:rsid w:val="006A2AF1"/>
    <w:rsid w:val="006A3D55"/>
    <w:rsid w:val="006A612D"/>
    <w:rsid w:val="006A76E4"/>
    <w:rsid w:val="006A7D08"/>
    <w:rsid w:val="006B1BEC"/>
    <w:rsid w:val="006B26F8"/>
    <w:rsid w:val="006B3418"/>
    <w:rsid w:val="006B3880"/>
    <w:rsid w:val="006B491F"/>
    <w:rsid w:val="006B4FEC"/>
    <w:rsid w:val="006B5F05"/>
    <w:rsid w:val="006B60A6"/>
    <w:rsid w:val="006B619A"/>
    <w:rsid w:val="006B635B"/>
    <w:rsid w:val="006B6B6D"/>
    <w:rsid w:val="006B715B"/>
    <w:rsid w:val="006B7523"/>
    <w:rsid w:val="006C3958"/>
    <w:rsid w:val="006C4483"/>
    <w:rsid w:val="006C5FF7"/>
    <w:rsid w:val="006D09FF"/>
    <w:rsid w:val="006D0E22"/>
    <w:rsid w:val="006D15FC"/>
    <w:rsid w:val="006D3CFB"/>
    <w:rsid w:val="006D66A0"/>
    <w:rsid w:val="006D6DE2"/>
    <w:rsid w:val="006D73FF"/>
    <w:rsid w:val="006E03E5"/>
    <w:rsid w:val="006E1C3B"/>
    <w:rsid w:val="006E2D78"/>
    <w:rsid w:val="006E3006"/>
    <w:rsid w:val="006E32EF"/>
    <w:rsid w:val="006E4AC9"/>
    <w:rsid w:val="006E4C25"/>
    <w:rsid w:val="006E5ABD"/>
    <w:rsid w:val="006E6B3F"/>
    <w:rsid w:val="006E70EB"/>
    <w:rsid w:val="006E716F"/>
    <w:rsid w:val="006E78D8"/>
    <w:rsid w:val="006F0949"/>
    <w:rsid w:val="006F1CC7"/>
    <w:rsid w:val="006F3078"/>
    <w:rsid w:val="006F3332"/>
    <w:rsid w:val="006F37B4"/>
    <w:rsid w:val="006F4838"/>
    <w:rsid w:val="006F4912"/>
    <w:rsid w:val="006F49F1"/>
    <w:rsid w:val="006F4F32"/>
    <w:rsid w:val="006F581F"/>
    <w:rsid w:val="006F6CD3"/>
    <w:rsid w:val="006F7514"/>
    <w:rsid w:val="006F7559"/>
    <w:rsid w:val="007009EF"/>
    <w:rsid w:val="0070204E"/>
    <w:rsid w:val="00704AF2"/>
    <w:rsid w:val="00705146"/>
    <w:rsid w:val="00705631"/>
    <w:rsid w:val="00706591"/>
    <w:rsid w:val="00707590"/>
    <w:rsid w:val="00707774"/>
    <w:rsid w:val="0071063A"/>
    <w:rsid w:val="007118FF"/>
    <w:rsid w:val="00711EDD"/>
    <w:rsid w:val="007140A6"/>
    <w:rsid w:val="00714B11"/>
    <w:rsid w:val="00714B8D"/>
    <w:rsid w:val="00714FC3"/>
    <w:rsid w:val="00716BC6"/>
    <w:rsid w:val="00720C9D"/>
    <w:rsid w:val="00720FC8"/>
    <w:rsid w:val="007210FC"/>
    <w:rsid w:val="00721303"/>
    <w:rsid w:val="00722B5B"/>
    <w:rsid w:val="00723D71"/>
    <w:rsid w:val="0072400D"/>
    <w:rsid w:val="00730C91"/>
    <w:rsid w:val="0073176B"/>
    <w:rsid w:val="007323B4"/>
    <w:rsid w:val="0073294A"/>
    <w:rsid w:val="00733608"/>
    <w:rsid w:val="00733AE2"/>
    <w:rsid w:val="00733E54"/>
    <w:rsid w:val="00734DE6"/>
    <w:rsid w:val="007354ED"/>
    <w:rsid w:val="007370DF"/>
    <w:rsid w:val="007376B5"/>
    <w:rsid w:val="00737883"/>
    <w:rsid w:val="00742761"/>
    <w:rsid w:val="00742E85"/>
    <w:rsid w:val="00744053"/>
    <w:rsid w:val="007456D0"/>
    <w:rsid w:val="00747494"/>
    <w:rsid w:val="00747E38"/>
    <w:rsid w:val="0075011F"/>
    <w:rsid w:val="00751453"/>
    <w:rsid w:val="00752019"/>
    <w:rsid w:val="007526AC"/>
    <w:rsid w:val="00752801"/>
    <w:rsid w:val="007531EB"/>
    <w:rsid w:val="007539BC"/>
    <w:rsid w:val="00753D67"/>
    <w:rsid w:val="00754123"/>
    <w:rsid w:val="00754728"/>
    <w:rsid w:val="007549C5"/>
    <w:rsid w:val="00754DBD"/>
    <w:rsid w:val="007558CB"/>
    <w:rsid w:val="00757DE6"/>
    <w:rsid w:val="0076110B"/>
    <w:rsid w:val="00761653"/>
    <w:rsid w:val="00761BC5"/>
    <w:rsid w:val="00762A47"/>
    <w:rsid w:val="00762C77"/>
    <w:rsid w:val="0076344C"/>
    <w:rsid w:val="007666DD"/>
    <w:rsid w:val="00767853"/>
    <w:rsid w:val="00767C80"/>
    <w:rsid w:val="0077073C"/>
    <w:rsid w:val="00770A8D"/>
    <w:rsid w:val="00770F0C"/>
    <w:rsid w:val="007711BA"/>
    <w:rsid w:val="007719B2"/>
    <w:rsid w:val="007724CB"/>
    <w:rsid w:val="00772E5E"/>
    <w:rsid w:val="00774A7F"/>
    <w:rsid w:val="007752BC"/>
    <w:rsid w:val="00775ACA"/>
    <w:rsid w:val="00775E8D"/>
    <w:rsid w:val="007762DF"/>
    <w:rsid w:val="007802B6"/>
    <w:rsid w:val="0078128E"/>
    <w:rsid w:val="00783B39"/>
    <w:rsid w:val="00785C32"/>
    <w:rsid w:val="00786BEB"/>
    <w:rsid w:val="00791858"/>
    <w:rsid w:val="0079353D"/>
    <w:rsid w:val="00793FAE"/>
    <w:rsid w:val="00794628"/>
    <w:rsid w:val="007948B6"/>
    <w:rsid w:val="00795509"/>
    <w:rsid w:val="00795C26"/>
    <w:rsid w:val="00795C2C"/>
    <w:rsid w:val="00796611"/>
    <w:rsid w:val="007966BC"/>
    <w:rsid w:val="00797157"/>
    <w:rsid w:val="00797908"/>
    <w:rsid w:val="007A1578"/>
    <w:rsid w:val="007A2CA6"/>
    <w:rsid w:val="007A433E"/>
    <w:rsid w:val="007A4371"/>
    <w:rsid w:val="007A652B"/>
    <w:rsid w:val="007A7A36"/>
    <w:rsid w:val="007B024D"/>
    <w:rsid w:val="007B07F8"/>
    <w:rsid w:val="007B0FC0"/>
    <w:rsid w:val="007B1E8C"/>
    <w:rsid w:val="007B40D2"/>
    <w:rsid w:val="007B539E"/>
    <w:rsid w:val="007B5947"/>
    <w:rsid w:val="007B6023"/>
    <w:rsid w:val="007B6786"/>
    <w:rsid w:val="007B79C8"/>
    <w:rsid w:val="007B7F27"/>
    <w:rsid w:val="007C094E"/>
    <w:rsid w:val="007C1015"/>
    <w:rsid w:val="007C2A53"/>
    <w:rsid w:val="007C31BC"/>
    <w:rsid w:val="007C3B51"/>
    <w:rsid w:val="007C5BD1"/>
    <w:rsid w:val="007C664F"/>
    <w:rsid w:val="007D1060"/>
    <w:rsid w:val="007D1823"/>
    <w:rsid w:val="007D1ACB"/>
    <w:rsid w:val="007D1E52"/>
    <w:rsid w:val="007D3A6C"/>
    <w:rsid w:val="007D561D"/>
    <w:rsid w:val="007D58C5"/>
    <w:rsid w:val="007D7F69"/>
    <w:rsid w:val="007E1D22"/>
    <w:rsid w:val="007E2089"/>
    <w:rsid w:val="007E2467"/>
    <w:rsid w:val="007E2F4A"/>
    <w:rsid w:val="007E4BF6"/>
    <w:rsid w:val="007E5843"/>
    <w:rsid w:val="007E6730"/>
    <w:rsid w:val="007E6756"/>
    <w:rsid w:val="007E6C1A"/>
    <w:rsid w:val="007E73A8"/>
    <w:rsid w:val="007E7796"/>
    <w:rsid w:val="007F08D2"/>
    <w:rsid w:val="007F0C10"/>
    <w:rsid w:val="007F1CC2"/>
    <w:rsid w:val="007F312D"/>
    <w:rsid w:val="007F37D4"/>
    <w:rsid w:val="007F451C"/>
    <w:rsid w:val="008007C6"/>
    <w:rsid w:val="00801B80"/>
    <w:rsid w:val="00801C88"/>
    <w:rsid w:val="00803C9D"/>
    <w:rsid w:val="008066B6"/>
    <w:rsid w:val="00806B9D"/>
    <w:rsid w:val="00806E5B"/>
    <w:rsid w:val="0081050B"/>
    <w:rsid w:val="00812BF6"/>
    <w:rsid w:val="00813096"/>
    <w:rsid w:val="00815666"/>
    <w:rsid w:val="0081594A"/>
    <w:rsid w:val="00817AC4"/>
    <w:rsid w:val="008209A4"/>
    <w:rsid w:val="00821310"/>
    <w:rsid w:val="00821A52"/>
    <w:rsid w:val="00823E5F"/>
    <w:rsid w:val="0082504D"/>
    <w:rsid w:val="008266C3"/>
    <w:rsid w:val="00826CC2"/>
    <w:rsid w:val="00831249"/>
    <w:rsid w:val="0083175B"/>
    <w:rsid w:val="00832690"/>
    <w:rsid w:val="008326E5"/>
    <w:rsid w:val="00836201"/>
    <w:rsid w:val="008379A9"/>
    <w:rsid w:val="0084038B"/>
    <w:rsid w:val="0084226E"/>
    <w:rsid w:val="0084421F"/>
    <w:rsid w:val="00844A09"/>
    <w:rsid w:val="008468F7"/>
    <w:rsid w:val="008471A3"/>
    <w:rsid w:val="008506EE"/>
    <w:rsid w:val="0085126F"/>
    <w:rsid w:val="008513A9"/>
    <w:rsid w:val="0085281C"/>
    <w:rsid w:val="00854A9B"/>
    <w:rsid w:val="00854CE2"/>
    <w:rsid w:val="008562EC"/>
    <w:rsid w:val="00857E87"/>
    <w:rsid w:val="00857FB7"/>
    <w:rsid w:val="00861027"/>
    <w:rsid w:val="0086148F"/>
    <w:rsid w:val="00861910"/>
    <w:rsid w:val="00861AE7"/>
    <w:rsid w:val="008630AE"/>
    <w:rsid w:val="0086318F"/>
    <w:rsid w:val="00863B6D"/>
    <w:rsid w:val="00864785"/>
    <w:rsid w:val="00864F02"/>
    <w:rsid w:val="00866BB6"/>
    <w:rsid w:val="00866D9C"/>
    <w:rsid w:val="008726F0"/>
    <w:rsid w:val="00872C5D"/>
    <w:rsid w:val="00872E38"/>
    <w:rsid w:val="008739E5"/>
    <w:rsid w:val="00873C48"/>
    <w:rsid w:val="00874513"/>
    <w:rsid w:val="0087688E"/>
    <w:rsid w:val="00877414"/>
    <w:rsid w:val="00880264"/>
    <w:rsid w:val="00880B34"/>
    <w:rsid w:val="00880D3D"/>
    <w:rsid w:val="008818FD"/>
    <w:rsid w:val="00881AAB"/>
    <w:rsid w:val="008823B8"/>
    <w:rsid w:val="00883078"/>
    <w:rsid w:val="008841A4"/>
    <w:rsid w:val="00885383"/>
    <w:rsid w:val="00885729"/>
    <w:rsid w:val="00885F30"/>
    <w:rsid w:val="0088699A"/>
    <w:rsid w:val="00890E8C"/>
    <w:rsid w:val="0089269E"/>
    <w:rsid w:val="00896182"/>
    <w:rsid w:val="008976F4"/>
    <w:rsid w:val="00897FE8"/>
    <w:rsid w:val="008A0A05"/>
    <w:rsid w:val="008A1E86"/>
    <w:rsid w:val="008A3CF7"/>
    <w:rsid w:val="008A3E3E"/>
    <w:rsid w:val="008A4081"/>
    <w:rsid w:val="008A41BD"/>
    <w:rsid w:val="008A42DB"/>
    <w:rsid w:val="008A519C"/>
    <w:rsid w:val="008A6BEF"/>
    <w:rsid w:val="008B158D"/>
    <w:rsid w:val="008B5686"/>
    <w:rsid w:val="008B5D87"/>
    <w:rsid w:val="008B6486"/>
    <w:rsid w:val="008B6773"/>
    <w:rsid w:val="008B6FAC"/>
    <w:rsid w:val="008B7300"/>
    <w:rsid w:val="008C2197"/>
    <w:rsid w:val="008C28D5"/>
    <w:rsid w:val="008C3204"/>
    <w:rsid w:val="008C3493"/>
    <w:rsid w:val="008C4E29"/>
    <w:rsid w:val="008C760D"/>
    <w:rsid w:val="008C7A67"/>
    <w:rsid w:val="008D11A6"/>
    <w:rsid w:val="008D201F"/>
    <w:rsid w:val="008D2D64"/>
    <w:rsid w:val="008D415F"/>
    <w:rsid w:val="008D46DE"/>
    <w:rsid w:val="008D4C74"/>
    <w:rsid w:val="008D4CE0"/>
    <w:rsid w:val="008D5ADB"/>
    <w:rsid w:val="008D72A9"/>
    <w:rsid w:val="008D7599"/>
    <w:rsid w:val="008E02A7"/>
    <w:rsid w:val="008E0491"/>
    <w:rsid w:val="008E1D59"/>
    <w:rsid w:val="008E22E2"/>
    <w:rsid w:val="008E2938"/>
    <w:rsid w:val="008E38D0"/>
    <w:rsid w:val="008E3F13"/>
    <w:rsid w:val="008E42C1"/>
    <w:rsid w:val="008E57B8"/>
    <w:rsid w:val="008E5D28"/>
    <w:rsid w:val="008E6952"/>
    <w:rsid w:val="008F0229"/>
    <w:rsid w:val="008F0434"/>
    <w:rsid w:val="008F0BBE"/>
    <w:rsid w:val="008F14B5"/>
    <w:rsid w:val="008F2025"/>
    <w:rsid w:val="008F32F4"/>
    <w:rsid w:val="008F4614"/>
    <w:rsid w:val="008F4EB8"/>
    <w:rsid w:val="008F585C"/>
    <w:rsid w:val="008F6B40"/>
    <w:rsid w:val="008F6B5A"/>
    <w:rsid w:val="009015B8"/>
    <w:rsid w:val="00902122"/>
    <w:rsid w:val="00902E07"/>
    <w:rsid w:val="00902EE9"/>
    <w:rsid w:val="0090383C"/>
    <w:rsid w:val="009044C2"/>
    <w:rsid w:val="0090482D"/>
    <w:rsid w:val="00904AD5"/>
    <w:rsid w:val="0090754C"/>
    <w:rsid w:val="0091173D"/>
    <w:rsid w:val="00911D78"/>
    <w:rsid w:val="0091309E"/>
    <w:rsid w:val="00913308"/>
    <w:rsid w:val="00914311"/>
    <w:rsid w:val="00914C1B"/>
    <w:rsid w:val="00915323"/>
    <w:rsid w:val="009158EA"/>
    <w:rsid w:val="009171F3"/>
    <w:rsid w:val="00917DED"/>
    <w:rsid w:val="0092006D"/>
    <w:rsid w:val="009210D2"/>
    <w:rsid w:val="00921453"/>
    <w:rsid w:val="0092225B"/>
    <w:rsid w:val="00923E67"/>
    <w:rsid w:val="009246BA"/>
    <w:rsid w:val="00924BED"/>
    <w:rsid w:val="009253B2"/>
    <w:rsid w:val="009266F9"/>
    <w:rsid w:val="00927694"/>
    <w:rsid w:val="00930A3C"/>
    <w:rsid w:val="00930ECB"/>
    <w:rsid w:val="00931D17"/>
    <w:rsid w:val="00931D2F"/>
    <w:rsid w:val="00932AD6"/>
    <w:rsid w:val="009339B8"/>
    <w:rsid w:val="009349ED"/>
    <w:rsid w:val="00934C9A"/>
    <w:rsid w:val="00934DD7"/>
    <w:rsid w:val="0093593A"/>
    <w:rsid w:val="0093667D"/>
    <w:rsid w:val="00937948"/>
    <w:rsid w:val="00940A2E"/>
    <w:rsid w:val="00940BB0"/>
    <w:rsid w:val="0094146F"/>
    <w:rsid w:val="009418C6"/>
    <w:rsid w:val="00941BB5"/>
    <w:rsid w:val="00942291"/>
    <w:rsid w:val="00942407"/>
    <w:rsid w:val="0094299E"/>
    <w:rsid w:val="00942D87"/>
    <w:rsid w:val="009441E4"/>
    <w:rsid w:val="0094531B"/>
    <w:rsid w:val="00945E5C"/>
    <w:rsid w:val="0094613C"/>
    <w:rsid w:val="00947C4B"/>
    <w:rsid w:val="00947CB0"/>
    <w:rsid w:val="009514B7"/>
    <w:rsid w:val="00951607"/>
    <w:rsid w:val="00951790"/>
    <w:rsid w:val="00951CD9"/>
    <w:rsid w:val="00955269"/>
    <w:rsid w:val="00955801"/>
    <w:rsid w:val="00955E87"/>
    <w:rsid w:val="00956016"/>
    <w:rsid w:val="00957B4F"/>
    <w:rsid w:val="00957F20"/>
    <w:rsid w:val="0096036D"/>
    <w:rsid w:val="0096151A"/>
    <w:rsid w:val="009619DB"/>
    <w:rsid w:val="009622CF"/>
    <w:rsid w:val="009627DB"/>
    <w:rsid w:val="0096455F"/>
    <w:rsid w:val="00964D7A"/>
    <w:rsid w:val="00964E9D"/>
    <w:rsid w:val="00965884"/>
    <w:rsid w:val="0096590E"/>
    <w:rsid w:val="009659F2"/>
    <w:rsid w:val="00967195"/>
    <w:rsid w:val="00967F3C"/>
    <w:rsid w:val="00971D57"/>
    <w:rsid w:val="00974346"/>
    <w:rsid w:val="0097458D"/>
    <w:rsid w:val="0097481B"/>
    <w:rsid w:val="00975349"/>
    <w:rsid w:val="009755D4"/>
    <w:rsid w:val="00975C48"/>
    <w:rsid w:val="00975E1C"/>
    <w:rsid w:val="0097752B"/>
    <w:rsid w:val="00977ABE"/>
    <w:rsid w:val="009806B5"/>
    <w:rsid w:val="009812BA"/>
    <w:rsid w:val="00981736"/>
    <w:rsid w:val="009820F9"/>
    <w:rsid w:val="0098222A"/>
    <w:rsid w:val="0098373A"/>
    <w:rsid w:val="00983A80"/>
    <w:rsid w:val="0098541D"/>
    <w:rsid w:val="009902FC"/>
    <w:rsid w:val="00990D16"/>
    <w:rsid w:val="00990E74"/>
    <w:rsid w:val="00991B81"/>
    <w:rsid w:val="00992E2D"/>
    <w:rsid w:val="00993B95"/>
    <w:rsid w:val="00993CF8"/>
    <w:rsid w:val="00993D2F"/>
    <w:rsid w:val="00995A54"/>
    <w:rsid w:val="00996A7B"/>
    <w:rsid w:val="009A0EF7"/>
    <w:rsid w:val="009A2795"/>
    <w:rsid w:val="009A4F5E"/>
    <w:rsid w:val="009A66D7"/>
    <w:rsid w:val="009A688C"/>
    <w:rsid w:val="009A7882"/>
    <w:rsid w:val="009B1178"/>
    <w:rsid w:val="009B1C3D"/>
    <w:rsid w:val="009B28A2"/>
    <w:rsid w:val="009B36DD"/>
    <w:rsid w:val="009B3EDF"/>
    <w:rsid w:val="009B4010"/>
    <w:rsid w:val="009B709C"/>
    <w:rsid w:val="009B7A24"/>
    <w:rsid w:val="009B7CC7"/>
    <w:rsid w:val="009C2AC6"/>
    <w:rsid w:val="009C2C76"/>
    <w:rsid w:val="009C3BF3"/>
    <w:rsid w:val="009C4190"/>
    <w:rsid w:val="009C55E4"/>
    <w:rsid w:val="009C638D"/>
    <w:rsid w:val="009C7202"/>
    <w:rsid w:val="009C7A0E"/>
    <w:rsid w:val="009C7C91"/>
    <w:rsid w:val="009D07D8"/>
    <w:rsid w:val="009D14C0"/>
    <w:rsid w:val="009D1561"/>
    <w:rsid w:val="009D2102"/>
    <w:rsid w:val="009D3E31"/>
    <w:rsid w:val="009D521B"/>
    <w:rsid w:val="009D6B35"/>
    <w:rsid w:val="009D6FD7"/>
    <w:rsid w:val="009D74C5"/>
    <w:rsid w:val="009D77AC"/>
    <w:rsid w:val="009E1512"/>
    <w:rsid w:val="009E23A4"/>
    <w:rsid w:val="009E24E9"/>
    <w:rsid w:val="009E2FD7"/>
    <w:rsid w:val="009E4D46"/>
    <w:rsid w:val="009E50DB"/>
    <w:rsid w:val="009E5657"/>
    <w:rsid w:val="009E56D8"/>
    <w:rsid w:val="009E5748"/>
    <w:rsid w:val="009E583E"/>
    <w:rsid w:val="009E6055"/>
    <w:rsid w:val="009E61E9"/>
    <w:rsid w:val="009E6F64"/>
    <w:rsid w:val="009E7815"/>
    <w:rsid w:val="009F2F81"/>
    <w:rsid w:val="009F3020"/>
    <w:rsid w:val="009F44C5"/>
    <w:rsid w:val="009F4540"/>
    <w:rsid w:val="009F4CD6"/>
    <w:rsid w:val="009F5D47"/>
    <w:rsid w:val="009F6B5A"/>
    <w:rsid w:val="009F705D"/>
    <w:rsid w:val="009F7199"/>
    <w:rsid w:val="009F7CF2"/>
    <w:rsid w:val="00A00BEB"/>
    <w:rsid w:val="00A020F5"/>
    <w:rsid w:val="00A03B9D"/>
    <w:rsid w:val="00A040FC"/>
    <w:rsid w:val="00A06145"/>
    <w:rsid w:val="00A06C42"/>
    <w:rsid w:val="00A07033"/>
    <w:rsid w:val="00A076B6"/>
    <w:rsid w:val="00A109F5"/>
    <w:rsid w:val="00A10F58"/>
    <w:rsid w:val="00A11658"/>
    <w:rsid w:val="00A135A9"/>
    <w:rsid w:val="00A141FD"/>
    <w:rsid w:val="00A16111"/>
    <w:rsid w:val="00A16A2F"/>
    <w:rsid w:val="00A207BF"/>
    <w:rsid w:val="00A215AF"/>
    <w:rsid w:val="00A21985"/>
    <w:rsid w:val="00A21F36"/>
    <w:rsid w:val="00A230D4"/>
    <w:rsid w:val="00A2364A"/>
    <w:rsid w:val="00A23FFC"/>
    <w:rsid w:val="00A242FD"/>
    <w:rsid w:val="00A24566"/>
    <w:rsid w:val="00A26301"/>
    <w:rsid w:val="00A279D2"/>
    <w:rsid w:val="00A302CF"/>
    <w:rsid w:val="00A32031"/>
    <w:rsid w:val="00A332A5"/>
    <w:rsid w:val="00A3399C"/>
    <w:rsid w:val="00A357F1"/>
    <w:rsid w:val="00A35BA2"/>
    <w:rsid w:val="00A379E8"/>
    <w:rsid w:val="00A37FD9"/>
    <w:rsid w:val="00A40E31"/>
    <w:rsid w:val="00A418DE"/>
    <w:rsid w:val="00A419F4"/>
    <w:rsid w:val="00A431DD"/>
    <w:rsid w:val="00A46385"/>
    <w:rsid w:val="00A4687B"/>
    <w:rsid w:val="00A47393"/>
    <w:rsid w:val="00A47BD9"/>
    <w:rsid w:val="00A47CB1"/>
    <w:rsid w:val="00A529B6"/>
    <w:rsid w:val="00A5389F"/>
    <w:rsid w:val="00A54108"/>
    <w:rsid w:val="00A54650"/>
    <w:rsid w:val="00A54B44"/>
    <w:rsid w:val="00A54EEF"/>
    <w:rsid w:val="00A5761B"/>
    <w:rsid w:val="00A57C54"/>
    <w:rsid w:val="00A57EE8"/>
    <w:rsid w:val="00A636B0"/>
    <w:rsid w:val="00A63889"/>
    <w:rsid w:val="00A64111"/>
    <w:rsid w:val="00A64541"/>
    <w:rsid w:val="00A6499F"/>
    <w:rsid w:val="00A66729"/>
    <w:rsid w:val="00A70518"/>
    <w:rsid w:val="00A7166B"/>
    <w:rsid w:val="00A72B7F"/>
    <w:rsid w:val="00A733A9"/>
    <w:rsid w:val="00A755F9"/>
    <w:rsid w:val="00A76FA7"/>
    <w:rsid w:val="00A77BC5"/>
    <w:rsid w:val="00A8067B"/>
    <w:rsid w:val="00A80816"/>
    <w:rsid w:val="00A813F7"/>
    <w:rsid w:val="00A8184A"/>
    <w:rsid w:val="00A825AC"/>
    <w:rsid w:val="00A8428E"/>
    <w:rsid w:val="00A85045"/>
    <w:rsid w:val="00A85582"/>
    <w:rsid w:val="00A856C3"/>
    <w:rsid w:val="00A85803"/>
    <w:rsid w:val="00A8689A"/>
    <w:rsid w:val="00A91637"/>
    <w:rsid w:val="00A9262E"/>
    <w:rsid w:val="00A92C20"/>
    <w:rsid w:val="00A93974"/>
    <w:rsid w:val="00A93BAA"/>
    <w:rsid w:val="00A94747"/>
    <w:rsid w:val="00A95AD8"/>
    <w:rsid w:val="00A964A6"/>
    <w:rsid w:val="00A97223"/>
    <w:rsid w:val="00A97B7D"/>
    <w:rsid w:val="00A97EED"/>
    <w:rsid w:val="00AA13C3"/>
    <w:rsid w:val="00AA14B5"/>
    <w:rsid w:val="00AA1685"/>
    <w:rsid w:val="00AA1EFD"/>
    <w:rsid w:val="00AA459F"/>
    <w:rsid w:val="00AA493C"/>
    <w:rsid w:val="00AA4F51"/>
    <w:rsid w:val="00AA6C8C"/>
    <w:rsid w:val="00AB0EEA"/>
    <w:rsid w:val="00AB2634"/>
    <w:rsid w:val="00AB2645"/>
    <w:rsid w:val="00AB2790"/>
    <w:rsid w:val="00AB2929"/>
    <w:rsid w:val="00AB2A7E"/>
    <w:rsid w:val="00AB2F33"/>
    <w:rsid w:val="00AB33E1"/>
    <w:rsid w:val="00AB44D1"/>
    <w:rsid w:val="00AB4BB3"/>
    <w:rsid w:val="00AB50ED"/>
    <w:rsid w:val="00AB5149"/>
    <w:rsid w:val="00AB5E03"/>
    <w:rsid w:val="00AB692C"/>
    <w:rsid w:val="00AB6DFA"/>
    <w:rsid w:val="00AB7CF0"/>
    <w:rsid w:val="00AC0980"/>
    <w:rsid w:val="00AC1291"/>
    <w:rsid w:val="00AC2211"/>
    <w:rsid w:val="00AC24FB"/>
    <w:rsid w:val="00AC2A58"/>
    <w:rsid w:val="00AC40D4"/>
    <w:rsid w:val="00AC4CD7"/>
    <w:rsid w:val="00AC525F"/>
    <w:rsid w:val="00AD1646"/>
    <w:rsid w:val="00AD1A5E"/>
    <w:rsid w:val="00AD2DE2"/>
    <w:rsid w:val="00AD3043"/>
    <w:rsid w:val="00AD36B2"/>
    <w:rsid w:val="00AD4D8B"/>
    <w:rsid w:val="00AD5F3A"/>
    <w:rsid w:val="00AD6442"/>
    <w:rsid w:val="00AE0FC6"/>
    <w:rsid w:val="00AE12E3"/>
    <w:rsid w:val="00AE1B97"/>
    <w:rsid w:val="00AE6059"/>
    <w:rsid w:val="00AE672A"/>
    <w:rsid w:val="00AE7067"/>
    <w:rsid w:val="00AF0A29"/>
    <w:rsid w:val="00AF4C92"/>
    <w:rsid w:val="00AF61C9"/>
    <w:rsid w:val="00AF653D"/>
    <w:rsid w:val="00AF73B4"/>
    <w:rsid w:val="00B015E8"/>
    <w:rsid w:val="00B01917"/>
    <w:rsid w:val="00B0262B"/>
    <w:rsid w:val="00B0332E"/>
    <w:rsid w:val="00B04C53"/>
    <w:rsid w:val="00B04C7D"/>
    <w:rsid w:val="00B073A3"/>
    <w:rsid w:val="00B10176"/>
    <w:rsid w:val="00B10EC2"/>
    <w:rsid w:val="00B1137C"/>
    <w:rsid w:val="00B11DF8"/>
    <w:rsid w:val="00B12727"/>
    <w:rsid w:val="00B1305F"/>
    <w:rsid w:val="00B13BD1"/>
    <w:rsid w:val="00B1476F"/>
    <w:rsid w:val="00B14F9B"/>
    <w:rsid w:val="00B15BC3"/>
    <w:rsid w:val="00B17352"/>
    <w:rsid w:val="00B20EBD"/>
    <w:rsid w:val="00B20ED3"/>
    <w:rsid w:val="00B2176D"/>
    <w:rsid w:val="00B224A0"/>
    <w:rsid w:val="00B225E3"/>
    <w:rsid w:val="00B2268E"/>
    <w:rsid w:val="00B22BF1"/>
    <w:rsid w:val="00B24122"/>
    <w:rsid w:val="00B24544"/>
    <w:rsid w:val="00B246E4"/>
    <w:rsid w:val="00B248AC"/>
    <w:rsid w:val="00B24F52"/>
    <w:rsid w:val="00B26045"/>
    <w:rsid w:val="00B260BF"/>
    <w:rsid w:val="00B265B7"/>
    <w:rsid w:val="00B26E99"/>
    <w:rsid w:val="00B27A33"/>
    <w:rsid w:val="00B300AA"/>
    <w:rsid w:val="00B3071F"/>
    <w:rsid w:val="00B3251F"/>
    <w:rsid w:val="00B33A73"/>
    <w:rsid w:val="00B34F67"/>
    <w:rsid w:val="00B377CA"/>
    <w:rsid w:val="00B37A75"/>
    <w:rsid w:val="00B37C83"/>
    <w:rsid w:val="00B41D1C"/>
    <w:rsid w:val="00B43338"/>
    <w:rsid w:val="00B4339F"/>
    <w:rsid w:val="00B46A95"/>
    <w:rsid w:val="00B46DC7"/>
    <w:rsid w:val="00B50DC3"/>
    <w:rsid w:val="00B5152B"/>
    <w:rsid w:val="00B516F3"/>
    <w:rsid w:val="00B519EF"/>
    <w:rsid w:val="00B535CF"/>
    <w:rsid w:val="00B5441D"/>
    <w:rsid w:val="00B54492"/>
    <w:rsid w:val="00B548B1"/>
    <w:rsid w:val="00B54C9B"/>
    <w:rsid w:val="00B56A3F"/>
    <w:rsid w:val="00B570A0"/>
    <w:rsid w:val="00B60F39"/>
    <w:rsid w:val="00B619FA"/>
    <w:rsid w:val="00B6209E"/>
    <w:rsid w:val="00B62B2B"/>
    <w:rsid w:val="00B6394D"/>
    <w:rsid w:val="00B65DC0"/>
    <w:rsid w:val="00B65DF9"/>
    <w:rsid w:val="00B65F43"/>
    <w:rsid w:val="00B65FA5"/>
    <w:rsid w:val="00B66786"/>
    <w:rsid w:val="00B66D2E"/>
    <w:rsid w:val="00B70130"/>
    <w:rsid w:val="00B70A4A"/>
    <w:rsid w:val="00B7173B"/>
    <w:rsid w:val="00B73FE9"/>
    <w:rsid w:val="00B7487A"/>
    <w:rsid w:val="00B84B4F"/>
    <w:rsid w:val="00B84CA6"/>
    <w:rsid w:val="00B85B3D"/>
    <w:rsid w:val="00B85C63"/>
    <w:rsid w:val="00B8600E"/>
    <w:rsid w:val="00B86C8E"/>
    <w:rsid w:val="00B875DA"/>
    <w:rsid w:val="00B90103"/>
    <w:rsid w:val="00B91F5A"/>
    <w:rsid w:val="00B92265"/>
    <w:rsid w:val="00B92B4B"/>
    <w:rsid w:val="00B92FBD"/>
    <w:rsid w:val="00B93477"/>
    <w:rsid w:val="00B93CC9"/>
    <w:rsid w:val="00B956D9"/>
    <w:rsid w:val="00B97B33"/>
    <w:rsid w:val="00BA090E"/>
    <w:rsid w:val="00BA0993"/>
    <w:rsid w:val="00BA1D37"/>
    <w:rsid w:val="00BA31B0"/>
    <w:rsid w:val="00BA392E"/>
    <w:rsid w:val="00BA4A3A"/>
    <w:rsid w:val="00BA582D"/>
    <w:rsid w:val="00BA7C48"/>
    <w:rsid w:val="00BA7FD1"/>
    <w:rsid w:val="00BB143A"/>
    <w:rsid w:val="00BB1AAB"/>
    <w:rsid w:val="00BB2A2A"/>
    <w:rsid w:val="00BB371A"/>
    <w:rsid w:val="00BB42E7"/>
    <w:rsid w:val="00BB5D24"/>
    <w:rsid w:val="00BB5EBB"/>
    <w:rsid w:val="00BB6701"/>
    <w:rsid w:val="00BB7658"/>
    <w:rsid w:val="00BC0DB3"/>
    <w:rsid w:val="00BC42A9"/>
    <w:rsid w:val="00BC46DA"/>
    <w:rsid w:val="00BC5120"/>
    <w:rsid w:val="00BC5433"/>
    <w:rsid w:val="00BC54C8"/>
    <w:rsid w:val="00BD031B"/>
    <w:rsid w:val="00BD1220"/>
    <w:rsid w:val="00BD13FA"/>
    <w:rsid w:val="00BD445C"/>
    <w:rsid w:val="00BD481D"/>
    <w:rsid w:val="00BD4939"/>
    <w:rsid w:val="00BD5AF6"/>
    <w:rsid w:val="00BD6A37"/>
    <w:rsid w:val="00BE03DC"/>
    <w:rsid w:val="00BE1D79"/>
    <w:rsid w:val="00BE20B1"/>
    <w:rsid w:val="00BE31AE"/>
    <w:rsid w:val="00BE35CC"/>
    <w:rsid w:val="00BE7F3E"/>
    <w:rsid w:val="00BF0186"/>
    <w:rsid w:val="00BF1724"/>
    <w:rsid w:val="00BF39F0"/>
    <w:rsid w:val="00BF6334"/>
    <w:rsid w:val="00BF6455"/>
    <w:rsid w:val="00BF661E"/>
    <w:rsid w:val="00BF685D"/>
    <w:rsid w:val="00BF74E9"/>
    <w:rsid w:val="00BF7E49"/>
    <w:rsid w:val="00C00137"/>
    <w:rsid w:val="00C0133D"/>
    <w:rsid w:val="00C01392"/>
    <w:rsid w:val="00C016CD"/>
    <w:rsid w:val="00C03485"/>
    <w:rsid w:val="00C03C70"/>
    <w:rsid w:val="00C04719"/>
    <w:rsid w:val="00C05498"/>
    <w:rsid w:val="00C066CB"/>
    <w:rsid w:val="00C067D3"/>
    <w:rsid w:val="00C07E61"/>
    <w:rsid w:val="00C12018"/>
    <w:rsid w:val="00C12046"/>
    <w:rsid w:val="00C12819"/>
    <w:rsid w:val="00C13E5C"/>
    <w:rsid w:val="00C1404F"/>
    <w:rsid w:val="00C140F0"/>
    <w:rsid w:val="00C15FCC"/>
    <w:rsid w:val="00C16CF3"/>
    <w:rsid w:val="00C1746C"/>
    <w:rsid w:val="00C17C58"/>
    <w:rsid w:val="00C200B1"/>
    <w:rsid w:val="00C20293"/>
    <w:rsid w:val="00C21C38"/>
    <w:rsid w:val="00C2210D"/>
    <w:rsid w:val="00C22B9F"/>
    <w:rsid w:val="00C23651"/>
    <w:rsid w:val="00C247EA"/>
    <w:rsid w:val="00C25AD6"/>
    <w:rsid w:val="00C26773"/>
    <w:rsid w:val="00C27530"/>
    <w:rsid w:val="00C2764F"/>
    <w:rsid w:val="00C30526"/>
    <w:rsid w:val="00C30B80"/>
    <w:rsid w:val="00C30C41"/>
    <w:rsid w:val="00C31094"/>
    <w:rsid w:val="00C31276"/>
    <w:rsid w:val="00C322E8"/>
    <w:rsid w:val="00C32ED7"/>
    <w:rsid w:val="00C33261"/>
    <w:rsid w:val="00C34314"/>
    <w:rsid w:val="00C3484F"/>
    <w:rsid w:val="00C360FD"/>
    <w:rsid w:val="00C36518"/>
    <w:rsid w:val="00C4043B"/>
    <w:rsid w:val="00C40AD8"/>
    <w:rsid w:val="00C42496"/>
    <w:rsid w:val="00C42C84"/>
    <w:rsid w:val="00C43B16"/>
    <w:rsid w:val="00C45D36"/>
    <w:rsid w:val="00C47962"/>
    <w:rsid w:val="00C51DBD"/>
    <w:rsid w:val="00C52F78"/>
    <w:rsid w:val="00C5345D"/>
    <w:rsid w:val="00C53542"/>
    <w:rsid w:val="00C53BF2"/>
    <w:rsid w:val="00C540AC"/>
    <w:rsid w:val="00C54BB2"/>
    <w:rsid w:val="00C55209"/>
    <w:rsid w:val="00C566B3"/>
    <w:rsid w:val="00C56CEF"/>
    <w:rsid w:val="00C57A62"/>
    <w:rsid w:val="00C57AD3"/>
    <w:rsid w:val="00C57C69"/>
    <w:rsid w:val="00C608EA"/>
    <w:rsid w:val="00C6282F"/>
    <w:rsid w:val="00C63086"/>
    <w:rsid w:val="00C63F30"/>
    <w:rsid w:val="00C66D1C"/>
    <w:rsid w:val="00C678D3"/>
    <w:rsid w:val="00C67B0D"/>
    <w:rsid w:val="00C67B32"/>
    <w:rsid w:val="00C70265"/>
    <w:rsid w:val="00C70398"/>
    <w:rsid w:val="00C70622"/>
    <w:rsid w:val="00C70D67"/>
    <w:rsid w:val="00C716DA"/>
    <w:rsid w:val="00C72104"/>
    <w:rsid w:val="00C725A0"/>
    <w:rsid w:val="00C762A6"/>
    <w:rsid w:val="00C77063"/>
    <w:rsid w:val="00C80A3A"/>
    <w:rsid w:val="00C81823"/>
    <w:rsid w:val="00C81A21"/>
    <w:rsid w:val="00C821CD"/>
    <w:rsid w:val="00C833AC"/>
    <w:rsid w:val="00C8393B"/>
    <w:rsid w:val="00C87480"/>
    <w:rsid w:val="00C8772A"/>
    <w:rsid w:val="00C909FD"/>
    <w:rsid w:val="00C91884"/>
    <w:rsid w:val="00C92C8F"/>
    <w:rsid w:val="00C92E4D"/>
    <w:rsid w:val="00C93102"/>
    <w:rsid w:val="00C9380B"/>
    <w:rsid w:val="00C943FA"/>
    <w:rsid w:val="00C94E78"/>
    <w:rsid w:val="00C94F96"/>
    <w:rsid w:val="00C9521A"/>
    <w:rsid w:val="00C95DDC"/>
    <w:rsid w:val="00C95DFC"/>
    <w:rsid w:val="00C9627D"/>
    <w:rsid w:val="00C966AB"/>
    <w:rsid w:val="00C9674B"/>
    <w:rsid w:val="00C96B95"/>
    <w:rsid w:val="00C96D91"/>
    <w:rsid w:val="00C96EA5"/>
    <w:rsid w:val="00C96F93"/>
    <w:rsid w:val="00CA145F"/>
    <w:rsid w:val="00CA1D0A"/>
    <w:rsid w:val="00CA1F1D"/>
    <w:rsid w:val="00CA3DCB"/>
    <w:rsid w:val="00CA4359"/>
    <w:rsid w:val="00CB0765"/>
    <w:rsid w:val="00CB0C1D"/>
    <w:rsid w:val="00CB1937"/>
    <w:rsid w:val="00CB25D1"/>
    <w:rsid w:val="00CB40BB"/>
    <w:rsid w:val="00CB47CF"/>
    <w:rsid w:val="00CB4965"/>
    <w:rsid w:val="00CB4B07"/>
    <w:rsid w:val="00CB5B1D"/>
    <w:rsid w:val="00CB65FF"/>
    <w:rsid w:val="00CC1AE1"/>
    <w:rsid w:val="00CC2209"/>
    <w:rsid w:val="00CC2958"/>
    <w:rsid w:val="00CC4504"/>
    <w:rsid w:val="00CC4BFE"/>
    <w:rsid w:val="00CC4C95"/>
    <w:rsid w:val="00CC4F3A"/>
    <w:rsid w:val="00CC5320"/>
    <w:rsid w:val="00CD0384"/>
    <w:rsid w:val="00CD17D5"/>
    <w:rsid w:val="00CD19A3"/>
    <w:rsid w:val="00CD2058"/>
    <w:rsid w:val="00CD225C"/>
    <w:rsid w:val="00CD27B9"/>
    <w:rsid w:val="00CD28E0"/>
    <w:rsid w:val="00CD2BA1"/>
    <w:rsid w:val="00CD331E"/>
    <w:rsid w:val="00CD384B"/>
    <w:rsid w:val="00CD44A0"/>
    <w:rsid w:val="00CD4EBB"/>
    <w:rsid w:val="00CD5868"/>
    <w:rsid w:val="00CD71A0"/>
    <w:rsid w:val="00CD79A8"/>
    <w:rsid w:val="00CD7A95"/>
    <w:rsid w:val="00CE02C8"/>
    <w:rsid w:val="00CE1DFE"/>
    <w:rsid w:val="00CE205A"/>
    <w:rsid w:val="00CE2D97"/>
    <w:rsid w:val="00CE37ED"/>
    <w:rsid w:val="00CE4237"/>
    <w:rsid w:val="00CE4669"/>
    <w:rsid w:val="00CE47D7"/>
    <w:rsid w:val="00CE6EAB"/>
    <w:rsid w:val="00CE75ED"/>
    <w:rsid w:val="00CE7845"/>
    <w:rsid w:val="00CF0337"/>
    <w:rsid w:val="00CF1FBA"/>
    <w:rsid w:val="00CF2B94"/>
    <w:rsid w:val="00CF3459"/>
    <w:rsid w:val="00CF3587"/>
    <w:rsid w:val="00CF4320"/>
    <w:rsid w:val="00CF5075"/>
    <w:rsid w:val="00CF74F1"/>
    <w:rsid w:val="00D00111"/>
    <w:rsid w:val="00D003E2"/>
    <w:rsid w:val="00D00690"/>
    <w:rsid w:val="00D00CF4"/>
    <w:rsid w:val="00D02312"/>
    <w:rsid w:val="00D02501"/>
    <w:rsid w:val="00D02EBE"/>
    <w:rsid w:val="00D04DBA"/>
    <w:rsid w:val="00D05247"/>
    <w:rsid w:val="00D06262"/>
    <w:rsid w:val="00D070EE"/>
    <w:rsid w:val="00D07B77"/>
    <w:rsid w:val="00D07B96"/>
    <w:rsid w:val="00D102FF"/>
    <w:rsid w:val="00D1062A"/>
    <w:rsid w:val="00D16686"/>
    <w:rsid w:val="00D17C56"/>
    <w:rsid w:val="00D17CE4"/>
    <w:rsid w:val="00D20E02"/>
    <w:rsid w:val="00D21E42"/>
    <w:rsid w:val="00D226FE"/>
    <w:rsid w:val="00D22D79"/>
    <w:rsid w:val="00D2338D"/>
    <w:rsid w:val="00D23FB3"/>
    <w:rsid w:val="00D240B8"/>
    <w:rsid w:val="00D2641E"/>
    <w:rsid w:val="00D2714D"/>
    <w:rsid w:val="00D2750A"/>
    <w:rsid w:val="00D27763"/>
    <w:rsid w:val="00D306A9"/>
    <w:rsid w:val="00D313E0"/>
    <w:rsid w:val="00D31731"/>
    <w:rsid w:val="00D319C9"/>
    <w:rsid w:val="00D33489"/>
    <w:rsid w:val="00D36733"/>
    <w:rsid w:val="00D37BD6"/>
    <w:rsid w:val="00D41508"/>
    <w:rsid w:val="00D461A6"/>
    <w:rsid w:val="00D46C61"/>
    <w:rsid w:val="00D471B5"/>
    <w:rsid w:val="00D5253F"/>
    <w:rsid w:val="00D52D91"/>
    <w:rsid w:val="00D53948"/>
    <w:rsid w:val="00D53D0B"/>
    <w:rsid w:val="00D542AB"/>
    <w:rsid w:val="00D54846"/>
    <w:rsid w:val="00D55087"/>
    <w:rsid w:val="00D551C9"/>
    <w:rsid w:val="00D571DB"/>
    <w:rsid w:val="00D57C54"/>
    <w:rsid w:val="00D60223"/>
    <w:rsid w:val="00D61F30"/>
    <w:rsid w:val="00D62FEE"/>
    <w:rsid w:val="00D64E81"/>
    <w:rsid w:val="00D64F21"/>
    <w:rsid w:val="00D669B8"/>
    <w:rsid w:val="00D67245"/>
    <w:rsid w:val="00D72B6E"/>
    <w:rsid w:val="00D73804"/>
    <w:rsid w:val="00D73ABB"/>
    <w:rsid w:val="00D74426"/>
    <w:rsid w:val="00D74A26"/>
    <w:rsid w:val="00D75D82"/>
    <w:rsid w:val="00D760CA"/>
    <w:rsid w:val="00D762E4"/>
    <w:rsid w:val="00D77B1E"/>
    <w:rsid w:val="00D77C1B"/>
    <w:rsid w:val="00D805E3"/>
    <w:rsid w:val="00D808A4"/>
    <w:rsid w:val="00D80EB9"/>
    <w:rsid w:val="00D82AA1"/>
    <w:rsid w:val="00D83530"/>
    <w:rsid w:val="00D83571"/>
    <w:rsid w:val="00D84489"/>
    <w:rsid w:val="00D84DF6"/>
    <w:rsid w:val="00D85254"/>
    <w:rsid w:val="00D8531B"/>
    <w:rsid w:val="00D858E1"/>
    <w:rsid w:val="00D87929"/>
    <w:rsid w:val="00D8794D"/>
    <w:rsid w:val="00D90BC0"/>
    <w:rsid w:val="00D9300C"/>
    <w:rsid w:val="00D94A25"/>
    <w:rsid w:val="00D95B19"/>
    <w:rsid w:val="00D97A3C"/>
    <w:rsid w:val="00D97AD8"/>
    <w:rsid w:val="00DA0D0F"/>
    <w:rsid w:val="00DA1A50"/>
    <w:rsid w:val="00DA1E95"/>
    <w:rsid w:val="00DA1F95"/>
    <w:rsid w:val="00DA25D7"/>
    <w:rsid w:val="00DA4815"/>
    <w:rsid w:val="00DA4C6F"/>
    <w:rsid w:val="00DA6198"/>
    <w:rsid w:val="00DA64CB"/>
    <w:rsid w:val="00DA70DA"/>
    <w:rsid w:val="00DA7E4E"/>
    <w:rsid w:val="00DB04F0"/>
    <w:rsid w:val="00DB055F"/>
    <w:rsid w:val="00DB0D76"/>
    <w:rsid w:val="00DB0F83"/>
    <w:rsid w:val="00DB16EE"/>
    <w:rsid w:val="00DB1A5A"/>
    <w:rsid w:val="00DB2503"/>
    <w:rsid w:val="00DB28F5"/>
    <w:rsid w:val="00DB2B22"/>
    <w:rsid w:val="00DB48C7"/>
    <w:rsid w:val="00DB54F8"/>
    <w:rsid w:val="00DB596E"/>
    <w:rsid w:val="00DB64A9"/>
    <w:rsid w:val="00DB67E4"/>
    <w:rsid w:val="00DB6981"/>
    <w:rsid w:val="00DB7360"/>
    <w:rsid w:val="00DB7A5B"/>
    <w:rsid w:val="00DC03D3"/>
    <w:rsid w:val="00DC09BA"/>
    <w:rsid w:val="00DC11CF"/>
    <w:rsid w:val="00DC1B50"/>
    <w:rsid w:val="00DC2EB9"/>
    <w:rsid w:val="00DC2EC3"/>
    <w:rsid w:val="00DC3DB4"/>
    <w:rsid w:val="00DC481B"/>
    <w:rsid w:val="00DC57F9"/>
    <w:rsid w:val="00DC6D50"/>
    <w:rsid w:val="00DD0A19"/>
    <w:rsid w:val="00DD15CC"/>
    <w:rsid w:val="00DD1AFC"/>
    <w:rsid w:val="00DD2D02"/>
    <w:rsid w:val="00DD3455"/>
    <w:rsid w:val="00DD4774"/>
    <w:rsid w:val="00DE205F"/>
    <w:rsid w:val="00DE2D0E"/>
    <w:rsid w:val="00DE43F6"/>
    <w:rsid w:val="00DE4731"/>
    <w:rsid w:val="00DE4EF5"/>
    <w:rsid w:val="00DE5BB1"/>
    <w:rsid w:val="00DE606A"/>
    <w:rsid w:val="00DE675E"/>
    <w:rsid w:val="00DE6909"/>
    <w:rsid w:val="00DE6AE5"/>
    <w:rsid w:val="00DE713C"/>
    <w:rsid w:val="00DE7786"/>
    <w:rsid w:val="00DF1ACB"/>
    <w:rsid w:val="00DF261E"/>
    <w:rsid w:val="00DF2804"/>
    <w:rsid w:val="00DF2CD2"/>
    <w:rsid w:val="00DF3A98"/>
    <w:rsid w:val="00DF4400"/>
    <w:rsid w:val="00DF470B"/>
    <w:rsid w:val="00DF4D38"/>
    <w:rsid w:val="00DF4FFD"/>
    <w:rsid w:val="00DF555D"/>
    <w:rsid w:val="00DF5881"/>
    <w:rsid w:val="00DF5CE1"/>
    <w:rsid w:val="00DF6EA6"/>
    <w:rsid w:val="00DF7528"/>
    <w:rsid w:val="00DF7796"/>
    <w:rsid w:val="00DF7837"/>
    <w:rsid w:val="00DF7D6E"/>
    <w:rsid w:val="00E03031"/>
    <w:rsid w:val="00E041FD"/>
    <w:rsid w:val="00E04797"/>
    <w:rsid w:val="00E04D7B"/>
    <w:rsid w:val="00E05BAE"/>
    <w:rsid w:val="00E075A6"/>
    <w:rsid w:val="00E10687"/>
    <w:rsid w:val="00E10AA5"/>
    <w:rsid w:val="00E12038"/>
    <w:rsid w:val="00E123A9"/>
    <w:rsid w:val="00E12AC3"/>
    <w:rsid w:val="00E1365B"/>
    <w:rsid w:val="00E2026D"/>
    <w:rsid w:val="00E214B3"/>
    <w:rsid w:val="00E242C2"/>
    <w:rsid w:val="00E256ED"/>
    <w:rsid w:val="00E25BEC"/>
    <w:rsid w:val="00E26006"/>
    <w:rsid w:val="00E277A5"/>
    <w:rsid w:val="00E30334"/>
    <w:rsid w:val="00E31756"/>
    <w:rsid w:val="00E31EAD"/>
    <w:rsid w:val="00E3226C"/>
    <w:rsid w:val="00E33869"/>
    <w:rsid w:val="00E347BE"/>
    <w:rsid w:val="00E34A76"/>
    <w:rsid w:val="00E34AC7"/>
    <w:rsid w:val="00E36029"/>
    <w:rsid w:val="00E36810"/>
    <w:rsid w:val="00E36904"/>
    <w:rsid w:val="00E371ED"/>
    <w:rsid w:val="00E40346"/>
    <w:rsid w:val="00E40916"/>
    <w:rsid w:val="00E410D9"/>
    <w:rsid w:val="00E41186"/>
    <w:rsid w:val="00E42511"/>
    <w:rsid w:val="00E42B67"/>
    <w:rsid w:val="00E42DDC"/>
    <w:rsid w:val="00E43758"/>
    <w:rsid w:val="00E44445"/>
    <w:rsid w:val="00E453CD"/>
    <w:rsid w:val="00E4587D"/>
    <w:rsid w:val="00E46115"/>
    <w:rsid w:val="00E47400"/>
    <w:rsid w:val="00E47690"/>
    <w:rsid w:val="00E50D46"/>
    <w:rsid w:val="00E51423"/>
    <w:rsid w:val="00E517E4"/>
    <w:rsid w:val="00E51A62"/>
    <w:rsid w:val="00E51D5A"/>
    <w:rsid w:val="00E520D8"/>
    <w:rsid w:val="00E527C6"/>
    <w:rsid w:val="00E54A35"/>
    <w:rsid w:val="00E556CD"/>
    <w:rsid w:val="00E55B3A"/>
    <w:rsid w:val="00E568AB"/>
    <w:rsid w:val="00E56DAC"/>
    <w:rsid w:val="00E5752D"/>
    <w:rsid w:val="00E57C27"/>
    <w:rsid w:val="00E60315"/>
    <w:rsid w:val="00E60955"/>
    <w:rsid w:val="00E6235B"/>
    <w:rsid w:val="00E6283D"/>
    <w:rsid w:val="00E6456A"/>
    <w:rsid w:val="00E64FFD"/>
    <w:rsid w:val="00E64FFE"/>
    <w:rsid w:val="00E664D6"/>
    <w:rsid w:val="00E66DC6"/>
    <w:rsid w:val="00E7226C"/>
    <w:rsid w:val="00E744DF"/>
    <w:rsid w:val="00E74A33"/>
    <w:rsid w:val="00E74D07"/>
    <w:rsid w:val="00E755C8"/>
    <w:rsid w:val="00E76C94"/>
    <w:rsid w:val="00E773C4"/>
    <w:rsid w:val="00E809CA"/>
    <w:rsid w:val="00E80AEF"/>
    <w:rsid w:val="00E81024"/>
    <w:rsid w:val="00E81C67"/>
    <w:rsid w:val="00E82F93"/>
    <w:rsid w:val="00E83962"/>
    <w:rsid w:val="00E83A0A"/>
    <w:rsid w:val="00E84E23"/>
    <w:rsid w:val="00E87251"/>
    <w:rsid w:val="00E926E1"/>
    <w:rsid w:val="00E92999"/>
    <w:rsid w:val="00E94460"/>
    <w:rsid w:val="00E94C36"/>
    <w:rsid w:val="00E94C3E"/>
    <w:rsid w:val="00E95BCD"/>
    <w:rsid w:val="00E96BA9"/>
    <w:rsid w:val="00E97EC3"/>
    <w:rsid w:val="00EA00FA"/>
    <w:rsid w:val="00EA03C6"/>
    <w:rsid w:val="00EA0B33"/>
    <w:rsid w:val="00EA160D"/>
    <w:rsid w:val="00EA2559"/>
    <w:rsid w:val="00EA39DB"/>
    <w:rsid w:val="00EA4A50"/>
    <w:rsid w:val="00EA754B"/>
    <w:rsid w:val="00EA7804"/>
    <w:rsid w:val="00EB0402"/>
    <w:rsid w:val="00EB084E"/>
    <w:rsid w:val="00EB131A"/>
    <w:rsid w:val="00EB226D"/>
    <w:rsid w:val="00EB247C"/>
    <w:rsid w:val="00EB26B3"/>
    <w:rsid w:val="00EB273F"/>
    <w:rsid w:val="00EB2985"/>
    <w:rsid w:val="00EB3533"/>
    <w:rsid w:val="00EB41A2"/>
    <w:rsid w:val="00EB4618"/>
    <w:rsid w:val="00EB4741"/>
    <w:rsid w:val="00EB52F0"/>
    <w:rsid w:val="00EB57EB"/>
    <w:rsid w:val="00EB5CD8"/>
    <w:rsid w:val="00EB6B19"/>
    <w:rsid w:val="00EB6C30"/>
    <w:rsid w:val="00EC1D6B"/>
    <w:rsid w:val="00EC1F58"/>
    <w:rsid w:val="00EC7C86"/>
    <w:rsid w:val="00ED0A3A"/>
    <w:rsid w:val="00ED0B54"/>
    <w:rsid w:val="00ED2382"/>
    <w:rsid w:val="00ED24FE"/>
    <w:rsid w:val="00ED3257"/>
    <w:rsid w:val="00ED3899"/>
    <w:rsid w:val="00ED4CFD"/>
    <w:rsid w:val="00ED60C4"/>
    <w:rsid w:val="00ED776F"/>
    <w:rsid w:val="00EE21F3"/>
    <w:rsid w:val="00EE2419"/>
    <w:rsid w:val="00EE2561"/>
    <w:rsid w:val="00EE25B1"/>
    <w:rsid w:val="00EE4E0F"/>
    <w:rsid w:val="00EE54FC"/>
    <w:rsid w:val="00EE63A6"/>
    <w:rsid w:val="00EE70B5"/>
    <w:rsid w:val="00EE7554"/>
    <w:rsid w:val="00EE7935"/>
    <w:rsid w:val="00EF19A3"/>
    <w:rsid w:val="00EF1FBB"/>
    <w:rsid w:val="00EF2B24"/>
    <w:rsid w:val="00EF536B"/>
    <w:rsid w:val="00EF65FB"/>
    <w:rsid w:val="00EF69F3"/>
    <w:rsid w:val="00EF783C"/>
    <w:rsid w:val="00EF7B7B"/>
    <w:rsid w:val="00F00265"/>
    <w:rsid w:val="00F012BE"/>
    <w:rsid w:val="00F01B3A"/>
    <w:rsid w:val="00F02124"/>
    <w:rsid w:val="00F0702E"/>
    <w:rsid w:val="00F0736A"/>
    <w:rsid w:val="00F1064D"/>
    <w:rsid w:val="00F11D4B"/>
    <w:rsid w:val="00F1283B"/>
    <w:rsid w:val="00F13693"/>
    <w:rsid w:val="00F15231"/>
    <w:rsid w:val="00F155A4"/>
    <w:rsid w:val="00F15AAE"/>
    <w:rsid w:val="00F1687F"/>
    <w:rsid w:val="00F170BE"/>
    <w:rsid w:val="00F2072D"/>
    <w:rsid w:val="00F207C6"/>
    <w:rsid w:val="00F21458"/>
    <w:rsid w:val="00F21DA8"/>
    <w:rsid w:val="00F24374"/>
    <w:rsid w:val="00F24CF0"/>
    <w:rsid w:val="00F25025"/>
    <w:rsid w:val="00F25590"/>
    <w:rsid w:val="00F25D74"/>
    <w:rsid w:val="00F26A72"/>
    <w:rsid w:val="00F31B4A"/>
    <w:rsid w:val="00F328D0"/>
    <w:rsid w:val="00F33DC0"/>
    <w:rsid w:val="00F3665A"/>
    <w:rsid w:val="00F373D9"/>
    <w:rsid w:val="00F37911"/>
    <w:rsid w:val="00F37FA0"/>
    <w:rsid w:val="00F40BB6"/>
    <w:rsid w:val="00F40DD8"/>
    <w:rsid w:val="00F41638"/>
    <w:rsid w:val="00F4232F"/>
    <w:rsid w:val="00F42B48"/>
    <w:rsid w:val="00F43E4B"/>
    <w:rsid w:val="00F4496C"/>
    <w:rsid w:val="00F44E3B"/>
    <w:rsid w:val="00F44F76"/>
    <w:rsid w:val="00F4531F"/>
    <w:rsid w:val="00F45562"/>
    <w:rsid w:val="00F51150"/>
    <w:rsid w:val="00F5172F"/>
    <w:rsid w:val="00F52014"/>
    <w:rsid w:val="00F522A8"/>
    <w:rsid w:val="00F552E2"/>
    <w:rsid w:val="00F55FA3"/>
    <w:rsid w:val="00F56005"/>
    <w:rsid w:val="00F573B5"/>
    <w:rsid w:val="00F5780E"/>
    <w:rsid w:val="00F603E4"/>
    <w:rsid w:val="00F6085F"/>
    <w:rsid w:val="00F61B42"/>
    <w:rsid w:val="00F6292E"/>
    <w:rsid w:val="00F62A35"/>
    <w:rsid w:val="00F641E7"/>
    <w:rsid w:val="00F6427E"/>
    <w:rsid w:val="00F64286"/>
    <w:rsid w:val="00F64382"/>
    <w:rsid w:val="00F655F6"/>
    <w:rsid w:val="00F663B6"/>
    <w:rsid w:val="00F67BD0"/>
    <w:rsid w:val="00F70760"/>
    <w:rsid w:val="00F72B42"/>
    <w:rsid w:val="00F72D5D"/>
    <w:rsid w:val="00F743F1"/>
    <w:rsid w:val="00F74BF4"/>
    <w:rsid w:val="00F754E2"/>
    <w:rsid w:val="00F755F1"/>
    <w:rsid w:val="00F75686"/>
    <w:rsid w:val="00F7570D"/>
    <w:rsid w:val="00F809AB"/>
    <w:rsid w:val="00F8114A"/>
    <w:rsid w:val="00F83F71"/>
    <w:rsid w:val="00F84061"/>
    <w:rsid w:val="00F859B7"/>
    <w:rsid w:val="00F85B1A"/>
    <w:rsid w:val="00F864A9"/>
    <w:rsid w:val="00F86918"/>
    <w:rsid w:val="00F86A41"/>
    <w:rsid w:val="00F8785E"/>
    <w:rsid w:val="00F9146A"/>
    <w:rsid w:val="00F9340B"/>
    <w:rsid w:val="00F93455"/>
    <w:rsid w:val="00F93789"/>
    <w:rsid w:val="00F93A35"/>
    <w:rsid w:val="00F93B44"/>
    <w:rsid w:val="00F948A6"/>
    <w:rsid w:val="00F96254"/>
    <w:rsid w:val="00F96DBF"/>
    <w:rsid w:val="00F972E5"/>
    <w:rsid w:val="00F97EA5"/>
    <w:rsid w:val="00FA0E70"/>
    <w:rsid w:val="00FA2127"/>
    <w:rsid w:val="00FA2412"/>
    <w:rsid w:val="00FA414B"/>
    <w:rsid w:val="00FA4651"/>
    <w:rsid w:val="00FA4E6B"/>
    <w:rsid w:val="00FA5767"/>
    <w:rsid w:val="00FA70A2"/>
    <w:rsid w:val="00FB12D3"/>
    <w:rsid w:val="00FB13A6"/>
    <w:rsid w:val="00FB4564"/>
    <w:rsid w:val="00FB500C"/>
    <w:rsid w:val="00FB7618"/>
    <w:rsid w:val="00FC0B06"/>
    <w:rsid w:val="00FC13AB"/>
    <w:rsid w:val="00FC1C44"/>
    <w:rsid w:val="00FC1DB3"/>
    <w:rsid w:val="00FC2647"/>
    <w:rsid w:val="00FC49D1"/>
    <w:rsid w:val="00FC5F75"/>
    <w:rsid w:val="00FC774F"/>
    <w:rsid w:val="00FD0D61"/>
    <w:rsid w:val="00FD30E6"/>
    <w:rsid w:val="00FD5D31"/>
    <w:rsid w:val="00FD688F"/>
    <w:rsid w:val="00FD69E0"/>
    <w:rsid w:val="00FD70DE"/>
    <w:rsid w:val="00FD797E"/>
    <w:rsid w:val="00FD79CB"/>
    <w:rsid w:val="00FD7EB8"/>
    <w:rsid w:val="00FE05CF"/>
    <w:rsid w:val="00FE2BA3"/>
    <w:rsid w:val="00FE2F1D"/>
    <w:rsid w:val="00FE2FBC"/>
    <w:rsid w:val="00FE3B4A"/>
    <w:rsid w:val="00FE4F7F"/>
    <w:rsid w:val="00FE693F"/>
    <w:rsid w:val="00FE6DED"/>
    <w:rsid w:val="00FE78C4"/>
    <w:rsid w:val="00FF0936"/>
    <w:rsid w:val="00FF1150"/>
    <w:rsid w:val="00FF2EF0"/>
    <w:rsid w:val="00FF5A0D"/>
    <w:rsid w:val="00FF5AE6"/>
    <w:rsid w:val="05BBC89D"/>
    <w:rsid w:val="1277BA5B"/>
    <w:rsid w:val="28064930"/>
    <w:rsid w:val="29A68F95"/>
    <w:rsid w:val="30997662"/>
    <w:rsid w:val="3367A56D"/>
    <w:rsid w:val="34B0D8B7"/>
    <w:rsid w:val="357EC677"/>
    <w:rsid w:val="3C50EB2C"/>
    <w:rsid w:val="3D5026E7"/>
    <w:rsid w:val="3DD11EDA"/>
    <w:rsid w:val="45030EF0"/>
    <w:rsid w:val="4765C422"/>
    <w:rsid w:val="510FFA96"/>
    <w:rsid w:val="5657B1BC"/>
    <w:rsid w:val="7486306B"/>
    <w:rsid w:val="762E7FD1"/>
    <w:rsid w:val="7E3A2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33913A"/>
  <w15:chartTrackingRefBased/>
  <w15:docId w15:val="{116C7657-266F-49FF-A07F-FE6E861CC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14918"/>
    <w:rPr>
      <w:rFonts w:ascii="Verdana" w:hAnsi="Verdana"/>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uiPriority w:val="39"/>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0B3C4C"/>
    <w:rPr>
      <w:b/>
      <w:bCs/>
    </w:rPr>
  </w:style>
  <w:style w:type="paragraph" w:styleId="Header">
    <w:name w:val="header"/>
    <w:basedOn w:val="Normal"/>
    <w:link w:val="HeaderChar"/>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DocumentMap">
    <w:name w:val="Document Map"/>
    <w:basedOn w:val="Normal"/>
    <w:semiHidden/>
    <w:rsid w:val="000C311D"/>
    <w:pPr>
      <w:shd w:val="clear" w:color="auto" w:fill="000080"/>
    </w:pPr>
    <w:rPr>
      <w:rFonts w:ascii="Tahoma" w:hAnsi="Tahoma" w:cs="Tahoma"/>
      <w:sz w:val="20"/>
      <w:szCs w:val="20"/>
    </w:rPr>
  </w:style>
  <w:style w:type="paragraph" w:customStyle="1" w:styleId="BodyLevel1">
    <w:name w:val="BodyLevel1"/>
    <w:basedOn w:val="Normal"/>
    <w:link w:val="BodyLevel1Char"/>
    <w:rsid w:val="005935B8"/>
    <w:pPr>
      <w:overflowPunct w:val="0"/>
      <w:autoSpaceDE w:val="0"/>
      <w:autoSpaceDN w:val="0"/>
      <w:adjustRightInd w:val="0"/>
      <w:spacing w:before="160"/>
      <w:ind w:left="360"/>
      <w:textAlignment w:val="baseline"/>
    </w:pPr>
    <w:rPr>
      <w:rFonts w:ascii="Arial" w:hAnsi="Arial"/>
      <w:color w:val="000000"/>
      <w:sz w:val="22"/>
      <w:szCs w:val="20"/>
    </w:rPr>
  </w:style>
  <w:style w:type="character" w:customStyle="1" w:styleId="BodyLevel1Char">
    <w:name w:val="BodyLevel1 Char"/>
    <w:link w:val="BodyLevel1"/>
    <w:rsid w:val="005935B8"/>
    <w:rPr>
      <w:rFonts w:ascii="Arial" w:hAnsi="Arial"/>
      <w:color w:val="000000"/>
      <w:sz w:val="22"/>
      <w:lang w:val="en-US" w:eastAsia="en-US" w:bidi="ar-SA"/>
    </w:rPr>
  </w:style>
  <w:style w:type="paragraph" w:styleId="NormalWeb">
    <w:name w:val="Normal (Web)"/>
    <w:basedOn w:val="Normal"/>
    <w:uiPriority w:val="99"/>
    <w:rsid w:val="0057499A"/>
    <w:pPr>
      <w:spacing w:after="100" w:afterAutospacing="1"/>
    </w:pPr>
    <w:rPr>
      <w:rFonts w:ascii="Arial Unicode MS" w:eastAsia="Arial Unicode MS" w:hAnsi="Arial Unicode MS" w:cs="Arial Unicode MS"/>
    </w:rPr>
  </w:style>
  <w:style w:type="character" w:customStyle="1" w:styleId="bodybold1">
    <w:name w:val="bodybold1"/>
    <w:rsid w:val="006206BF"/>
    <w:rPr>
      <w:b/>
      <w:bCs/>
    </w:rPr>
  </w:style>
  <w:style w:type="paragraph" w:customStyle="1" w:styleId="BulletText1">
    <w:name w:val="Bullet Text 1"/>
    <w:basedOn w:val="Normal"/>
    <w:rsid w:val="00F170BE"/>
    <w:pPr>
      <w:numPr>
        <w:numId w:val="2"/>
      </w:numPr>
      <w:tabs>
        <w:tab w:val="left" w:pos="187"/>
      </w:tabs>
    </w:pPr>
    <w:rPr>
      <w:szCs w:val="20"/>
    </w:rPr>
  </w:style>
  <w:style w:type="paragraph" w:customStyle="1" w:styleId="BulletLevel1">
    <w:name w:val="BulletLevel1"/>
    <w:basedOn w:val="Normal"/>
    <w:rsid w:val="00F170BE"/>
    <w:pPr>
      <w:keepNext/>
      <w:numPr>
        <w:numId w:val="1"/>
      </w:numPr>
      <w:tabs>
        <w:tab w:val="left" w:pos="720"/>
        <w:tab w:val="left" w:pos="1008"/>
      </w:tabs>
      <w:overflowPunct w:val="0"/>
      <w:autoSpaceDE w:val="0"/>
      <w:autoSpaceDN w:val="0"/>
      <w:adjustRightInd w:val="0"/>
      <w:spacing w:before="120"/>
      <w:ind w:right="288"/>
      <w:textAlignment w:val="baseline"/>
    </w:pPr>
    <w:rPr>
      <w:rFonts w:ascii="Arial" w:hAnsi="Arial"/>
      <w:color w:val="000000"/>
      <w:sz w:val="22"/>
      <w:szCs w:val="20"/>
    </w:rPr>
  </w:style>
  <w:style w:type="paragraph" w:styleId="BodyTextIndent">
    <w:name w:val="Body Text Indent"/>
    <w:basedOn w:val="Normal"/>
    <w:rsid w:val="00F13693"/>
    <w:pPr>
      <w:ind w:left="2070" w:hanging="2070"/>
    </w:pPr>
    <w:rPr>
      <w:rFonts w:ascii="Arial" w:hAnsi="Arial"/>
      <w:szCs w:val="20"/>
    </w:rPr>
  </w:style>
  <w:style w:type="paragraph" w:customStyle="1" w:styleId="Default">
    <w:name w:val="Default"/>
    <w:rsid w:val="00F44E3B"/>
    <w:pPr>
      <w:widowControl w:val="0"/>
      <w:autoSpaceDE w:val="0"/>
      <w:autoSpaceDN w:val="0"/>
      <w:adjustRightInd w:val="0"/>
    </w:pPr>
    <w:rPr>
      <w:color w:val="000000"/>
      <w:sz w:val="24"/>
      <w:szCs w:val="24"/>
    </w:rPr>
  </w:style>
  <w:style w:type="paragraph" w:styleId="BalloonText">
    <w:name w:val="Balloon Text"/>
    <w:basedOn w:val="Normal"/>
    <w:semiHidden/>
    <w:rsid w:val="00A47CB1"/>
    <w:rPr>
      <w:rFonts w:ascii="Tahoma" w:hAnsi="Tahoma" w:cs="Tahoma"/>
      <w:sz w:val="16"/>
      <w:szCs w:val="16"/>
    </w:rPr>
  </w:style>
  <w:style w:type="character" w:styleId="Emphasis">
    <w:name w:val="Emphasis"/>
    <w:uiPriority w:val="20"/>
    <w:qFormat/>
    <w:rsid w:val="009B3EDF"/>
    <w:rPr>
      <w:b/>
      <w:bCs/>
      <w:i w:val="0"/>
      <w:iCs w:val="0"/>
    </w:rPr>
  </w:style>
  <w:style w:type="paragraph" w:styleId="PlainText">
    <w:name w:val="Plain Text"/>
    <w:basedOn w:val="Normal"/>
    <w:link w:val="PlainTextChar"/>
    <w:uiPriority w:val="99"/>
    <w:unhideWhenUsed/>
    <w:rsid w:val="00B56A3F"/>
    <w:rPr>
      <w:rFonts w:ascii="Consolas" w:eastAsia="Calibri" w:hAnsi="Consolas"/>
      <w:sz w:val="21"/>
      <w:szCs w:val="21"/>
      <w:lang w:val="x-none" w:eastAsia="x-none"/>
    </w:rPr>
  </w:style>
  <w:style w:type="character" w:customStyle="1" w:styleId="PlainTextChar">
    <w:name w:val="Plain Text Char"/>
    <w:link w:val="PlainText"/>
    <w:uiPriority w:val="99"/>
    <w:rsid w:val="00B56A3F"/>
    <w:rPr>
      <w:rFonts w:ascii="Consolas" w:eastAsia="Calibri" w:hAnsi="Consolas" w:cs="Times New Roman"/>
      <w:sz w:val="21"/>
      <w:szCs w:val="21"/>
    </w:rPr>
  </w:style>
  <w:style w:type="paragraph" w:styleId="Revision">
    <w:name w:val="Revision"/>
    <w:hidden/>
    <w:uiPriority w:val="99"/>
    <w:semiHidden/>
    <w:rsid w:val="00D21E42"/>
    <w:rPr>
      <w:sz w:val="24"/>
      <w:szCs w:val="24"/>
    </w:rPr>
  </w:style>
  <w:style w:type="character" w:styleId="CommentReference">
    <w:name w:val="annotation reference"/>
    <w:rsid w:val="007A7A36"/>
    <w:rPr>
      <w:sz w:val="16"/>
      <w:szCs w:val="16"/>
    </w:rPr>
  </w:style>
  <w:style w:type="paragraph" w:styleId="CommentText">
    <w:name w:val="annotation text"/>
    <w:basedOn w:val="Normal"/>
    <w:link w:val="CommentTextChar"/>
    <w:rsid w:val="007A7A36"/>
    <w:rPr>
      <w:sz w:val="20"/>
      <w:szCs w:val="20"/>
    </w:rPr>
  </w:style>
  <w:style w:type="character" w:customStyle="1" w:styleId="CommentTextChar">
    <w:name w:val="Comment Text Char"/>
    <w:basedOn w:val="DefaultParagraphFont"/>
    <w:link w:val="CommentText"/>
    <w:rsid w:val="007A7A36"/>
  </w:style>
  <w:style w:type="paragraph" w:styleId="CommentSubject">
    <w:name w:val="annotation subject"/>
    <w:basedOn w:val="CommentText"/>
    <w:next w:val="CommentText"/>
    <w:link w:val="CommentSubjectChar"/>
    <w:rsid w:val="007A7A36"/>
    <w:rPr>
      <w:b/>
      <w:bCs/>
      <w:lang w:val="x-none" w:eastAsia="x-none"/>
    </w:rPr>
  </w:style>
  <w:style w:type="character" w:customStyle="1" w:styleId="CommentSubjectChar">
    <w:name w:val="Comment Subject Char"/>
    <w:link w:val="CommentSubject"/>
    <w:rsid w:val="007A7A36"/>
    <w:rPr>
      <w:b/>
      <w:bCs/>
    </w:rPr>
  </w:style>
  <w:style w:type="paragraph" w:styleId="HTMLPreformatted">
    <w:name w:val="HTML Preformatted"/>
    <w:basedOn w:val="Normal"/>
    <w:link w:val="HTMLPreformattedChar"/>
    <w:uiPriority w:val="99"/>
    <w:unhideWhenUsed/>
    <w:rsid w:val="0034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sz w:val="20"/>
      <w:szCs w:val="20"/>
      <w:lang w:val="x-none" w:eastAsia="x-none"/>
    </w:rPr>
  </w:style>
  <w:style w:type="character" w:customStyle="1" w:styleId="HTMLPreformattedChar">
    <w:name w:val="HTML Preformatted Char"/>
    <w:link w:val="HTMLPreformatted"/>
    <w:uiPriority w:val="99"/>
    <w:rsid w:val="00346AAA"/>
    <w:rPr>
      <w:rFonts w:ascii="Courier New" w:eastAsia="Calibri" w:hAnsi="Courier New" w:cs="Courier New"/>
    </w:rPr>
  </w:style>
  <w:style w:type="character" w:customStyle="1" w:styleId="st1">
    <w:name w:val="st1"/>
    <w:rsid w:val="007711BA"/>
    <w:rPr>
      <w:rFonts w:ascii="Times New Roman" w:hAnsi="Times New Roman" w:cs="Times New Roman" w:hint="default"/>
    </w:rPr>
  </w:style>
  <w:style w:type="paragraph" w:customStyle="1" w:styleId="Dotbullet">
    <w:name w:val="Dot bullet"/>
    <w:basedOn w:val="Normal"/>
    <w:rsid w:val="00BF39F0"/>
    <w:pPr>
      <w:widowControl w:val="0"/>
      <w:numPr>
        <w:numId w:val="43"/>
      </w:numPr>
      <w:tabs>
        <w:tab w:val="clear" w:pos="360"/>
        <w:tab w:val="num" w:pos="720"/>
      </w:tabs>
      <w:ind w:left="720"/>
    </w:pPr>
    <w:rPr>
      <w:szCs w:val="20"/>
    </w:rPr>
  </w:style>
  <w:style w:type="paragraph" w:styleId="ListParagraph">
    <w:name w:val="List Paragraph"/>
    <w:basedOn w:val="Normal"/>
    <w:uiPriority w:val="34"/>
    <w:qFormat/>
    <w:rsid w:val="00B535CF"/>
    <w:pPr>
      <w:ind w:left="720"/>
      <w:contextualSpacing/>
    </w:pPr>
    <w:rPr>
      <w:rFonts w:ascii="Calibri" w:eastAsia="Calibri" w:hAnsi="Calibri"/>
      <w:sz w:val="22"/>
      <w:szCs w:val="22"/>
    </w:rPr>
  </w:style>
  <w:style w:type="character" w:customStyle="1" w:styleId="HeaderChar">
    <w:name w:val="Header Char"/>
    <w:link w:val="Header"/>
    <w:rsid w:val="0091309E"/>
    <w:rPr>
      <w:sz w:val="24"/>
      <w:szCs w:val="24"/>
    </w:rPr>
  </w:style>
  <w:style w:type="paragraph" w:customStyle="1" w:styleId="BulletText2">
    <w:name w:val="Bullet Text 2"/>
    <w:basedOn w:val="Normal"/>
    <w:rsid w:val="00EA39DB"/>
    <w:pPr>
      <w:numPr>
        <w:numId w:val="105"/>
      </w:numPr>
    </w:pPr>
    <w:rPr>
      <w:color w:val="000000"/>
      <w:szCs w:val="20"/>
    </w:rPr>
  </w:style>
  <w:style w:type="paragraph" w:customStyle="1" w:styleId="cont">
    <w:name w:val="cont"/>
    <w:basedOn w:val="Normal"/>
    <w:rsid w:val="0043478C"/>
    <w:rPr>
      <w:rFonts w:ascii="Arial" w:hAnsi="Arial" w:cs="Arial"/>
      <w:color w:val="56595C"/>
      <w:sz w:val="21"/>
      <w:szCs w:val="21"/>
    </w:rPr>
  </w:style>
  <w:style w:type="character" w:styleId="UnresolvedMention">
    <w:name w:val="Unresolved Mention"/>
    <w:uiPriority w:val="99"/>
    <w:semiHidden/>
    <w:unhideWhenUsed/>
    <w:rsid w:val="002905FA"/>
    <w:rPr>
      <w:color w:val="605E5C"/>
      <w:shd w:val="clear" w:color="auto" w:fill="E1DFDD"/>
    </w:rPr>
  </w:style>
  <w:style w:type="numbering" w:customStyle="1" w:styleId="NoList1">
    <w:name w:val="No List1"/>
    <w:next w:val="NoList"/>
    <w:uiPriority w:val="99"/>
    <w:semiHidden/>
    <w:unhideWhenUsed/>
    <w:rsid w:val="00AC0980"/>
  </w:style>
  <w:style w:type="numbering" w:customStyle="1" w:styleId="NoList2">
    <w:name w:val="No List2"/>
    <w:next w:val="NoList"/>
    <w:uiPriority w:val="99"/>
    <w:semiHidden/>
    <w:unhideWhenUsed/>
    <w:rsid w:val="00345A43"/>
  </w:style>
  <w:style w:type="character" w:customStyle="1" w:styleId="glossarylink">
    <w:name w:val="glossarylink"/>
    <w:basedOn w:val="DefaultParagraphFont"/>
    <w:rsid w:val="00931D17"/>
  </w:style>
  <w:style w:type="character" w:customStyle="1" w:styleId="jpfdse">
    <w:name w:val="jpfdse"/>
    <w:basedOn w:val="DefaultParagraphFont"/>
    <w:rsid w:val="008B6486"/>
  </w:style>
  <w:style w:type="character" w:styleId="Mention">
    <w:name w:val="Mention"/>
    <w:basedOn w:val="DefaultParagraphFont"/>
    <w:uiPriority w:val="99"/>
    <w:unhideWhenUsed/>
    <w:rsid w:val="00D95B1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86887">
      <w:bodyDiv w:val="1"/>
      <w:marLeft w:val="0"/>
      <w:marRight w:val="0"/>
      <w:marTop w:val="0"/>
      <w:marBottom w:val="0"/>
      <w:divBdr>
        <w:top w:val="none" w:sz="0" w:space="0" w:color="auto"/>
        <w:left w:val="none" w:sz="0" w:space="0" w:color="auto"/>
        <w:bottom w:val="none" w:sz="0" w:space="0" w:color="auto"/>
        <w:right w:val="none" w:sz="0" w:space="0" w:color="auto"/>
      </w:divBdr>
    </w:div>
    <w:div w:id="38823455">
      <w:bodyDiv w:val="1"/>
      <w:marLeft w:val="0"/>
      <w:marRight w:val="0"/>
      <w:marTop w:val="0"/>
      <w:marBottom w:val="0"/>
      <w:divBdr>
        <w:top w:val="none" w:sz="0" w:space="0" w:color="auto"/>
        <w:left w:val="none" w:sz="0" w:space="0" w:color="auto"/>
        <w:bottom w:val="none" w:sz="0" w:space="0" w:color="auto"/>
        <w:right w:val="none" w:sz="0" w:space="0" w:color="auto"/>
      </w:divBdr>
    </w:div>
    <w:div w:id="41292399">
      <w:bodyDiv w:val="1"/>
      <w:marLeft w:val="0"/>
      <w:marRight w:val="0"/>
      <w:marTop w:val="0"/>
      <w:marBottom w:val="0"/>
      <w:divBdr>
        <w:top w:val="none" w:sz="0" w:space="0" w:color="auto"/>
        <w:left w:val="none" w:sz="0" w:space="0" w:color="auto"/>
        <w:bottom w:val="none" w:sz="0" w:space="0" w:color="auto"/>
        <w:right w:val="none" w:sz="0" w:space="0" w:color="auto"/>
      </w:divBdr>
    </w:div>
    <w:div w:id="47457662">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52430030">
      <w:bodyDiv w:val="1"/>
      <w:marLeft w:val="0"/>
      <w:marRight w:val="0"/>
      <w:marTop w:val="0"/>
      <w:marBottom w:val="0"/>
      <w:divBdr>
        <w:top w:val="none" w:sz="0" w:space="0" w:color="auto"/>
        <w:left w:val="none" w:sz="0" w:space="0" w:color="auto"/>
        <w:bottom w:val="none" w:sz="0" w:space="0" w:color="auto"/>
        <w:right w:val="none" w:sz="0" w:space="0" w:color="auto"/>
      </w:divBdr>
    </w:div>
    <w:div w:id="59719191">
      <w:bodyDiv w:val="1"/>
      <w:marLeft w:val="0"/>
      <w:marRight w:val="0"/>
      <w:marTop w:val="0"/>
      <w:marBottom w:val="0"/>
      <w:divBdr>
        <w:top w:val="none" w:sz="0" w:space="0" w:color="auto"/>
        <w:left w:val="none" w:sz="0" w:space="0" w:color="auto"/>
        <w:bottom w:val="none" w:sz="0" w:space="0" w:color="auto"/>
        <w:right w:val="none" w:sz="0" w:space="0" w:color="auto"/>
      </w:divBdr>
    </w:div>
    <w:div w:id="81344439">
      <w:bodyDiv w:val="1"/>
      <w:marLeft w:val="0"/>
      <w:marRight w:val="0"/>
      <w:marTop w:val="0"/>
      <w:marBottom w:val="0"/>
      <w:divBdr>
        <w:top w:val="none" w:sz="0" w:space="0" w:color="auto"/>
        <w:left w:val="none" w:sz="0" w:space="0" w:color="auto"/>
        <w:bottom w:val="none" w:sz="0" w:space="0" w:color="auto"/>
        <w:right w:val="none" w:sz="0" w:space="0" w:color="auto"/>
      </w:divBdr>
    </w:div>
    <w:div w:id="92752790">
      <w:bodyDiv w:val="1"/>
      <w:marLeft w:val="0"/>
      <w:marRight w:val="0"/>
      <w:marTop w:val="0"/>
      <w:marBottom w:val="0"/>
      <w:divBdr>
        <w:top w:val="none" w:sz="0" w:space="0" w:color="auto"/>
        <w:left w:val="none" w:sz="0" w:space="0" w:color="auto"/>
        <w:bottom w:val="none" w:sz="0" w:space="0" w:color="auto"/>
        <w:right w:val="none" w:sz="0" w:space="0" w:color="auto"/>
      </w:divBdr>
    </w:div>
    <w:div w:id="151413387">
      <w:bodyDiv w:val="1"/>
      <w:marLeft w:val="0"/>
      <w:marRight w:val="0"/>
      <w:marTop w:val="0"/>
      <w:marBottom w:val="0"/>
      <w:divBdr>
        <w:top w:val="none" w:sz="0" w:space="0" w:color="auto"/>
        <w:left w:val="none" w:sz="0" w:space="0" w:color="auto"/>
        <w:bottom w:val="none" w:sz="0" w:space="0" w:color="auto"/>
        <w:right w:val="none" w:sz="0" w:space="0" w:color="auto"/>
      </w:divBdr>
    </w:div>
    <w:div w:id="161774530">
      <w:bodyDiv w:val="1"/>
      <w:marLeft w:val="0"/>
      <w:marRight w:val="0"/>
      <w:marTop w:val="0"/>
      <w:marBottom w:val="0"/>
      <w:divBdr>
        <w:top w:val="none" w:sz="0" w:space="0" w:color="auto"/>
        <w:left w:val="none" w:sz="0" w:space="0" w:color="auto"/>
        <w:bottom w:val="none" w:sz="0" w:space="0" w:color="auto"/>
        <w:right w:val="none" w:sz="0" w:space="0" w:color="auto"/>
      </w:divBdr>
    </w:div>
    <w:div w:id="168102620">
      <w:bodyDiv w:val="1"/>
      <w:marLeft w:val="0"/>
      <w:marRight w:val="0"/>
      <w:marTop w:val="0"/>
      <w:marBottom w:val="0"/>
      <w:divBdr>
        <w:top w:val="none" w:sz="0" w:space="0" w:color="auto"/>
        <w:left w:val="none" w:sz="0" w:space="0" w:color="auto"/>
        <w:bottom w:val="none" w:sz="0" w:space="0" w:color="auto"/>
        <w:right w:val="none" w:sz="0" w:space="0" w:color="auto"/>
      </w:divBdr>
    </w:div>
    <w:div w:id="174346038">
      <w:bodyDiv w:val="1"/>
      <w:marLeft w:val="0"/>
      <w:marRight w:val="0"/>
      <w:marTop w:val="0"/>
      <w:marBottom w:val="0"/>
      <w:divBdr>
        <w:top w:val="none" w:sz="0" w:space="0" w:color="auto"/>
        <w:left w:val="none" w:sz="0" w:space="0" w:color="auto"/>
        <w:bottom w:val="none" w:sz="0" w:space="0" w:color="auto"/>
        <w:right w:val="none" w:sz="0" w:space="0" w:color="auto"/>
      </w:divBdr>
    </w:div>
    <w:div w:id="176044608">
      <w:bodyDiv w:val="1"/>
      <w:marLeft w:val="0"/>
      <w:marRight w:val="0"/>
      <w:marTop w:val="0"/>
      <w:marBottom w:val="0"/>
      <w:divBdr>
        <w:top w:val="none" w:sz="0" w:space="0" w:color="auto"/>
        <w:left w:val="none" w:sz="0" w:space="0" w:color="auto"/>
        <w:bottom w:val="none" w:sz="0" w:space="0" w:color="auto"/>
        <w:right w:val="none" w:sz="0" w:space="0" w:color="auto"/>
      </w:divBdr>
    </w:div>
    <w:div w:id="201403943">
      <w:bodyDiv w:val="1"/>
      <w:marLeft w:val="0"/>
      <w:marRight w:val="0"/>
      <w:marTop w:val="0"/>
      <w:marBottom w:val="0"/>
      <w:divBdr>
        <w:top w:val="none" w:sz="0" w:space="0" w:color="auto"/>
        <w:left w:val="none" w:sz="0" w:space="0" w:color="auto"/>
        <w:bottom w:val="none" w:sz="0" w:space="0" w:color="auto"/>
        <w:right w:val="none" w:sz="0" w:space="0" w:color="auto"/>
      </w:divBdr>
    </w:div>
    <w:div w:id="229656158">
      <w:bodyDiv w:val="1"/>
      <w:marLeft w:val="0"/>
      <w:marRight w:val="0"/>
      <w:marTop w:val="0"/>
      <w:marBottom w:val="0"/>
      <w:divBdr>
        <w:top w:val="none" w:sz="0" w:space="0" w:color="auto"/>
        <w:left w:val="none" w:sz="0" w:space="0" w:color="auto"/>
        <w:bottom w:val="none" w:sz="0" w:space="0" w:color="auto"/>
        <w:right w:val="none" w:sz="0" w:space="0" w:color="auto"/>
      </w:divBdr>
    </w:div>
    <w:div w:id="241911002">
      <w:bodyDiv w:val="1"/>
      <w:marLeft w:val="0"/>
      <w:marRight w:val="0"/>
      <w:marTop w:val="0"/>
      <w:marBottom w:val="0"/>
      <w:divBdr>
        <w:top w:val="none" w:sz="0" w:space="0" w:color="auto"/>
        <w:left w:val="none" w:sz="0" w:space="0" w:color="auto"/>
        <w:bottom w:val="none" w:sz="0" w:space="0" w:color="auto"/>
        <w:right w:val="none" w:sz="0" w:space="0" w:color="auto"/>
      </w:divBdr>
    </w:div>
    <w:div w:id="247808284">
      <w:bodyDiv w:val="1"/>
      <w:marLeft w:val="0"/>
      <w:marRight w:val="0"/>
      <w:marTop w:val="0"/>
      <w:marBottom w:val="0"/>
      <w:divBdr>
        <w:top w:val="none" w:sz="0" w:space="0" w:color="auto"/>
        <w:left w:val="none" w:sz="0" w:space="0" w:color="auto"/>
        <w:bottom w:val="none" w:sz="0" w:space="0" w:color="auto"/>
        <w:right w:val="none" w:sz="0" w:space="0" w:color="auto"/>
      </w:divBdr>
    </w:div>
    <w:div w:id="297032567">
      <w:bodyDiv w:val="1"/>
      <w:marLeft w:val="0"/>
      <w:marRight w:val="0"/>
      <w:marTop w:val="0"/>
      <w:marBottom w:val="0"/>
      <w:divBdr>
        <w:top w:val="none" w:sz="0" w:space="0" w:color="auto"/>
        <w:left w:val="none" w:sz="0" w:space="0" w:color="auto"/>
        <w:bottom w:val="none" w:sz="0" w:space="0" w:color="auto"/>
        <w:right w:val="none" w:sz="0" w:space="0" w:color="auto"/>
      </w:divBdr>
    </w:div>
    <w:div w:id="301352985">
      <w:bodyDiv w:val="1"/>
      <w:marLeft w:val="0"/>
      <w:marRight w:val="0"/>
      <w:marTop w:val="0"/>
      <w:marBottom w:val="0"/>
      <w:divBdr>
        <w:top w:val="none" w:sz="0" w:space="0" w:color="auto"/>
        <w:left w:val="none" w:sz="0" w:space="0" w:color="auto"/>
        <w:bottom w:val="none" w:sz="0" w:space="0" w:color="auto"/>
        <w:right w:val="none" w:sz="0" w:space="0" w:color="auto"/>
      </w:divBdr>
    </w:div>
    <w:div w:id="310333452">
      <w:bodyDiv w:val="1"/>
      <w:marLeft w:val="0"/>
      <w:marRight w:val="0"/>
      <w:marTop w:val="0"/>
      <w:marBottom w:val="0"/>
      <w:divBdr>
        <w:top w:val="none" w:sz="0" w:space="0" w:color="auto"/>
        <w:left w:val="none" w:sz="0" w:space="0" w:color="auto"/>
        <w:bottom w:val="none" w:sz="0" w:space="0" w:color="auto"/>
        <w:right w:val="none" w:sz="0" w:space="0" w:color="auto"/>
      </w:divBdr>
    </w:div>
    <w:div w:id="316805165">
      <w:bodyDiv w:val="1"/>
      <w:marLeft w:val="0"/>
      <w:marRight w:val="0"/>
      <w:marTop w:val="0"/>
      <w:marBottom w:val="0"/>
      <w:divBdr>
        <w:top w:val="none" w:sz="0" w:space="0" w:color="auto"/>
        <w:left w:val="none" w:sz="0" w:space="0" w:color="auto"/>
        <w:bottom w:val="none" w:sz="0" w:space="0" w:color="auto"/>
        <w:right w:val="none" w:sz="0" w:space="0" w:color="auto"/>
      </w:divBdr>
    </w:div>
    <w:div w:id="320280588">
      <w:bodyDiv w:val="1"/>
      <w:marLeft w:val="0"/>
      <w:marRight w:val="0"/>
      <w:marTop w:val="0"/>
      <w:marBottom w:val="0"/>
      <w:divBdr>
        <w:top w:val="none" w:sz="0" w:space="0" w:color="auto"/>
        <w:left w:val="none" w:sz="0" w:space="0" w:color="auto"/>
        <w:bottom w:val="none" w:sz="0" w:space="0" w:color="auto"/>
        <w:right w:val="none" w:sz="0" w:space="0" w:color="auto"/>
      </w:divBdr>
    </w:div>
    <w:div w:id="338772158">
      <w:bodyDiv w:val="1"/>
      <w:marLeft w:val="0"/>
      <w:marRight w:val="0"/>
      <w:marTop w:val="0"/>
      <w:marBottom w:val="0"/>
      <w:divBdr>
        <w:top w:val="none" w:sz="0" w:space="0" w:color="auto"/>
        <w:left w:val="none" w:sz="0" w:space="0" w:color="auto"/>
        <w:bottom w:val="none" w:sz="0" w:space="0" w:color="auto"/>
        <w:right w:val="none" w:sz="0" w:space="0" w:color="auto"/>
      </w:divBdr>
    </w:div>
    <w:div w:id="369765934">
      <w:bodyDiv w:val="1"/>
      <w:marLeft w:val="0"/>
      <w:marRight w:val="0"/>
      <w:marTop w:val="0"/>
      <w:marBottom w:val="0"/>
      <w:divBdr>
        <w:top w:val="none" w:sz="0" w:space="0" w:color="auto"/>
        <w:left w:val="none" w:sz="0" w:space="0" w:color="auto"/>
        <w:bottom w:val="none" w:sz="0" w:space="0" w:color="auto"/>
        <w:right w:val="none" w:sz="0" w:space="0" w:color="auto"/>
      </w:divBdr>
    </w:div>
    <w:div w:id="370541526">
      <w:bodyDiv w:val="1"/>
      <w:marLeft w:val="0"/>
      <w:marRight w:val="0"/>
      <w:marTop w:val="0"/>
      <w:marBottom w:val="0"/>
      <w:divBdr>
        <w:top w:val="none" w:sz="0" w:space="0" w:color="auto"/>
        <w:left w:val="none" w:sz="0" w:space="0" w:color="auto"/>
        <w:bottom w:val="none" w:sz="0" w:space="0" w:color="auto"/>
        <w:right w:val="none" w:sz="0" w:space="0" w:color="auto"/>
      </w:divBdr>
    </w:div>
    <w:div w:id="401828600">
      <w:bodyDiv w:val="1"/>
      <w:marLeft w:val="0"/>
      <w:marRight w:val="0"/>
      <w:marTop w:val="0"/>
      <w:marBottom w:val="0"/>
      <w:divBdr>
        <w:top w:val="none" w:sz="0" w:space="0" w:color="auto"/>
        <w:left w:val="none" w:sz="0" w:space="0" w:color="auto"/>
        <w:bottom w:val="none" w:sz="0" w:space="0" w:color="auto"/>
        <w:right w:val="none" w:sz="0" w:space="0" w:color="auto"/>
      </w:divBdr>
      <w:divsChild>
        <w:div w:id="1755585528">
          <w:marLeft w:val="0"/>
          <w:marRight w:val="0"/>
          <w:marTop w:val="0"/>
          <w:marBottom w:val="0"/>
          <w:divBdr>
            <w:top w:val="none" w:sz="0" w:space="0" w:color="auto"/>
            <w:left w:val="none" w:sz="0" w:space="0" w:color="auto"/>
            <w:bottom w:val="none" w:sz="0" w:space="0" w:color="auto"/>
            <w:right w:val="none" w:sz="0" w:space="0" w:color="auto"/>
          </w:divBdr>
          <w:divsChild>
            <w:div w:id="785735369">
              <w:marLeft w:val="0"/>
              <w:marRight w:val="0"/>
              <w:marTop w:val="0"/>
              <w:marBottom w:val="0"/>
              <w:divBdr>
                <w:top w:val="none" w:sz="0" w:space="0" w:color="auto"/>
                <w:left w:val="none" w:sz="0" w:space="0" w:color="auto"/>
                <w:bottom w:val="none" w:sz="0" w:space="0" w:color="auto"/>
                <w:right w:val="none" w:sz="0" w:space="0" w:color="auto"/>
              </w:divBdr>
              <w:divsChild>
                <w:div w:id="1434326746">
                  <w:marLeft w:val="0"/>
                  <w:marRight w:val="0"/>
                  <w:marTop w:val="0"/>
                  <w:marBottom w:val="0"/>
                  <w:divBdr>
                    <w:top w:val="none" w:sz="0" w:space="0" w:color="auto"/>
                    <w:left w:val="none" w:sz="0" w:space="0" w:color="auto"/>
                    <w:bottom w:val="none" w:sz="0" w:space="0" w:color="auto"/>
                    <w:right w:val="none" w:sz="0" w:space="0" w:color="auto"/>
                  </w:divBdr>
                  <w:divsChild>
                    <w:div w:id="1634797611">
                      <w:marLeft w:val="300"/>
                      <w:marRight w:val="0"/>
                      <w:marTop w:val="0"/>
                      <w:marBottom w:val="0"/>
                      <w:divBdr>
                        <w:top w:val="none" w:sz="0" w:space="0" w:color="auto"/>
                        <w:left w:val="none" w:sz="0" w:space="0" w:color="auto"/>
                        <w:bottom w:val="none" w:sz="0" w:space="0" w:color="auto"/>
                        <w:right w:val="none" w:sz="0" w:space="0" w:color="auto"/>
                      </w:divBdr>
                      <w:divsChild>
                        <w:div w:id="180054236">
                          <w:marLeft w:val="-300"/>
                          <w:marRight w:val="0"/>
                          <w:marTop w:val="0"/>
                          <w:marBottom w:val="0"/>
                          <w:divBdr>
                            <w:top w:val="none" w:sz="0" w:space="0" w:color="auto"/>
                            <w:left w:val="none" w:sz="0" w:space="0" w:color="auto"/>
                            <w:bottom w:val="none" w:sz="0" w:space="0" w:color="auto"/>
                            <w:right w:val="none" w:sz="0" w:space="0" w:color="auto"/>
                          </w:divBdr>
                          <w:divsChild>
                            <w:div w:id="59730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977586">
      <w:bodyDiv w:val="1"/>
      <w:marLeft w:val="0"/>
      <w:marRight w:val="0"/>
      <w:marTop w:val="0"/>
      <w:marBottom w:val="0"/>
      <w:divBdr>
        <w:top w:val="none" w:sz="0" w:space="0" w:color="auto"/>
        <w:left w:val="none" w:sz="0" w:space="0" w:color="auto"/>
        <w:bottom w:val="none" w:sz="0" w:space="0" w:color="auto"/>
        <w:right w:val="none" w:sz="0" w:space="0" w:color="auto"/>
      </w:divBdr>
    </w:div>
    <w:div w:id="437018989">
      <w:bodyDiv w:val="1"/>
      <w:marLeft w:val="0"/>
      <w:marRight w:val="0"/>
      <w:marTop w:val="0"/>
      <w:marBottom w:val="0"/>
      <w:divBdr>
        <w:top w:val="none" w:sz="0" w:space="0" w:color="auto"/>
        <w:left w:val="none" w:sz="0" w:space="0" w:color="auto"/>
        <w:bottom w:val="none" w:sz="0" w:space="0" w:color="auto"/>
        <w:right w:val="none" w:sz="0" w:space="0" w:color="auto"/>
      </w:divBdr>
    </w:div>
    <w:div w:id="450562130">
      <w:bodyDiv w:val="1"/>
      <w:marLeft w:val="0"/>
      <w:marRight w:val="0"/>
      <w:marTop w:val="0"/>
      <w:marBottom w:val="0"/>
      <w:divBdr>
        <w:top w:val="none" w:sz="0" w:space="0" w:color="auto"/>
        <w:left w:val="none" w:sz="0" w:space="0" w:color="auto"/>
        <w:bottom w:val="none" w:sz="0" w:space="0" w:color="auto"/>
        <w:right w:val="none" w:sz="0" w:space="0" w:color="auto"/>
      </w:divBdr>
    </w:div>
    <w:div w:id="479424902">
      <w:bodyDiv w:val="1"/>
      <w:marLeft w:val="0"/>
      <w:marRight w:val="0"/>
      <w:marTop w:val="0"/>
      <w:marBottom w:val="0"/>
      <w:divBdr>
        <w:top w:val="none" w:sz="0" w:space="0" w:color="auto"/>
        <w:left w:val="none" w:sz="0" w:space="0" w:color="auto"/>
        <w:bottom w:val="none" w:sz="0" w:space="0" w:color="auto"/>
        <w:right w:val="none" w:sz="0" w:space="0" w:color="auto"/>
      </w:divBdr>
    </w:div>
    <w:div w:id="488592370">
      <w:bodyDiv w:val="1"/>
      <w:marLeft w:val="0"/>
      <w:marRight w:val="0"/>
      <w:marTop w:val="0"/>
      <w:marBottom w:val="0"/>
      <w:divBdr>
        <w:top w:val="none" w:sz="0" w:space="0" w:color="auto"/>
        <w:left w:val="none" w:sz="0" w:space="0" w:color="auto"/>
        <w:bottom w:val="none" w:sz="0" w:space="0" w:color="auto"/>
        <w:right w:val="none" w:sz="0" w:space="0" w:color="auto"/>
      </w:divBdr>
    </w:div>
    <w:div w:id="576091505">
      <w:bodyDiv w:val="1"/>
      <w:marLeft w:val="0"/>
      <w:marRight w:val="0"/>
      <w:marTop w:val="0"/>
      <w:marBottom w:val="0"/>
      <w:divBdr>
        <w:top w:val="none" w:sz="0" w:space="0" w:color="auto"/>
        <w:left w:val="none" w:sz="0" w:space="0" w:color="auto"/>
        <w:bottom w:val="none" w:sz="0" w:space="0" w:color="auto"/>
        <w:right w:val="none" w:sz="0" w:space="0" w:color="auto"/>
      </w:divBdr>
    </w:div>
    <w:div w:id="579946794">
      <w:bodyDiv w:val="1"/>
      <w:marLeft w:val="0"/>
      <w:marRight w:val="0"/>
      <w:marTop w:val="0"/>
      <w:marBottom w:val="0"/>
      <w:divBdr>
        <w:top w:val="none" w:sz="0" w:space="0" w:color="auto"/>
        <w:left w:val="none" w:sz="0" w:space="0" w:color="auto"/>
        <w:bottom w:val="none" w:sz="0" w:space="0" w:color="auto"/>
        <w:right w:val="none" w:sz="0" w:space="0" w:color="auto"/>
      </w:divBdr>
    </w:div>
    <w:div w:id="584342329">
      <w:bodyDiv w:val="1"/>
      <w:marLeft w:val="0"/>
      <w:marRight w:val="0"/>
      <w:marTop w:val="0"/>
      <w:marBottom w:val="0"/>
      <w:divBdr>
        <w:top w:val="none" w:sz="0" w:space="0" w:color="auto"/>
        <w:left w:val="none" w:sz="0" w:space="0" w:color="auto"/>
        <w:bottom w:val="none" w:sz="0" w:space="0" w:color="auto"/>
        <w:right w:val="none" w:sz="0" w:space="0" w:color="auto"/>
      </w:divBdr>
    </w:div>
    <w:div w:id="606621695">
      <w:bodyDiv w:val="1"/>
      <w:marLeft w:val="0"/>
      <w:marRight w:val="0"/>
      <w:marTop w:val="0"/>
      <w:marBottom w:val="0"/>
      <w:divBdr>
        <w:top w:val="none" w:sz="0" w:space="0" w:color="auto"/>
        <w:left w:val="none" w:sz="0" w:space="0" w:color="auto"/>
        <w:bottom w:val="none" w:sz="0" w:space="0" w:color="auto"/>
        <w:right w:val="none" w:sz="0" w:space="0" w:color="auto"/>
      </w:divBdr>
    </w:div>
    <w:div w:id="628366160">
      <w:bodyDiv w:val="1"/>
      <w:marLeft w:val="0"/>
      <w:marRight w:val="0"/>
      <w:marTop w:val="0"/>
      <w:marBottom w:val="0"/>
      <w:divBdr>
        <w:top w:val="none" w:sz="0" w:space="0" w:color="auto"/>
        <w:left w:val="none" w:sz="0" w:space="0" w:color="auto"/>
        <w:bottom w:val="none" w:sz="0" w:space="0" w:color="auto"/>
        <w:right w:val="none" w:sz="0" w:space="0" w:color="auto"/>
      </w:divBdr>
    </w:div>
    <w:div w:id="629164299">
      <w:bodyDiv w:val="1"/>
      <w:marLeft w:val="0"/>
      <w:marRight w:val="0"/>
      <w:marTop w:val="0"/>
      <w:marBottom w:val="0"/>
      <w:divBdr>
        <w:top w:val="none" w:sz="0" w:space="0" w:color="auto"/>
        <w:left w:val="none" w:sz="0" w:space="0" w:color="auto"/>
        <w:bottom w:val="none" w:sz="0" w:space="0" w:color="auto"/>
        <w:right w:val="none" w:sz="0" w:space="0" w:color="auto"/>
      </w:divBdr>
    </w:div>
    <w:div w:id="673990746">
      <w:bodyDiv w:val="1"/>
      <w:marLeft w:val="0"/>
      <w:marRight w:val="0"/>
      <w:marTop w:val="0"/>
      <w:marBottom w:val="0"/>
      <w:divBdr>
        <w:top w:val="none" w:sz="0" w:space="0" w:color="auto"/>
        <w:left w:val="none" w:sz="0" w:space="0" w:color="auto"/>
        <w:bottom w:val="none" w:sz="0" w:space="0" w:color="auto"/>
        <w:right w:val="none" w:sz="0" w:space="0" w:color="auto"/>
      </w:divBdr>
    </w:div>
    <w:div w:id="697047074">
      <w:bodyDiv w:val="1"/>
      <w:marLeft w:val="0"/>
      <w:marRight w:val="0"/>
      <w:marTop w:val="0"/>
      <w:marBottom w:val="0"/>
      <w:divBdr>
        <w:top w:val="none" w:sz="0" w:space="0" w:color="auto"/>
        <w:left w:val="none" w:sz="0" w:space="0" w:color="auto"/>
        <w:bottom w:val="none" w:sz="0" w:space="0" w:color="auto"/>
        <w:right w:val="none" w:sz="0" w:space="0" w:color="auto"/>
      </w:divBdr>
    </w:div>
    <w:div w:id="702632269">
      <w:bodyDiv w:val="1"/>
      <w:marLeft w:val="0"/>
      <w:marRight w:val="0"/>
      <w:marTop w:val="0"/>
      <w:marBottom w:val="0"/>
      <w:divBdr>
        <w:top w:val="none" w:sz="0" w:space="0" w:color="auto"/>
        <w:left w:val="none" w:sz="0" w:space="0" w:color="auto"/>
        <w:bottom w:val="none" w:sz="0" w:space="0" w:color="auto"/>
        <w:right w:val="none" w:sz="0" w:space="0" w:color="auto"/>
      </w:divBdr>
    </w:div>
    <w:div w:id="713626555">
      <w:bodyDiv w:val="1"/>
      <w:marLeft w:val="0"/>
      <w:marRight w:val="0"/>
      <w:marTop w:val="0"/>
      <w:marBottom w:val="0"/>
      <w:divBdr>
        <w:top w:val="none" w:sz="0" w:space="0" w:color="auto"/>
        <w:left w:val="none" w:sz="0" w:space="0" w:color="auto"/>
        <w:bottom w:val="none" w:sz="0" w:space="0" w:color="auto"/>
        <w:right w:val="none" w:sz="0" w:space="0" w:color="auto"/>
      </w:divBdr>
    </w:div>
    <w:div w:id="715356569">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18820941">
      <w:bodyDiv w:val="1"/>
      <w:marLeft w:val="0"/>
      <w:marRight w:val="0"/>
      <w:marTop w:val="0"/>
      <w:marBottom w:val="0"/>
      <w:divBdr>
        <w:top w:val="none" w:sz="0" w:space="0" w:color="auto"/>
        <w:left w:val="none" w:sz="0" w:space="0" w:color="auto"/>
        <w:bottom w:val="none" w:sz="0" w:space="0" w:color="auto"/>
        <w:right w:val="none" w:sz="0" w:space="0" w:color="auto"/>
      </w:divBdr>
    </w:div>
    <w:div w:id="724061636">
      <w:bodyDiv w:val="1"/>
      <w:marLeft w:val="0"/>
      <w:marRight w:val="0"/>
      <w:marTop w:val="0"/>
      <w:marBottom w:val="0"/>
      <w:divBdr>
        <w:top w:val="none" w:sz="0" w:space="0" w:color="auto"/>
        <w:left w:val="none" w:sz="0" w:space="0" w:color="auto"/>
        <w:bottom w:val="none" w:sz="0" w:space="0" w:color="auto"/>
        <w:right w:val="none" w:sz="0" w:space="0" w:color="auto"/>
      </w:divBdr>
    </w:div>
    <w:div w:id="724262068">
      <w:bodyDiv w:val="1"/>
      <w:marLeft w:val="0"/>
      <w:marRight w:val="0"/>
      <w:marTop w:val="0"/>
      <w:marBottom w:val="0"/>
      <w:divBdr>
        <w:top w:val="none" w:sz="0" w:space="0" w:color="auto"/>
        <w:left w:val="none" w:sz="0" w:space="0" w:color="auto"/>
        <w:bottom w:val="none" w:sz="0" w:space="0" w:color="auto"/>
        <w:right w:val="none" w:sz="0" w:space="0" w:color="auto"/>
      </w:divBdr>
    </w:div>
    <w:div w:id="726992008">
      <w:bodyDiv w:val="1"/>
      <w:marLeft w:val="0"/>
      <w:marRight w:val="0"/>
      <w:marTop w:val="0"/>
      <w:marBottom w:val="0"/>
      <w:divBdr>
        <w:top w:val="none" w:sz="0" w:space="0" w:color="auto"/>
        <w:left w:val="none" w:sz="0" w:space="0" w:color="auto"/>
        <w:bottom w:val="none" w:sz="0" w:space="0" w:color="auto"/>
        <w:right w:val="none" w:sz="0" w:space="0" w:color="auto"/>
      </w:divBdr>
    </w:div>
    <w:div w:id="733506164">
      <w:bodyDiv w:val="1"/>
      <w:marLeft w:val="0"/>
      <w:marRight w:val="0"/>
      <w:marTop w:val="0"/>
      <w:marBottom w:val="0"/>
      <w:divBdr>
        <w:top w:val="none" w:sz="0" w:space="0" w:color="auto"/>
        <w:left w:val="none" w:sz="0" w:space="0" w:color="auto"/>
        <w:bottom w:val="none" w:sz="0" w:space="0" w:color="auto"/>
        <w:right w:val="none" w:sz="0" w:space="0" w:color="auto"/>
      </w:divBdr>
    </w:div>
    <w:div w:id="744107306">
      <w:bodyDiv w:val="1"/>
      <w:marLeft w:val="0"/>
      <w:marRight w:val="0"/>
      <w:marTop w:val="0"/>
      <w:marBottom w:val="0"/>
      <w:divBdr>
        <w:top w:val="none" w:sz="0" w:space="0" w:color="auto"/>
        <w:left w:val="none" w:sz="0" w:space="0" w:color="auto"/>
        <w:bottom w:val="none" w:sz="0" w:space="0" w:color="auto"/>
        <w:right w:val="none" w:sz="0" w:space="0" w:color="auto"/>
      </w:divBdr>
    </w:div>
    <w:div w:id="747117461">
      <w:bodyDiv w:val="1"/>
      <w:marLeft w:val="0"/>
      <w:marRight w:val="0"/>
      <w:marTop w:val="0"/>
      <w:marBottom w:val="0"/>
      <w:divBdr>
        <w:top w:val="none" w:sz="0" w:space="0" w:color="auto"/>
        <w:left w:val="none" w:sz="0" w:space="0" w:color="auto"/>
        <w:bottom w:val="none" w:sz="0" w:space="0" w:color="auto"/>
        <w:right w:val="none" w:sz="0" w:space="0" w:color="auto"/>
      </w:divBdr>
      <w:divsChild>
        <w:div w:id="2078235238">
          <w:marLeft w:val="0"/>
          <w:marRight w:val="0"/>
          <w:marTop w:val="0"/>
          <w:marBottom w:val="0"/>
          <w:divBdr>
            <w:top w:val="none" w:sz="0" w:space="0" w:color="auto"/>
            <w:left w:val="none" w:sz="0" w:space="0" w:color="auto"/>
            <w:bottom w:val="none" w:sz="0" w:space="0" w:color="auto"/>
            <w:right w:val="none" w:sz="0" w:space="0" w:color="auto"/>
          </w:divBdr>
          <w:divsChild>
            <w:div w:id="773012284">
              <w:marLeft w:val="0"/>
              <w:marRight w:val="0"/>
              <w:marTop w:val="0"/>
              <w:marBottom w:val="0"/>
              <w:divBdr>
                <w:top w:val="none" w:sz="0" w:space="0" w:color="auto"/>
                <w:left w:val="none" w:sz="0" w:space="0" w:color="auto"/>
                <w:bottom w:val="none" w:sz="0" w:space="0" w:color="auto"/>
                <w:right w:val="none" w:sz="0" w:space="0" w:color="auto"/>
              </w:divBdr>
              <w:divsChild>
                <w:div w:id="1898274770">
                  <w:marLeft w:val="0"/>
                  <w:marRight w:val="0"/>
                  <w:marTop w:val="0"/>
                  <w:marBottom w:val="0"/>
                  <w:divBdr>
                    <w:top w:val="none" w:sz="0" w:space="0" w:color="auto"/>
                    <w:left w:val="none" w:sz="0" w:space="0" w:color="auto"/>
                    <w:bottom w:val="none" w:sz="0" w:space="0" w:color="auto"/>
                    <w:right w:val="none" w:sz="0" w:space="0" w:color="auto"/>
                  </w:divBdr>
                  <w:divsChild>
                    <w:div w:id="2005433235">
                      <w:marLeft w:val="300"/>
                      <w:marRight w:val="0"/>
                      <w:marTop w:val="0"/>
                      <w:marBottom w:val="0"/>
                      <w:divBdr>
                        <w:top w:val="none" w:sz="0" w:space="0" w:color="auto"/>
                        <w:left w:val="none" w:sz="0" w:space="0" w:color="auto"/>
                        <w:bottom w:val="none" w:sz="0" w:space="0" w:color="auto"/>
                        <w:right w:val="none" w:sz="0" w:space="0" w:color="auto"/>
                      </w:divBdr>
                      <w:divsChild>
                        <w:div w:id="863514203">
                          <w:marLeft w:val="-300"/>
                          <w:marRight w:val="0"/>
                          <w:marTop w:val="0"/>
                          <w:marBottom w:val="0"/>
                          <w:divBdr>
                            <w:top w:val="none" w:sz="0" w:space="0" w:color="auto"/>
                            <w:left w:val="none" w:sz="0" w:space="0" w:color="auto"/>
                            <w:bottom w:val="none" w:sz="0" w:space="0" w:color="auto"/>
                            <w:right w:val="none" w:sz="0" w:space="0" w:color="auto"/>
                          </w:divBdr>
                          <w:divsChild>
                            <w:div w:id="196734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429482">
      <w:bodyDiv w:val="1"/>
      <w:marLeft w:val="0"/>
      <w:marRight w:val="0"/>
      <w:marTop w:val="0"/>
      <w:marBottom w:val="0"/>
      <w:divBdr>
        <w:top w:val="none" w:sz="0" w:space="0" w:color="auto"/>
        <w:left w:val="none" w:sz="0" w:space="0" w:color="auto"/>
        <w:bottom w:val="none" w:sz="0" w:space="0" w:color="auto"/>
        <w:right w:val="none" w:sz="0" w:space="0" w:color="auto"/>
      </w:divBdr>
    </w:div>
    <w:div w:id="775637407">
      <w:bodyDiv w:val="1"/>
      <w:marLeft w:val="0"/>
      <w:marRight w:val="0"/>
      <w:marTop w:val="0"/>
      <w:marBottom w:val="0"/>
      <w:divBdr>
        <w:top w:val="none" w:sz="0" w:space="0" w:color="auto"/>
        <w:left w:val="none" w:sz="0" w:space="0" w:color="auto"/>
        <w:bottom w:val="none" w:sz="0" w:space="0" w:color="auto"/>
        <w:right w:val="none" w:sz="0" w:space="0" w:color="auto"/>
      </w:divBdr>
    </w:div>
    <w:div w:id="785662363">
      <w:bodyDiv w:val="1"/>
      <w:marLeft w:val="0"/>
      <w:marRight w:val="0"/>
      <w:marTop w:val="0"/>
      <w:marBottom w:val="0"/>
      <w:divBdr>
        <w:top w:val="none" w:sz="0" w:space="0" w:color="auto"/>
        <w:left w:val="none" w:sz="0" w:space="0" w:color="auto"/>
        <w:bottom w:val="none" w:sz="0" w:space="0" w:color="auto"/>
        <w:right w:val="none" w:sz="0" w:space="0" w:color="auto"/>
      </w:divBdr>
    </w:div>
    <w:div w:id="824664301">
      <w:bodyDiv w:val="1"/>
      <w:marLeft w:val="0"/>
      <w:marRight w:val="0"/>
      <w:marTop w:val="0"/>
      <w:marBottom w:val="0"/>
      <w:divBdr>
        <w:top w:val="none" w:sz="0" w:space="0" w:color="auto"/>
        <w:left w:val="none" w:sz="0" w:space="0" w:color="auto"/>
        <w:bottom w:val="none" w:sz="0" w:space="0" w:color="auto"/>
        <w:right w:val="none" w:sz="0" w:space="0" w:color="auto"/>
      </w:divBdr>
    </w:div>
    <w:div w:id="832188191">
      <w:bodyDiv w:val="1"/>
      <w:marLeft w:val="0"/>
      <w:marRight w:val="0"/>
      <w:marTop w:val="0"/>
      <w:marBottom w:val="0"/>
      <w:divBdr>
        <w:top w:val="none" w:sz="0" w:space="0" w:color="auto"/>
        <w:left w:val="none" w:sz="0" w:space="0" w:color="auto"/>
        <w:bottom w:val="none" w:sz="0" w:space="0" w:color="auto"/>
        <w:right w:val="none" w:sz="0" w:space="0" w:color="auto"/>
      </w:divBdr>
    </w:div>
    <w:div w:id="853960724">
      <w:bodyDiv w:val="1"/>
      <w:marLeft w:val="0"/>
      <w:marRight w:val="0"/>
      <w:marTop w:val="0"/>
      <w:marBottom w:val="0"/>
      <w:divBdr>
        <w:top w:val="none" w:sz="0" w:space="0" w:color="auto"/>
        <w:left w:val="none" w:sz="0" w:space="0" w:color="auto"/>
        <w:bottom w:val="none" w:sz="0" w:space="0" w:color="auto"/>
        <w:right w:val="none" w:sz="0" w:space="0" w:color="auto"/>
      </w:divBdr>
    </w:div>
    <w:div w:id="880095059">
      <w:bodyDiv w:val="1"/>
      <w:marLeft w:val="0"/>
      <w:marRight w:val="0"/>
      <w:marTop w:val="0"/>
      <w:marBottom w:val="0"/>
      <w:divBdr>
        <w:top w:val="none" w:sz="0" w:space="0" w:color="auto"/>
        <w:left w:val="none" w:sz="0" w:space="0" w:color="auto"/>
        <w:bottom w:val="none" w:sz="0" w:space="0" w:color="auto"/>
        <w:right w:val="none" w:sz="0" w:space="0" w:color="auto"/>
      </w:divBdr>
    </w:div>
    <w:div w:id="903879418">
      <w:bodyDiv w:val="1"/>
      <w:marLeft w:val="0"/>
      <w:marRight w:val="0"/>
      <w:marTop w:val="0"/>
      <w:marBottom w:val="0"/>
      <w:divBdr>
        <w:top w:val="none" w:sz="0" w:space="0" w:color="auto"/>
        <w:left w:val="none" w:sz="0" w:space="0" w:color="auto"/>
        <w:bottom w:val="none" w:sz="0" w:space="0" w:color="auto"/>
        <w:right w:val="none" w:sz="0" w:space="0" w:color="auto"/>
      </w:divBdr>
      <w:divsChild>
        <w:div w:id="1883713687">
          <w:marLeft w:val="0"/>
          <w:marRight w:val="0"/>
          <w:marTop w:val="0"/>
          <w:marBottom w:val="0"/>
          <w:divBdr>
            <w:top w:val="none" w:sz="0" w:space="0" w:color="auto"/>
            <w:left w:val="none" w:sz="0" w:space="0" w:color="auto"/>
            <w:bottom w:val="none" w:sz="0" w:space="0" w:color="auto"/>
            <w:right w:val="none" w:sz="0" w:space="0" w:color="auto"/>
          </w:divBdr>
          <w:divsChild>
            <w:div w:id="1308516769">
              <w:marLeft w:val="0"/>
              <w:marRight w:val="0"/>
              <w:marTop w:val="0"/>
              <w:marBottom w:val="0"/>
              <w:divBdr>
                <w:top w:val="none" w:sz="0" w:space="0" w:color="auto"/>
                <w:left w:val="none" w:sz="0" w:space="0" w:color="auto"/>
                <w:bottom w:val="none" w:sz="0" w:space="0" w:color="auto"/>
                <w:right w:val="none" w:sz="0" w:space="0" w:color="auto"/>
              </w:divBdr>
              <w:divsChild>
                <w:div w:id="1618485362">
                  <w:marLeft w:val="0"/>
                  <w:marRight w:val="0"/>
                  <w:marTop w:val="0"/>
                  <w:marBottom w:val="0"/>
                  <w:divBdr>
                    <w:top w:val="none" w:sz="0" w:space="0" w:color="auto"/>
                    <w:left w:val="none" w:sz="0" w:space="0" w:color="auto"/>
                    <w:bottom w:val="none" w:sz="0" w:space="0" w:color="auto"/>
                    <w:right w:val="none" w:sz="0" w:space="0" w:color="auto"/>
                  </w:divBdr>
                  <w:divsChild>
                    <w:div w:id="1236747588">
                      <w:marLeft w:val="300"/>
                      <w:marRight w:val="0"/>
                      <w:marTop w:val="0"/>
                      <w:marBottom w:val="0"/>
                      <w:divBdr>
                        <w:top w:val="none" w:sz="0" w:space="0" w:color="auto"/>
                        <w:left w:val="none" w:sz="0" w:space="0" w:color="auto"/>
                        <w:bottom w:val="none" w:sz="0" w:space="0" w:color="auto"/>
                        <w:right w:val="none" w:sz="0" w:space="0" w:color="auto"/>
                      </w:divBdr>
                      <w:divsChild>
                        <w:div w:id="1523934230">
                          <w:marLeft w:val="-300"/>
                          <w:marRight w:val="0"/>
                          <w:marTop w:val="0"/>
                          <w:marBottom w:val="0"/>
                          <w:divBdr>
                            <w:top w:val="none" w:sz="0" w:space="0" w:color="auto"/>
                            <w:left w:val="none" w:sz="0" w:space="0" w:color="auto"/>
                            <w:bottom w:val="none" w:sz="0" w:space="0" w:color="auto"/>
                            <w:right w:val="none" w:sz="0" w:space="0" w:color="auto"/>
                          </w:divBdr>
                          <w:divsChild>
                            <w:div w:id="21150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618268">
      <w:bodyDiv w:val="1"/>
      <w:marLeft w:val="0"/>
      <w:marRight w:val="0"/>
      <w:marTop w:val="0"/>
      <w:marBottom w:val="0"/>
      <w:divBdr>
        <w:top w:val="none" w:sz="0" w:space="0" w:color="auto"/>
        <w:left w:val="none" w:sz="0" w:space="0" w:color="auto"/>
        <w:bottom w:val="none" w:sz="0" w:space="0" w:color="auto"/>
        <w:right w:val="none" w:sz="0" w:space="0" w:color="auto"/>
      </w:divBdr>
    </w:div>
    <w:div w:id="909467363">
      <w:bodyDiv w:val="1"/>
      <w:marLeft w:val="0"/>
      <w:marRight w:val="0"/>
      <w:marTop w:val="0"/>
      <w:marBottom w:val="0"/>
      <w:divBdr>
        <w:top w:val="none" w:sz="0" w:space="0" w:color="auto"/>
        <w:left w:val="none" w:sz="0" w:space="0" w:color="auto"/>
        <w:bottom w:val="none" w:sz="0" w:space="0" w:color="auto"/>
        <w:right w:val="none" w:sz="0" w:space="0" w:color="auto"/>
      </w:divBdr>
    </w:div>
    <w:div w:id="942569103">
      <w:bodyDiv w:val="1"/>
      <w:marLeft w:val="0"/>
      <w:marRight w:val="0"/>
      <w:marTop w:val="0"/>
      <w:marBottom w:val="0"/>
      <w:divBdr>
        <w:top w:val="none" w:sz="0" w:space="0" w:color="auto"/>
        <w:left w:val="none" w:sz="0" w:space="0" w:color="auto"/>
        <w:bottom w:val="none" w:sz="0" w:space="0" w:color="auto"/>
        <w:right w:val="none" w:sz="0" w:space="0" w:color="auto"/>
      </w:divBdr>
    </w:div>
    <w:div w:id="949581289">
      <w:bodyDiv w:val="1"/>
      <w:marLeft w:val="0"/>
      <w:marRight w:val="0"/>
      <w:marTop w:val="0"/>
      <w:marBottom w:val="0"/>
      <w:divBdr>
        <w:top w:val="none" w:sz="0" w:space="0" w:color="auto"/>
        <w:left w:val="none" w:sz="0" w:space="0" w:color="auto"/>
        <w:bottom w:val="none" w:sz="0" w:space="0" w:color="auto"/>
        <w:right w:val="none" w:sz="0" w:space="0" w:color="auto"/>
      </w:divBdr>
    </w:div>
    <w:div w:id="954749172">
      <w:bodyDiv w:val="1"/>
      <w:marLeft w:val="0"/>
      <w:marRight w:val="0"/>
      <w:marTop w:val="0"/>
      <w:marBottom w:val="0"/>
      <w:divBdr>
        <w:top w:val="none" w:sz="0" w:space="0" w:color="auto"/>
        <w:left w:val="none" w:sz="0" w:space="0" w:color="auto"/>
        <w:bottom w:val="none" w:sz="0" w:space="0" w:color="auto"/>
        <w:right w:val="none" w:sz="0" w:space="0" w:color="auto"/>
      </w:divBdr>
    </w:div>
    <w:div w:id="956760858">
      <w:bodyDiv w:val="1"/>
      <w:marLeft w:val="0"/>
      <w:marRight w:val="0"/>
      <w:marTop w:val="0"/>
      <w:marBottom w:val="0"/>
      <w:divBdr>
        <w:top w:val="none" w:sz="0" w:space="0" w:color="auto"/>
        <w:left w:val="none" w:sz="0" w:space="0" w:color="auto"/>
        <w:bottom w:val="none" w:sz="0" w:space="0" w:color="auto"/>
        <w:right w:val="none" w:sz="0" w:space="0" w:color="auto"/>
      </w:divBdr>
    </w:div>
    <w:div w:id="965501782">
      <w:bodyDiv w:val="1"/>
      <w:marLeft w:val="0"/>
      <w:marRight w:val="0"/>
      <w:marTop w:val="0"/>
      <w:marBottom w:val="0"/>
      <w:divBdr>
        <w:top w:val="none" w:sz="0" w:space="0" w:color="auto"/>
        <w:left w:val="none" w:sz="0" w:space="0" w:color="auto"/>
        <w:bottom w:val="none" w:sz="0" w:space="0" w:color="auto"/>
        <w:right w:val="none" w:sz="0" w:space="0" w:color="auto"/>
      </w:divBdr>
    </w:div>
    <w:div w:id="1004091473">
      <w:bodyDiv w:val="1"/>
      <w:marLeft w:val="0"/>
      <w:marRight w:val="0"/>
      <w:marTop w:val="0"/>
      <w:marBottom w:val="0"/>
      <w:divBdr>
        <w:top w:val="none" w:sz="0" w:space="0" w:color="auto"/>
        <w:left w:val="none" w:sz="0" w:space="0" w:color="auto"/>
        <w:bottom w:val="none" w:sz="0" w:space="0" w:color="auto"/>
        <w:right w:val="none" w:sz="0" w:space="0" w:color="auto"/>
      </w:divBdr>
    </w:div>
    <w:div w:id="1043871919">
      <w:bodyDiv w:val="1"/>
      <w:marLeft w:val="0"/>
      <w:marRight w:val="0"/>
      <w:marTop w:val="0"/>
      <w:marBottom w:val="0"/>
      <w:divBdr>
        <w:top w:val="none" w:sz="0" w:space="0" w:color="auto"/>
        <w:left w:val="none" w:sz="0" w:space="0" w:color="auto"/>
        <w:bottom w:val="none" w:sz="0" w:space="0" w:color="auto"/>
        <w:right w:val="none" w:sz="0" w:space="0" w:color="auto"/>
      </w:divBdr>
    </w:div>
    <w:div w:id="1052313232">
      <w:bodyDiv w:val="1"/>
      <w:marLeft w:val="0"/>
      <w:marRight w:val="0"/>
      <w:marTop w:val="0"/>
      <w:marBottom w:val="0"/>
      <w:divBdr>
        <w:top w:val="none" w:sz="0" w:space="0" w:color="auto"/>
        <w:left w:val="none" w:sz="0" w:space="0" w:color="auto"/>
        <w:bottom w:val="none" w:sz="0" w:space="0" w:color="auto"/>
        <w:right w:val="none" w:sz="0" w:space="0" w:color="auto"/>
      </w:divBdr>
      <w:divsChild>
        <w:div w:id="114568828">
          <w:marLeft w:val="0"/>
          <w:marRight w:val="0"/>
          <w:marTop w:val="0"/>
          <w:marBottom w:val="0"/>
          <w:divBdr>
            <w:top w:val="none" w:sz="0" w:space="0" w:color="auto"/>
            <w:left w:val="none" w:sz="0" w:space="0" w:color="auto"/>
            <w:bottom w:val="none" w:sz="0" w:space="0" w:color="auto"/>
            <w:right w:val="none" w:sz="0" w:space="0" w:color="auto"/>
          </w:divBdr>
          <w:divsChild>
            <w:div w:id="11075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8051">
      <w:bodyDiv w:val="1"/>
      <w:marLeft w:val="0"/>
      <w:marRight w:val="0"/>
      <w:marTop w:val="0"/>
      <w:marBottom w:val="0"/>
      <w:divBdr>
        <w:top w:val="none" w:sz="0" w:space="0" w:color="auto"/>
        <w:left w:val="none" w:sz="0" w:space="0" w:color="auto"/>
        <w:bottom w:val="none" w:sz="0" w:space="0" w:color="auto"/>
        <w:right w:val="none" w:sz="0" w:space="0" w:color="auto"/>
      </w:divBdr>
    </w:div>
    <w:div w:id="1069309060">
      <w:bodyDiv w:val="1"/>
      <w:marLeft w:val="0"/>
      <w:marRight w:val="0"/>
      <w:marTop w:val="0"/>
      <w:marBottom w:val="0"/>
      <w:divBdr>
        <w:top w:val="none" w:sz="0" w:space="0" w:color="auto"/>
        <w:left w:val="none" w:sz="0" w:space="0" w:color="auto"/>
        <w:bottom w:val="none" w:sz="0" w:space="0" w:color="auto"/>
        <w:right w:val="none" w:sz="0" w:space="0" w:color="auto"/>
      </w:divBdr>
    </w:div>
    <w:div w:id="1073577077">
      <w:bodyDiv w:val="1"/>
      <w:marLeft w:val="0"/>
      <w:marRight w:val="0"/>
      <w:marTop w:val="0"/>
      <w:marBottom w:val="0"/>
      <w:divBdr>
        <w:top w:val="none" w:sz="0" w:space="0" w:color="auto"/>
        <w:left w:val="none" w:sz="0" w:space="0" w:color="auto"/>
        <w:bottom w:val="none" w:sz="0" w:space="0" w:color="auto"/>
        <w:right w:val="none" w:sz="0" w:space="0" w:color="auto"/>
      </w:divBdr>
    </w:div>
    <w:div w:id="1096973704">
      <w:bodyDiv w:val="1"/>
      <w:marLeft w:val="0"/>
      <w:marRight w:val="0"/>
      <w:marTop w:val="0"/>
      <w:marBottom w:val="0"/>
      <w:divBdr>
        <w:top w:val="none" w:sz="0" w:space="0" w:color="auto"/>
        <w:left w:val="none" w:sz="0" w:space="0" w:color="auto"/>
        <w:bottom w:val="none" w:sz="0" w:space="0" w:color="auto"/>
        <w:right w:val="none" w:sz="0" w:space="0" w:color="auto"/>
      </w:divBdr>
    </w:div>
    <w:div w:id="1107576725">
      <w:bodyDiv w:val="1"/>
      <w:marLeft w:val="0"/>
      <w:marRight w:val="0"/>
      <w:marTop w:val="0"/>
      <w:marBottom w:val="0"/>
      <w:divBdr>
        <w:top w:val="none" w:sz="0" w:space="0" w:color="auto"/>
        <w:left w:val="none" w:sz="0" w:space="0" w:color="auto"/>
        <w:bottom w:val="none" w:sz="0" w:space="0" w:color="auto"/>
        <w:right w:val="none" w:sz="0" w:space="0" w:color="auto"/>
      </w:divBdr>
    </w:div>
    <w:div w:id="1125149723">
      <w:bodyDiv w:val="1"/>
      <w:marLeft w:val="0"/>
      <w:marRight w:val="0"/>
      <w:marTop w:val="0"/>
      <w:marBottom w:val="0"/>
      <w:divBdr>
        <w:top w:val="none" w:sz="0" w:space="0" w:color="auto"/>
        <w:left w:val="none" w:sz="0" w:space="0" w:color="auto"/>
        <w:bottom w:val="none" w:sz="0" w:space="0" w:color="auto"/>
        <w:right w:val="none" w:sz="0" w:space="0" w:color="auto"/>
      </w:divBdr>
    </w:div>
    <w:div w:id="1129930326">
      <w:bodyDiv w:val="1"/>
      <w:marLeft w:val="0"/>
      <w:marRight w:val="0"/>
      <w:marTop w:val="0"/>
      <w:marBottom w:val="0"/>
      <w:divBdr>
        <w:top w:val="none" w:sz="0" w:space="0" w:color="auto"/>
        <w:left w:val="none" w:sz="0" w:space="0" w:color="auto"/>
        <w:bottom w:val="none" w:sz="0" w:space="0" w:color="auto"/>
        <w:right w:val="none" w:sz="0" w:space="0" w:color="auto"/>
      </w:divBdr>
    </w:div>
    <w:div w:id="1145583920">
      <w:bodyDiv w:val="1"/>
      <w:marLeft w:val="0"/>
      <w:marRight w:val="0"/>
      <w:marTop w:val="0"/>
      <w:marBottom w:val="0"/>
      <w:divBdr>
        <w:top w:val="none" w:sz="0" w:space="0" w:color="auto"/>
        <w:left w:val="none" w:sz="0" w:space="0" w:color="auto"/>
        <w:bottom w:val="none" w:sz="0" w:space="0" w:color="auto"/>
        <w:right w:val="none" w:sz="0" w:space="0" w:color="auto"/>
      </w:divBdr>
    </w:div>
    <w:div w:id="1146123069">
      <w:bodyDiv w:val="1"/>
      <w:marLeft w:val="0"/>
      <w:marRight w:val="0"/>
      <w:marTop w:val="0"/>
      <w:marBottom w:val="0"/>
      <w:divBdr>
        <w:top w:val="none" w:sz="0" w:space="0" w:color="auto"/>
        <w:left w:val="none" w:sz="0" w:space="0" w:color="auto"/>
        <w:bottom w:val="none" w:sz="0" w:space="0" w:color="auto"/>
        <w:right w:val="none" w:sz="0" w:space="0" w:color="auto"/>
      </w:divBdr>
    </w:div>
    <w:div w:id="1155681591">
      <w:bodyDiv w:val="1"/>
      <w:marLeft w:val="0"/>
      <w:marRight w:val="0"/>
      <w:marTop w:val="0"/>
      <w:marBottom w:val="0"/>
      <w:divBdr>
        <w:top w:val="none" w:sz="0" w:space="0" w:color="auto"/>
        <w:left w:val="none" w:sz="0" w:space="0" w:color="auto"/>
        <w:bottom w:val="none" w:sz="0" w:space="0" w:color="auto"/>
        <w:right w:val="none" w:sz="0" w:space="0" w:color="auto"/>
      </w:divBdr>
    </w:div>
    <w:div w:id="1171944563">
      <w:bodyDiv w:val="1"/>
      <w:marLeft w:val="0"/>
      <w:marRight w:val="0"/>
      <w:marTop w:val="0"/>
      <w:marBottom w:val="0"/>
      <w:divBdr>
        <w:top w:val="none" w:sz="0" w:space="0" w:color="auto"/>
        <w:left w:val="none" w:sz="0" w:space="0" w:color="auto"/>
        <w:bottom w:val="none" w:sz="0" w:space="0" w:color="auto"/>
        <w:right w:val="none" w:sz="0" w:space="0" w:color="auto"/>
      </w:divBdr>
    </w:div>
    <w:div w:id="1177386465">
      <w:bodyDiv w:val="1"/>
      <w:marLeft w:val="0"/>
      <w:marRight w:val="0"/>
      <w:marTop w:val="0"/>
      <w:marBottom w:val="0"/>
      <w:divBdr>
        <w:top w:val="none" w:sz="0" w:space="0" w:color="auto"/>
        <w:left w:val="none" w:sz="0" w:space="0" w:color="auto"/>
        <w:bottom w:val="none" w:sz="0" w:space="0" w:color="auto"/>
        <w:right w:val="none" w:sz="0" w:space="0" w:color="auto"/>
      </w:divBdr>
    </w:div>
    <w:div w:id="1212232146">
      <w:bodyDiv w:val="1"/>
      <w:marLeft w:val="0"/>
      <w:marRight w:val="0"/>
      <w:marTop w:val="0"/>
      <w:marBottom w:val="0"/>
      <w:divBdr>
        <w:top w:val="none" w:sz="0" w:space="0" w:color="auto"/>
        <w:left w:val="none" w:sz="0" w:space="0" w:color="auto"/>
        <w:bottom w:val="none" w:sz="0" w:space="0" w:color="auto"/>
        <w:right w:val="none" w:sz="0" w:space="0" w:color="auto"/>
      </w:divBdr>
    </w:div>
    <w:div w:id="1214587286">
      <w:bodyDiv w:val="1"/>
      <w:marLeft w:val="0"/>
      <w:marRight w:val="0"/>
      <w:marTop w:val="0"/>
      <w:marBottom w:val="0"/>
      <w:divBdr>
        <w:top w:val="none" w:sz="0" w:space="0" w:color="auto"/>
        <w:left w:val="none" w:sz="0" w:space="0" w:color="auto"/>
        <w:bottom w:val="none" w:sz="0" w:space="0" w:color="auto"/>
        <w:right w:val="none" w:sz="0" w:space="0" w:color="auto"/>
      </w:divBdr>
    </w:div>
    <w:div w:id="1224364209">
      <w:bodyDiv w:val="1"/>
      <w:marLeft w:val="0"/>
      <w:marRight w:val="0"/>
      <w:marTop w:val="0"/>
      <w:marBottom w:val="0"/>
      <w:divBdr>
        <w:top w:val="none" w:sz="0" w:space="0" w:color="auto"/>
        <w:left w:val="none" w:sz="0" w:space="0" w:color="auto"/>
        <w:bottom w:val="none" w:sz="0" w:space="0" w:color="auto"/>
        <w:right w:val="none" w:sz="0" w:space="0" w:color="auto"/>
      </w:divBdr>
    </w:div>
    <w:div w:id="1225027144">
      <w:bodyDiv w:val="1"/>
      <w:marLeft w:val="0"/>
      <w:marRight w:val="0"/>
      <w:marTop w:val="0"/>
      <w:marBottom w:val="0"/>
      <w:divBdr>
        <w:top w:val="none" w:sz="0" w:space="0" w:color="auto"/>
        <w:left w:val="none" w:sz="0" w:space="0" w:color="auto"/>
        <w:bottom w:val="none" w:sz="0" w:space="0" w:color="auto"/>
        <w:right w:val="none" w:sz="0" w:space="0" w:color="auto"/>
      </w:divBdr>
    </w:div>
    <w:div w:id="1228685849">
      <w:bodyDiv w:val="1"/>
      <w:marLeft w:val="0"/>
      <w:marRight w:val="0"/>
      <w:marTop w:val="0"/>
      <w:marBottom w:val="0"/>
      <w:divBdr>
        <w:top w:val="none" w:sz="0" w:space="0" w:color="auto"/>
        <w:left w:val="none" w:sz="0" w:space="0" w:color="auto"/>
        <w:bottom w:val="none" w:sz="0" w:space="0" w:color="auto"/>
        <w:right w:val="none" w:sz="0" w:space="0" w:color="auto"/>
      </w:divBdr>
    </w:div>
    <w:div w:id="1251426195">
      <w:bodyDiv w:val="1"/>
      <w:marLeft w:val="0"/>
      <w:marRight w:val="0"/>
      <w:marTop w:val="0"/>
      <w:marBottom w:val="0"/>
      <w:divBdr>
        <w:top w:val="none" w:sz="0" w:space="0" w:color="auto"/>
        <w:left w:val="none" w:sz="0" w:space="0" w:color="auto"/>
        <w:bottom w:val="none" w:sz="0" w:space="0" w:color="auto"/>
        <w:right w:val="none" w:sz="0" w:space="0" w:color="auto"/>
      </w:divBdr>
    </w:div>
    <w:div w:id="1258488679">
      <w:bodyDiv w:val="1"/>
      <w:marLeft w:val="0"/>
      <w:marRight w:val="0"/>
      <w:marTop w:val="0"/>
      <w:marBottom w:val="0"/>
      <w:divBdr>
        <w:top w:val="none" w:sz="0" w:space="0" w:color="auto"/>
        <w:left w:val="none" w:sz="0" w:space="0" w:color="auto"/>
        <w:bottom w:val="none" w:sz="0" w:space="0" w:color="auto"/>
        <w:right w:val="none" w:sz="0" w:space="0" w:color="auto"/>
      </w:divBdr>
    </w:div>
    <w:div w:id="1298800846">
      <w:bodyDiv w:val="1"/>
      <w:marLeft w:val="0"/>
      <w:marRight w:val="0"/>
      <w:marTop w:val="0"/>
      <w:marBottom w:val="0"/>
      <w:divBdr>
        <w:top w:val="none" w:sz="0" w:space="0" w:color="auto"/>
        <w:left w:val="none" w:sz="0" w:space="0" w:color="auto"/>
        <w:bottom w:val="none" w:sz="0" w:space="0" w:color="auto"/>
        <w:right w:val="none" w:sz="0" w:space="0" w:color="auto"/>
      </w:divBdr>
    </w:div>
    <w:div w:id="1332836362">
      <w:bodyDiv w:val="1"/>
      <w:marLeft w:val="0"/>
      <w:marRight w:val="0"/>
      <w:marTop w:val="0"/>
      <w:marBottom w:val="0"/>
      <w:divBdr>
        <w:top w:val="none" w:sz="0" w:space="0" w:color="auto"/>
        <w:left w:val="none" w:sz="0" w:space="0" w:color="auto"/>
        <w:bottom w:val="none" w:sz="0" w:space="0" w:color="auto"/>
        <w:right w:val="none" w:sz="0" w:space="0" w:color="auto"/>
      </w:divBdr>
    </w:div>
    <w:div w:id="1348406466">
      <w:bodyDiv w:val="1"/>
      <w:marLeft w:val="0"/>
      <w:marRight w:val="0"/>
      <w:marTop w:val="0"/>
      <w:marBottom w:val="0"/>
      <w:divBdr>
        <w:top w:val="none" w:sz="0" w:space="0" w:color="auto"/>
        <w:left w:val="none" w:sz="0" w:space="0" w:color="auto"/>
        <w:bottom w:val="none" w:sz="0" w:space="0" w:color="auto"/>
        <w:right w:val="none" w:sz="0" w:space="0" w:color="auto"/>
      </w:divBdr>
    </w:div>
    <w:div w:id="1394154376">
      <w:bodyDiv w:val="1"/>
      <w:marLeft w:val="0"/>
      <w:marRight w:val="0"/>
      <w:marTop w:val="0"/>
      <w:marBottom w:val="0"/>
      <w:divBdr>
        <w:top w:val="none" w:sz="0" w:space="0" w:color="auto"/>
        <w:left w:val="none" w:sz="0" w:space="0" w:color="auto"/>
        <w:bottom w:val="none" w:sz="0" w:space="0" w:color="auto"/>
        <w:right w:val="none" w:sz="0" w:space="0" w:color="auto"/>
      </w:divBdr>
    </w:div>
    <w:div w:id="1409771413">
      <w:bodyDiv w:val="1"/>
      <w:marLeft w:val="0"/>
      <w:marRight w:val="0"/>
      <w:marTop w:val="0"/>
      <w:marBottom w:val="0"/>
      <w:divBdr>
        <w:top w:val="none" w:sz="0" w:space="0" w:color="auto"/>
        <w:left w:val="none" w:sz="0" w:space="0" w:color="auto"/>
        <w:bottom w:val="none" w:sz="0" w:space="0" w:color="auto"/>
        <w:right w:val="none" w:sz="0" w:space="0" w:color="auto"/>
      </w:divBdr>
    </w:div>
    <w:div w:id="1435860499">
      <w:bodyDiv w:val="1"/>
      <w:marLeft w:val="0"/>
      <w:marRight w:val="0"/>
      <w:marTop w:val="0"/>
      <w:marBottom w:val="0"/>
      <w:divBdr>
        <w:top w:val="none" w:sz="0" w:space="0" w:color="auto"/>
        <w:left w:val="none" w:sz="0" w:space="0" w:color="auto"/>
        <w:bottom w:val="none" w:sz="0" w:space="0" w:color="auto"/>
        <w:right w:val="none" w:sz="0" w:space="0" w:color="auto"/>
      </w:divBdr>
    </w:div>
    <w:div w:id="1451902808">
      <w:bodyDiv w:val="1"/>
      <w:marLeft w:val="0"/>
      <w:marRight w:val="0"/>
      <w:marTop w:val="0"/>
      <w:marBottom w:val="0"/>
      <w:divBdr>
        <w:top w:val="none" w:sz="0" w:space="0" w:color="auto"/>
        <w:left w:val="none" w:sz="0" w:space="0" w:color="auto"/>
        <w:bottom w:val="none" w:sz="0" w:space="0" w:color="auto"/>
        <w:right w:val="none" w:sz="0" w:space="0" w:color="auto"/>
      </w:divBdr>
    </w:div>
    <w:div w:id="1478104544">
      <w:bodyDiv w:val="1"/>
      <w:marLeft w:val="0"/>
      <w:marRight w:val="0"/>
      <w:marTop w:val="0"/>
      <w:marBottom w:val="0"/>
      <w:divBdr>
        <w:top w:val="none" w:sz="0" w:space="0" w:color="auto"/>
        <w:left w:val="none" w:sz="0" w:space="0" w:color="auto"/>
        <w:bottom w:val="none" w:sz="0" w:space="0" w:color="auto"/>
        <w:right w:val="none" w:sz="0" w:space="0" w:color="auto"/>
      </w:divBdr>
    </w:div>
    <w:div w:id="1498810202">
      <w:bodyDiv w:val="1"/>
      <w:marLeft w:val="0"/>
      <w:marRight w:val="0"/>
      <w:marTop w:val="0"/>
      <w:marBottom w:val="0"/>
      <w:divBdr>
        <w:top w:val="none" w:sz="0" w:space="0" w:color="auto"/>
        <w:left w:val="none" w:sz="0" w:space="0" w:color="auto"/>
        <w:bottom w:val="none" w:sz="0" w:space="0" w:color="auto"/>
        <w:right w:val="none" w:sz="0" w:space="0" w:color="auto"/>
      </w:divBdr>
    </w:div>
    <w:div w:id="1512598707">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16571417">
      <w:bodyDiv w:val="1"/>
      <w:marLeft w:val="0"/>
      <w:marRight w:val="0"/>
      <w:marTop w:val="0"/>
      <w:marBottom w:val="0"/>
      <w:divBdr>
        <w:top w:val="none" w:sz="0" w:space="0" w:color="auto"/>
        <w:left w:val="none" w:sz="0" w:space="0" w:color="auto"/>
        <w:bottom w:val="none" w:sz="0" w:space="0" w:color="auto"/>
        <w:right w:val="none" w:sz="0" w:space="0" w:color="auto"/>
      </w:divBdr>
    </w:div>
    <w:div w:id="1537964359">
      <w:bodyDiv w:val="1"/>
      <w:marLeft w:val="0"/>
      <w:marRight w:val="0"/>
      <w:marTop w:val="0"/>
      <w:marBottom w:val="0"/>
      <w:divBdr>
        <w:top w:val="none" w:sz="0" w:space="0" w:color="auto"/>
        <w:left w:val="none" w:sz="0" w:space="0" w:color="auto"/>
        <w:bottom w:val="none" w:sz="0" w:space="0" w:color="auto"/>
        <w:right w:val="none" w:sz="0" w:space="0" w:color="auto"/>
      </w:divBdr>
    </w:div>
    <w:div w:id="1555120362">
      <w:bodyDiv w:val="1"/>
      <w:marLeft w:val="0"/>
      <w:marRight w:val="0"/>
      <w:marTop w:val="0"/>
      <w:marBottom w:val="0"/>
      <w:divBdr>
        <w:top w:val="none" w:sz="0" w:space="0" w:color="auto"/>
        <w:left w:val="none" w:sz="0" w:space="0" w:color="auto"/>
        <w:bottom w:val="none" w:sz="0" w:space="0" w:color="auto"/>
        <w:right w:val="none" w:sz="0" w:space="0" w:color="auto"/>
      </w:divBdr>
    </w:div>
    <w:div w:id="1565140163">
      <w:bodyDiv w:val="1"/>
      <w:marLeft w:val="0"/>
      <w:marRight w:val="0"/>
      <w:marTop w:val="0"/>
      <w:marBottom w:val="0"/>
      <w:divBdr>
        <w:top w:val="none" w:sz="0" w:space="0" w:color="auto"/>
        <w:left w:val="none" w:sz="0" w:space="0" w:color="auto"/>
        <w:bottom w:val="none" w:sz="0" w:space="0" w:color="auto"/>
        <w:right w:val="none" w:sz="0" w:space="0" w:color="auto"/>
      </w:divBdr>
    </w:div>
    <w:div w:id="1594628360">
      <w:bodyDiv w:val="1"/>
      <w:marLeft w:val="0"/>
      <w:marRight w:val="0"/>
      <w:marTop w:val="0"/>
      <w:marBottom w:val="0"/>
      <w:divBdr>
        <w:top w:val="none" w:sz="0" w:space="0" w:color="auto"/>
        <w:left w:val="none" w:sz="0" w:space="0" w:color="auto"/>
        <w:bottom w:val="none" w:sz="0" w:space="0" w:color="auto"/>
        <w:right w:val="none" w:sz="0" w:space="0" w:color="auto"/>
      </w:divBdr>
    </w:div>
    <w:div w:id="1642153954">
      <w:bodyDiv w:val="1"/>
      <w:marLeft w:val="0"/>
      <w:marRight w:val="0"/>
      <w:marTop w:val="0"/>
      <w:marBottom w:val="0"/>
      <w:divBdr>
        <w:top w:val="none" w:sz="0" w:space="0" w:color="auto"/>
        <w:left w:val="none" w:sz="0" w:space="0" w:color="auto"/>
        <w:bottom w:val="none" w:sz="0" w:space="0" w:color="auto"/>
        <w:right w:val="none" w:sz="0" w:space="0" w:color="auto"/>
      </w:divBdr>
    </w:div>
    <w:div w:id="1644578076">
      <w:bodyDiv w:val="1"/>
      <w:marLeft w:val="0"/>
      <w:marRight w:val="0"/>
      <w:marTop w:val="0"/>
      <w:marBottom w:val="0"/>
      <w:divBdr>
        <w:top w:val="none" w:sz="0" w:space="0" w:color="auto"/>
        <w:left w:val="none" w:sz="0" w:space="0" w:color="auto"/>
        <w:bottom w:val="none" w:sz="0" w:space="0" w:color="auto"/>
        <w:right w:val="none" w:sz="0" w:space="0" w:color="auto"/>
      </w:divBdr>
    </w:div>
    <w:div w:id="1647389448">
      <w:bodyDiv w:val="1"/>
      <w:marLeft w:val="0"/>
      <w:marRight w:val="0"/>
      <w:marTop w:val="0"/>
      <w:marBottom w:val="0"/>
      <w:divBdr>
        <w:top w:val="none" w:sz="0" w:space="0" w:color="auto"/>
        <w:left w:val="none" w:sz="0" w:space="0" w:color="auto"/>
        <w:bottom w:val="none" w:sz="0" w:space="0" w:color="auto"/>
        <w:right w:val="none" w:sz="0" w:space="0" w:color="auto"/>
      </w:divBdr>
    </w:div>
    <w:div w:id="1654677119">
      <w:bodyDiv w:val="1"/>
      <w:marLeft w:val="0"/>
      <w:marRight w:val="0"/>
      <w:marTop w:val="0"/>
      <w:marBottom w:val="0"/>
      <w:divBdr>
        <w:top w:val="none" w:sz="0" w:space="0" w:color="auto"/>
        <w:left w:val="none" w:sz="0" w:space="0" w:color="auto"/>
        <w:bottom w:val="none" w:sz="0" w:space="0" w:color="auto"/>
        <w:right w:val="none" w:sz="0" w:space="0" w:color="auto"/>
      </w:divBdr>
    </w:div>
    <w:div w:id="1668049837">
      <w:bodyDiv w:val="1"/>
      <w:marLeft w:val="0"/>
      <w:marRight w:val="0"/>
      <w:marTop w:val="0"/>
      <w:marBottom w:val="0"/>
      <w:divBdr>
        <w:top w:val="none" w:sz="0" w:space="0" w:color="auto"/>
        <w:left w:val="none" w:sz="0" w:space="0" w:color="auto"/>
        <w:bottom w:val="none" w:sz="0" w:space="0" w:color="auto"/>
        <w:right w:val="none" w:sz="0" w:space="0" w:color="auto"/>
      </w:divBdr>
    </w:div>
    <w:div w:id="1679573428">
      <w:bodyDiv w:val="1"/>
      <w:marLeft w:val="0"/>
      <w:marRight w:val="0"/>
      <w:marTop w:val="0"/>
      <w:marBottom w:val="0"/>
      <w:divBdr>
        <w:top w:val="none" w:sz="0" w:space="0" w:color="auto"/>
        <w:left w:val="none" w:sz="0" w:space="0" w:color="auto"/>
        <w:bottom w:val="none" w:sz="0" w:space="0" w:color="auto"/>
        <w:right w:val="none" w:sz="0" w:space="0" w:color="auto"/>
      </w:divBdr>
    </w:div>
    <w:div w:id="1680694166">
      <w:bodyDiv w:val="1"/>
      <w:marLeft w:val="0"/>
      <w:marRight w:val="0"/>
      <w:marTop w:val="0"/>
      <w:marBottom w:val="0"/>
      <w:divBdr>
        <w:top w:val="none" w:sz="0" w:space="0" w:color="auto"/>
        <w:left w:val="none" w:sz="0" w:space="0" w:color="auto"/>
        <w:bottom w:val="none" w:sz="0" w:space="0" w:color="auto"/>
        <w:right w:val="none" w:sz="0" w:space="0" w:color="auto"/>
      </w:divBdr>
    </w:div>
    <w:div w:id="1681198051">
      <w:bodyDiv w:val="1"/>
      <w:marLeft w:val="0"/>
      <w:marRight w:val="0"/>
      <w:marTop w:val="0"/>
      <w:marBottom w:val="0"/>
      <w:divBdr>
        <w:top w:val="none" w:sz="0" w:space="0" w:color="auto"/>
        <w:left w:val="none" w:sz="0" w:space="0" w:color="auto"/>
        <w:bottom w:val="none" w:sz="0" w:space="0" w:color="auto"/>
        <w:right w:val="none" w:sz="0" w:space="0" w:color="auto"/>
      </w:divBdr>
    </w:div>
    <w:div w:id="1699892775">
      <w:bodyDiv w:val="1"/>
      <w:marLeft w:val="0"/>
      <w:marRight w:val="0"/>
      <w:marTop w:val="0"/>
      <w:marBottom w:val="0"/>
      <w:divBdr>
        <w:top w:val="none" w:sz="0" w:space="0" w:color="auto"/>
        <w:left w:val="none" w:sz="0" w:space="0" w:color="auto"/>
        <w:bottom w:val="none" w:sz="0" w:space="0" w:color="auto"/>
        <w:right w:val="none" w:sz="0" w:space="0" w:color="auto"/>
      </w:divBdr>
    </w:div>
    <w:div w:id="1736053220">
      <w:bodyDiv w:val="1"/>
      <w:marLeft w:val="0"/>
      <w:marRight w:val="0"/>
      <w:marTop w:val="0"/>
      <w:marBottom w:val="0"/>
      <w:divBdr>
        <w:top w:val="none" w:sz="0" w:space="0" w:color="auto"/>
        <w:left w:val="none" w:sz="0" w:space="0" w:color="auto"/>
        <w:bottom w:val="none" w:sz="0" w:space="0" w:color="auto"/>
        <w:right w:val="none" w:sz="0" w:space="0" w:color="auto"/>
      </w:divBdr>
    </w:div>
    <w:div w:id="1745450015">
      <w:bodyDiv w:val="1"/>
      <w:marLeft w:val="0"/>
      <w:marRight w:val="0"/>
      <w:marTop w:val="0"/>
      <w:marBottom w:val="0"/>
      <w:divBdr>
        <w:top w:val="none" w:sz="0" w:space="0" w:color="auto"/>
        <w:left w:val="none" w:sz="0" w:space="0" w:color="auto"/>
        <w:bottom w:val="none" w:sz="0" w:space="0" w:color="auto"/>
        <w:right w:val="none" w:sz="0" w:space="0" w:color="auto"/>
      </w:divBdr>
    </w:div>
    <w:div w:id="1762799547">
      <w:bodyDiv w:val="1"/>
      <w:marLeft w:val="0"/>
      <w:marRight w:val="0"/>
      <w:marTop w:val="0"/>
      <w:marBottom w:val="0"/>
      <w:divBdr>
        <w:top w:val="none" w:sz="0" w:space="0" w:color="auto"/>
        <w:left w:val="none" w:sz="0" w:space="0" w:color="auto"/>
        <w:bottom w:val="none" w:sz="0" w:space="0" w:color="auto"/>
        <w:right w:val="none" w:sz="0" w:space="0" w:color="auto"/>
      </w:divBdr>
    </w:div>
    <w:div w:id="1774007855">
      <w:bodyDiv w:val="1"/>
      <w:marLeft w:val="0"/>
      <w:marRight w:val="0"/>
      <w:marTop w:val="0"/>
      <w:marBottom w:val="0"/>
      <w:divBdr>
        <w:top w:val="none" w:sz="0" w:space="0" w:color="auto"/>
        <w:left w:val="none" w:sz="0" w:space="0" w:color="auto"/>
        <w:bottom w:val="none" w:sz="0" w:space="0" w:color="auto"/>
        <w:right w:val="none" w:sz="0" w:space="0" w:color="auto"/>
      </w:divBdr>
    </w:div>
    <w:div w:id="1779173737">
      <w:bodyDiv w:val="1"/>
      <w:marLeft w:val="0"/>
      <w:marRight w:val="0"/>
      <w:marTop w:val="0"/>
      <w:marBottom w:val="0"/>
      <w:divBdr>
        <w:top w:val="none" w:sz="0" w:space="0" w:color="auto"/>
        <w:left w:val="none" w:sz="0" w:space="0" w:color="auto"/>
        <w:bottom w:val="none" w:sz="0" w:space="0" w:color="auto"/>
        <w:right w:val="none" w:sz="0" w:space="0" w:color="auto"/>
      </w:divBdr>
    </w:div>
    <w:div w:id="1799103693">
      <w:bodyDiv w:val="1"/>
      <w:marLeft w:val="0"/>
      <w:marRight w:val="0"/>
      <w:marTop w:val="0"/>
      <w:marBottom w:val="0"/>
      <w:divBdr>
        <w:top w:val="none" w:sz="0" w:space="0" w:color="auto"/>
        <w:left w:val="none" w:sz="0" w:space="0" w:color="auto"/>
        <w:bottom w:val="none" w:sz="0" w:space="0" w:color="auto"/>
        <w:right w:val="none" w:sz="0" w:space="0" w:color="auto"/>
      </w:divBdr>
    </w:div>
    <w:div w:id="1831368924">
      <w:bodyDiv w:val="1"/>
      <w:marLeft w:val="0"/>
      <w:marRight w:val="0"/>
      <w:marTop w:val="0"/>
      <w:marBottom w:val="0"/>
      <w:divBdr>
        <w:top w:val="none" w:sz="0" w:space="0" w:color="auto"/>
        <w:left w:val="none" w:sz="0" w:space="0" w:color="auto"/>
        <w:bottom w:val="none" w:sz="0" w:space="0" w:color="auto"/>
        <w:right w:val="none" w:sz="0" w:space="0" w:color="auto"/>
      </w:divBdr>
    </w:div>
    <w:div w:id="1843423188">
      <w:bodyDiv w:val="1"/>
      <w:marLeft w:val="0"/>
      <w:marRight w:val="0"/>
      <w:marTop w:val="0"/>
      <w:marBottom w:val="0"/>
      <w:divBdr>
        <w:top w:val="none" w:sz="0" w:space="0" w:color="auto"/>
        <w:left w:val="none" w:sz="0" w:space="0" w:color="auto"/>
        <w:bottom w:val="none" w:sz="0" w:space="0" w:color="auto"/>
        <w:right w:val="none" w:sz="0" w:space="0" w:color="auto"/>
      </w:divBdr>
    </w:div>
    <w:div w:id="1879656459">
      <w:bodyDiv w:val="1"/>
      <w:marLeft w:val="0"/>
      <w:marRight w:val="0"/>
      <w:marTop w:val="0"/>
      <w:marBottom w:val="0"/>
      <w:divBdr>
        <w:top w:val="none" w:sz="0" w:space="0" w:color="auto"/>
        <w:left w:val="none" w:sz="0" w:space="0" w:color="auto"/>
        <w:bottom w:val="none" w:sz="0" w:space="0" w:color="auto"/>
        <w:right w:val="none" w:sz="0" w:space="0" w:color="auto"/>
      </w:divBdr>
    </w:div>
    <w:div w:id="1941326927">
      <w:bodyDiv w:val="1"/>
      <w:marLeft w:val="0"/>
      <w:marRight w:val="0"/>
      <w:marTop w:val="0"/>
      <w:marBottom w:val="0"/>
      <w:divBdr>
        <w:top w:val="none" w:sz="0" w:space="0" w:color="auto"/>
        <w:left w:val="none" w:sz="0" w:space="0" w:color="auto"/>
        <w:bottom w:val="none" w:sz="0" w:space="0" w:color="auto"/>
        <w:right w:val="none" w:sz="0" w:space="0" w:color="auto"/>
      </w:divBdr>
    </w:div>
    <w:div w:id="1953200122">
      <w:bodyDiv w:val="1"/>
      <w:marLeft w:val="0"/>
      <w:marRight w:val="0"/>
      <w:marTop w:val="0"/>
      <w:marBottom w:val="0"/>
      <w:divBdr>
        <w:top w:val="none" w:sz="0" w:space="0" w:color="auto"/>
        <w:left w:val="none" w:sz="0" w:space="0" w:color="auto"/>
        <w:bottom w:val="none" w:sz="0" w:space="0" w:color="auto"/>
        <w:right w:val="none" w:sz="0" w:space="0" w:color="auto"/>
      </w:divBdr>
    </w:div>
    <w:div w:id="1964574578">
      <w:bodyDiv w:val="1"/>
      <w:marLeft w:val="0"/>
      <w:marRight w:val="0"/>
      <w:marTop w:val="0"/>
      <w:marBottom w:val="0"/>
      <w:divBdr>
        <w:top w:val="none" w:sz="0" w:space="0" w:color="auto"/>
        <w:left w:val="none" w:sz="0" w:space="0" w:color="auto"/>
        <w:bottom w:val="none" w:sz="0" w:space="0" w:color="auto"/>
        <w:right w:val="none" w:sz="0" w:space="0" w:color="auto"/>
      </w:divBdr>
    </w:div>
    <w:div w:id="1966083980">
      <w:bodyDiv w:val="1"/>
      <w:marLeft w:val="0"/>
      <w:marRight w:val="0"/>
      <w:marTop w:val="0"/>
      <w:marBottom w:val="0"/>
      <w:divBdr>
        <w:top w:val="none" w:sz="0" w:space="0" w:color="auto"/>
        <w:left w:val="none" w:sz="0" w:space="0" w:color="auto"/>
        <w:bottom w:val="none" w:sz="0" w:space="0" w:color="auto"/>
        <w:right w:val="none" w:sz="0" w:space="0" w:color="auto"/>
      </w:divBdr>
    </w:div>
    <w:div w:id="1981305828">
      <w:bodyDiv w:val="1"/>
      <w:marLeft w:val="0"/>
      <w:marRight w:val="0"/>
      <w:marTop w:val="0"/>
      <w:marBottom w:val="0"/>
      <w:divBdr>
        <w:top w:val="none" w:sz="0" w:space="0" w:color="auto"/>
        <w:left w:val="none" w:sz="0" w:space="0" w:color="auto"/>
        <w:bottom w:val="none" w:sz="0" w:space="0" w:color="auto"/>
        <w:right w:val="none" w:sz="0" w:space="0" w:color="auto"/>
      </w:divBdr>
    </w:div>
    <w:div w:id="2002157009">
      <w:bodyDiv w:val="1"/>
      <w:marLeft w:val="0"/>
      <w:marRight w:val="0"/>
      <w:marTop w:val="0"/>
      <w:marBottom w:val="0"/>
      <w:divBdr>
        <w:top w:val="none" w:sz="0" w:space="0" w:color="auto"/>
        <w:left w:val="none" w:sz="0" w:space="0" w:color="auto"/>
        <w:bottom w:val="none" w:sz="0" w:space="0" w:color="auto"/>
        <w:right w:val="none" w:sz="0" w:space="0" w:color="auto"/>
      </w:divBdr>
    </w:div>
    <w:div w:id="2030450440">
      <w:bodyDiv w:val="1"/>
      <w:marLeft w:val="0"/>
      <w:marRight w:val="0"/>
      <w:marTop w:val="0"/>
      <w:marBottom w:val="0"/>
      <w:divBdr>
        <w:top w:val="none" w:sz="0" w:space="0" w:color="auto"/>
        <w:left w:val="none" w:sz="0" w:space="0" w:color="auto"/>
        <w:bottom w:val="none" w:sz="0" w:space="0" w:color="auto"/>
        <w:right w:val="none" w:sz="0" w:space="0" w:color="auto"/>
      </w:divBdr>
    </w:div>
    <w:div w:id="2042897900">
      <w:bodyDiv w:val="1"/>
      <w:marLeft w:val="0"/>
      <w:marRight w:val="0"/>
      <w:marTop w:val="0"/>
      <w:marBottom w:val="0"/>
      <w:divBdr>
        <w:top w:val="none" w:sz="0" w:space="0" w:color="auto"/>
        <w:left w:val="none" w:sz="0" w:space="0" w:color="auto"/>
        <w:bottom w:val="none" w:sz="0" w:space="0" w:color="auto"/>
        <w:right w:val="none" w:sz="0" w:space="0" w:color="auto"/>
      </w:divBdr>
    </w:div>
    <w:div w:id="2104108957">
      <w:bodyDiv w:val="1"/>
      <w:marLeft w:val="0"/>
      <w:marRight w:val="0"/>
      <w:marTop w:val="0"/>
      <w:marBottom w:val="0"/>
      <w:divBdr>
        <w:top w:val="none" w:sz="0" w:space="0" w:color="auto"/>
        <w:left w:val="none" w:sz="0" w:space="0" w:color="auto"/>
        <w:bottom w:val="none" w:sz="0" w:space="0" w:color="auto"/>
        <w:right w:val="none" w:sz="0" w:space="0" w:color="auto"/>
      </w:divBdr>
    </w:div>
    <w:div w:id="2116359454">
      <w:bodyDiv w:val="1"/>
      <w:marLeft w:val="0"/>
      <w:marRight w:val="0"/>
      <w:marTop w:val="0"/>
      <w:marBottom w:val="0"/>
      <w:divBdr>
        <w:top w:val="none" w:sz="0" w:space="0" w:color="auto"/>
        <w:left w:val="none" w:sz="0" w:space="0" w:color="auto"/>
        <w:bottom w:val="none" w:sz="0" w:space="0" w:color="auto"/>
        <w:right w:val="none" w:sz="0" w:space="0" w:color="auto"/>
      </w:divBdr>
    </w:div>
    <w:div w:id="213964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4942C34D83FF4FA91571050E536A93" ma:contentTypeVersion="6" ma:contentTypeDescription="Create a new document." ma:contentTypeScope="" ma:versionID="6d519dc933cfb08945c308d964b1a8ee">
  <xsd:schema xmlns:xsd="http://www.w3.org/2001/XMLSchema" xmlns:xs="http://www.w3.org/2001/XMLSchema" xmlns:p="http://schemas.microsoft.com/office/2006/metadata/properties" xmlns:ns2="810b087e-e63c-4859-ac56-9c3d955541ca" xmlns:ns3="89dc5ef0-1810-41f1-9388-914db552e87d" targetNamespace="http://schemas.microsoft.com/office/2006/metadata/properties" ma:root="true" ma:fieldsID="88c8ad6de65165f782b9df854fe14144" ns2:_="" ns3:_="">
    <xsd:import namespace="810b087e-e63c-4859-ac56-9c3d955541ca"/>
    <xsd:import namespace="89dc5ef0-1810-41f1-9388-914db552e87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b087e-e63c-4859-ac56-9c3d955541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dc5ef0-1810-41f1-9388-914db552e8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006359-5303-4FC7-A06B-9FA5065A9B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b087e-e63c-4859-ac56-9c3d955541ca"/>
    <ds:schemaRef ds:uri="89dc5ef0-1810-41f1-9388-914db552e8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0E6C7D-7CC6-4D5C-9E48-452AEDF32DFA}">
  <ds:schemaRefs>
    <ds:schemaRef ds:uri="http://schemas.microsoft.com/sharepoint/v3/contenttype/forms"/>
  </ds:schemaRefs>
</ds:datastoreItem>
</file>

<file path=customXml/itemProps3.xml><?xml version="1.0" encoding="utf-8"?>
<ds:datastoreItem xmlns:ds="http://schemas.openxmlformats.org/officeDocument/2006/customXml" ds:itemID="{5DEF379A-AAAF-42CD-91D7-8E1C28A1DB2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155945F-918D-477B-925A-C7786F883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TotalTime>
  <Pages>1</Pages>
  <Words>2783</Words>
  <Characters>15867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Company>
  <LinksUpToDate>false</LinksUpToDate>
  <CharactersWithSpaces>18613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dc:description/>
  <cp:lastModifiedBy>Salas, Daniela M</cp:lastModifiedBy>
  <cp:revision>2</cp:revision>
  <dcterms:created xsi:type="dcterms:W3CDTF">2025-09-08T18:47:00Z</dcterms:created>
  <dcterms:modified xsi:type="dcterms:W3CDTF">2025-09-08T18:47:00Z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1670122802</vt:i4>
  </property>
  <property fmtid="{D5CDD505-2E9C-101B-9397-08002B2CF9AE}" pid="3" name="_ReviewCycleID">
    <vt:i4>1670122802</vt:i4>
  </property>
  <property fmtid="{D5CDD505-2E9C-101B-9397-08002B2CF9AE}" pid="4" name="_NewReviewCycle">
    <vt:lpwstr/>
  </property>
  <property fmtid="{D5CDD505-2E9C-101B-9397-08002B2CF9AE}" pid="5" name="_EmailEntryID">
    <vt:lpwstr>000000000686971C48ACC94DBA1F73F08C35D9E2070074003E8994FF8D43BBFD4581006EFC97000000000109000074003E8994FF8D43BBFD4581006EFC970000E87442A20000</vt:lpwstr>
  </property>
  <property fmtid="{D5CDD505-2E9C-101B-9397-08002B2CF9AE}" pid="6" name="_EmailStoreID0">
    <vt:lpwstr>0000000038A1BB1005E5101AA1BB08002B2A56C20000454D534D44422E444C4C00000000000000001B55FA20AA6611CD9BC800AA002FC45A0C000000457A656B69656C2E4B72697374656B404356534865616C74682E636F6D002F6F3D45786368616E67654C6162732F6F753D45786368616E67652041646D696E697374726</vt:lpwstr>
  </property>
  <property fmtid="{D5CDD505-2E9C-101B-9397-08002B2CF9AE}" pid="7" name="_EmailStoreID1">
    <vt:lpwstr>1746976652047726F7570202846594449424F484632335350444C54292F636E3D526563697069656E74732F636E3D63323935303662616536336634626666393337303035653134663964383531362D3136393735303800E94632F44E000000020000001000000045007A0065006B00690065006C002E004B00720069007300</vt:lpwstr>
  </property>
  <property fmtid="{D5CDD505-2E9C-101B-9397-08002B2CF9AE}" pid="8" name="_EmailStoreID2">
    <vt:lpwstr>740065006B0040004300560053004800650061006C00740068002E0063006F006D0000000000</vt:lpwstr>
  </property>
  <property fmtid="{D5CDD505-2E9C-101B-9397-08002B2CF9AE}" pid="9" name="MSIP_Label_67599526-06ca-49cc-9fa9-5307800a949a_Enabled">
    <vt:lpwstr>true</vt:lpwstr>
  </property>
  <property fmtid="{D5CDD505-2E9C-101B-9397-08002B2CF9AE}" pid="10" name="MSIP_Label_67599526-06ca-49cc-9fa9-5307800a949a_SetDate">
    <vt:lpwstr>2022-01-04T13:40:54Z</vt:lpwstr>
  </property>
  <property fmtid="{D5CDD505-2E9C-101B-9397-08002B2CF9AE}" pid="11" name="MSIP_Label_67599526-06ca-49cc-9fa9-5307800a949a_Method">
    <vt:lpwstr>Standard</vt:lpwstr>
  </property>
  <property fmtid="{D5CDD505-2E9C-101B-9397-08002B2CF9AE}" pid="12" name="MSIP_Label_67599526-06ca-49cc-9fa9-5307800a949a_Name">
    <vt:lpwstr>67599526-06ca-49cc-9fa9-5307800a949a</vt:lpwstr>
  </property>
  <property fmtid="{D5CDD505-2E9C-101B-9397-08002B2CF9AE}" pid="13" name="MSIP_Label_67599526-06ca-49cc-9fa9-5307800a949a_SiteId">
    <vt:lpwstr>fabb61b8-3afe-4e75-b934-a47f782b8cd7</vt:lpwstr>
  </property>
  <property fmtid="{D5CDD505-2E9C-101B-9397-08002B2CF9AE}" pid="14" name="MSIP_Label_67599526-06ca-49cc-9fa9-5307800a949a_ActionId">
    <vt:lpwstr>b58f1d2e-3022-4041-b613-a339fbf7307b</vt:lpwstr>
  </property>
  <property fmtid="{D5CDD505-2E9C-101B-9397-08002B2CF9AE}" pid="15" name="MSIP_Label_67599526-06ca-49cc-9fa9-5307800a949a_ContentBits">
    <vt:lpwstr>0</vt:lpwstr>
  </property>
  <property fmtid="{D5CDD505-2E9C-101B-9397-08002B2CF9AE}" pid="16" name="ContentTypeId">
    <vt:lpwstr>0x010100C54942C34D83FF4FA91571050E536A93</vt:lpwstr>
  </property>
  <property fmtid="{D5CDD505-2E9C-101B-9397-08002B2CF9AE}" pid="17" name="_ReviewingToolsShownOnce">
    <vt:lpwstr/>
  </property>
</Properties>
</file>