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23AA0D95" w:rsidR="00524CDD" w:rsidRPr="00CC4BFE" w:rsidRDefault="26A4B3DF" w:rsidP="00862C44">
      <w:pPr>
        <w:pStyle w:val="Heading1"/>
        <w:spacing w:before="120" w:after="120"/>
        <w:rPr>
          <w:color w:val="auto"/>
          <w:szCs w:val="36"/>
        </w:rPr>
      </w:pPr>
      <w:bookmarkStart w:id="0" w:name="_OneSource_Glossary_of"/>
      <w:bookmarkStart w:id="1" w:name="_Customer_Care_Abbreviations,"/>
      <w:bookmarkStart w:id="2" w:name="_top"/>
      <w:bookmarkEnd w:id="0"/>
      <w:bookmarkEnd w:id="1"/>
      <w:bookmarkEnd w:id="2"/>
      <w:r w:rsidRPr="38686A72">
        <w:rPr>
          <w:color w:val="auto"/>
          <w:szCs w:val="36"/>
        </w:rPr>
        <w:t>Customer Care Abbreviati</w:t>
      </w:r>
      <w:r w:rsidR="748F5ED5" w:rsidRPr="38686A72">
        <w:rPr>
          <w:color w:val="auto"/>
          <w:szCs w:val="36"/>
        </w:rPr>
        <w:t>ons</w:t>
      </w:r>
      <w:r w:rsidR="6EE1422C" w:rsidRPr="38686A72">
        <w:rPr>
          <w:color w:val="auto"/>
          <w:szCs w:val="36"/>
        </w:rPr>
        <w:t xml:space="preserve">, </w:t>
      </w:r>
      <w:r w:rsidR="748F5ED5" w:rsidRPr="38686A72">
        <w:rPr>
          <w:color w:val="auto"/>
          <w:szCs w:val="36"/>
        </w:rPr>
        <w:t>Definitions</w:t>
      </w:r>
      <w:r w:rsidR="6EE1422C" w:rsidRPr="38686A72">
        <w:rPr>
          <w:color w:val="auto"/>
          <w:szCs w:val="36"/>
        </w:rPr>
        <w:t xml:space="preserve"> and Terms</w:t>
      </w:r>
      <w:r w:rsidR="302DD45B" w:rsidRPr="38686A72">
        <w:rPr>
          <w:color w:val="auto"/>
          <w:szCs w:val="36"/>
        </w:rPr>
        <w:t xml:space="preserve"> </w:t>
      </w:r>
      <w:r w:rsidR="7C65294F" w:rsidRPr="38686A72">
        <w:rPr>
          <w:color w:val="auto"/>
          <w:szCs w:val="36"/>
        </w:rPr>
        <w:t xml:space="preserve">– L </w:t>
      </w:r>
    </w:p>
    <w:p w14:paraId="683E7202" w14:textId="77777777" w:rsidR="00BB59C1" w:rsidRPr="00862C44" w:rsidRDefault="00BB59C1" w:rsidP="00862C44">
      <w:pPr>
        <w:spacing w:before="120" w:after="120"/>
        <w:rPr>
          <w:rFonts w:ascii="Verdana" w:hAnsi="Verdana"/>
          <w:bCs/>
        </w:rPr>
      </w:pPr>
    </w:p>
    <w:p w14:paraId="018813C1" w14:textId="77777777" w:rsidR="00494AF4" w:rsidRPr="006F4D70" w:rsidRDefault="00494AF4" w:rsidP="00862C44">
      <w:pPr>
        <w:spacing w:before="120" w:after="120"/>
        <w:rPr>
          <w:rFonts w:ascii="Verdana" w:hAnsi="Verdana"/>
          <w:color w:val="0000FF"/>
        </w:rPr>
      </w:pPr>
    </w:p>
    <w:p w14:paraId="651F8FD8" w14:textId="1A242147" w:rsidR="00930A3C" w:rsidRPr="006F4D70" w:rsidRDefault="00233B04" w:rsidP="00862C44">
      <w:pPr>
        <w:spacing w:before="120" w:after="120"/>
        <w:jc w:val="both"/>
        <w:rPr>
          <w:rFonts w:ascii="Verdana" w:hAnsi="Verdana"/>
          <w:b/>
          <w:color w:val="000000"/>
        </w:rPr>
      </w:pPr>
      <w:r w:rsidRPr="006F4D70">
        <w:rPr>
          <w:rFonts w:ascii="Verdana" w:hAnsi="Verdana"/>
          <w:b/>
          <w:color w:val="000000"/>
        </w:rPr>
        <w:t xml:space="preserve"> </w:t>
      </w:r>
      <w:r w:rsidR="00930A3C" w:rsidRPr="006F4D70">
        <w:rPr>
          <w:rFonts w:ascii="Verdana" w:hAnsi="Verdana"/>
          <w:b/>
          <w:color w:val="000000"/>
        </w:rPr>
        <w:t xml:space="preserve">Each Alpha section </w:t>
      </w:r>
      <w:r w:rsidR="00C9521A" w:rsidRPr="006F4D70">
        <w:rPr>
          <w:rFonts w:ascii="Verdana" w:hAnsi="Verdana"/>
          <w:b/>
          <w:color w:val="000000"/>
        </w:rPr>
        <w:t>will have</w:t>
      </w:r>
      <w:r w:rsidR="00930A3C" w:rsidRPr="006F4D70">
        <w:rPr>
          <w:rFonts w:ascii="Verdana" w:hAnsi="Verdana"/>
          <w:b/>
          <w:color w:val="000000"/>
        </w:rPr>
        <w:t xml:space="preserve"> two</w:t>
      </w:r>
      <w:r w:rsidR="00E347BE" w:rsidRPr="006F4D70">
        <w:rPr>
          <w:rFonts w:ascii="Verdana" w:hAnsi="Verdana"/>
          <w:b/>
          <w:color w:val="000000"/>
        </w:rPr>
        <w:t xml:space="preserve"> </w:t>
      </w:r>
      <w:r w:rsidR="00AB2929" w:rsidRPr="006F4D70">
        <w:rPr>
          <w:rFonts w:ascii="Verdana" w:hAnsi="Verdana"/>
          <w:b/>
          <w:color w:val="000000"/>
        </w:rPr>
        <w:t xml:space="preserve">separate tables:  </w:t>
      </w:r>
    </w:p>
    <w:p w14:paraId="2816E4AE" w14:textId="7B372789" w:rsidR="00930A3C" w:rsidRPr="006F4D70" w:rsidRDefault="00930A3C" w:rsidP="00862C44">
      <w:pPr>
        <w:numPr>
          <w:ilvl w:val="0"/>
          <w:numId w:val="118"/>
        </w:numPr>
        <w:spacing w:before="120" w:after="120"/>
        <w:jc w:val="both"/>
        <w:rPr>
          <w:rFonts w:ascii="Verdana" w:hAnsi="Verdana"/>
          <w:bCs/>
          <w:color w:val="000000"/>
        </w:rPr>
      </w:pPr>
      <w:r w:rsidRPr="006F4D70">
        <w:rPr>
          <w:rFonts w:ascii="Verdana" w:hAnsi="Verdana"/>
          <w:b/>
          <w:color w:val="000000"/>
        </w:rPr>
        <w:t xml:space="preserve"> </w:t>
      </w:r>
      <w:r w:rsidRPr="006F4D70">
        <w:rPr>
          <w:rFonts w:ascii="Verdana" w:hAnsi="Verdana"/>
          <w:bCs/>
          <w:color w:val="000000"/>
        </w:rPr>
        <w:t>Abbreviation, Term and Definition</w:t>
      </w:r>
    </w:p>
    <w:p w14:paraId="4093D2D2" w14:textId="1B79583B" w:rsidR="00930A3C" w:rsidRPr="006F4D70" w:rsidRDefault="00930A3C" w:rsidP="00862C44">
      <w:pPr>
        <w:numPr>
          <w:ilvl w:val="0"/>
          <w:numId w:val="118"/>
        </w:numPr>
        <w:spacing w:before="120" w:after="120"/>
        <w:jc w:val="both"/>
        <w:rPr>
          <w:rFonts w:ascii="Verdana" w:hAnsi="Verdana"/>
          <w:bCs/>
          <w:color w:val="000000"/>
        </w:rPr>
      </w:pPr>
      <w:r w:rsidRPr="006F4D70">
        <w:rPr>
          <w:rFonts w:ascii="Verdana" w:hAnsi="Verdana"/>
          <w:bCs/>
          <w:color w:val="000000"/>
        </w:rPr>
        <w:t xml:space="preserve"> Term and Definition </w:t>
      </w:r>
    </w:p>
    <w:p w14:paraId="7A90F651" w14:textId="264679D6" w:rsidR="00930A3C" w:rsidRPr="006F4D70" w:rsidRDefault="00930A3C" w:rsidP="00862C44">
      <w:pPr>
        <w:spacing w:before="120" w:after="120"/>
        <w:jc w:val="both"/>
        <w:rPr>
          <w:rFonts w:ascii="Verdana" w:hAnsi="Verdana"/>
          <w:b/>
          <w:color w:val="000000"/>
        </w:rPr>
      </w:pPr>
    </w:p>
    <w:p w14:paraId="78BCDCAF" w14:textId="58CB9C17" w:rsidR="00930A3C" w:rsidRPr="006F4D70" w:rsidRDefault="2BAC6107" w:rsidP="00862C44">
      <w:pPr>
        <w:spacing w:before="120" w:after="120"/>
        <w:jc w:val="both"/>
        <w:rPr>
          <w:rFonts w:ascii="Verdana" w:hAnsi="Verdana"/>
          <w:b/>
          <w:bCs/>
          <w:color w:val="000000"/>
        </w:rPr>
      </w:pPr>
      <w:r w:rsidRPr="38686A72">
        <w:rPr>
          <w:rFonts w:ascii="Verdana" w:hAnsi="Verdana"/>
          <w:b/>
          <w:bCs/>
          <w:color w:val="000000" w:themeColor="text1"/>
        </w:rPr>
        <w:t>Note</w:t>
      </w:r>
      <w:bookmarkStart w:id="3" w:name="_Int_LqiE04OI"/>
      <w:r w:rsidRPr="38686A72">
        <w:rPr>
          <w:rFonts w:ascii="Verdana" w:hAnsi="Verdana"/>
          <w:b/>
          <w:bCs/>
          <w:color w:val="000000" w:themeColor="text1"/>
        </w:rPr>
        <w:t xml:space="preserve">:  </w:t>
      </w:r>
      <w:r w:rsidRPr="38686A72">
        <w:rPr>
          <w:rFonts w:ascii="Verdana" w:hAnsi="Verdana"/>
          <w:color w:val="000000" w:themeColor="text1"/>
        </w:rPr>
        <w:t>Terms</w:t>
      </w:r>
      <w:bookmarkEnd w:id="3"/>
      <w:r w:rsidRPr="38686A72">
        <w:rPr>
          <w:rFonts w:ascii="Verdana" w:hAnsi="Verdana"/>
          <w:color w:val="000000" w:themeColor="text1"/>
        </w:rPr>
        <w:t xml:space="preserve"> </w:t>
      </w:r>
      <w:r w:rsidR="00BB59C1">
        <w:rPr>
          <w:rFonts w:ascii="Verdana" w:hAnsi="Verdana"/>
          <w:color w:val="000000" w:themeColor="text1"/>
        </w:rPr>
        <w:t xml:space="preserve">will </w:t>
      </w:r>
      <w:r w:rsidRPr="38686A72">
        <w:rPr>
          <w:rFonts w:ascii="Verdana" w:hAnsi="Verdana"/>
          <w:color w:val="000000" w:themeColor="text1"/>
        </w:rPr>
        <w:t>not be duplicated in</w:t>
      </w:r>
      <w:r w:rsidR="424A645F" w:rsidRPr="38686A72">
        <w:rPr>
          <w:rFonts w:ascii="Verdana" w:hAnsi="Verdana"/>
          <w:color w:val="000000" w:themeColor="text1"/>
        </w:rPr>
        <w:t xml:space="preserve"> </w:t>
      </w:r>
      <w:r w:rsidRPr="38686A72">
        <w:rPr>
          <w:rFonts w:ascii="Verdana" w:hAnsi="Verdana"/>
          <w:color w:val="000000" w:themeColor="text1"/>
        </w:rPr>
        <w:t>both lists</w:t>
      </w:r>
      <w:r w:rsidRPr="38686A72">
        <w:rPr>
          <w:rFonts w:ascii="Verdana" w:hAnsi="Verdana"/>
          <w:b/>
          <w:bCs/>
          <w:color w:val="000000" w:themeColor="text1"/>
        </w:rPr>
        <w:t>.</w:t>
      </w:r>
    </w:p>
    <w:p w14:paraId="13BD45E6" w14:textId="77777777" w:rsidR="00930A3C" w:rsidRPr="006F4D70" w:rsidRDefault="00930A3C" w:rsidP="00862C44">
      <w:pPr>
        <w:spacing w:before="120" w:after="120"/>
        <w:jc w:val="both"/>
        <w:rPr>
          <w:rFonts w:ascii="Verdana" w:hAnsi="Verdana"/>
          <w:b/>
          <w:color w:val="000000"/>
        </w:rPr>
      </w:pPr>
    </w:p>
    <w:p w14:paraId="5C6A83F7" w14:textId="163002B0" w:rsidR="0090482D" w:rsidRPr="006F4D70" w:rsidRDefault="00B66786" w:rsidP="00862C44">
      <w:pPr>
        <w:spacing w:before="120" w:after="120"/>
        <w:jc w:val="both"/>
        <w:rPr>
          <w:rFonts w:ascii="Verdana" w:hAnsi="Verdana"/>
          <w:b/>
        </w:rPr>
      </w:pPr>
      <w:r w:rsidRPr="006F4D70">
        <w:rPr>
          <w:rFonts w:ascii="Verdana" w:hAnsi="Verdana"/>
          <w:b/>
          <w:color w:val="000000"/>
        </w:rPr>
        <w:t>Quicker Search Results</w:t>
      </w:r>
      <w:r w:rsidRPr="006F4D70">
        <w:rPr>
          <w:rFonts w:ascii="Verdana" w:hAnsi="Verdana"/>
          <w:color w:val="000000"/>
        </w:rPr>
        <w:t>:</w:t>
      </w:r>
      <w:r w:rsidR="00D514A6">
        <w:rPr>
          <w:rFonts w:ascii="Verdana" w:hAnsi="Verdana"/>
          <w:b/>
        </w:rPr>
        <w:t xml:space="preserve">  P</w:t>
      </w:r>
      <w:r w:rsidRPr="006F4D70">
        <w:rPr>
          <w:rFonts w:ascii="Verdana" w:hAnsi="Verdana"/>
          <w:b/>
        </w:rPr>
        <w:t xml:space="preserve">ress Ctrl+F </w:t>
      </w:r>
      <w:r w:rsidRPr="006F4D70">
        <w:rPr>
          <w:b/>
        </w:rPr>
        <w:t>→</w:t>
      </w:r>
      <w:r w:rsidRPr="006F4D70">
        <w:rPr>
          <w:rFonts w:ascii="Verdana" w:hAnsi="Verdana"/>
          <w:b/>
        </w:rPr>
        <w:t xml:space="preserve"> Type in Keyword </w:t>
      </w:r>
      <w:r w:rsidRPr="006F4D70">
        <w:rPr>
          <w:b/>
        </w:rPr>
        <w:t>→</w:t>
      </w:r>
      <w:r w:rsidRPr="006F4D70">
        <w:rPr>
          <w:rFonts w:ascii="Verdana" w:hAnsi="Verdana"/>
          <w:b/>
        </w:rPr>
        <w:t xml:space="preserve"> Click Find Next</w:t>
      </w:r>
    </w:p>
    <w:p w14:paraId="5A2B50DE" w14:textId="21E53879" w:rsidR="00346731" w:rsidRDefault="00346731" w:rsidP="00862C44">
      <w:pPr>
        <w:spacing w:before="120" w:after="120"/>
      </w:pPr>
      <w:bookmarkStart w:id="4" w:name="_A_1"/>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6"/>
        <w:gridCol w:w="2585"/>
        <w:gridCol w:w="7969"/>
      </w:tblGrid>
      <w:tr w:rsidR="00A9322B" w:rsidRPr="00F25025" w14:paraId="7102DDB5" w14:textId="77777777" w:rsidTr="00862C44">
        <w:tc>
          <w:tcPr>
            <w:tcW w:w="661" w:type="pct"/>
            <w:shd w:val="pct25" w:color="auto" w:fill="auto"/>
          </w:tcPr>
          <w:p w14:paraId="46F452C2" w14:textId="2D5AF350" w:rsidR="00A9322B" w:rsidRPr="00A9322B" w:rsidRDefault="00A9322B" w:rsidP="00F37E78">
            <w:pPr>
              <w:pStyle w:val="Heading2"/>
              <w:spacing w:before="120" w:after="120"/>
              <w:jc w:val="center"/>
              <w:rPr>
                <w:noProof/>
              </w:rPr>
            </w:pPr>
            <w:r w:rsidRPr="00A9322B">
              <w:rPr>
                <w:noProof/>
              </w:rPr>
              <w:t>Abbreviations</w:t>
            </w:r>
          </w:p>
        </w:tc>
        <w:tc>
          <w:tcPr>
            <w:tcW w:w="764" w:type="pct"/>
            <w:shd w:val="pct25" w:color="auto" w:fill="auto"/>
            <w:vAlign w:val="center"/>
          </w:tcPr>
          <w:p w14:paraId="2617BBA3" w14:textId="3E9FFE56" w:rsidR="00A9322B" w:rsidRPr="00A9322B" w:rsidRDefault="00A9322B" w:rsidP="00F37E78">
            <w:pPr>
              <w:pStyle w:val="Heading2"/>
              <w:spacing w:before="120" w:after="120"/>
              <w:jc w:val="center"/>
            </w:pPr>
            <w:r w:rsidRPr="00A9322B">
              <w:t>Term</w:t>
            </w:r>
          </w:p>
        </w:tc>
        <w:tc>
          <w:tcPr>
            <w:tcW w:w="3575" w:type="pct"/>
            <w:shd w:val="pct25" w:color="auto" w:fill="auto"/>
            <w:vAlign w:val="center"/>
          </w:tcPr>
          <w:p w14:paraId="778629EA" w14:textId="63AEC535" w:rsidR="00A9322B" w:rsidRPr="00A9322B" w:rsidRDefault="00A9322B" w:rsidP="00F37E78">
            <w:pPr>
              <w:pStyle w:val="Heading2"/>
              <w:spacing w:before="120" w:after="120"/>
              <w:jc w:val="center"/>
            </w:pPr>
            <w:r w:rsidRPr="00A9322B">
              <w:t>Definition</w:t>
            </w:r>
          </w:p>
        </w:tc>
      </w:tr>
      <w:tr w:rsidR="00F655F6" w:rsidRPr="00F25025" w14:paraId="093CAEAA" w14:textId="77777777" w:rsidTr="00862C44">
        <w:tc>
          <w:tcPr>
            <w:tcW w:w="661" w:type="pct"/>
          </w:tcPr>
          <w:p w14:paraId="62E456B8" w14:textId="5F81FF0B" w:rsidR="00F655F6" w:rsidRPr="00B3251F" w:rsidRDefault="00CE205A" w:rsidP="00862C44">
            <w:pPr>
              <w:spacing w:before="120" w:after="120"/>
              <w:jc w:val="center"/>
              <w:rPr>
                <w:rFonts w:ascii="Verdana" w:hAnsi="Verdana"/>
                <w:b/>
              </w:rPr>
            </w:pPr>
            <w:r w:rsidRPr="00B3251F">
              <w:rPr>
                <w:rFonts w:ascii="Verdana" w:hAnsi="Verdana"/>
                <w:b/>
              </w:rPr>
              <w:t xml:space="preserve"> </w:t>
            </w:r>
            <w:r w:rsidR="00F655F6" w:rsidRPr="00B3251F">
              <w:rPr>
                <w:rFonts w:ascii="Verdana" w:hAnsi="Verdana"/>
                <w:b/>
              </w:rPr>
              <w:t>LAN</w:t>
            </w:r>
          </w:p>
        </w:tc>
        <w:tc>
          <w:tcPr>
            <w:tcW w:w="764" w:type="pct"/>
          </w:tcPr>
          <w:p w14:paraId="6063B68A" w14:textId="4AE3D5BB" w:rsidR="00F655F6" w:rsidRPr="00B3251F" w:rsidRDefault="00F655F6" w:rsidP="00862C44">
            <w:pPr>
              <w:spacing w:before="120" w:after="120"/>
              <w:rPr>
                <w:rFonts w:ascii="Verdana" w:hAnsi="Verdana"/>
                <w:b/>
              </w:rPr>
            </w:pPr>
            <w:r w:rsidRPr="00BA392E">
              <w:rPr>
                <w:rFonts w:ascii="Verdana" w:hAnsi="Verdana"/>
                <w:bCs/>
              </w:rPr>
              <w:t>Lancets</w:t>
            </w:r>
          </w:p>
        </w:tc>
        <w:tc>
          <w:tcPr>
            <w:tcW w:w="3575" w:type="pct"/>
          </w:tcPr>
          <w:p w14:paraId="6C5EBB19" w14:textId="75F600F6" w:rsidR="00F655F6" w:rsidRPr="00B3251F" w:rsidRDefault="00770F0C" w:rsidP="00862C44">
            <w:pPr>
              <w:spacing w:before="120" w:after="120"/>
              <w:rPr>
                <w:rFonts w:ascii="Verdana" w:hAnsi="Verdana"/>
                <w:b/>
              </w:rPr>
            </w:pPr>
            <w:r w:rsidRPr="00B3251F">
              <w:rPr>
                <w:rFonts w:ascii="Verdana" w:hAnsi="Verdana"/>
                <w:bCs/>
              </w:rPr>
              <w:t xml:space="preserve"> A spring-loaded device used to prick the skin with a small needle to obtain a drop of blood for blood glucose monitoring</w:t>
            </w:r>
            <w:r w:rsidR="00D514A6">
              <w:rPr>
                <w:rFonts w:ascii="Verdana" w:hAnsi="Verdana"/>
                <w:bCs/>
              </w:rPr>
              <w:t>.</w:t>
            </w:r>
            <w:r w:rsidRPr="00B3251F">
              <w:rPr>
                <w:rFonts w:ascii="Verdana" w:hAnsi="Verdana"/>
                <w:bCs/>
              </w:rPr>
              <w:t xml:space="preserve"> </w:t>
            </w:r>
          </w:p>
        </w:tc>
      </w:tr>
      <w:tr w:rsidR="00F655F6" w:rsidRPr="00F25025" w14:paraId="49BD3703" w14:textId="77777777" w:rsidTr="00862C44">
        <w:trPr>
          <w:trHeight w:val="584"/>
        </w:trPr>
        <w:tc>
          <w:tcPr>
            <w:tcW w:w="661" w:type="pct"/>
          </w:tcPr>
          <w:p w14:paraId="32B1ED44" w14:textId="336EEA04" w:rsidR="00F655F6" w:rsidRPr="00F25025" w:rsidRDefault="00CE205A" w:rsidP="00862C44">
            <w:pPr>
              <w:spacing w:before="120" w:after="120"/>
              <w:jc w:val="center"/>
              <w:rPr>
                <w:rFonts w:ascii="Verdana" w:hAnsi="Verdana" w:cs="Arial"/>
                <w:b/>
                <w:color w:val="000000"/>
              </w:rPr>
            </w:pPr>
            <w:r>
              <w:rPr>
                <w:rFonts w:ascii="Verdana" w:hAnsi="Verdana" w:cs="Arial"/>
                <w:b/>
                <w:color w:val="000000"/>
              </w:rPr>
              <w:t xml:space="preserve"> </w:t>
            </w:r>
            <w:r w:rsidR="00F655F6" w:rsidRPr="00F25025">
              <w:rPr>
                <w:rFonts w:ascii="Verdana" w:hAnsi="Verdana" w:cs="Arial"/>
                <w:b/>
                <w:color w:val="000000"/>
              </w:rPr>
              <w:t>LB</w:t>
            </w:r>
          </w:p>
        </w:tc>
        <w:tc>
          <w:tcPr>
            <w:tcW w:w="764" w:type="pct"/>
          </w:tcPr>
          <w:p w14:paraId="5AC23C01" w14:textId="798FD52D" w:rsidR="00F655F6" w:rsidRPr="00F25025" w:rsidRDefault="00F655F6" w:rsidP="00862C44">
            <w:pPr>
              <w:spacing w:before="120" w:after="120"/>
              <w:rPr>
                <w:rFonts w:ascii="Verdana" w:hAnsi="Verdana" w:cs="Arial"/>
              </w:rPr>
            </w:pPr>
            <w:r w:rsidRPr="00F25025">
              <w:rPr>
                <w:rFonts w:ascii="Verdana" w:hAnsi="Verdana"/>
              </w:rPr>
              <w:t>Line Busy</w:t>
            </w:r>
          </w:p>
        </w:tc>
        <w:tc>
          <w:tcPr>
            <w:tcW w:w="3575" w:type="pct"/>
          </w:tcPr>
          <w:p w14:paraId="6884CD19" w14:textId="5B482F41" w:rsidR="00F655F6" w:rsidRPr="00F25025" w:rsidRDefault="00931D17" w:rsidP="00862C44">
            <w:pPr>
              <w:spacing w:before="120" w:after="120"/>
              <w:rPr>
                <w:rFonts w:ascii="Verdana" w:hAnsi="Verdana" w:cs="Arial"/>
              </w:rPr>
            </w:pPr>
            <w:r>
              <w:rPr>
                <w:rFonts w:ascii="Verdana" w:hAnsi="Verdana" w:cs="Arial"/>
              </w:rPr>
              <w:t>Phone line indicates a quick beeping sound</w:t>
            </w:r>
            <w:r w:rsidR="00D514A6">
              <w:rPr>
                <w:rFonts w:ascii="Verdana" w:hAnsi="Verdana" w:cs="Arial"/>
              </w:rPr>
              <w:t>.</w:t>
            </w:r>
          </w:p>
        </w:tc>
      </w:tr>
      <w:tr w:rsidR="00F655F6" w:rsidRPr="00F25025" w14:paraId="12B23B2E" w14:textId="77777777" w:rsidTr="00862C44">
        <w:tc>
          <w:tcPr>
            <w:tcW w:w="661" w:type="pct"/>
          </w:tcPr>
          <w:p w14:paraId="7AF43C63" w14:textId="4C4A1780" w:rsidR="00F655F6" w:rsidRPr="00F25025" w:rsidRDefault="00CE205A" w:rsidP="00862C44">
            <w:pPr>
              <w:spacing w:before="120" w:after="120"/>
              <w:jc w:val="center"/>
              <w:rPr>
                <w:rFonts w:ascii="Verdana" w:hAnsi="Verdana"/>
                <w:b/>
                <w:color w:val="000000"/>
              </w:rPr>
            </w:pPr>
            <w:r>
              <w:rPr>
                <w:rFonts w:ascii="Verdana" w:hAnsi="Verdana" w:cs="Arial"/>
                <w:b/>
                <w:color w:val="000000"/>
              </w:rPr>
              <w:t xml:space="preserve"> </w:t>
            </w:r>
            <w:r w:rsidR="00F655F6" w:rsidRPr="00F25025">
              <w:rPr>
                <w:rFonts w:ascii="Verdana" w:hAnsi="Verdana" w:cs="Arial"/>
                <w:b/>
                <w:color w:val="000000"/>
              </w:rPr>
              <w:t>LBL PT</w:t>
            </w:r>
          </w:p>
        </w:tc>
        <w:tc>
          <w:tcPr>
            <w:tcW w:w="764" w:type="pct"/>
          </w:tcPr>
          <w:p w14:paraId="32F20994" w14:textId="1DF20A46" w:rsidR="00F655F6" w:rsidRPr="00F25025" w:rsidRDefault="00F655F6" w:rsidP="00862C44">
            <w:pPr>
              <w:spacing w:before="120" w:after="120"/>
              <w:rPr>
                <w:rFonts w:ascii="Verdana" w:hAnsi="Verdana"/>
              </w:rPr>
            </w:pPr>
            <w:r w:rsidRPr="00F25025">
              <w:rPr>
                <w:rFonts w:ascii="Verdana" w:hAnsi="Verdana" w:cs="Arial"/>
              </w:rPr>
              <w:t>Label Print</w:t>
            </w:r>
          </w:p>
        </w:tc>
        <w:tc>
          <w:tcPr>
            <w:tcW w:w="3575" w:type="pct"/>
          </w:tcPr>
          <w:p w14:paraId="0A665407" w14:textId="5C1F4243" w:rsidR="00F655F6" w:rsidRPr="00F25025" w:rsidRDefault="33F36E04" w:rsidP="00862C44">
            <w:pPr>
              <w:spacing w:before="120" w:after="120"/>
              <w:rPr>
                <w:rFonts w:ascii="Verdana" w:hAnsi="Verdana"/>
              </w:rPr>
            </w:pPr>
            <w:r w:rsidRPr="38686A72">
              <w:rPr>
                <w:rFonts w:ascii="Verdana" w:hAnsi="Verdana"/>
              </w:rPr>
              <w:t xml:space="preserve">Status of a prescription mail order in which all conflicts have been resolved. </w:t>
            </w:r>
            <w:bookmarkStart w:id="5" w:name="_Int_Ux6XJ1e7"/>
            <w:r w:rsidRPr="38686A72">
              <w:rPr>
                <w:rFonts w:ascii="Verdana" w:hAnsi="Verdana"/>
              </w:rPr>
              <w:t>Order</w:t>
            </w:r>
            <w:bookmarkEnd w:id="5"/>
            <w:r w:rsidRPr="38686A72">
              <w:rPr>
                <w:rFonts w:ascii="Verdana" w:hAnsi="Verdana"/>
              </w:rPr>
              <w:t xml:space="preserve"> is in final stage of processing and will be shipped out as soon as possible.</w:t>
            </w:r>
          </w:p>
        </w:tc>
      </w:tr>
      <w:tr w:rsidR="001D64EC" w:rsidRPr="00F25025" w14:paraId="4E525E02" w14:textId="77777777" w:rsidTr="00862C44">
        <w:tc>
          <w:tcPr>
            <w:tcW w:w="661" w:type="pct"/>
          </w:tcPr>
          <w:p w14:paraId="29B79703" w14:textId="6980DAB2" w:rsidR="001D64EC" w:rsidRDefault="00ED7ACA" w:rsidP="00862C44">
            <w:pPr>
              <w:spacing w:before="120" w:after="120"/>
              <w:jc w:val="center"/>
              <w:rPr>
                <w:rFonts w:ascii="Verdana" w:hAnsi="Verdana"/>
                <w:b/>
                <w:color w:val="000000"/>
              </w:rPr>
            </w:pPr>
            <w:r>
              <w:rPr>
                <w:rFonts w:ascii="Verdana" w:hAnsi="Verdana"/>
                <w:b/>
                <w:color w:val="000000"/>
              </w:rPr>
              <w:t xml:space="preserve"> </w:t>
            </w:r>
            <w:r w:rsidR="001D64EC">
              <w:rPr>
                <w:rFonts w:ascii="Verdana" w:hAnsi="Verdana"/>
                <w:b/>
                <w:color w:val="000000"/>
              </w:rPr>
              <w:t>LCK</w:t>
            </w:r>
          </w:p>
        </w:tc>
        <w:tc>
          <w:tcPr>
            <w:tcW w:w="764" w:type="pct"/>
          </w:tcPr>
          <w:p w14:paraId="032908EA" w14:textId="514F21E8" w:rsidR="001D64EC" w:rsidRDefault="001D64EC" w:rsidP="00862C44">
            <w:pPr>
              <w:spacing w:before="120" w:after="120"/>
              <w:rPr>
                <w:rFonts w:ascii="Verdana" w:hAnsi="Verdana"/>
              </w:rPr>
            </w:pPr>
            <w:r>
              <w:rPr>
                <w:rFonts w:ascii="Verdana" w:hAnsi="Verdana"/>
              </w:rPr>
              <w:t>Lock on Account</w:t>
            </w:r>
          </w:p>
        </w:tc>
        <w:tc>
          <w:tcPr>
            <w:tcW w:w="3575" w:type="pct"/>
          </w:tcPr>
          <w:p w14:paraId="58479CAC" w14:textId="0D8AF059" w:rsidR="001D64EC" w:rsidRDefault="001D64EC" w:rsidP="00862C44">
            <w:pPr>
              <w:spacing w:before="120" w:after="120"/>
              <w:rPr>
                <w:rFonts w:ascii="Verdana" w:hAnsi="Verdana"/>
              </w:rPr>
            </w:pPr>
            <w:r>
              <w:rPr>
                <w:rFonts w:ascii="Verdana" w:hAnsi="Verdana"/>
              </w:rPr>
              <w:t>Cardholder Account Lock: payment issues</w:t>
            </w:r>
          </w:p>
        </w:tc>
      </w:tr>
      <w:tr w:rsidR="00481A18" w:rsidRPr="00F25025" w14:paraId="53B52C8E" w14:textId="77777777" w:rsidTr="00862C44">
        <w:trPr>
          <w:trHeight w:val="300"/>
        </w:trPr>
        <w:tc>
          <w:tcPr>
            <w:tcW w:w="661" w:type="pct"/>
          </w:tcPr>
          <w:p w14:paraId="0BAD55E0" w14:textId="5F59DC0B" w:rsidR="00481A18" w:rsidRDefault="68A62A74" w:rsidP="00862C44">
            <w:pPr>
              <w:spacing w:before="120" w:after="120"/>
              <w:jc w:val="center"/>
              <w:rPr>
                <w:rFonts w:ascii="Verdana" w:hAnsi="Verdana"/>
                <w:b/>
                <w:bCs/>
                <w:color w:val="000000"/>
              </w:rPr>
            </w:pPr>
            <w:r w:rsidRPr="749A8738">
              <w:rPr>
                <w:rFonts w:ascii="Verdana" w:hAnsi="Verdana"/>
                <w:b/>
                <w:bCs/>
                <w:color w:val="000000" w:themeColor="text1"/>
              </w:rPr>
              <w:t>LDD</w:t>
            </w:r>
          </w:p>
        </w:tc>
        <w:tc>
          <w:tcPr>
            <w:tcW w:w="764" w:type="pct"/>
          </w:tcPr>
          <w:p w14:paraId="13C428ED" w14:textId="60323830" w:rsidR="00481A18" w:rsidRDefault="68A62A74" w:rsidP="00862C44">
            <w:pPr>
              <w:spacing w:before="120" w:after="120"/>
              <w:rPr>
                <w:rFonts w:ascii="Verdana" w:hAnsi="Verdana"/>
              </w:rPr>
            </w:pPr>
            <w:r w:rsidRPr="749A8738">
              <w:rPr>
                <w:rFonts w:ascii="Verdana" w:hAnsi="Verdana"/>
              </w:rPr>
              <w:t>Limited Distribution Drugs</w:t>
            </w:r>
          </w:p>
        </w:tc>
        <w:tc>
          <w:tcPr>
            <w:tcW w:w="3575" w:type="pct"/>
          </w:tcPr>
          <w:p w14:paraId="6762C890" w14:textId="26822167" w:rsidR="00481A18" w:rsidRDefault="6DE637C9" w:rsidP="00862C44">
            <w:pPr>
              <w:spacing w:before="120" w:after="120"/>
              <w:rPr>
                <w:rFonts w:ascii="Verdana" w:hAnsi="Verdana"/>
              </w:rPr>
            </w:pPr>
            <w:r w:rsidRPr="38686A72">
              <w:rPr>
                <w:rFonts w:ascii="Verdana" w:hAnsi="Verdana"/>
              </w:rPr>
              <w:t xml:space="preserve">Medications that are only available through certain pharmacies. They are generally used to treat complex or rare medical </w:t>
            </w:r>
            <w:r w:rsidR="0A234A64" w:rsidRPr="38686A72">
              <w:rPr>
                <w:rFonts w:ascii="Verdana" w:hAnsi="Verdana"/>
              </w:rPr>
              <w:t>conditions</w:t>
            </w:r>
            <w:r w:rsidR="1D418632" w:rsidRPr="38686A72">
              <w:rPr>
                <w:rFonts w:ascii="Verdana" w:hAnsi="Verdana"/>
              </w:rPr>
              <w:t xml:space="preserve">. LDDs are </w:t>
            </w:r>
            <w:r w:rsidR="73249727" w:rsidRPr="38686A72">
              <w:rPr>
                <w:rFonts w:ascii="Verdana" w:hAnsi="Verdana"/>
              </w:rPr>
              <w:t>generally higher</w:t>
            </w:r>
            <w:r w:rsidR="1D418632" w:rsidRPr="38686A72">
              <w:rPr>
                <w:rFonts w:ascii="Verdana" w:hAnsi="Verdana"/>
              </w:rPr>
              <w:t xml:space="preserve"> cost. They may also have special storage and handling, administration, or monitoring requirements. </w:t>
            </w:r>
          </w:p>
        </w:tc>
      </w:tr>
      <w:tr w:rsidR="00F655F6" w:rsidRPr="00F25025" w14:paraId="2B63DA74" w14:textId="77777777" w:rsidTr="00862C44">
        <w:tc>
          <w:tcPr>
            <w:tcW w:w="661" w:type="pct"/>
          </w:tcPr>
          <w:p w14:paraId="2D3902C3" w14:textId="2000E065"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Pr>
                <w:rFonts w:ascii="Verdana" w:hAnsi="Verdana"/>
                <w:b/>
                <w:color w:val="000000"/>
              </w:rPr>
              <w:t xml:space="preserve">LG </w:t>
            </w:r>
          </w:p>
        </w:tc>
        <w:tc>
          <w:tcPr>
            <w:tcW w:w="764" w:type="pct"/>
          </w:tcPr>
          <w:p w14:paraId="7F2BBCF1" w14:textId="77777777" w:rsidR="00F655F6" w:rsidRDefault="00F655F6" w:rsidP="00862C44">
            <w:pPr>
              <w:spacing w:before="120" w:after="120"/>
              <w:rPr>
                <w:rFonts w:ascii="Verdana" w:hAnsi="Verdana"/>
              </w:rPr>
            </w:pPr>
            <w:r>
              <w:rPr>
                <w:rFonts w:ascii="Verdana" w:hAnsi="Verdana"/>
              </w:rPr>
              <w:t xml:space="preserve">Legal Guardian </w:t>
            </w:r>
          </w:p>
        </w:tc>
        <w:tc>
          <w:tcPr>
            <w:tcW w:w="3575" w:type="pct"/>
          </w:tcPr>
          <w:p w14:paraId="4BFC5C0A" w14:textId="69482CA1" w:rsidR="00F655F6" w:rsidRPr="003D4683" w:rsidRDefault="00D64E81" w:rsidP="00862C44">
            <w:pPr>
              <w:spacing w:before="120" w:after="120"/>
              <w:rPr>
                <w:rFonts w:ascii="Verdana" w:hAnsi="Verdana"/>
              </w:rPr>
            </w:pPr>
            <w:r>
              <w:rPr>
                <w:rFonts w:ascii="Verdana" w:hAnsi="Verdana"/>
              </w:rPr>
              <w:t xml:space="preserve">A person who has been court appointed to care for another </w:t>
            </w:r>
            <w:r w:rsidR="00BB59C1">
              <w:rPr>
                <w:rFonts w:ascii="Verdana" w:hAnsi="Verdana"/>
              </w:rPr>
              <w:t>person and</w:t>
            </w:r>
            <w:r>
              <w:rPr>
                <w:rFonts w:ascii="Verdana" w:hAnsi="Verdana"/>
              </w:rPr>
              <w:t xml:space="preserve"> make decisions on their behalf.</w:t>
            </w:r>
          </w:p>
        </w:tc>
      </w:tr>
      <w:tr w:rsidR="00F655F6" w:rsidRPr="00F25025" w14:paraId="74BFF3B7" w14:textId="77777777" w:rsidTr="00862C44">
        <w:tc>
          <w:tcPr>
            <w:tcW w:w="661" w:type="pct"/>
          </w:tcPr>
          <w:p w14:paraId="429B6D03"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L/L</w:t>
            </w:r>
          </w:p>
        </w:tc>
        <w:tc>
          <w:tcPr>
            <w:tcW w:w="764" w:type="pct"/>
          </w:tcPr>
          <w:p w14:paraId="5FB1D225" w14:textId="77777777" w:rsidR="00F655F6" w:rsidRPr="002C36C7" w:rsidRDefault="00F655F6" w:rsidP="00862C44">
            <w:pPr>
              <w:spacing w:before="120" w:after="120"/>
              <w:rPr>
                <w:rFonts w:ascii="Verdana" w:hAnsi="Verdana"/>
              </w:rPr>
            </w:pPr>
            <w:r w:rsidRPr="002C36C7">
              <w:rPr>
                <w:rFonts w:ascii="Verdana" w:hAnsi="Verdana"/>
              </w:rPr>
              <w:t>Looks Like</w:t>
            </w:r>
          </w:p>
        </w:tc>
        <w:tc>
          <w:tcPr>
            <w:tcW w:w="3575" w:type="pct"/>
          </w:tcPr>
          <w:p w14:paraId="4937979B" w14:textId="10E50FE2" w:rsidR="00F655F6" w:rsidRPr="00F25025" w:rsidRDefault="00F655F6" w:rsidP="00862C44">
            <w:pPr>
              <w:spacing w:before="120" w:after="120"/>
              <w:rPr>
                <w:rFonts w:ascii="Verdana" w:hAnsi="Verdana"/>
              </w:rPr>
            </w:pPr>
            <w:r w:rsidRPr="00F25025">
              <w:rPr>
                <w:rFonts w:ascii="Verdana" w:hAnsi="Verdana"/>
              </w:rPr>
              <w:t>It appears to resemble something similar.</w:t>
            </w:r>
          </w:p>
        </w:tc>
      </w:tr>
      <w:tr w:rsidR="00F655F6" w:rsidRPr="00F25025" w14:paraId="73DBB709" w14:textId="77777777" w:rsidTr="00862C44">
        <w:tc>
          <w:tcPr>
            <w:tcW w:w="661" w:type="pct"/>
          </w:tcPr>
          <w:p w14:paraId="6C7ADB5F" w14:textId="51AA5415" w:rsidR="00F655F6" w:rsidRPr="00F25025" w:rsidRDefault="00B24F52" w:rsidP="00862C44">
            <w:pPr>
              <w:spacing w:before="120" w:after="120"/>
              <w:jc w:val="center"/>
              <w:rPr>
                <w:rFonts w:ascii="Verdana" w:hAnsi="Verdana"/>
                <w:b/>
                <w:color w:val="000000"/>
              </w:rPr>
            </w:pPr>
            <w:r>
              <w:rPr>
                <w:rFonts w:ascii="Verdana" w:hAnsi="Verdana"/>
                <w:b/>
                <w:color w:val="000000"/>
              </w:rPr>
              <w:t xml:space="preserve"> </w:t>
            </w:r>
            <w:r w:rsidR="00F655F6">
              <w:rPr>
                <w:rFonts w:ascii="Verdana" w:hAnsi="Verdana"/>
                <w:b/>
                <w:color w:val="000000"/>
              </w:rPr>
              <w:t xml:space="preserve">LR </w:t>
            </w:r>
          </w:p>
        </w:tc>
        <w:tc>
          <w:tcPr>
            <w:tcW w:w="764" w:type="pct"/>
          </w:tcPr>
          <w:p w14:paraId="403EAD25" w14:textId="77777777" w:rsidR="00F655F6" w:rsidRPr="002C36C7" w:rsidRDefault="00F655F6" w:rsidP="00862C44">
            <w:pPr>
              <w:spacing w:before="120" w:after="120"/>
              <w:rPr>
                <w:rFonts w:ascii="Verdana" w:hAnsi="Verdana"/>
                <w:color w:val="000000"/>
              </w:rPr>
            </w:pPr>
            <w:r w:rsidRPr="002C36C7">
              <w:rPr>
                <w:rFonts w:ascii="Verdana" w:hAnsi="Verdana"/>
                <w:color w:val="000000"/>
              </w:rPr>
              <w:t xml:space="preserve">Legal Representative </w:t>
            </w:r>
          </w:p>
        </w:tc>
        <w:tc>
          <w:tcPr>
            <w:tcW w:w="3575" w:type="pct"/>
          </w:tcPr>
          <w:p w14:paraId="3F8531FE" w14:textId="25733378" w:rsidR="00F655F6" w:rsidRDefault="00F655F6" w:rsidP="00862C44">
            <w:pPr>
              <w:spacing w:before="120" w:after="120"/>
              <w:rPr>
                <w:rFonts w:ascii="Verdana" w:hAnsi="Verdana"/>
              </w:rPr>
            </w:pPr>
            <w:r w:rsidRPr="001923C2">
              <w:rPr>
                <w:rFonts w:ascii="Verdana" w:hAnsi="Verdana"/>
              </w:rPr>
              <w:t xml:space="preserve">Classification issued by State which gives an individual the legal right to enact a contract </w:t>
            </w:r>
            <w:r w:rsidR="00FC5F75">
              <w:rPr>
                <w:rFonts w:ascii="Verdana" w:hAnsi="Verdana"/>
              </w:rPr>
              <w:t>o</w:t>
            </w:r>
            <w:r w:rsidRPr="001923C2">
              <w:rPr>
                <w:rFonts w:ascii="Verdana" w:hAnsi="Verdana"/>
              </w:rPr>
              <w:t xml:space="preserve">n behalf of another. </w:t>
            </w:r>
            <w:bookmarkStart w:id="6" w:name="OLE_LINK25"/>
            <w:r w:rsidR="00FC5F75">
              <w:rPr>
                <w:rFonts w:ascii="Verdana" w:hAnsi="Verdana"/>
              </w:rPr>
              <w:t>This is a h</w:t>
            </w:r>
            <w:r w:rsidRPr="001923C2">
              <w:rPr>
                <w:rFonts w:ascii="Verdana" w:hAnsi="Verdana"/>
              </w:rPr>
              <w:t>igher classification than a Power of Attorney (POA)</w:t>
            </w:r>
            <w:r w:rsidR="00FC5F75">
              <w:rPr>
                <w:rFonts w:ascii="Verdana" w:hAnsi="Verdana"/>
              </w:rPr>
              <w:t xml:space="preserve"> but includes that authority</w:t>
            </w:r>
            <w:r w:rsidRPr="001923C2">
              <w:rPr>
                <w:rFonts w:ascii="Verdana" w:hAnsi="Verdana"/>
              </w:rPr>
              <w:t>.</w:t>
            </w:r>
            <w:r>
              <w:rPr>
                <w:rFonts w:ascii="Verdana" w:hAnsi="Verdana"/>
              </w:rPr>
              <w:t xml:space="preserve"> </w:t>
            </w:r>
            <w:bookmarkEnd w:id="6"/>
          </w:p>
        </w:tc>
      </w:tr>
      <w:tr w:rsidR="00F655F6" w:rsidRPr="00F25025" w14:paraId="64C4EBE5" w14:textId="77777777" w:rsidTr="00862C44">
        <w:tc>
          <w:tcPr>
            <w:tcW w:w="661" w:type="pct"/>
          </w:tcPr>
          <w:p w14:paraId="14CF82E6" w14:textId="77777777" w:rsidR="00F655F6" w:rsidRPr="00F25025" w:rsidRDefault="00F655F6" w:rsidP="00862C44">
            <w:pPr>
              <w:spacing w:before="120" w:after="120"/>
              <w:jc w:val="center"/>
              <w:rPr>
                <w:rFonts w:ascii="Verdana" w:hAnsi="Verdana"/>
                <w:b/>
                <w:color w:val="000000"/>
              </w:rPr>
            </w:pPr>
            <w:r w:rsidRPr="002A444A">
              <w:rPr>
                <w:rFonts w:ascii="Verdana" w:hAnsi="Verdana"/>
                <w:b/>
                <w:bCs/>
              </w:rPr>
              <w:t>LEP</w:t>
            </w:r>
          </w:p>
        </w:tc>
        <w:tc>
          <w:tcPr>
            <w:tcW w:w="764" w:type="pct"/>
          </w:tcPr>
          <w:p w14:paraId="77DD67E0" w14:textId="77777777" w:rsidR="00F655F6" w:rsidRPr="002C36C7" w:rsidRDefault="00F655F6" w:rsidP="00862C44">
            <w:pPr>
              <w:spacing w:before="120" w:after="120"/>
              <w:rPr>
                <w:rFonts w:ascii="Verdana" w:hAnsi="Verdana"/>
                <w:color w:val="000000"/>
              </w:rPr>
            </w:pPr>
            <w:r w:rsidRPr="002C36C7">
              <w:rPr>
                <w:rFonts w:ascii="Verdana" w:hAnsi="Verdana"/>
              </w:rPr>
              <w:t>Late Enrollment Penalty</w:t>
            </w:r>
          </w:p>
        </w:tc>
        <w:tc>
          <w:tcPr>
            <w:tcW w:w="3575" w:type="pct"/>
          </w:tcPr>
          <w:p w14:paraId="4DAB8000" w14:textId="3E9EFA16" w:rsidR="00F655F6" w:rsidRPr="00BB59C1" w:rsidRDefault="00F655F6" w:rsidP="00862C44">
            <w:pPr>
              <w:numPr>
                <w:ilvl w:val="0"/>
                <w:numId w:val="95"/>
              </w:numPr>
              <w:spacing w:before="120" w:after="120"/>
              <w:rPr>
                <w:rFonts w:ascii="Verdana" w:hAnsi="Verdana"/>
                <w:bCs/>
              </w:rPr>
            </w:pPr>
            <w:r w:rsidRPr="000F184C">
              <w:rPr>
                <w:rFonts w:ascii="Verdana" w:hAnsi="Verdana"/>
                <w:bCs/>
              </w:rPr>
              <w:t>A penalty amount that is added to a beneficiary’s base monthly premium for as long as they remain enrolled in a Medicare prescription drug plan.</w:t>
            </w:r>
            <w:r>
              <w:rPr>
                <w:rFonts w:ascii="Verdana" w:hAnsi="Verdana"/>
                <w:bCs/>
              </w:rPr>
              <w:t xml:space="preserve"> </w:t>
            </w:r>
            <w:r>
              <w:rPr>
                <w:noProof/>
              </w:rPr>
              <w:t xml:space="preserve"> </w:t>
            </w:r>
          </w:p>
          <w:p w14:paraId="475A5C76" w14:textId="77777777" w:rsidR="00F655F6" w:rsidRPr="000F184C" w:rsidRDefault="78258E68" w:rsidP="00862C44">
            <w:pPr>
              <w:numPr>
                <w:ilvl w:val="0"/>
                <w:numId w:val="89"/>
              </w:numPr>
              <w:spacing w:before="120" w:after="120"/>
              <w:rPr>
                <w:rFonts w:ascii="Verdana" w:hAnsi="Verdana"/>
              </w:rPr>
            </w:pPr>
            <w:r w:rsidRPr="38686A72">
              <w:rPr>
                <w:rFonts w:ascii="Verdana" w:hAnsi="Verdana"/>
              </w:rPr>
              <w:t xml:space="preserve">The penalty is assessed if there is a continuous period of </w:t>
            </w:r>
            <w:bookmarkStart w:id="7" w:name="_Int_saIWgTy8"/>
            <w:r w:rsidRPr="38686A72">
              <w:rPr>
                <w:rFonts w:ascii="Verdana" w:hAnsi="Verdana"/>
              </w:rPr>
              <w:t>63 days</w:t>
            </w:r>
            <w:bookmarkEnd w:id="7"/>
            <w:r w:rsidRPr="38686A72">
              <w:rPr>
                <w:rFonts w:ascii="Verdana" w:hAnsi="Verdana"/>
              </w:rPr>
              <w:t xml:space="preserve"> or more at any time after the individual’s Part D initial eligibility period during which the individual was not enrolled in a Part D plan and was not covered under any creditable prescription drug coverage.</w:t>
            </w:r>
          </w:p>
          <w:p w14:paraId="5E224BDB" w14:textId="73ED058A" w:rsidR="00F655F6" w:rsidRPr="00BB59C1" w:rsidRDefault="00F655F6" w:rsidP="00862C44">
            <w:pPr>
              <w:numPr>
                <w:ilvl w:val="0"/>
                <w:numId w:val="89"/>
              </w:numPr>
              <w:spacing w:before="120" w:after="120"/>
              <w:rPr>
                <w:rFonts w:ascii="Verdana" w:hAnsi="Verdana"/>
                <w:iCs/>
                <w:color w:val="000000"/>
              </w:rPr>
            </w:pPr>
            <w:r w:rsidRPr="000F184C">
              <w:rPr>
                <w:rFonts w:ascii="Verdana" w:hAnsi="Verdana"/>
                <w:bCs/>
              </w:rPr>
              <w:t>The LEP assessed is provided by CMS and is 1% of the national base beneficiary premium for the coverage year multiplied by the total number of uncovered months, regardless of the year(s) in which those months occurred.</w:t>
            </w:r>
          </w:p>
        </w:tc>
      </w:tr>
      <w:tr w:rsidR="00F655F6" w:rsidRPr="00F25025" w14:paraId="11638175" w14:textId="77777777" w:rsidTr="00862C44">
        <w:tc>
          <w:tcPr>
            <w:tcW w:w="661" w:type="pct"/>
          </w:tcPr>
          <w:p w14:paraId="719A9A23"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LF</w:t>
            </w:r>
          </w:p>
        </w:tc>
        <w:tc>
          <w:tcPr>
            <w:tcW w:w="764" w:type="pct"/>
          </w:tcPr>
          <w:p w14:paraId="612DC3B9" w14:textId="66FA8062" w:rsidR="00F655F6" w:rsidRPr="002C36C7" w:rsidRDefault="00F655F6" w:rsidP="00862C44">
            <w:pPr>
              <w:spacing w:before="120" w:after="120"/>
              <w:rPr>
                <w:rFonts w:ascii="Verdana" w:hAnsi="Verdana"/>
              </w:rPr>
            </w:pPr>
            <w:r w:rsidRPr="002C36C7">
              <w:rPr>
                <w:rFonts w:ascii="Verdana" w:hAnsi="Verdana"/>
              </w:rPr>
              <w:t>Last Fill</w:t>
            </w:r>
          </w:p>
        </w:tc>
        <w:tc>
          <w:tcPr>
            <w:tcW w:w="3575" w:type="pct"/>
          </w:tcPr>
          <w:p w14:paraId="33BA6939" w14:textId="5D3FBF91" w:rsidR="00F655F6" w:rsidRPr="00F25025" w:rsidRDefault="00F655F6" w:rsidP="00862C44">
            <w:pPr>
              <w:spacing w:before="120" w:after="120"/>
              <w:rPr>
                <w:rFonts w:ascii="Verdana" w:hAnsi="Verdana"/>
              </w:rPr>
            </w:pPr>
            <w:r w:rsidRPr="00F25025">
              <w:rPr>
                <w:rFonts w:ascii="Verdana" w:hAnsi="Verdana"/>
              </w:rPr>
              <w:t xml:space="preserve">The last time </w:t>
            </w:r>
            <w:r w:rsidR="001E567B" w:rsidRPr="00F25025">
              <w:rPr>
                <w:rFonts w:ascii="Verdana" w:hAnsi="Verdana"/>
              </w:rPr>
              <w:t>medication</w:t>
            </w:r>
            <w:r w:rsidRPr="00F25025">
              <w:rPr>
                <w:rFonts w:ascii="Verdana" w:hAnsi="Verdana"/>
              </w:rPr>
              <w:t xml:space="preserve"> was dispensed to the member.</w:t>
            </w:r>
          </w:p>
        </w:tc>
      </w:tr>
      <w:tr w:rsidR="00F655F6" w:rsidRPr="00F25025" w14:paraId="0D88E1CC" w14:textId="77777777" w:rsidTr="00862C44">
        <w:tc>
          <w:tcPr>
            <w:tcW w:w="661" w:type="pct"/>
          </w:tcPr>
          <w:p w14:paraId="316A1F80" w14:textId="69741B15"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LHX</w:t>
            </w:r>
          </w:p>
        </w:tc>
        <w:tc>
          <w:tcPr>
            <w:tcW w:w="764" w:type="pct"/>
          </w:tcPr>
          <w:p w14:paraId="7AC6756F" w14:textId="331C162E" w:rsidR="00F655F6" w:rsidRPr="002C36C7" w:rsidRDefault="00F655F6" w:rsidP="00862C44">
            <w:pPr>
              <w:spacing w:before="120" w:after="120"/>
              <w:rPr>
                <w:rFonts w:ascii="Verdana" w:hAnsi="Verdana"/>
              </w:rPr>
            </w:pPr>
            <w:r w:rsidRPr="002C36C7">
              <w:rPr>
                <w:rFonts w:ascii="Verdana" w:hAnsi="Verdana"/>
              </w:rPr>
              <w:t>Long History</w:t>
            </w:r>
          </w:p>
        </w:tc>
        <w:tc>
          <w:tcPr>
            <w:tcW w:w="3575" w:type="pct"/>
          </w:tcPr>
          <w:p w14:paraId="2A941225" w14:textId="091311C0" w:rsidR="00F655F6" w:rsidRPr="00F25025" w:rsidRDefault="00931D17" w:rsidP="00862C44">
            <w:pPr>
              <w:spacing w:before="120" w:after="120"/>
              <w:rPr>
                <w:rFonts w:ascii="Verdana" w:hAnsi="Verdana"/>
              </w:rPr>
            </w:pPr>
            <w:r>
              <w:rPr>
                <w:rFonts w:ascii="Verdana" w:hAnsi="Verdana"/>
              </w:rPr>
              <w:t xml:space="preserve">A lot of entries to show activity </w:t>
            </w:r>
          </w:p>
        </w:tc>
      </w:tr>
      <w:tr w:rsidR="00F655F6" w:rsidRPr="00F25025" w14:paraId="77E34F80" w14:textId="77777777" w:rsidTr="00862C44">
        <w:tc>
          <w:tcPr>
            <w:tcW w:w="661" w:type="pct"/>
          </w:tcPr>
          <w:p w14:paraId="574B061B"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LICS</w:t>
            </w:r>
          </w:p>
        </w:tc>
        <w:tc>
          <w:tcPr>
            <w:tcW w:w="764" w:type="pct"/>
          </w:tcPr>
          <w:p w14:paraId="5B79C382" w14:textId="578BAFBC" w:rsidR="00F655F6" w:rsidRPr="002C36C7" w:rsidRDefault="00F655F6" w:rsidP="00862C44">
            <w:pPr>
              <w:spacing w:before="120" w:after="120"/>
              <w:rPr>
                <w:rFonts w:ascii="Verdana" w:hAnsi="Verdana"/>
              </w:rPr>
            </w:pPr>
            <w:r w:rsidRPr="002C36C7">
              <w:rPr>
                <w:rFonts w:ascii="Verdana" w:hAnsi="Verdana"/>
              </w:rPr>
              <w:t>Low Income Cost Sharing</w:t>
            </w:r>
          </w:p>
        </w:tc>
        <w:tc>
          <w:tcPr>
            <w:tcW w:w="3575" w:type="pct"/>
          </w:tcPr>
          <w:p w14:paraId="694E320F" w14:textId="77777777" w:rsidR="00F655F6" w:rsidRPr="00F25025" w:rsidRDefault="00F655F6" w:rsidP="00862C44">
            <w:pPr>
              <w:spacing w:before="120" w:after="120"/>
              <w:rPr>
                <w:rFonts w:ascii="Verdana" w:hAnsi="Verdana"/>
              </w:rPr>
            </w:pPr>
            <w:r w:rsidRPr="00F25025">
              <w:rPr>
                <w:rFonts w:ascii="Verdana" w:hAnsi="Verdana"/>
                <w:color w:val="000000"/>
              </w:rPr>
              <w:t>Cost sharing reduction amounts that are applied when a LIS beneficiary fills a script at a pharmacy.</w:t>
            </w:r>
          </w:p>
        </w:tc>
      </w:tr>
      <w:tr w:rsidR="00F655F6" w:rsidRPr="00F25025" w14:paraId="03472CEB" w14:textId="77777777" w:rsidTr="00862C44">
        <w:tc>
          <w:tcPr>
            <w:tcW w:w="661" w:type="pct"/>
          </w:tcPr>
          <w:p w14:paraId="38BFF244"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LIH</w:t>
            </w:r>
          </w:p>
        </w:tc>
        <w:tc>
          <w:tcPr>
            <w:tcW w:w="764" w:type="pct"/>
          </w:tcPr>
          <w:p w14:paraId="36BDE9AE" w14:textId="77777777" w:rsidR="00F655F6" w:rsidRPr="002C36C7" w:rsidRDefault="00F655F6" w:rsidP="00862C44">
            <w:pPr>
              <w:spacing w:before="120" w:after="120"/>
              <w:rPr>
                <w:rFonts w:ascii="Verdana" w:hAnsi="Verdana"/>
              </w:rPr>
            </w:pPr>
            <w:r w:rsidRPr="002C36C7">
              <w:rPr>
                <w:rFonts w:ascii="Verdana" w:hAnsi="Verdana"/>
              </w:rPr>
              <w:t>Lost In House</w:t>
            </w:r>
          </w:p>
        </w:tc>
        <w:tc>
          <w:tcPr>
            <w:tcW w:w="3575" w:type="pct"/>
          </w:tcPr>
          <w:p w14:paraId="435732DD" w14:textId="24E1B503" w:rsidR="00F655F6" w:rsidRPr="00F25025" w:rsidRDefault="00F655F6" w:rsidP="00862C44">
            <w:pPr>
              <w:spacing w:before="120" w:after="120"/>
              <w:rPr>
                <w:rFonts w:ascii="Verdana" w:hAnsi="Verdana"/>
              </w:rPr>
            </w:pPr>
            <w:r w:rsidRPr="00F25025">
              <w:rPr>
                <w:rFonts w:ascii="Verdana" w:hAnsi="Verdana"/>
              </w:rPr>
              <w:t>The original order has been received, but the pharmacy cannot currently locate the prescription/order.</w:t>
            </w:r>
          </w:p>
        </w:tc>
      </w:tr>
      <w:tr w:rsidR="00F655F6" w:rsidRPr="00F25025" w14:paraId="6CFCABBD" w14:textId="77777777" w:rsidTr="00862C44">
        <w:tc>
          <w:tcPr>
            <w:tcW w:w="661" w:type="pct"/>
          </w:tcPr>
          <w:p w14:paraId="5C92E4AC"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LINKS</w:t>
            </w:r>
          </w:p>
        </w:tc>
        <w:tc>
          <w:tcPr>
            <w:tcW w:w="764" w:type="pct"/>
          </w:tcPr>
          <w:p w14:paraId="74871A6C" w14:textId="07737FAF" w:rsidR="00F655F6" w:rsidRPr="002C36C7" w:rsidRDefault="78258E68" w:rsidP="00862C44">
            <w:pPr>
              <w:spacing w:before="120" w:after="120"/>
              <w:rPr>
                <w:rFonts w:ascii="Verdana" w:hAnsi="Verdana"/>
              </w:rPr>
            </w:pPr>
            <w:r w:rsidRPr="38686A72">
              <w:rPr>
                <w:rFonts w:ascii="Verdana" w:hAnsi="Verdana"/>
              </w:rPr>
              <w:t xml:space="preserve">Linking information, networks, </w:t>
            </w:r>
            <w:r w:rsidR="00BB59C1" w:rsidRPr="38686A72">
              <w:rPr>
                <w:rFonts w:ascii="Verdana" w:hAnsi="Verdana"/>
              </w:rPr>
              <w:t>knowledge,</w:t>
            </w:r>
            <w:r w:rsidRPr="38686A72">
              <w:rPr>
                <w:rFonts w:ascii="Verdana" w:hAnsi="Verdana"/>
              </w:rPr>
              <w:t xml:space="preserve"> and systems</w:t>
            </w:r>
          </w:p>
        </w:tc>
        <w:tc>
          <w:tcPr>
            <w:tcW w:w="3575" w:type="pct"/>
          </w:tcPr>
          <w:p w14:paraId="7E0DA840" w14:textId="77777777" w:rsidR="00F655F6" w:rsidRPr="00F25025" w:rsidRDefault="00F655F6" w:rsidP="00862C44">
            <w:pPr>
              <w:spacing w:before="120" w:after="120"/>
              <w:rPr>
                <w:rFonts w:ascii="Verdana" w:hAnsi="Verdana"/>
              </w:rPr>
            </w:pPr>
            <w:r w:rsidRPr="00F25025">
              <w:rPr>
                <w:rFonts w:ascii="Verdana" w:hAnsi="Verdana"/>
              </w:rPr>
              <w:t>Operating system used by the mail order pharmacies.</w:t>
            </w:r>
          </w:p>
        </w:tc>
      </w:tr>
      <w:tr w:rsidR="00F655F6" w:rsidRPr="00F25025" w14:paraId="089CC7A1" w14:textId="77777777" w:rsidTr="00862C44">
        <w:tc>
          <w:tcPr>
            <w:tcW w:w="661" w:type="pct"/>
          </w:tcPr>
          <w:p w14:paraId="345561AE" w14:textId="7F78EFDF"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LIR</w:t>
            </w:r>
          </w:p>
        </w:tc>
        <w:tc>
          <w:tcPr>
            <w:tcW w:w="764" w:type="pct"/>
          </w:tcPr>
          <w:p w14:paraId="3B77A3E2" w14:textId="74F61CB6" w:rsidR="00F655F6" w:rsidRPr="002C36C7" w:rsidRDefault="00F655F6" w:rsidP="00862C44">
            <w:pPr>
              <w:spacing w:before="120" w:after="120"/>
              <w:rPr>
                <w:rFonts w:ascii="Verdana" w:hAnsi="Verdana"/>
              </w:rPr>
            </w:pPr>
            <w:r w:rsidRPr="002C36C7">
              <w:rPr>
                <w:rFonts w:ascii="Verdana" w:hAnsi="Verdana"/>
              </w:rPr>
              <w:t>Line Item Rejected</w:t>
            </w:r>
          </w:p>
        </w:tc>
        <w:tc>
          <w:tcPr>
            <w:tcW w:w="3575" w:type="pct"/>
          </w:tcPr>
          <w:p w14:paraId="77D6DB02" w14:textId="3B06602D" w:rsidR="00F655F6" w:rsidRPr="00F25025" w:rsidRDefault="00D64E81" w:rsidP="00862C44">
            <w:pPr>
              <w:spacing w:before="120" w:after="120"/>
              <w:rPr>
                <w:rFonts w:ascii="Verdana" w:hAnsi="Verdana"/>
              </w:rPr>
            </w:pPr>
            <w:r>
              <w:rPr>
                <w:rFonts w:ascii="Verdana" w:hAnsi="Verdana"/>
              </w:rPr>
              <w:t>Used to only reject certain items in an order.</w:t>
            </w:r>
          </w:p>
        </w:tc>
      </w:tr>
      <w:tr w:rsidR="00F655F6" w:rsidRPr="00F25025" w14:paraId="4F5150FC" w14:textId="77777777" w:rsidTr="00862C44">
        <w:tc>
          <w:tcPr>
            <w:tcW w:w="661" w:type="pct"/>
          </w:tcPr>
          <w:p w14:paraId="01A30E2F" w14:textId="77777777" w:rsidR="00F655F6" w:rsidRPr="00F25025" w:rsidRDefault="00F655F6" w:rsidP="00862C44">
            <w:pPr>
              <w:spacing w:before="120" w:after="120"/>
              <w:jc w:val="center"/>
              <w:rPr>
                <w:rFonts w:ascii="Verdana" w:hAnsi="Verdana"/>
                <w:b/>
                <w:color w:val="000000"/>
              </w:rPr>
            </w:pPr>
            <w:r w:rsidRPr="002A444A">
              <w:rPr>
                <w:rFonts w:ascii="Verdana" w:hAnsi="Verdana"/>
                <w:b/>
                <w:bCs/>
              </w:rPr>
              <w:t>LIS</w:t>
            </w:r>
          </w:p>
        </w:tc>
        <w:tc>
          <w:tcPr>
            <w:tcW w:w="764" w:type="pct"/>
          </w:tcPr>
          <w:p w14:paraId="7C70904C" w14:textId="20B87589" w:rsidR="00F655F6" w:rsidRPr="002C36C7" w:rsidRDefault="00F655F6" w:rsidP="00862C44">
            <w:pPr>
              <w:spacing w:before="120" w:after="120"/>
              <w:rPr>
                <w:rFonts w:ascii="Verdana" w:hAnsi="Verdana"/>
              </w:rPr>
            </w:pPr>
            <w:r w:rsidRPr="002C36C7">
              <w:rPr>
                <w:rFonts w:ascii="Verdana" w:hAnsi="Verdana"/>
              </w:rPr>
              <w:t>Low Income Subsidy (also known as Extra Help)</w:t>
            </w:r>
          </w:p>
        </w:tc>
        <w:tc>
          <w:tcPr>
            <w:tcW w:w="3575" w:type="pct"/>
          </w:tcPr>
          <w:p w14:paraId="055CAC79" w14:textId="77777777" w:rsidR="00F655F6" w:rsidRPr="00F25025" w:rsidRDefault="00F655F6" w:rsidP="00862C44">
            <w:pPr>
              <w:spacing w:before="120" w:after="120"/>
              <w:rPr>
                <w:rFonts w:ascii="Verdana" w:hAnsi="Verdana"/>
              </w:rPr>
            </w:pPr>
            <w:r w:rsidRPr="000F184C">
              <w:rPr>
                <w:rFonts w:ascii="Verdana" w:hAnsi="Verdana"/>
              </w:rPr>
              <w:t>Medicare beneficiaries may be eligible for Extra Help if they have limited income and resources.</w:t>
            </w:r>
          </w:p>
        </w:tc>
      </w:tr>
      <w:tr w:rsidR="008F585C" w14:paraId="0EF2E590" w14:textId="77777777" w:rsidTr="00862C44">
        <w:tc>
          <w:tcPr>
            <w:tcW w:w="661" w:type="pct"/>
            <w:tcBorders>
              <w:top w:val="single" w:sz="4" w:space="0" w:color="auto"/>
              <w:left w:val="single" w:sz="4" w:space="0" w:color="auto"/>
              <w:bottom w:val="single" w:sz="4" w:space="0" w:color="auto"/>
              <w:right w:val="single" w:sz="4" w:space="0" w:color="auto"/>
            </w:tcBorders>
            <w:hideMark/>
          </w:tcPr>
          <w:p w14:paraId="64B558B0" w14:textId="3715323C" w:rsidR="008F585C" w:rsidRDefault="00CE205A" w:rsidP="00862C44">
            <w:pPr>
              <w:spacing w:before="120" w:after="120"/>
              <w:jc w:val="center"/>
              <w:rPr>
                <w:rFonts w:ascii="Verdana" w:hAnsi="Verdana"/>
                <w:b/>
                <w:bCs/>
              </w:rPr>
            </w:pPr>
            <w:r>
              <w:rPr>
                <w:rFonts w:ascii="Verdana" w:hAnsi="Verdana"/>
                <w:b/>
                <w:color w:val="000000"/>
              </w:rPr>
              <w:t xml:space="preserve"> </w:t>
            </w:r>
            <w:r w:rsidR="008F585C">
              <w:rPr>
                <w:rFonts w:ascii="Verdana" w:hAnsi="Verdana"/>
                <w:b/>
                <w:color w:val="000000"/>
              </w:rPr>
              <w:t xml:space="preserve">LISHIST </w:t>
            </w:r>
          </w:p>
        </w:tc>
        <w:tc>
          <w:tcPr>
            <w:tcW w:w="764" w:type="pct"/>
            <w:tcBorders>
              <w:top w:val="single" w:sz="4" w:space="0" w:color="auto"/>
              <w:left w:val="single" w:sz="4" w:space="0" w:color="auto"/>
              <w:bottom w:val="single" w:sz="4" w:space="0" w:color="auto"/>
              <w:right w:val="single" w:sz="4" w:space="0" w:color="auto"/>
            </w:tcBorders>
            <w:hideMark/>
          </w:tcPr>
          <w:p w14:paraId="1C18317B" w14:textId="77777777" w:rsidR="008F585C" w:rsidRDefault="008F585C" w:rsidP="00862C44">
            <w:pPr>
              <w:spacing w:before="120" w:after="120"/>
              <w:rPr>
                <w:rFonts w:ascii="Verdana" w:hAnsi="Verdana"/>
              </w:rPr>
            </w:pPr>
            <w:r>
              <w:rPr>
                <w:rFonts w:ascii="Verdana" w:hAnsi="Verdana"/>
              </w:rPr>
              <w:t xml:space="preserve">Low Income Subsidy History Data File </w:t>
            </w:r>
          </w:p>
        </w:tc>
        <w:tc>
          <w:tcPr>
            <w:tcW w:w="3575" w:type="pct"/>
            <w:tcBorders>
              <w:top w:val="single" w:sz="4" w:space="0" w:color="auto"/>
              <w:left w:val="single" w:sz="4" w:space="0" w:color="auto"/>
              <w:bottom w:val="single" w:sz="4" w:space="0" w:color="auto"/>
              <w:right w:val="single" w:sz="4" w:space="0" w:color="auto"/>
            </w:tcBorders>
            <w:hideMark/>
          </w:tcPr>
          <w:p w14:paraId="672EF17B" w14:textId="428A99E3" w:rsidR="008F585C" w:rsidRDefault="78237FD2" w:rsidP="00862C44">
            <w:pPr>
              <w:spacing w:before="120" w:after="120"/>
              <w:rPr>
                <w:rFonts w:ascii="Verdana" w:hAnsi="Verdana"/>
              </w:rPr>
            </w:pPr>
            <w:r w:rsidRPr="38686A72">
              <w:rPr>
                <w:rFonts w:ascii="Verdana" w:hAnsi="Verdana"/>
              </w:rPr>
              <w:t>Known as the CMS Monthly LIS History report. Monthly report that provides a comprehensive list of a Plan’s current LIS membership</w:t>
            </w:r>
            <w:bookmarkStart w:id="8" w:name="_Int_m4t6wVeL"/>
            <w:r w:rsidRPr="38686A72">
              <w:rPr>
                <w:rFonts w:ascii="Verdana" w:hAnsi="Verdana"/>
              </w:rPr>
              <w:t xml:space="preserve">. </w:t>
            </w:r>
            <w:r w:rsidR="654B422A" w:rsidRPr="38686A72">
              <w:rPr>
                <w:rFonts w:ascii="Verdana" w:hAnsi="Verdana"/>
              </w:rPr>
              <w:t xml:space="preserve"> </w:t>
            </w:r>
            <w:bookmarkEnd w:id="8"/>
            <w:r w:rsidRPr="38686A72">
              <w:rPr>
                <w:rFonts w:ascii="Verdana" w:hAnsi="Verdana"/>
              </w:rPr>
              <w:t>The data on each Beneficiary spans the most recent 36 consecutive months of contract enrollment.</w:t>
            </w:r>
            <w:r w:rsidR="654B422A" w:rsidRPr="38686A72">
              <w:rPr>
                <w:rFonts w:ascii="Verdana" w:hAnsi="Verdana"/>
              </w:rPr>
              <w:t xml:space="preserve"> </w:t>
            </w:r>
            <w:r w:rsidRPr="38686A72">
              <w:rPr>
                <w:rFonts w:ascii="Verdana" w:hAnsi="Verdana"/>
              </w:rPr>
              <w:t xml:space="preserve"> Also informs Plans whether a Beneficiary is LIS in the next calendar year. CMS reconciliation file used by Acumen in the reconciliation process. </w:t>
            </w:r>
          </w:p>
        </w:tc>
      </w:tr>
      <w:tr w:rsidR="00F655F6" w:rsidRPr="00F25025" w14:paraId="47C79517" w14:textId="77777777" w:rsidTr="00862C44">
        <w:tc>
          <w:tcPr>
            <w:tcW w:w="661" w:type="pct"/>
          </w:tcPr>
          <w:p w14:paraId="7D9CA1C5"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LIT</w:t>
            </w:r>
          </w:p>
        </w:tc>
        <w:tc>
          <w:tcPr>
            <w:tcW w:w="764" w:type="pct"/>
          </w:tcPr>
          <w:p w14:paraId="7CF6F4AE" w14:textId="77777777" w:rsidR="00F655F6" w:rsidRPr="002C36C7" w:rsidRDefault="00F655F6" w:rsidP="00862C44">
            <w:pPr>
              <w:spacing w:before="120" w:after="120"/>
              <w:rPr>
                <w:rFonts w:ascii="Verdana" w:hAnsi="Verdana"/>
              </w:rPr>
            </w:pPr>
            <w:r w:rsidRPr="002C36C7">
              <w:rPr>
                <w:rFonts w:ascii="Verdana" w:hAnsi="Verdana"/>
              </w:rPr>
              <w:t>Lost In Transit</w:t>
            </w:r>
          </w:p>
        </w:tc>
        <w:tc>
          <w:tcPr>
            <w:tcW w:w="3575" w:type="pct"/>
          </w:tcPr>
          <w:p w14:paraId="3F19470D" w14:textId="61E6270B" w:rsidR="00F655F6" w:rsidRPr="00F25025" w:rsidRDefault="00F655F6" w:rsidP="00862C44">
            <w:pPr>
              <w:spacing w:before="120" w:after="120"/>
              <w:rPr>
                <w:rFonts w:ascii="Verdana" w:hAnsi="Verdana"/>
              </w:rPr>
            </w:pPr>
            <w:r w:rsidRPr="00F25025">
              <w:rPr>
                <w:rFonts w:ascii="Verdana" w:hAnsi="Verdana"/>
              </w:rPr>
              <w:t xml:space="preserve">The order has been </w:t>
            </w:r>
            <w:r w:rsidR="001E567B" w:rsidRPr="00F25025">
              <w:rPr>
                <w:rFonts w:ascii="Verdana" w:hAnsi="Verdana"/>
              </w:rPr>
              <w:t>shipped but</w:t>
            </w:r>
            <w:r w:rsidRPr="00F25025">
              <w:rPr>
                <w:rFonts w:ascii="Verdana" w:hAnsi="Verdana"/>
              </w:rPr>
              <w:t xml:space="preserve"> not received by the member. The delivery system cannot confirm location.</w:t>
            </w:r>
          </w:p>
        </w:tc>
      </w:tr>
      <w:tr w:rsidR="00F655F6" w:rsidRPr="00F25025" w14:paraId="23226568" w14:textId="77777777" w:rsidTr="00862C44">
        <w:tc>
          <w:tcPr>
            <w:tcW w:w="661" w:type="pct"/>
          </w:tcPr>
          <w:p w14:paraId="4EAF6540"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LM</w:t>
            </w:r>
          </w:p>
        </w:tc>
        <w:tc>
          <w:tcPr>
            <w:tcW w:w="764" w:type="pct"/>
          </w:tcPr>
          <w:p w14:paraId="39CC368C" w14:textId="77777777" w:rsidR="00F655F6" w:rsidRPr="002C36C7" w:rsidRDefault="00F655F6" w:rsidP="00862C44">
            <w:pPr>
              <w:spacing w:before="120" w:after="120"/>
              <w:rPr>
                <w:rFonts w:ascii="Verdana" w:hAnsi="Verdana"/>
              </w:rPr>
            </w:pPr>
            <w:r w:rsidRPr="002C36C7">
              <w:rPr>
                <w:rFonts w:ascii="Verdana" w:hAnsi="Verdana"/>
              </w:rPr>
              <w:t>Left Message</w:t>
            </w:r>
          </w:p>
        </w:tc>
        <w:tc>
          <w:tcPr>
            <w:tcW w:w="3575" w:type="pct"/>
          </w:tcPr>
          <w:p w14:paraId="67863815" w14:textId="104A811D" w:rsidR="00F655F6" w:rsidRPr="00F25025" w:rsidRDefault="00F655F6" w:rsidP="00862C44">
            <w:pPr>
              <w:spacing w:before="120" w:after="120"/>
              <w:rPr>
                <w:rFonts w:ascii="Verdana" w:hAnsi="Verdana"/>
              </w:rPr>
            </w:pPr>
            <w:r w:rsidRPr="00F25025">
              <w:rPr>
                <w:rFonts w:ascii="Verdana" w:hAnsi="Verdana"/>
              </w:rPr>
              <w:t>Unable to contact an office/</w:t>
            </w:r>
            <w:r w:rsidR="00CE205A" w:rsidRPr="00F25025">
              <w:rPr>
                <w:rFonts w:ascii="Verdana" w:hAnsi="Verdana"/>
              </w:rPr>
              <w:t>member but</w:t>
            </w:r>
            <w:r w:rsidRPr="00F25025">
              <w:rPr>
                <w:rFonts w:ascii="Verdana" w:hAnsi="Verdana"/>
              </w:rPr>
              <w:t xml:space="preserve"> had option to leave message with an authorized person.</w:t>
            </w:r>
          </w:p>
        </w:tc>
      </w:tr>
      <w:tr w:rsidR="00F655F6" w:rsidRPr="00F25025" w14:paraId="10862361" w14:textId="77777777" w:rsidTr="00862C44">
        <w:tc>
          <w:tcPr>
            <w:tcW w:w="661" w:type="pct"/>
          </w:tcPr>
          <w:p w14:paraId="79991035" w14:textId="7F052310"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LMN or LOMN</w:t>
            </w:r>
          </w:p>
        </w:tc>
        <w:tc>
          <w:tcPr>
            <w:tcW w:w="764" w:type="pct"/>
          </w:tcPr>
          <w:p w14:paraId="7788F6BB" w14:textId="1547E1F8" w:rsidR="00F655F6" w:rsidRPr="002C36C7" w:rsidRDefault="00F655F6" w:rsidP="00862C44">
            <w:pPr>
              <w:spacing w:before="120" w:after="120"/>
              <w:rPr>
                <w:rFonts w:ascii="Verdana" w:hAnsi="Verdana"/>
              </w:rPr>
            </w:pPr>
            <w:r w:rsidRPr="002C36C7">
              <w:rPr>
                <w:rFonts w:ascii="Verdana" w:hAnsi="Verdana"/>
                <w:color w:val="000000"/>
              </w:rPr>
              <w:t>Letter of Medical Necessity</w:t>
            </w:r>
          </w:p>
        </w:tc>
        <w:tc>
          <w:tcPr>
            <w:tcW w:w="3575" w:type="pct"/>
          </w:tcPr>
          <w:p w14:paraId="5C6E5A2C" w14:textId="747B9CC2" w:rsidR="00F655F6" w:rsidRPr="00F25025" w:rsidRDefault="00D64E81" w:rsidP="00862C44">
            <w:pPr>
              <w:spacing w:before="120" w:after="120"/>
              <w:rPr>
                <w:rFonts w:ascii="Verdana" w:hAnsi="Verdana"/>
              </w:rPr>
            </w:pPr>
            <w:r>
              <w:rPr>
                <w:rFonts w:ascii="Verdana" w:hAnsi="Verdana"/>
              </w:rPr>
              <w:t>A letter written by your doctor that verifies the services or items you are purchasing are for the diagnosis, treatment or prevention of a disease or medical condition.</w:t>
            </w:r>
          </w:p>
        </w:tc>
      </w:tr>
      <w:tr w:rsidR="00F655F6" w:rsidRPr="00F25025" w14:paraId="65DE81E7" w14:textId="77777777" w:rsidTr="00862C44">
        <w:tc>
          <w:tcPr>
            <w:tcW w:w="661" w:type="pct"/>
          </w:tcPr>
          <w:p w14:paraId="0507E81B" w14:textId="09A8A817"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LMOR</w:t>
            </w:r>
          </w:p>
        </w:tc>
        <w:tc>
          <w:tcPr>
            <w:tcW w:w="764" w:type="pct"/>
          </w:tcPr>
          <w:p w14:paraId="4BE7E581" w14:textId="01B4B5EC" w:rsidR="00F655F6" w:rsidRPr="002C36C7" w:rsidRDefault="00F655F6" w:rsidP="00862C44">
            <w:pPr>
              <w:spacing w:before="120" w:after="120"/>
              <w:rPr>
                <w:rFonts w:ascii="Verdana" w:hAnsi="Verdana"/>
              </w:rPr>
            </w:pPr>
            <w:r w:rsidRPr="002C36C7">
              <w:rPr>
                <w:rFonts w:ascii="Verdana" w:hAnsi="Verdana"/>
              </w:rPr>
              <w:t>Left message on recorder</w:t>
            </w:r>
          </w:p>
        </w:tc>
        <w:tc>
          <w:tcPr>
            <w:tcW w:w="3575" w:type="pct"/>
          </w:tcPr>
          <w:p w14:paraId="1A5C66C0" w14:textId="5AE77754" w:rsidR="00F655F6" w:rsidRPr="00F25025" w:rsidRDefault="008F585C" w:rsidP="00862C44">
            <w:pPr>
              <w:spacing w:before="120" w:after="120"/>
              <w:rPr>
                <w:rFonts w:ascii="Verdana" w:hAnsi="Verdana"/>
              </w:rPr>
            </w:pPr>
            <w:r>
              <w:rPr>
                <w:rFonts w:ascii="Verdana" w:hAnsi="Verdana"/>
              </w:rPr>
              <w:t>Voice message left on recording device</w:t>
            </w:r>
            <w:r w:rsidR="00CE205A">
              <w:rPr>
                <w:rFonts w:ascii="Verdana" w:hAnsi="Verdana"/>
              </w:rPr>
              <w:t>.</w:t>
            </w:r>
          </w:p>
        </w:tc>
      </w:tr>
      <w:tr w:rsidR="00F655F6" w:rsidRPr="00F25025" w14:paraId="26BD2F58" w14:textId="77777777" w:rsidTr="00862C44">
        <w:tc>
          <w:tcPr>
            <w:tcW w:w="661" w:type="pct"/>
          </w:tcPr>
          <w:p w14:paraId="242A76ED"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LMVM</w:t>
            </w:r>
          </w:p>
        </w:tc>
        <w:tc>
          <w:tcPr>
            <w:tcW w:w="764" w:type="pct"/>
          </w:tcPr>
          <w:p w14:paraId="6FCEF155" w14:textId="0CB3D583" w:rsidR="00F655F6" w:rsidRPr="002C36C7" w:rsidRDefault="00F655F6" w:rsidP="00862C44">
            <w:pPr>
              <w:spacing w:before="120" w:after="120"/>
              <w:rPr>
                <w:rFonts w:ascii="Verdana" w:hAnsi="Verdana"/>
              </w:rPr>
            </w:pPr>
            <w:r w:rsidRPr="002C36C7">
              <w:rPr>
                <w:rFonts w:ascii="Verdana" w:hAnsi="Verdana"/>
              </w:rPr>
              <w:t>Left Message On Voice Mail</w:t>
            </w:r>
          </w:p>
        </w:tc>
        <w:tc>
          <w:tcPr>
            <w:tcW w:w="3575" w:type="pct"/>
          </w:tcPr>
          <w:p w14:paraId="710D4FD9" w14:textId="469B8648" w:rsidR="00F655F6" w:rsidRPr="00F25025" w:rsidRDefault="00F655F6" w:rsidP="00862C44">
            <w:pPr>
              <w:spacing w:before="120" w:after="120"/>
              <w:rPr>
                <w:rFonts w:ascii="Verdana" w:hAnsi="Verdana"/>
              </w:rPr>
            </w:pPr>
            <w:r w:rsidRPr="00F25025">
              <w:rPr>
                <w:rFonts w:ascii="Verdana" w:hAnsi="Verdana"/>
              </w:rPr>
              <w:t>Unable to contact an office/</w:t>
            </w:r>
            <w:r w:rsidR="008F585C" w:rsidRPr="00F25025">
              <w:rPr>
                <w:rFonts w:ascii="Verdana" w:hAnsi="Verdana"/>
              </w:rPr>
              <w:t>member but</w:t>
            </w:r>
            <w:r w:rsidRPr="00F25025">
              <w:rPr>
                <w:rFonts w:ascii="Verdana" w:hAnsi="Verdana"/>
              </w:rPr>
              <w:t xml:space="preserve"> had option to leave message on an authorized recording system.</w:t>
            </w:r>
          </w:p>
        </w:tc>
      </w:tr>
      <w:tr w:rsidR="00F655F6" w:rsidRPr="00F25025" w14:paraId="471AD781" w14:textId="77777777" w:rsidTr="00862C44">
        <w:tc>
          <w:tcPr>
            <w:tcW w:w="661" w:type="pct"/>
          </w:tcPr>
          <w:p w14:paraId="42CE1205" w14:textId="4429D68C"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LMW</w:t>
            </w:r>
          </w:p>
        </w:tc>
        <w:tc>
          <w:tcPr>
            <w:tcW w:w="764" w:type="pct"/>
          </w:tcPr>
          <w:p w14:paraId="76C36E25" w14:textId="6A12AD99" w:rsidR="00F655F6" w:rsidRPr="002C36C7" w:rsidRDefault="00F655F6" w:rsidP="00862C44">
            <w:pPr>
              <w:spacing w:before="120" w:after="120"/>
              <w:rPr>
                <w:rFonts w:ascii="Verdana" w:hAnsi="Verdana"/>
              </w:rPr>
            </w:pPr>
            <w:r w:rsidRPr="002C36C7">
              <w:rPr>
                <w:rFonts w:ascii="Verdana" w:hAnsi="Verdana"/>
              </w:rPr>
              <w:t xml:space="preserve">Left message with </w:t>
            </w:r>
          </w:p>
        </w:tc>
        <w:tc>
          <w:tcPr>
            <w:tcW w:w="3575" w:type="pct"/>
          </w:tcPr>
          <w:p w14:paraId="42656685" w14:textId="75D2FD8E" w:rsidR="00F655F6" w:rsidRPr="00F25025" w:rsidRDefault="00707774" w:rsidP="00862C44">
            <w:pPr>
              <w:tabs>
                <w:tab w:val="left" w:pos="3390"/>
              </w:tabs>
              <w:spacing w:before="120" w:after="120"/>
              <w:rPr>
                <w:rFonts w:ascii="Verdana" w:hAnsi="Verdana"/>
              </w:rPr>
            </w:pPr>
            <w:r>
              <w:rPr>
                <w:rFonts w:ascii="Verdana" w:hAnsi="Verdana"/>
              </w:rPr>
              <w:t>Unable to make with the member/prescriber’s office but left a message with a particular authorized person.</w:t>
            </w:r>
          </w:p>
        </w:tc>
      </w:tr>
      <w:tr w:rsidR="00F655F6" w:rsidRPr="00F25025" w14:paraId="2320B63F" w14:textId="77777777" w:rsidTr="00862C44">
        <w:tc>
          <w:tcPr>
            <w:tcW w:w="661" w:type="pct"/>
          </w:tcPr>
          <w:p w14:paraId="6BCA4BDF"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LOH</w:t>
            </w:r>
          </w:p>
        </w:tc>
        <w:tc>
          <w:tcPr>
            <w:tcW w:w="764" w:type="pct"/>
          </w:tcPr>
          <w:p w14:paraId="4ACDAC50" w14:textId="77777777" w:rsidR="00F655F6" w:rsidRPr="002C36C7" w:rsidRDefault="00F655F6" w:rsidP="00862C44">
            <w:pPr>
              <w:spacing w:before="120" w:after="120"/>
              <w:rPr>
                <w:rFonts w:ascii="Verdana" w:hAnsi="Verdana"/>
              </w:rPr>
            </w:pPr>
            <w:r w:rsidRPr="002C36C7">
              <w:rPr>
                <w:rFonts w:ascii="Verdana" w:hAnsi="Verdana"/>
              </w:rPr>
              <w:t>Left on hold</w:t>
            </w:r>
          </w:p>
        </w:tc>
        <w:tc>
          <w:tcPr>
            <w:tcW w:w="3575" w:type="pct"/>
          </w:tcPr>
          <w:p w14:paraId="09B941DF" w14:textId="00573D1A" w:rsidR="00F655F6" w:rsidRPr="00F25025" w:rsidRDefault="009A021E" w:rsidP="00862C44">
            <w:pPr>
              <w:spacing w:before="120" w:after="120"/>
              <w:rPr>
                <w:rFonts w:ascii="Verdana" w:hAnsi="Verdana"/>
              </w:rPr>
            </w:pPr>
            <w:r w:rsidRPr="00F25025">
              <w:rPr>
                <w:rFonts w:ascii="Verdana" w:hAnsi="Verdana"/>
              </w:rPr>
              <w:t>Contacted</w:t>
            </w:r>
            <w:r w:rsidR="00F655F6" w:rsidRPr="00F25025">
              <w:rPr>
                <w:rFonts w:ascii="Verdana" w:hAnsi="Verdana"/>
              </w:rPr>
              <w:t xml:space="preserve"> member/</w:t>
            </w:r>
            <w:r w:rsidR="001E567B" w:rsidRPr="00F25025">
              <w:rPr>
                <w:rFonts w:ascii="Verdana" w:hAnsi="Verdana"/>
              </w:rPr>
              <w:t>prescribers’</w:t>
            </w:r>
            <w:r w:rsidR="00F655F6" w:rsidRPr="00F25025">
              <w:rPr>
                <w:rFonts w:ascii="Verdana" w:hAnsi="Verdana"/>
              </w:rPr>
              <w:t xml:space="preserve"> </w:t>
            </w:r>
            <w:r w:rsidR="00BB59C1" w:rsidRPr="00F25025">
              <w:rPr>
                <w:rFonts w:ascii="Verdana" w:hAnsi="Verdana"/>
              </w:rPr>
              <w:t>office but</w:t>
            </w:r>
            <w:r w:rsidR="00F655F6" w:rsidRPr="00F25025">
              <w:rPr>
                <w:rFonts w:ascii="Verdana" w:hAnsi="Verdana"/>
              </w:rPr>
              <w:t xml:space="preserve"> placed on hold without receiving an answer to the issue.</w:t>
            </w:r>
          </w:p>
        </w:tc>
      </w:tr>
      <w:tr w:rsidR="00F655F6" w:rsidRPr="00F25025" w14:paraId="4C590847" w14:textId="77777777" w:rsidTr="00862C44">
        <w:tc>
          <w:tcPr>
            <w:tcW w:w="661" w:type="pct"/>
          </w:tcPr>
          <w:p w14:paraId="38FC4523"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LOT</w:t>
            </w:r>
          </w:p>
        </w:tc>
        <w:tc>
          <w:tcPr>
            <w:tcW w:w="764" w:type="pct"/>
          </w:tcPr>
          <w:p w14:paraId="40F516AC" w14:textId="77777777" w:rsidR="00F655F6" w:rsidRPr="002C36C7" w:rsidRDefault="00F655F6" w:rsidP="00862C44">
            <w:pPr>
              <w:spacing w:before="120" w:after="120"/>
              <w:rPr>
                <w:rFonts w:ascii="Verdana" w:hAnsi="Verdana"/>
              </w:rPr>
            </w:pPr>
            <w:r w:rsidRPr="002C36C7">
              <w:rPr>
                <w:rFonts w:ascii="Verdana" w:hAnsi="Verdana"/>
              </w:rPr>
              <w:t>Lotion</w:t>
            </w:r>
          </w:p>
        </w:tc>
        <w:tc>
          <w:tcPr>
            <w:tcW w:w="3575" w:type="pct"/>
          </w:tcPr>
          <w:p w14:paraId="0FA1C6EC" w14:textId="0AA4C358" w:rsidR="00F655F6" w:rsidRPr="00F25025" w:rsidRDefault="00F655F6" w:rsidP="00862C44">
            <w:pPr>
              <w:spacing w:before="120" w:after="120"/>
              <w:rPr>
                <w:rFonts w:ascii="Verdana" w:hAnsi="Verdana"/>
              </w:rPr>
            </w:pPr>
            <w:r w:rsidRPr="00F25025">
              <w:rPr>
                <w:rFonts w:ascii="Verdana" w:hAnsi="Verdana"/>
              </w:rPr>
              <w:t>A dosage form available for a topical product.</w:t>
            </w:r>
          </w:p>
        </w:tc>
      </w:tr>
      <w:tr w:rsidR="00F655F6" w:rsidRPr="00F25025" w14:paraId="4C3581AD" w14:textId="77777777" w:rsidTr="00862C44">
        <w:tc>
          <w:tcPr>
            <w:tcW w:w="661" w:type="pct"/>
          </w:tcPr>
          <w:p w14:paraId="0E9F5CA5"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Lotx</w:t>
            </w:r>
          </w:p>
        </w:tc>
        <w:tc>
          <w:tcPr>
            <w:tcW w:w="764" w:type="pct"/>
          </w:tcPr>
          <w:p w14:paraId="12B1D90C" w14:textId="77777777" w:rsidR="00F655F6" w:rsidRPr="002C36C7" w:rsidRDefault="00F655F6" w:rsidP="00862C44">
            <w:pPr>
              <w:spacing w:before="120" w:after="120"/>
              <w:rPr>
                <w:rFonts w:ascii="Verdana" w:hAnsi="Verdana"/>
              </w:rPr>
            </w:pPr>
            <w:r w:rsidRPr="002C36C7">
              <w:rPr>
                <w:rFonts w:ascii="Verdana" w:hAnsi="Verdana"/>
              </w:rPr>
              <w:t>Length of Therapy</w:t>
            </w:r>
          </w:p>
        </w:tc>
        <w:tc>
          <w:tcPr>
            <w:tcW w:w="3575" w:type="pct"/>
          </w:tcPr>
          <w:p w14:paraId="77712F6E" w14:textId="6DE6C562" w:rsidR="00F655F6" w:rsidRPr="00F25025" w:rsidRDefault="00F655F6" w:rsidP="00862C44">
            <w:pPr>
              <w:spacing w:before="120" w:after="120"/>
              <w:rPr>
                <w:rFonts w:ascii="Verdana" w:hAnsi="Verdana"/>
              </w:rPr>
            </w:pPr>
            <w:r w:rsidRPr="00F25025">
              <w:rPr>
                <w:rFonts w:ascii="Verdana" w:hAnsi="Verdana"/>
              </w:rPr>
              <w:t>The amount of time a member will spend on a particular medication.</w:t>
            </w:r>
          </w:p>
        </w:tc>
      </w:tr>
      <w:tr w:rsidR="00F655F6" w:rsidRPr="00F25025" w14:paraId="575A2319" w14:textId="77777777" w:rsidTr="00862C44">
        <w:tc>
          <w:tcPr>
            <w:tcW w:w="661" w:type="pct"/>
          </w:tcPr>
          <w:p w14:paraId="3BBCA749" w14:textId="77777777" w:rsidR="00F655F6" w:rsidRPr="00F25025" w:rsidRDefault="00F655F6" w:rsidP="00862C44">
            <w:pPr>
              <w:spacing w:before="120" w:after="120"/>
              <w:jc w:val="center"/>
              <w:rPr>
                <w:rFonts w:ascii="Verdana" w:hAnsi="Verdana"/>
                <w:b/>
                <w:color w:val="000000"/>
              </w:rPr>
            </w:pPr>
            <w:r w:rsidRPr="002A444A">
              <w:rPr>
                <w:rFonts w:ascii="Verdana" w:hAnsi="Verdana"/>
                <w:b/>
              </w:rPr>
              <w:t>LTC</w:t>
            </w:r>
          </w:p>
        </w:tc>
        <w:tc>
          <w:tcPr>
            <w:tcW w:w="764" w:type="pct"/>
          </w:tcPr>
          <w:p w14:paraId="4F6A6267" w14:textId="77777777" w:rsidR="00F655F6" w:rsidRPr="002C36C7" w:rsidRDefault="00F655F6" w:rsidP="00862C44">
            <w:pPr>
              <w:spacing w:before="120" w:after="120"/>
              <w:rPr>
                <w:rFonts w:ascii="Verdana" w:hAnsi="Verdana"/>
                <w:color w:val="000000"/>
              </w:rPr>
            </w:pPr>
            <w:r w:rsidRPr="002C36C7">
              <w:rPr>
                <w:rFonts w:ascii="Verdana" w:hAnsi="Verdana"/>
              </w:rPr>
              <w:t>Long Term Care</w:t>
            </w:r>
          </w:p>
        </w:tc>
        <w:tc>
          <w:tcPr>
            <w:tcW w:w="3575" w:type="pct"/>
          </w:tcPr>
          <w:p w14:paraId="291CF7C6" w14:textId="30D97E6B" w:rsidR="00F655F6" w:rsidRPr="00F25025" w:rsidRDefault="00F655F6" w:rsidP="00862C44">
            <w:pPr>
              <w:spacing w:before="120" w:after="120"/>
              <w:rPr>
                <w:rFonts w:ascii="Verdana" w:hAnsi="Verdana"/>
              </w:rPr>
            </w:pPr>
            <w:r w:rsidRPr="000F184C">
              <w:rPr>
                <w:rFonts w:ascii="Verdana" w:hAnsi="Verdana"/>
              </w:rPr>
              <w:t xml:space="preserve">Facility which cares for the beneficiary for an extended </w:t>
            </w:r>
            <w:r w:rsidR="009A021E" w:rsidRPr="000F184C">
              <w:rPr>
                <w:rFonts w:ascii="Verdana" w:hAnsi="Verdana"/>
              </w:rPr>
              <w:t>period</w:t>
            </w:r>
            <w:r>
              <w:rPr>
                <w:rFonts w:ascii="Verdana" w:hAnsi="Verdana"/>
              </w:rPr>
              <w:t>.</w:t>
            </w:r>
          </w:p>
        </w:tc>
      </w:tr>
      <w:tr w:rsidR="00F655F6" w:rsidRPr="00F25025" w14:paraId="10311870" w14:textId="77777777" w:rsidTr="00862C44">
        <w:tc>
          <w:tcPr>
            <w:tcW w:w="661" w:type="pct"/>
          </w:tcPr>
          <w:p w14:paraId="38014A74" w14:textId="4E6B99A6"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LTD</w:t>
            </w:r>
          </w:p>
          <w:p w14:paraId="24920BD9" w14:textId="77777777" w:rsidR="00F655F6" w:rsidRPr="00F25025" w:rsidRDefault="00F655F6" w:rsidP="00862C44">
            <w:pPr>
              <w:spacing w:before="120" w:after="120"/>
              <w:jc w:val="center"/>
              <w:rPr>
                <w:rFonts w:ascii="Verdana" w:hAnsi="Verdana"/>
                <w:b/>
                <w:color w:val="000000"/>
              </w:rPr>
            </w:pPr>
            <w:r w:rsidRPr="00F25025">
              <w:rPr>
                <w:rFonts w:ascii="Verdana" w:hAnsi="Verdana"/>
                <w:noProof/>
              </w:rPr>
              <w:t xml:space="preserve"> </w:t>
            </w:r>
          </w:p>
        </w:tc>
        <w:tc>
          <w:tcPr>
            <w:tcW w:w="764" w:type="pct"/>
          </w:tcPr>
          <w:p w14:paraId="11DD5728" w14:textId="77777777" w:rsidR="00F655F6" w:rsidRPr="002C36C7" w:rsidRDefault="00F655F6" w:rsidP="00862C44">
            <w:pPr>
              <w:spacing w:before="120" w:after="120"/>
              <w:rPr>
                <w:rFonts w:ascii="Verdana" w:hAnsi="Verdana"/>
              </w:rPr>
            </w:pPr>
            <w:r w:rsidRPr="002C36C7">
              <w:rPr>
                <w:rFonts w:ascii="Verdana" w:hAnsi="Verdana"/>
              </w:rPr>
              <w:t>Long Term Disability</w:t>
            </w:r>
          </w:p>
        </w:tc>
        <w:tc>
          <w:tcPr>
            <w:tcW w:w="3575" w:type="pct"/>
          </w:tcPr>
          <w:p w14:paraId="73654C68" w14:textId="54D0489F" w:rsidR="00F655F6" w:rsidRPr="00D82AA1" w:rsidRDefault="78237FD2" w:rsidP="00862C44">
            <w:pPr>
              <w:spacing w:before="120" w:after="120"/>
              <w:rPr>
                <w:rFonts w:ascii="Verdana" w:hAnsi="Verdana"/>
              </w:rPr>
            </w:pPr>
            <w:r w:rsidRPr="002A683B">
              <w:rPr>
                <w:rFonts w:ascii="Verdana" w:hAnsi="Verdana"/>
                <w:color w:val="202124"/>
                <w:shd w:val="clear" w:color="auto" w:fill="FFFFFF"/>
              </w:rPr>
              <w:t>Long-term disability is an insurance plan that often works in tandem with short-term disability </w:t>
            </w:r>
            <w:r w:rsidRPr="002A683B">
              <w:rPr>
                <w:rFonts w:ascii="Verdana" w:hAnsi="Verdana"/>
                <w:b/>
                <w:bCs/>
                <w:color w:val="202124"/>
                <w:shd w:val="clear" w:color="auto" w:fill="FFFFFF"/>
              </w:rPr>
              <w:t>to provide income for long-term illnesses and injuries</w:t>
            </w:r>
            <w:r w:rsidRPr="002A683B">
              <w:rPr>
                <w:rFonts w:ascii="Verdana" w:hAnsi="Verdana"/>
                <w:color w:val="202124"/>
                <w:shd w:val="clear" w:color="auto" w:fill="FFFFFF"/>
              </w:rPr>
              <w:t>. Once short-term disability benefits are exhausted, a long-term disability policy continues to provide the employee with some income until they can return to work</w:t>
            </w:r>
            <w:bookmarkStart w:id="9" w:name="_Int_7LlWmkHv"/>
            <w:r w:rsidR="4594EE57">
              <w:rPr>
                <w:rFonts w:ascii="Verdana" w:hAnsi="Verdana"/>
                <w:color w:val="202124"/>
                <w:shd w:val="clear" w:color="auto" w:fill="FFFFFF"/>
              </w:rPr>
              <w:t>.</w:t>
            </w:r>
            <w:r w:rsidR="1BA4401E" w:rsidRPr="002A683B">
              <w:rPr>
                <w:rFonts w:ascii="Verdana" w:hAnsi="Verdana"/>
                <w:color w:val="202124"/>
                <w:shd w:val="clear" w:color="auto" w:fill="FFFFFF"/>
              </w:rPr>
              <w:t xml:space="preserve">  </w:t>
            </w:r>
            <w:bookmarkEnd w:id="9"/>
          </w:p>
        </w:tc>
      </w:tr>
      <w:tr w:rsidR="008F585C" w:rsidRPr="00F25025" w14:paraId="748A2000" w14:textId="77777777" w:rsidTr="00862C44">
        <w:tc>
          <w:tcPr>
            <w:tcW w:w="661" w:type="pct"/>
          </w:tcPr>
          <w:p w14:paraId="150B7B60" w14:textId="3DF88BB6" w:rsidR="008F585C" w:rsidRDefault="00CE205A" w:rsidP="00862C44">
            <w:pPr>
              <w:spacing w:before="120" w:after="120"/>
              <w:jc w:val="center"/>
              <w:rPr>
                <w:rFonts w:ascii="Verdana" w:hAnsi="Verdana"/>
                <w:b/>
                <w:color w:val="000000"/>
              </w:rPr>
            </w:pPr>
            <w:r>
              <w:rPr>
                <w:rFonts w:ascii="Verdana" w:hAnsi="Verdana"/>
                <w:b/>
                <w:color w:val="000000"/>
              </w:rPr>
              <w:t xml:space="preserve"> </w:t>
            </w:r>
            <w:r w:rsidR="008F585C">
              <w:rPr>
                <w:rFonts w:ascii="Verdana" w:hAnsi="Verdana"/>
                <w:b/>
                <w:color w:val="000000"/>
              </w:rPr>
              <w:t>LOB</w:t>
            </w:r>
          </w:p>
        </w:tc>
        <w:tc>
          <w:tcPr>
            <w:tcW w:w="764" w:type="pct"/>
          </w:tcPr>
          <w:p w14:paraId="7488C306" w14:textId="5C5D5F97" w:rsidR="008F585C" w:rsidRPr="002C36C7" w:rsidRDefault="008F585C" w:rsidP="00862C44">
            <w:pPr>
              <w:spacing w:before="120" w:after="120"/>
              <w:rPr>
                <w:rFonts w:ascii="Verdana" w:hAnsi="Verdana"/>
              </w:rPr>
            </w:pPr>
            <w:r>
              <w:rPr>
                <w:rFonts w:ascii="Verdana" w:hAnsi="Verdana"/>
              </w:rPr>
              <w:t>Line of Business</w:t>
            </w:r>
          </w:p>
        </w:tc>
        <w:tc>
          <w:tcPr>
            <w:tcW w:w="3575" w:type="pct"/>
          </w:tcPr>
          <w:p w14:paraId="3DAEC360" w14:textId="58C80E67" w:rsidR="008F585C" w:rsidRDefault="008F585C" w:rsidP="00862C44">
            <w:pPr>
              <w:spacing w:before="120" w:after="120"/>
              <w:rPr>
                <w:rFonts w:ascii="Verdana" w:hAnsi="Verdana"/>
              </w:rPr>
            </w:pPr>
            <w:r>
              <w:rPr>
                <w:rFonts w:ascii="Verdana" w:hAnsi="Verdana"/>
              </w:rPr>
              <w:t>Specific area of a business entity.</w:t>
            </w:r>
          </w:p>
        </w:tc>
      </w:tr>
      <w:tr w:rsidR="00F655F6" w:rsidRPr="00F25025" w14:paraId="33744103" w14:textId="77777777" w:rsidTr="00862C44">
        <w:tc>
          <w:tcPr>
            <w:tcW w:w="661" w:type="pct"/>
          </w:tcPr>
          <w:p w14:paraId="46832E78" w14:textId="104FBEAF"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Pr>
                <w:rFonts w:ascii="Verdana" w:hAnsi="Verdana"/>
                <w:b/>
                <w:color w:val="000000"/>
              </w:rPr>
              <w:t xml:space="preserve">LTI </w:t>
            </w:r>
          </w:p>
        </w:tc>
        <w:tc>
          <w:tcPr>
            <w:tcW w:w="764" w:type="pct"/>
          </w:tcPr>
          <w:p w14:paraId="319A8AC2" w14:textId="77777777" w:rsidR="00F655F6" w:rsidRPr="002C36C7" w:rsidRDefault="00F655F6" w:rsidP="00862C44">
            <w:pPr>
              <w:spacing w:before="120" w:after="120"/>
              <w:rPr>
                <w:rFonts w:ascii="Verdana" w:hAnsi="Verdana"/>
              </w:rPr>
            </w:pPr>
            <w:r w:rsidRPr="002C36C7">
              <w:rPr>
                <w:rFonts w:ascii="Verdana" w:hAnsi="Verdana"/>
              </w:rPr>
              <w:t xml:space="preserve">Long Term Institution </w:t>
            </w:r>
          </w:p>
        </w:tc>
        <w:tc>
          <w:tcPr>
            <w:tcW w:w="3575" w:type="pct"/>
          </w:tcPr>
          <w:p w14:paraId="10CA142A" w14:textId="22D3AD6F" w:rsidR="00F655F6" w:rsidRPr="00F25025" w:rsidRDefault="00BB42E7" w:rsidP="00862C44">
            <w:pPr>
              <w:spacing w:before="120" w:after="120"/>
              <w:rPr>
                <w:rFonts w:ascii="Verdana" w:hAnsi="Verdana"/>
              </w:rPr>
            </w:pPr>
            <w:r>
              <w:rPr>
                <w:rFonts w:ascii="Verdana" w:hAnsi="Verdana"/>
              </w:rPr>
              <w:t xml:space="preserve">A </w:t>
            </w:r>
            <w:r w:rsidR="009A021E">
              <w:rPr>
                <w:rFonts w:ascii="Verdana" w:hAnsi="Verdana"/>
              </w:rPr>
              <w:t>Long-Term</w:t>
            </w:r>
            <w:r>
              <w:rPr>
                <w:rFonts w:ascii="Verdana" w:hAnsi="Verdana"/>
              </w:rPr>
              <w:t xml:space="preserve"> Care (LTC) institution (such as long-term care facility, assisted living facility (ATL), nursing home, rehabilitation facility, in-patient behavioral health facility, and long-term chronic care hospital) used for beneficiaries who need assistance with activities of daily living.</w:t>
            </w:r>
          </w:p>
        </w:tc>
      </w:tr>
      <w:tr w:rsidR="00F655F6" w:rsidRPr="00F25025" w14:paraId="7797CA33" w14:textId="77777777" w:rsidTr="00862C44">
        <w:tc>
          <w:tcPr>
            <w:tcW w:w="661" w:type="pct"/>
          </w:tcPr>
          <w:p w14:paraId="0DEEDAF2" w14:textId="77777777"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LTR</w:t>
            </w:r>
          </w:p>
        </w:tc>
        <w:tc>
          <w:tcPr>
            <w:tcW w:w="764" w:type="pct"/>
          </w:tcPr>
          <w:p w14:paraId="1F523B00" w14:textId="77777777" w:rsidR="00F655F6" w:rsidRPr="002C36C7" w:rsidRDefault="00F655F6" w:rsidP="00862C44">
            <w:pPr>
              <w:spacing w:before="120" w:after="120"/>
              <w:rPr>
                <w:rFonts w:ascii="Verdana" w:hAnsi="Verdana"/>
              </w:rPr>
            </w:pPr>
            <w:r w:rsidRPr="002C36C7">
              <w:rPr>
                <w:rFonts w:ascii="Verdana" w:hAnsi="Verdana"/>
              </w:rPr>
              <w:t>Letter</w:t>
            </w:r>
          </w:p>
        </w:tc>
        <w:tc>
          <w:tcPr>
            <w:tcW w:w="3575" w:type="pct"/>
          </w:tcPr>
          <w:p w14:paraId="262514B2" w14:textId="2DB137A5" w:rsidR="00F655F6" w:rsidRPr="00F25025" w:rsidRDefault="00F655F6" w:rsidP="00862C44">
            <w:pPr>
              <w:spacing w:before="120" w:after="120"/>
              <w:rPr>
                <w:rFonts w:ascii="Verdana" w:hAnsi="Verdana"/>
              </w:rPr>
            </w:pPr>
            <w:r w:rsidRPr="00F25025">
              <w:rPr>
                <w:rFonts w:ascii="Verdana" w:hAnsi="Verdana"/>
              </w:rPr>
              <w:t>A written communication that will be sent to the member/prescriber concerning a prescription ordered.</w:t>
            </w:r>
          </w:p>
        </w:tc>
      </w:tr>
      <w:tr w:rsidR="00F655F6" w:rsidRPr="00F25025" w14:paraId="5746BF36" w14:textId="77777777" w:rsidTr="00862C44">
        <w:tc>
          <w:tcPr>
            <w:tcW w:w="661" w:type="pct"/>
          </w:tcPr>
          <w:p w14:paraId="1535090E" w14:textId="4B357166" w:rsidR="00F655F6" w:rsidRPr="00F25025" w:rsidRDefault="00F655F6" w:rsidP="00862C44">
            <w:pPr>
              <w:spacing w:before="120" w:after="120"/>
              <w:jc w:val="center"/>
              <w:rPr>
                <w:rFonts w:ascii="Verdana" w:hAnsi="Verdana"/>
                <w:b/>
                <w:color w:val="000000"/>
              </w:rPr>
            </w:pPr>
            <w:r w:rsidRPr="00F25025">
              <w:rPr>
                <w:rFonts w:ascii="Verdana" w:hAnsi="Verdana"/>
                <w:b/>
                <w:color w:val="000000"/>
              </w:rPr>
              <w:t>LVM</w:t>
            </w:r>
          </w:p>
        </w:tc>
        <w:tc>
          <w:tcPr>
            <w:tcW w:w="764" w:type="pct"/>
          </w:tcPr>
          <w:p w14:paraId="2980770D" w14:textId="02B070E3" w:rsidR="00F655F6" w:rsidRPr="002C36C7" w:rsidRDefault="00F655F6" w:rsidP="00862C44">
            <w:pPr>
              <w:spacing w:before="120" w:after="120"/>
              <w:rPr>
                <w:rFonts w:ascii="Verdana" w:hAnsi="Verdana" w:cs="Arial"/>
              </w:rPr>
            </w:pPr>
            <w:r w:rsidRPr="002C36C7">
              <w:rPr>
                <w:rFonts w:ascii="Verdana" w:hAnsi="Verdana" w:cs="Arial"/>
              </w:rPr>
              <w:t>Left voice message</w:t>
            </w:r>
          </w:p>
        </w:tc>
        <w:tc>
          <w:tcPr>
            <w:tcW w:w="3575" w:type="pct"/>
          </w:tcPr>
          <w:p w14:paraId="4063FF52" w14:textId="65FD2AA7" w:rsidR="00F655F6" w:rsidRPr="00F25025" w:rsidRDefault="00BB42E7" w:rsidP="00862C44">
            <w:pPr>
              <w:spacing w:before="120" w:after="120"/>
              <w:rPr>
                <w:rFonts w:ascii="Verdana" w:hAnsi="Verdana" w:cs="Arial"/>
              </w:rPr>
            </w:pPr>
            <w:r w:rsidRPr="00F25025">
              <w:rPr>
                <w:rFonts w:ascii="Verdana" w:hAnsi="Verdana"/>
              </w:rPr>
              <w:t>Unable to contact an office/</w:t>
            </w:r>
            <w:r w:rsidR="00CE205A" w:rsidRPr="00F25025">
              <w:rPr>
                <w:rFonts w:ascii="Verdana" w:hAnsi="Verdana"/>
              </w:rPr>
              <w:t>member but</w:t>
            </w:r>
            <w:r w:rsidRPr="00F25025">
              <w:rPr>
                <w:rFonts w:ascii="Verdana" w:hAnsi="Verdana"/>
              </w:rPr>
              <w:t xml:space="preserve"> had option to leave message on an authorized recording system.</w:t>
            </w:r>
          </w:p>
        </w:tc>
      </w:tr>
      <w:tr w:rsidR="00F655F6" w:rsidRPr="00F25025" w14:paraId="06A23452" w14:textId="77777777" w:rsidTr="00862C44">
        <w:tc>
          <w:tcPr>
            <w:tcW w:w="661" w:type="pct"/>
          </w:tcPr>
          <w:p w14:paraId="50224CF6" w14:textId="6A24AC28" w:rsidR="00F655F6" w:rsidRPr="00F25025" w:rsidRDefault="00CE205A" w:rsidP="00862C44">
            <w:pPr>
              <w:spacing w:before="120" w:after="120"/>
              <w:jc w:val="center"/>
              <w:rPr>
                <w:rFonts w:ascii="Verdana" w:hAnsi="Verdana"/>
                <w:b/>
                <w:color w:val="000000"/>
              </w:rPr>
            </w:pPr>
            <w:r>
              <w:rPr>
                <w:rFonts w:ascii="Verdana" w:hAnsi="Verdana"/>
                <w:b/>
                <w:color w:val="000000"/>
              </w:rPr>
              <w:t xml:space="preserve"> </w:t>
            </w:r>
            <w:r w:rsidR="00F655F6" w:rsidRPr="00F25025">
              <w:rPr>
                <w:rFonts w:ascii="Verdana" w:hAnsi="Verdana"/>
                <w:b/>
                <w:color w:val="000000"/>
              </w:rPr>
              <w:t>LVN</w:t>
            </w:r>
          </w:p>
        </w:tc>
        <w:tc>
          <w:tcPr>
            <w:tcW w:w="764" w:type="pct"/>
          </w:tcPr>
          <w:p w14:paraId="51ECE0AC" w14:textId="2F1B4000" w:rsidR="00F655F6" w:rsidRPr="002C36C7" w:rsidRDefault="00F655F6" w:rsidP="00862C44">
            <w:pPr>
              <w:spacing w:before="120" w:after="120"/>
              <w:rPr>
                <w:rFonts w:ascii="Verdana" w:hAnsi="Verdana" w:cs="Arial"/>
              </w:rPr>
            </w:pPr>
            <w:r w:rsidRPr="002C36C7">
              <w:rPr>
                <w:rFonts w:ascii="Verdana" w:hAnsi="Verdana" w:cs="Arial"/>
              </w:rPr>
              <w:t xml:space="preserve">Licensed Vocational Nurse </w:t>
            </w:r>
          </w:p>
        </w:tc>
        <w:tc>
          <w:tcPr>
            <w:tcW w:w="3575" w:type="pct"/>
          </w:tcPr>
          <w:p w14:paraId="0773F59D" w14:textId="45E773EE" w:rsidR="00F655F6" w:rsidRPr="00F25025" w:rsidRDefault="00D64E81" w:rsidP="00862C44">
            <w:pPr>
              <w:spacing w:before="120" w:after="120"/>
              <w:rPr>
                <w:rFonts w:ascii="Verdana" w:hAnsi="Verdana" w:cs="Arial"/>
              </w:rPr>
            </w:pPr>
            <w:r>
              <w:rPr>
                <w:rFonts w:ascii="Verdana" w:hAnsi="Verdana" w:cs="Arial"/>
              </w:rPr>
              <w:t>A specific title for a nurse who has no prescribing authority in any state.</w:t>
            </w:r>
            <w:bookmarkStart w:id="10" w:name="OLE_LINK120"/>
            <w:r>
              <w:rPr>
                <w:rFonts w:ascii="Verdana" w:hAnsi="Verdana" w:cs="Arial"/>
              </w:rPr>
              <w:t xml:space="preserve"> Also known as a licensed practical nurse (LPN), or vocational nurse, is someone who works in a hospital to care for disabled, sick, or otherwise injured patients.</w:t>
            </w:r>
            <w:bookmarkEnd w:id="10"/>
          </w:p>
        </w:tc>
      </w:tr>
    </w:tbl>
    <w:p w14:paraId="17BDEEAE" w14:textId="77777777" w:rsidR="00F655F6" w:rsidRPr="00EE4F26" w:rsidRDefault="00F655F6" w:rsidP="00862C44">
      <w:pPr>
        <w:spacing w:before="120" w:after="120"/>
      </w:pPr>
    </w:p>
    <w:p w14:paraId="1502CCD1" w14:textId="77777777" w:rsidR="00E55B3A" w:rsidRDefault="00E55B3A" w:rsidP="00862C44">
      <w:pPr>
        <w:spacing w:before="120" w:after="120"/>
      </w:pPr>
    </w:p>
    <w:p w14:paraId="27782E37" w14:textId="19DCAFF6" w:rsidR="00E55B3A" w:rsidRPr="00862C44" w:rsidRDefault="009A021E" w:rsidP="00862C44">
      <w:pPr>
        <w:spacing w:before="120" w:after="120"/>
        <w:jc w:val="right"/>
        <w:rPr>
          <w:rFonts w:ascii="Verdana" w:hAnsi="Verdana"/>
        </w:rPr>
      </w:pPr>
      <w:hyperlink w:anchor="_top" w:history="1">
        <w:r w:rsidRPr="00862C44">
          <w:rPr>
            <w:rStyle w:val="Hyperlink"/>
            <w:rFonts w:ascii="Verdana" w:hAnsi="Verdana"/>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00"/>
      </w:tblGrid>
      <w:tr w:rsidR="00A9322B" w:rsidRPr="00F25025" w14:paraId="15F69996" w14:textId="77777777" w:rsidTr="00274E2E">
        <w:trPr>
          <w:trHeight w:val="665"/>
        </w:trPr>
        <w:tc>
          <w:tcPr>
            <w:tcW w:w="1443" w:type="pct"/>
            <w:shd w:val="pct25" w:color="auto" w:fill="auto"/>
          </w:tcPr>
          <w:p w14:paraId="64A1A3A8" w14:textId="7E9E1F8C" w:rsidR="00A9322B" w:rsidRPr="00A9322B" w:rsidRDefault="00A9322B" w:rsidP="00F37E78">
            <w:pPr>
              <w:pStyle w:val="Heading2"/>
              <w:spacing w:before="120" w:after="120"/>
              <w:jc w:val="center"/>
            </w:pPr>
            <w:r w:rsidRPr="00A9322B">
              <w:t>Term</w:t>
            </w:r>
          </w:p>
        </w:tc>
        <w:tc>
          <w:tcPr>
            <w:tcW w:w="3557" w:type="pct"/>
            <w:shd w:val="pct25" w:color="auto" w:fill="auto"/>
          </w:tcPr>
          <w:p w14:paraId="2810576C" w14:textId="7780E98B" w:rsidR="00A9322B" w:rsidRPr="00A9322B" w:rsidRDefault="00A9322B" w:rsidP="00F37E78">
            <w:pPr>
              <w:pStyle w:val="Heading2"/>
              <w:spacing w:before="120" w:after="120"/>
              <w:jc w:val="center"/>
            </w:pPr>
            <w:r w:rsidRPr="00A9322B">
              <w:t>Definition</w:t>
            </w:r>
          </w:p>
        </w:tc>
      </w:tr>
      <w:tr w:rsidR="001B619A" w:rsidRPr="00F25025" w14:paraId="3C87FF77" w14:textId="77777777" w:rsidTr="00274E2E">
        <w:trPr>
          <w:trHeight w:val="665"/>
        </w:trPr>
        <w:tc>
          <w:tcPr>
            <w:tcW w:w="1443" w:type="pct"/>
          </w:tcPr>
          <w:p w14:paraId="23A7B070" w14:textId="07AE240D" w:rsidR="001B619A" w:rsidRPr="00F25025" w:rsidRDefault="00F655F6" w:rsidP="00862C44">
            <w:pPr>
              <w:spacing w:before="120" w:after="120"/>
              <w:rPr>
                <w:rFonts w:ascii="Verdana" w:hAnsi="Verdana"/>
              </w:rPr>
            </w:pPr>
            <w:r>
              <w:rPr>
                <w:rFonts w:ascii="Verdana" w:hAnsi="Verdana"/>
              </w:rPr>
              <w:t>L</w:t>
            </w:r>
            <w:r w:rsidR="001B619A">
              <w:rPr>
                <w:rFonts w:ascii="Verdana" w:hAnsi="Verdana"/>
              </w:rPr>
              <w:t>ast Date of Fill</w:t>
            </w:r>
          </w:p>
        </w:tc>
        <w:tc>
          <w:tcPr>
            <w:tcW w:w="3557" w:type="pct"/>
          </w:tcPr>
          <w:p w14:paraId="3162F61A" w14:textId="10282A67" w:rsidR="001B619A" w:rsidRPr="00F25025" w:rsidRDefault="001B619A" w:rsidP="00862C44">
            <w:pPr>
              <w:spacing w:before="120" w:after="120"/>
              <w:rPr>
                <w:rFonts w:ascii="Verdana" w:hAnsi="Verdana" w:cs="Arial"/>
              </w:rPr>
            </w:pPr>
            <w:r w:rsidRPr="003E0095">
              <w:rPr>
                <w:rFonts w:ascii="Verdana" w:hAnsi="Verdana"/>
              </w:rPr>
              <w:t>The last time the Therapy Protocol medication was filled</w:t>
            </w:r>
            <w:r w:rsidR="00BB59C1">
              <w:rPr>
                <w:rFonts w:ascii="Verdana" w:hAnsi="Verdana"/>
              </w:rPr>
              <w:t xml:space="preserve">. </w:t>
            </w:r>
            <w:r w:rsidRPr="003E0095">
              <w:rPr>
                <w:rFonts w:ascii="Verdana" w:hAnsi="Verdana"/>
              </w:rPr>
              <w:t>Applies to any fill, whether for Full Quantity or a Partial Fill</w:t>
            </w:r>
          </w:p>
        </w:tc>
      </w:tr>
      <w:tr w:rsidR="001B619A" w:rsidRPr="00F25025" w14:paraId="626284CE" w14:textId="77777777" w:rsidTr="00274E2E">
        <w:tc>
          <w:tcPr>
            <w:tcW w:w="1443" w:type="pct"/>
          </w:tcPr>
          <w:p w14:paraId="229B17D2" w14:textId="4CED6326" w:rsidR="001B619A" w:rsidRPr="00F25025" w:rsidRDefault="001B619A" w:rsidP="00862C44">
            <w:pPr>
              <w:spacing w:before="120" w:after="120"/>
              <w:rPr>
                <w:rFonts w:ascii="Verdana" w:hAnsi="Verdana"/>
              </w:rPr>
            </w:pPr>
            <w:r>
              <w:rPr>
                <w:rFonts w:ascii="Verdana" w:hAnsi="Verdana"/>
              </w:rPr>
              <w:t>Leap Frog Call</w:t>
            </w:r>
          </w:p>
        </w:tc>
        <w:tc>
          <w:tcPr>
            <w:tcW w:w="3557" w:type="pct"/>
          </w:tcPr>
          <w:p w14:paraId="32EDA869" w14:textId="77777777" w:rsidR="001B619A" w:rsidRPr="00EA39DB" w:rsidRDefault="001B619A" w:rsidP="00862C44">
            <w:pPr>
              <w:spacing w:before="120" w:after="120"/>
              <w:rPr>
                <w:rFonts w:ascii="Verdana" w:hAnsi="Verdana"/>
              </w:rPr>
            </w:pPr>
            <w:r w:rsidRPr="003D4683">
              <w:rPr>
                <w:rFonts w:ascii="Verdana" w:hAnsi="Verdana"/>
              </w:rPr>
              <w:t>A call drops in the middle of conversation and a new call comes in and may not have the new call (zip-tone) warning.</w:t>
            </w:r>
          </w:p>
        </w:tc>
      </w:tr>
      <w:tr w:rsidR="00315000" w:rsidRPr="00F25025" w14:paraId="314BF808" w14:textId="77777777" w:rsidTr="00274E2E">
        <w:tc>
          <w:tcPr>
            <w:tcW w:w="1443" w:type="pct"/>
          </w:tcPr>
          <w:p w14:paraId="47114EB6" w14:textId="1E269B74" w:rsidR="00315000" w:rsidRPr="00BA392E" w:rsidRDefault="0033007A" w:rsidP="00862C44">
            <w:pPr>
              <w:spacing w:before="120" w:after="120"/>
              <w:rPr>
                <w:rFonts w:ascii="Verdana" w:hAnsi="Verdana"/>
              </w:rPr>
            </w:pPr>
            <w:bookmarkStart w:id="11" w:name="OLE_LINK55"/>
            <w:r w:rsidRPr="00B3251F">
              <w:rPr>
                <w:rFonts w:ascii="Verdana" w:hAnsi="Verdana" w:cstheme="minorBidi"/>
              </w:rPr>
              <w:t>Letter of Creditable Coverage</w:t>
            </w:r>
            <w:bookmarkEnd w:id="11"/>
          </w:p>
        </w:tc>
        <w:tc>
          <w:tcPr>
            <w:tcW w:w="3557" w:type="pct"/>
          </w:tcPr>
          <w:p w14:paraId="7E056DA3" w14:textId="50DF1996" w:rsidR="00315000" w:rsidRPr="00BA392E" w:rsidRDefault="0071063A" w:rsidP="00862C44">
            <w:pPr>
              <w:spacing w:before="120" w:after="120"/>
              <w:rPr>
                <w:rFonts w:ascii="Verdana" w:hAnsi="Verdana"/>
              </w:rPr>
            </w:pPr>
            <w:r w:rsidRPr="00B3251F">
              <w:rPr>
                <w:rFonts w:ascii="Verdana" w:hAnsi="Verdana"/>
                <w:shd w:val="clear" w:color="auto" w:fill="FFFFFF"/>
              </w:rPr>
              <w:t>This is </w:t>
            </w:r>
            <w:r w:rsidRPr="00B3251F">
              <w:rPr>
                <w:rFonts w:ascii="Verdana" w:hAnsi="Verdana"/>
              </w:rPr>
              <w:t>a document provided by your previous insurance carrier that proves that your policy has ended, as well as the coverage effective date and cancelation date.</w:t>
            </w:r>
            <w:r w:rsidR="00C45D36" w:rsidRPr="00B3251F">
              <w:rPr>
                <w:rFonts w:ascii="Verdana" w:hAnsi="Verdana"/>
              </w:rPr>
              <w:t xml:space="preserve">cv </w:t>
            </w:r>
          </w:p>
        </w:tc>
      </w:tr>
      <w:tr w:rsidR="001B619A" w:rsidRPr="00F25025" w14:paraId="3330CB86" w14:textId="77777777" w:rsidTr="00274E2E">
        <w:tc>
          <w:tcPr>
            <w:tcW w:w="1443" w:type="pct"/>
          </w:tcPr>
          <w:p w14:paraId="4DC5035E" w14:textId="77777777" w:rsidR="001B619A" w:rsidRDefault="001B619A" w:rsidP="00862C44">
            <w:pPr>
              <w:spacing w:before="120" w:after="120"/>
              <w:rPr>
                <w:rFonts w:ascii="Verdana" w:hAnsi="Verdana"/>
              </w:rPr>
            </w:pPr>
            <w:r>
              <w:rPr>
                <w:rFonts w:ascii="Verdana" w:hAnsi="Verdana"/>
              </w:rPr>
              <w:t xml:space="preserve">LiNet </w:t>
            </w:r>
          </w:p>
        </w:tc>
        <w:tc>
          <w:tcPr>
            <w:tcW w:w="3557" w:type="pct"/>
          </w:tcPr>
          <w:p w14:paraId="1A1F05DE" w14:textId="381D38AE" w:rsidR="001B619A" w:rsidRPr="003D4683" w:rsidRDefault="001B619A" w:rsidP="00862C44">
            <w:pPr>
              <w:spacing w:before="120" w:after="120"/>
              <w:rPr>
                <w:rFonts w:ascii="Verdana" w:hAnsi="Verdana"/>
              </w:rPr>
            </w:pPr>
            <w:r w:rsidRPr="001923C2">
              <w:rPr>
                <w:rFonts w:ascii="Verdana" w:hAnsi="Verdana"/>
              </w:rPr>
              <w:t xml:space="preserve">This is CMS’s Part D Plan. Used by CMS when members are not in a Part D Plan (or creditable coverage). Gives the member access to prescriptions. LINET is not intended to be a </w:t>
            </w:r>
            <w:r w:rsidR="009A021E" w:rsidRPr="001923C2">
              <w:rPr>
                <w:rFonts w:ascii="Verdana" w:hAnsi="Verdana"/>
              </w:rPr>
              <w:t>long-term</w:t>
            </w:r>
            <w:r w:rsidRPr="001923C2">
              <w:rPr>
                <w:rFonts w:ascii="Verdana" w:hAnsi="Verdana"/>
              </w:rPr>
              <w:t xml:space="preserve"> plan for the member.</w:t>
            </w:r>
            <w:r>
              <w:rPr>
                <w:rFonts w:ascii="Verdana" w:hAnsi="Verdana"/>
              </w:rPr>
              <w:t xml:space="preserve"> </w:t>
            </w:r>
          </w:p>
        </w:tc>
      </w:tr>
      <w:tr w:rsidR="008F585C" w:rsidRPr="00F25025" w14:paraId="10BEA4D4" w14:textId="77777777" w:rsidTr="00274E2E">
        <w:tc>
          <w:tcPr>
            <w:tcW w:w="1443" w:type="pct"/>
          </w:tcPr>
          <w:p w14:paraId="26F4D9C8" w14:textId="6C8C71E1" w:rsidR="008F585C" w:rsidRPr="001B619A" w:rsidRDefault="00CE205A" w:rsidP="00862C44">
            <w:pPr>
              <w:spacing w:before="120" w:after="120"/>
              <w:rPr>
                <w:rFonts w:ascii="Verdana" w:hAnsi="Verdana"/>
                <w:bCs/>
                <w:color w:val="000000"/>
              </w:rPr>
            </w:pPr>
            <w:r>
              <w:rPr>
                <w:rFonts w:ascii="Verdana" w:hAnsi="Verdana"/>
                <w:bCs/>
                <w:color w:val="000000"/>
              </w:rPr>
              <w:t xml:space="preserve"> </w:t>
            </w:r>
            <w:r w:rsidR="008F585C">
              <w:rPr>
                <w:rFonts w:ascii="Verdana" w:hAnsi="Verdana"/>
                <w:bCs/>
                <w:color w:val="000000"/>
              </w:rPr>
              <w:t>LIPS</w:t>
            </w:r>
          </w:p>
        </w:tc>
        <w:tc>
          <w:tcPr>
            <w:tcW w:w="3557" w:type="pct"/>
          </w:tcPr>
          <w:p w14:paraId="1A538269" w14:textId="1C737CE0" w:rsidR="008F585C" w:rsidRPr="004D3B8D" w:rsidRDefault="008F585C" w:rsidP="00862C44">
            <w:pPr>
              <w:spacing w:before="120" w:after="120"/>
              <w:rPr>
                <w:rFonts w:ascii="Verdana" w:hAnsi="Verdana"/>
              </w:rPr>
            </w:pPr>
            <w:r>
              <w:rPr>
                <w:rFonts w:ascii="Verdana" w:hAnsi="Verdana"/>
                <w:color w:val="000000"/>
              </w:rPr>
              <w:t>Similar to Low Income Subsidy (LIS), indicates the beneficiary is fully subsidized depending on Plan selected.</w:t>
            </w:r>
          </w:p>
        </w:tc>
      </w:tr>
      <w:tr w:rsidR="001B619A" w:rsidRPr="00F25025" w14:paraId="14322D82" w14:textId="77777777" w:rsidTr="00274E2E">
        <w:tc>
          <w:tcPr>
            <w:tcW w:w="1443" w:type="pct"/>
          </w:tcPr>
          <w:p w14:paraId="034C5381" w14:textId="2C7E33C5" w:rsidR="001B619A" w:rsidRPr="001B619A" w:rsidRDefault="001B619A" w:rsidP="00862C44">
            <w:pPr>
              <w:spacing w:before="120" w:after="120"/>
              <w:rPr>
                <w:rFonts w:ascii="Verdana" w:hAnsi="Verdana"/>
                <w:bCs/>
              </w:rPr>
            </w:pPr>
            <w:r w:rsidRPr="001B619A">
              <w:rPr>
                <w:rFonts w:ascii="Verdana" w:hAnsi="Verdana"/>
                <w:bCs/>
                <w:color w:val="000000"/>
              </w:rPr>
              <w:t>LIPSLEP</w:t>
            </w:r>
          </w:p>
        </w:tc>
        <w:tc>
          <w:tcPr>
            <w:tcW w:w="3557" w:type="pct"/>
          </w:tcPr>
          <w:p w14:paraId="222C2FCA" w14:textId="77777777" w:rsidR="001B619A" w:rsidRPr="00F25025" w:rsidRDefault="001B619A" w:rsidP="00862C44">
            <w:pPr>
              <w:spacing w:before="120" w:after="120"/>
              <w:rPr>
                <w:rFonts w:ascii="Verdana" w:hAnsi="Verdana"/>
              </w:rPr>
            </w:pPr>
            <w:r w:rsidRPr="004D3B8D">
              <w:rPr>
                <w:rFonts w:ascii="Verdana" w:hAnsi="Verdana"/>
              </w:rPr>
              <w:t>Monthly Membership Detail report; also known as MONMEND or MMR.</w:t>
            </w:r>
            <w:r>
              <w:rPr>
                <w:rFonts w:ascii="Verdana" w:hAnsi="Verdana"/>
              </w:rPr>
              <w:t xml:space="preserve"> </w:t>
            </w:r>
          </w:p>
        </w:tc>
      </w:tr>
      <w:tr w:rsidR="001B619A" w:rsidRPr="00F25025" w14:paraId="6E0C9A9B" w14:textId="77777777" w:rsidTr="00274E2E">
        <w:tc>
          <w:tcPr>
            <w:tcW w:w="1443" w:type="pct"/>
          </w:tcPr>
          <w:p w14:paraId="6D5DFA93" w14:textId="77777777" w:rsidR="001B619A" w:rsidRPr="00F25025" w:rsidRDefault="001B619A" w:rsidP="00862C44">
            <w:pPr>
              <w:spacing w:before="120" w:after="120"/>
              <w:rPr>
                <w:rFonts w:ascii="Verdana" w:hAnsi="Verdana"/>
              </w:rPr>
            </w:pPr>
            <w:r>
              <w:rPr>
                <w:rFonts w:ascii="Verdana" w:hAnsi="Verdana"/>
              </w:rPr>
              <w:t xml:space="preserve">Live Data </w:t>
            </w:r>
          </w:p>
        </w:tc>
        <w:tc>
          <w:tcPr>
            <w:tcW w:w="3557" w:type="pct"/>
          </w:tcPr>
          <w:p w14:paraId="4962CAD8" w14:textId="77777777" w:rsidR="001B619A" w:rsidRPr="00F25025" w:rsidRDefault="001B619A" w:rsidP="00862C44">
            <w:pPr>
              <w:spacing w:before="120" w:after="120"/>
              <w:rPr>
                <w:rFonts w:ascii="Verdana" w:hAnsi="Verdana"/>
              </w:rPr>
            </w:pPr>
            <w:r w:rsidRPr="004D3B8D">
              <w:rPr>
                <w:rFonts w:ascii="Verdana" w:hAnsi="Verdana"/>
              </w:rPr>
              <w:t>Variable information, including Beneficiary’s plan, LIS information, premium information, etc.</w:t>
            </w:r>
            <w:r>
              <w:rPr>
                <w:rFonts w:ascii="Verdana" w:hAnsi="Verdana"/>
              </w:rPr>
              <w:t xml:space="preserve"> </w:t>
            </w:r>
          </w:p>
        </w:tc>
      </w:tr>
      <w:tr w:rsidR="001B619A" w:rsidRPr="00F25025" w14:paraId="31FABEEB" w14:textId="77777777" w:rsidTr="00274E2E">
        <w:tc>
          <w:tcPr>
            <w:tcW w:w="1443" w:type="pct"/>
          </w:tcPr>
          <w:p w14:paraId="5A0F97F6" w14:textId="77777777" w:rsidR="001B619A" w:rsidRPr="002C36C7" w:rsidRDefault="001B619A" w:rsidP="00862C44">
            <w:pPr>
              <w:spacing w:before="120" w:after="120"/>
              <w:rPr>
                <w:rFonts w:ascii="Verdana" w:hAnsi="Verdana" w:cs="Arial"/>
                <w:color w:val="333333"/>
              </w:rPr>
            </w:pPr>
            <w:r w:rsidRPr="002C36C7">
              <w:rPr>
                <w:rFonts w:ascii="Verdana" w:hAnsi="Verdana"/>
                <w:color w:val="000000"/>
              </w:rPr>
              <w:t>Legal Prescription History</w:t>
            </w:r>
          </w:p>
        </w:tc>
        <w:tc>
          <w:tcPr>
            <w:tcW w:w="3557" w:type="pct"/>
          </w:tcPr>
          <w:p w14:paraId="4293240F" w14:textId="54144E7D" w:rsidR="001B619A" w:rsidRPr="00F25025" w:rsidRDefault="001B619A" w:rsidP="00862C44">
            <w:pPr>
              <w:spacing w:before="120" w:after="120"/>
              <w:rPr>
                <w:rFonts w:ascii="Verdana" w:hAnsi="Verdana" w:cs="Arial"/>
                <w:color w:val="333333"/>
              </w:rPr>
            </w:pPr>
            <w:r w:rsidRPr="00F25025">
              <w:rPr>
                <w:rFonts w:ascii="Verdana" w:hAnsi="Verdana" w:cs="Arial"/>
                <w:color w:val="333333"/>
              </w:rPr>
              <w:t>These are requests that have been received from a legal firm, the Board of Examiners, or Record Collection Agencies for extensive information on a member.</w:t>
            </w:r>
          </w:p>
          <w:p w14:paraId="21DB2EF0" w14:textId="77777777" w:rsidR="001B619A" w:rsidRPr="00F25025" w:rsidRDefault="001B619A" w:rsidP="00862C44">
            <w:pPr>
              <w:spacing w:before="120" w:after="120"/>
              <w:rPr>
                <w:rFonts w:ascii="Verdana" w:hAnsi="Verdana" w:cs="Arial"/>
                <w:color w:val="333333"/>
              </w:rPr>
            </w:pPr>
            <w:r w:rsidRPr="00F25025">
              <w:rPr>
                <w:rFonts w:ascii="Verdana" w:hAnsi="Verdana" w:cs="Arial"/>
                <w:color w:val="333333"/>
              </w:rPr>
              <w:t>A Legal Prescription History report includes the following information:</w:t>
            </w:r>
          </w:p>
          <w:p w14:paraId="70A47EB5"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Pharmacy Name </w:t>
            </w:r>
          </w:p>
          <w:p w14:paraId="719DD791"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Fill Date </w:t>
            </w:r>
          </w:p>
          <w:p w14:paraId="4F63D295"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Rx Number,</w:t>
            </w:r>
          </w:p>
          <w:p w14:paraId="4392702D"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NDC Number </w:t>
            </w:r>
          </w:p>
          <w:p w14:paraId="63E64437"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Drug Name </w:t>
            </w:r>
          </w:p>
          <w:p w14:paraId="13D3D1F7"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Drug Strength </w:t>
            </w:r>
          </w:p>
          <w:p w14:paraId="402ABE5B"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Drug Dosage </w:t>
            </w:r>
          </w:p>
          <w:p w14:paraId="42D589CB"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Quantity Dispensed</w:t>
            </w:r>
          </w:p>
          <w:p w14:paraId="1513F755"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Prescriber Name </w:t>
            </w:r>
          </w:p>
          <w:p w14:paraId="3A042F67"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Total Gross Cost</w:t>
            </w:r>
          </w:p>
          <w:p w14:paraId="4D9B4CBF" w14:textId="77777777" w:rsidR="001B619A" w:rsidRPr="00F25025" w:rsidRDefault="001B619A" w:rsidP="00862C44">
            <w:pPr>
              <w:numPr>
                <w:ilvl w:val="0"/>
                <w:numId w:val="50"/>
              </w:numPr>
              <w:spacing w:before="120" w:after="120"/>
              <w:rPr>
                <w:rFonts w:ascii="Verdana" w:hAnsi="Verdana" w:cs="Arial"/>
                <w:color w:val="333333"/>
              </w:rPr>
            </w:pPr>
            <w:r w:rsidRPr="00F25025">
              <w:rPr>
                <w:rFonts w:ascii="Verdana" w:hAnsi="Verdana" w:cs="Arial"/>
                <w:color w:val="333333"/>
              </w:rPr>
              <w:t xml:space="preserve">Total Member Cost </w:t>
            </w:r>
          </w:p>
          <w:p w14:paraId="59DC1C6B" w14:textId="77777777" w:rsidR="001B619A" w:rsidRPr="00C943FA" w:rsidRDefault="001B619A" w:rsidP="00862C44">
            <w:pPr>
              <w:numPr>
                <w:ilvl w:val="0"/>
                <w:numId w:val="50"/>
              </w:numPr>
              <w:spacing w:before="120" w:after="120"/>
              <w:rPr>
                <w:rFonts w:ascii="Verdana" w:hAnsi="Verdana"/>
              </w:rPr>
            </w:pPr>
            <w:r w:rsidRPr="00F25025">
              <w:rPr>
                <w:rFonts w:ascii="Verdana" w:hAnsi="Verdana" w:cs="Arial"/>
                <w:color w:val="333333"/>
              </w:rPr>
              <w:t>Total Net Cost</w:t>
            </w:r>
          </w:p>
          <w:p w14:paraId="6C3B1753" w14:textId="77777777" w:rsidR="001B619A" w:rsidRPr="00F25025" w:rsidRDefault="001B619A" w:rsidP="00862C44">
            <w:pPr>
              <w:spacing w:before="120" w:after="120"/>
              <w:ind w:left="720"/>
              <w:rPr>
                <w:rFonts w:ascii="Verdana" w:hAnsi="Verdana"/>
              </w:rPr>
            </w:pPr>
          </w:p>
        </w:tc>
      </w:tr>
      <w:tr w:rsidR="001B619A" w:rsidRPr="00F25025" w14:paraId="5888DF4F" w14:textId="77777777" w:rsidTr="00274E2E">
        <w:tc>
          <w:tcPr>
            <w:tcW w:w="1443" w:type="pct"/>
          </w:tcPr>
          <w:p w14:paraId="75C37D65" w14:textId="77777777" w:rsidR="001B619A" w:rsidRPr="002C36C7" w:rsidRDefault="001B619A" w:rsidP="00862C44">
            <w:pPr>
              <w:spacing w:before="120" w:after="120"/>
              <w:rPr>
                <w:rFonts w:ascii="Verdana" w:hAnsi="Verdana"/>
              </w:rPr>
            </w:pPr>
            <w:r w:rsidRPr="002C36C7">
              <w:rPr>
                <w:rFonts w:ascii="Verdana" w:hAnsi="Verdana"/>
                <w:color w:val="000000"/>
              </w:rPr>
              <w:t>Legal Status</w:t>
            </w:r>
          </w:p>
        </w:tc>
        <w:tc>
          <w:tcPr>
            <w:tcW w:w="3557" w:type="pct"/>
          </w:tcPr>
          <w:p w14:paraId="2ECF1B37" w14:textId="2A14051A" w:rsidR="001B619A" w:rsidRPr="00F25025" w:rsidRDefault="3CCBD127" w:rsidP="00862C44">
            <w:pPr>
              <w:spacing w:before="120" w:after="120"/>
              <w:rPr>
                <w:rFonts w:ascii="Verdana" w:hAnsi="Verdana"/>
              </w:rPr>
            </w:pPr>
            <w:r w:rsidRPr="38686A72">
              <w:rPr>
                <w:rFonts w:ascii="Verdana" w:hAnsi="Verdana"/>
              </w:rPr>
              <w:t>We use nine different designations for legal status</w:t>
            </w:r>
            <w:bookmarkStart w:id="12" w:name="_Int_SuAyuOGO"/>
            <w:r w:rsidRPr="38686A72">
              <w:rPr>
                <w:rFonts w:ascii="Verdana" w:hAnsi="Verdana"/>
              </w:rPr>
              <w:t xml:space="preserve">.  </w:t>
            </w:r>
            <w:bookmarkEnd w:id="12"/>
          </w:p>
          <w:p w14:paraId="5D669381" w14:textId="5D147B4E" w:rsidR="001B619A" w:rsidRPr="00F25025" w:rsidRDefault="3CCBD127" w:rsidP="00862C44">
            <w:pPr>
              <w:spacing w:before="120" w:after="120"/>
              <w:rPr>
                <w:rFonts w:ascii="Verdana" w:hAnsi="Verdana"/>
              </w:rPr>
            </w:pPr>
            <w:r w:rsidRPr="38686A72">
              <w:rPr>
                <w:rFonts w:ascii="Verdana" w:hAnsi="Verdana"/>
              </w:rPr>
              <w:t>Five fields are established by the DEA and four have been created by us</w:t>
            </w:r>
            <w:bookmarkStart w:id="13" w:name="_Int_vQOd5RHK"/>
            <w:r w:rsidRPr="38686A72">
              <w:rPr>
                <w:rFonts w:ascii="Verdana" w:hAnsi="Verdana"/>
              </w:rPr>
              <w:t xml:space="preserve">.  </w:t>
            </w:r>
            <w:bookmarkEnd w:id="13"/>
          </w:p>
          <w:p w14:paraId="4335B70C" w14:textId="77777777" w:rsidR="001B619A" w:rsidRPr="00F25025" w:rsidRDefault="001B619A" w:rsidP="00862C44">
            <w:pPr>
              <w:spacing w:before="120" w:after="120"/>
              <w:rPr>
                <w:rFonts w:ascii="Verdana" w:hAnsi="Verdana"/>
              </w:rPr>
            </w:pPr>
            <w:r w:rsidRPr="00F25025">
              <w:rPr>
                <w:rFonts w:ascii="Verdana" w:hAnsi="Verdana"/>
              </w:rPr>
              <w:t xml:space="preserve">The classes below have been established by the DEA: </w:t>
            </w:r>
          </w:p>
          <w:p w14:paraId="7EBC1282" w14:textId="0FF2E9CF" w:rsidR="001B619A" w:rsidRPr="00EA61A5" w:rsidRDefault="3CCBD127" w:rsidP="00EA61A5">
            <w:pPr>
              <w:pStyle w:val="ListParagraph"/>
              <w:numPr>
                <w:ilvl w:val="0"/>
                <w:numId w:val="144"/>
              </w:numPr>
              <w:spacing w:before="120" w:after="120"/>
              <w:contextualSpacing w:val="0"/>
              <w:rPr>
                <w:rFonts w:ascii="Verdana" w:hAnsi="Verdana"/>
                <w:sz w:val="24"/>
                <w:szCs w:val="24"/>
              </w:rPr>
            </w:pPr>
            <w:r w:rsidRPr="00EA61A5">
              <w:rPr>
                <w:rFonts w:ascii="Verdana" w:hAnsi="Verdana"/>
                <w:b/>
                <w:bCs/>
                <w:sz w:val="24"/>
                <w:szCs w:val="24"/>
              </w:rPr>
              <w:t>C2 Schedule II</w:t>
            </w:r>
            <w:r w:rsidRPr="00EA61A5">
              <w:rPr>
                <w:rFonts w:ascii="Verdana" w:hAnsi="Verdana"/>
                <w:sz w:val="24"/>
                <w:szCs w:val="24"/>
              </w:rPr>
              <w:t xml:space="preserve"> -Substances that have a high abuse potential and can produce physical or mental dependence</w:t>
            </w:r>
            <w:bookmarkStart w:id="14" w:name="_Int_iXQsuLKi"/>
            <w:r w:rsidRPr="00EA61A5">
              <w:rPr>
                <w:rFonts w:ascii="Verdana" w:hAnsi="Verdana"/>
                <w:sz w:val="24"/>
                <w:szCs w:val="24"/>
              </w:rPr>
              <w:t xml:space="preserve">.  </w:t>
            </w:r>
            <w:bookmarkEnd w:id="14"/>
            <w:r w:rsidRPr="00EA61A5">
              <w:rPr>
                <w:rFonts w:ascii="Verdana" w:hAnsi="Verdana"/>
                <w:sz w:val="24"/>
                <w:szCs w:val="24"/>
              </w:rPr>
              <w:t xml:space="preserve">This Class consists of certain narcotic, stimulant and depressant drugs </w:t>
            </w:r>
            <w:r w:rsidR="009A021E" w:rsidRPr="00EA61A5">
              <w:rPr>
                <w:rFonts w:ascii="Verdana" w:hAnsi="Verdana"/>
                <w:b/>
                <w:bCs/>
                <w:sz w:val="24"/>
                <w:szCs w:val="24"/>
              </w:rPr>
              <w:t>Example:</w:t>
            </w:r>
            <w:r w:rsidR="009A021E" w:rsidRPr="00EA61A5">
              <w:rPr>
                <w:rFonts w:ascii="Verdana" w:hAnsi="Verdana"/>
                <w:sz w:val="24"/>
                <w:szCs w:val="24"/>
              </w:rPr>
              <w:t xml:space="preserve"> </w:t>
            </w:r>
            <w:r w:rsidRPr="00EA61A5">
              <w:rPr>
                <w:rFonts w:ascii="Verdana" w:hAnsi="Verdana"/>
                <w:sz w:val="24"/>
                <w:szCs w:val="24"/>
              </w:rPr>
              <w:t xml:space="preserve"> Morphine, Dexedrine, Seconal, Ritalin, Adderall, and Percocet</w:t>
            </w:r>
          </w:p>
          <w:p w14:paraId="101F0C8D" w14:textId="29E2C9D9" w:rsidR="001B619A" w:rsidRPr="00EA61A5" w:rsidRDefault="3CCBD127" w:rsidP="00EA61A5">
            <w:pPr>
              <w:pStyle w:val="ListParagraph"/>
              <w:numPr>
                <w:ilvl w:val="0"/>
                <w:numId w:val="144"/>
              </w:numPr>
              <w:spacing w:before="120" w:after="120"/>
              <w:contextualSpacing w:val="0"/>
              <w:rPr>
                <w:rFonts w:ascii="Verdana" w:hAnsi="Verdana"/>
                <w:sz w:val="24"/>
                <w:szCs w:val="24"/>
              </w:rPr>
            </w:pPr>
            <w:r w:rsidRPr="00EA61A5">
              <w:rPr>
                <w:rFonts w:ascii="Verdana" w:hAnsi="Verdana"/>
                <w:b/>
                <w:bCs/>
                <w:sz w:val="24"/>
                <w:szCs w:val="24"/>
              </w:rPr>
              <w:t>C3 Schedule III</w:t>
            </w:r>
            <w:r w:rsidRPr="00EA61A5">
              <w:rPr>
                <w:rFonts w:ascii="Verdana" w:hAnsi="Verdana"/>
                <w:sz w:val="24"/>
                <w:szCs w:val="24"/>
              </w:rPr>
              <w:t xml:space="preserve"> -Substances that have an abuse potential less than those in Schedules I &amp; II and includes products containing limited quantities of certain narcotic and non-narcotic drugs. </w:t>
            </w:r>
            <w:r w:rsidR="009A021E" w:rsidRPr="00EA61A5">
              <w:rPr>
                <w:rFonts w:ascii="Verdana" w:hAnsi="Verdana"/>
                <w:b/>
                <w:bCs/>
                <w:sz w:val="24"/>
                <w:szCs w:val="24"/>
              </w:rPr>
              <w:t>Example:</w:t>
            </w:r>
            <w:r w:rsidRPr="00EA61A5">
              <w:rPr>
                <w:rFonts w:ascii="Verdana" w:hAnsi="Verdana"/>
                <w:sz w:val="24"/>
                <w:szCs w:val="24"/>
              </w:rPr>
              <w:t xml:space="preserve"> </w:t>
            </w:r>
            <w:r w:rsidR="009A021E" w:rsidRPr="00EA61A5">
              <w:rPr>
                <w:rFonts w:ascii="Verdana" w:hAnsi="Verdana"/>
                <w:sz w:val="24"/>
                <w:szCs w:val="24"/>
              </w:rPr>
              <w:t xml:space="preserve"> </w:t>
            </w:r>
            <w:r w:rsidRPr="00EA61A5">
              <w:rPr>
                <w:rFonts w:ascii="Verdana" w:hAnsi="Verdana"/>
                <w:sz w:val="24"/>
                <w:szCs w:val="24"/>
              </w:rPr>
              <w:t>Tylenol #3, Paregoric</w:t>
            </w:r>
          </w:p>
          <w:p w14:paraId="12313280" w14:textId="7C6660AC" w:rsidR="001B619A" w:rsidRPr="00EA61A5" w:rsidRDefault="001B619A" w:rsidP="00EA61A5">
            <w:pPr>
              <w:pStyle w:val="ListParagraph"/>
              <w:numPr>
                <w:ilvl w:val="0"/>
                <w:numId w:val="144"/>
              </w:numPr>
              <w:spacing w:before="120" w:after="120"/>
              <w:contextualSpacing w:val="0"/>
              <w:rPr>
                <w:rFonts w:ascii="Verdana" w:hAnsi="Verdana"/>
                <w:sz w:val="24"/>
                <w:szCs w:val="24"/>
              </w:rPr>
            </w:pPr>
            <w:r w:rsidRPr="00EA61A5">
              <w:rPr>
                <w:rFonts w:ascii="Verdana" w:hAnsi="Verdana"/>
                <w:b/>
                <w:sz w:val="24"/>
                <w:szCs w:val="24"/>
              </w:rPr>
              <w:t>C4 Schedule IV</w:t>
            </w:r>
            <w:r w:rsidRPr="00EA61A5">
              <w:rPr>
                <w:rFonts w:ascii="Verdana" w:hAnsi="Verdana"/>
                <w:sz w:val="24"/>
                <w:szCs w:val="24"/>
              </w:rPr>
              <w:t xml:space="preserve"> -Substances that have an abuse potential less than those listed in Schedule III</w:t>
            </w:r>
            <w:r w:rsidR="009A021E" w:rsidRPr="00EA61A5">
              <w:rPr>
                <w:rFonts w:ascii="Verdana" w:hAnsi="Verdana"/>
                <w:sz w:val="24"/>
                <w:szCs w:val="24"/>
              </w:rPr>
              <w:t>.</w:t>
            </w:r>
            <w:r w:rsidRPr="00EA61A5">
              <w:rPr>
                <w:rFonts w:ascii="Verdana" w:hAnsi="Verdana"/>
                <w:sz w:val="24"/>
                <w:szCs w:val="24"/>
              </w:rPr>
              <w:t xml:space="preserve"> </w:t>
            </w:r>
            <w:r w:rsidR="009A021E" w:rsidRPr="00EA61A5">
              <w:rPr>
                <w:rFonts w:ascii="Verdana" w:hAnsi="Verdana"/>
                <w:b/>
                <w:bCs/>
                <w:sz w:val="24"/>
                <w:szCs w:val="24"/>
              </w:rPr>
              <w:t>Example:</w:t>
            </w:r>
            <w:r w:rsidR="009A021E" w:rsidRPr="00EA61A5">
              <w:rPr>
                <w:rFonts w:ascii="Verdana" w:hAnsi="Verdana"/>
                <w:sz w:val="24"/>
                <w:szCs w:val="24"/>
              </w:rPr>
              <w:t xml:space="preserve">  </w:t>
            </w:r>
            <w:r w:rsidRPr="00EA61A5">
              <w:rPr>
                <w:rFonts w:ascii="Verdana" w:hAnsi="Verdana"/>
                <w:sz w:val="24"/>
                <w:szCs w:val="24"/>
              </w:rPr>
              <w:t>Diazepam (Valium), Propoxyphene (Darvon).</w:t>
            </w:r>
          </w:p>
          <w:p w14:paraId="046B1199" w14:textId="74E8C5AA" w:rsidR="001B619A" w:rsidRPr="00EA61A5" w:rsidRDefault="001B619A" w:rsidP="00EA61A5">
            <w:pPr>
              <w:pStyle w:val="ListParagraph"/>
              <w:numPr>
                <w:ilvl w:val="0"/>
                <w:numId w:val="144"/>
              </w:numPr>
              <w:spacing w:before="120" w:after="120"/>
              <w:contextualSpacing w:val="0"/>
              <w:rPr>
                <w:rFonts w:ascii="Verdana" w:hAnsi="Verdana"/>
                <w:sz w:val="24"/>
                <w:szCs w:val="24"/>
              </w:rPr>
            </w:pPr>
            <w:r w:rsidRPr="00EA61A5">
              <w:rPr>
                <w:rFonts w:ascii="Verdana" w:hAnsi="Verdana"/>
                <w:b/>
                <w:sz w:val="24"/>
                <w:szCs w:val="24"/>
              </w:rPr>
              <w:t>C5 Schedule V</w:t>
            </w:r>
            <w:r w:rsidRPr="00EA61A5">
              <w:rPr>
                <w:rFonts w:ascii="Verdana" w:hAnsi="Verdana"/>
                <w:sz w:val="24"/>
                <w:szCs w:val="24"/>
              </w:rPr>
              <w:t xml:space="preserve"> -Substances that have an abuse potential less than those in Schedule IV. Products contain limited quantities of narcotic drugs. Used generally for antitussive (cough) and antidiarrheal purposes, </w:t>
            </w:r>
            <w:r w:rsidR="009A021E" w:rsidRPr="00EA61A5">
              <w:rPr>
                <w:rFonts w:ascii="Verdana" w:hAnsi="Verdana"/>
                <w:b/>
                <w:bCs/>
                <w:sz w:val="24"/>
                <w:szCs w:val="24"/>
              </w:rPr>
              <w:t>Example:</w:t>
            </w:r>
            <w:r w:rsidR="009A021E" w:rsidRPr="00EA61A5">
              <w:rPr>
                <w:rFonts w:ascii="Verdana" w:hAnsi="Verdana"/>
                <w:sz w:val="24"/>
                <w:szCs w:val="24"/>
              </w:rPr>
              <w:t xml:space="preserve">  </w:t>
            </w:r>
            <w:r w:rsidRPr="00EA61A5">
              <w:rPr>
                <w:rFonts w:ascii="Verdana" w:hAnsi="Verdana"/>
                <w:sz w:val="24"/>
                <w:szCs w:val="24"/>
              </w:rPr>
              <w:t>Tylenol w/ codeine elix, Lomotil, Phenergan w/ codeine</w:t>
            </w:r>
          </w:p>
          <w:p w14:paraId="1A8EDDCC" w14:textId="77777777" w:rsidR="001B619A" w:rsidRPr="00EA61A5" w:rsidRDefault="001B619A" w:rsidP="00EA61A5">
            <w:pPr>
              <w:pStyle w:val="ListParagraph"/>
              <w:numPr>
                <w:ilvl w:val="0"/>
                <w:numId w:val="144"/>
              </w:numPr>
              <w:spacing w:before="120" w:after="120"/>
              <w:contextualSpacing w:val="0"/>
              <w:rPr>
                <w:rFonts w:ascii="Verdana" w:hAnsi="Verdana"/>
                <w:sz w:val="24"/>
                <w:szCs w:val="24"/>
              </w:rPr>
            </w:pPr>
            <w:r w:rsidRPr="00EA61A5">
              <w:rPr>
                <w:rFonts w:ascii="Verdana" w:hAnsi="Verdana"/>
                <w:b/>
                <w:sz w:val="24"/>
                <w:szCs w:val="24"/>
              </w:rPr>
              <w:t>Rx</w:t>
            </w:r>
            <w:r w:rsidRPr="00EA61A5">
              <w:rPr>
                <w:rFonts w:ascii="Verdana" w:hAnsi="Verdana"/>
                <w:sz w:val="24"/>
                <w:szCs w:val="24"/>
              </w:rPr>
              <w:t xml:space="preserve"> -Indicates a "Federal Legend" drug.  This means a drug has the warning phrase "Caution: Federal law prohibits dispensing without a prescription".  This is a universally accepted designation.</w:t>
            </w:r>
          </w:p>
          <w:p w14:paraId="75DF8BF6" w14:textId="77777777" w:rsidR="001B619A" w:rsidRPr="00F25025" w:rsidRDefault="001B619A" w:rsidP="00862C44">
            <w:pPr>
              <w:spacing w:before="120" w:after="120"/>
              <w:rPr>
                <w:rFonts w:ascii="Verdana" w:hAnsi="Verdana"/>
              </w:rPr>
            </w:pPr>
          </w:p>
          <w:p w14:paraId="1C0946B1" w14:textId="77777777" w:rsidR="001B619A" w:rsidRPr="00F25025" w:rsidRDefault="001B619A" w:rsidP="00862C44">
            <w:pPr>
              <w:spacing w:before="120" w:after="120"/>
              <w:rPr>
                <w:rFonts w:ascii="Verdana" w:hAnsi="Verdana"/>
              </w:rPr>
            </w:pPr>
            <w:r w:rsidRPr="00F25025">
              <w:rPr>
                <w:rFonts w:ascii="Verdana" w:hAnsi="Verdana"/>
              </w:rPr>
              <w:t xml:space="preserve">The classes below have been established by </w:t>
            </w:r>
            <w:r>
              <w:rPr>
                <w:rFonts w:ascii="Verdana" w:hAnsi="Verdana"/>
              </w:rPr>
              <w:t>us</w:t>
            </w:r>
            <w:r w:rsidRPr="00F25025">
              <w:rPr>
                <w:rFonts w:ascii="Verdana" w:hAnsi="Verdana"/>
              </w:rPr>
              <w:t>:</w:t>
            </w:r>
          </w:p>
          <w:p w14:paraId="2AE9C48D" w14:textId="77777777" w:rsidR="001B619A" w:rsidRPr="00EA61A5" w:rsidRDefault="001B619A" w:rsidP="00EA61A5">
            <w:pPr>
              <w:pStyle w:val="ListParagraph"/>
              <w:numPr>
                <w:ilvl w:val="0"/>
                <w:numId w:val="145"/>
              </w:numPr>
              <w:spacing w:before="120" w:after="120"/>
              <w:contextualSpacing w:val="0"/>
              <w:rPr>
                <w:rFonts w:ascii="Verdana" w:hAnsi="Verdana"/>
                <w:sz w:val="24"/>
                <w:szCs w:val="24"/>
              </w:rPr>
            </w:pPr>
            <w:r w:rsidRPr="00EA61A5">
              <w:rPr>
                <w:rFonts w:ascii="Verdana" w:hAnsi="Verdana"/>
                <w:b/>
                <w:sz w:val="24"/>
                <w:szCs w:val="24"/>
              </w:rPr>
              <w:t>INJ</w:t>
            </w:r>
            <w:r w:rsidRPr="00EA61A5">
              <w:rPr>
                <w:rFonts w:ascii="Verdana" w:hAnsi="Verdana"/>
                <w:sz w:val="24"/>
                <w:szCs w:val="24"/>
              </w:rPr>
              <w:t xml:space="preserve"> -This indicates an "injectable" drug. </w:t>
            </w:r>
          </w:p>
          <w:p w14:paraId="65261D4D" w14:textId="77777777" w:rsidR="001B619A" w:rsidRPr="00EA61A5" w:rsidRDefault="001B619A" w:rsidP="00EA61A5">
            <w:pPr>
              <w:pStyle w:val="ListParagraph"/>
              <w:numPr>
                <w:ilvl w:val="0"/>
                <w:numId w:val="145"/>
              </w:numPr>
              <w:spacing w:before="120" w:after="120"/>
              <w:contextualSpacing w:val="0"/>
              <w:rPr>
                <w:rFonts w:ascii="Verdana" w:hAnsi="Verdana"/>
                <w:sz w:val="24"/>
                <w:szCs w:val="24"/>
              </w:rPr>
            </w:pPr>
            <w:r w:rsidRPr="00EA61A5">
              <w:rPr>
                <w:rFonts w:ascii="Verdana" w:hAnsi="Verdana"/>
                <w:b/>
                <w:sz w:val="24"/>
                <w:szCs w:val="24"/>
              </w:rPr>
              <w:t>OTX</w:t>
            </w:r>
            <w:r w:rsidRPr="00EA61A5">
              <w:rPr>
                <w:rFonts w:ascii="Verdana" w:hAnsi="Verdana"/>
                <w:sz w:val="24"/>
                <w:szCs w:val="24"/>
              </w:rPr>
              <w:t xml:space="preserve"> – This legal status is reserved for insulin and diabetic supplies only.</w:t>
            </w:r>
          </w:p>
          <w:p w14:paraId="023F0923" w14:textId="30803C8C" w:rsidR="001B619A" w:rsidRPr="00EA61A5" w:rsidRDefault="001B619A" w:rsidP="00EA61A5">
            <w:pPr>
              <w:pStyle w:val="ListParagraph"/>
              <w:numPr>
                <w:ilvl w:val="0"/>
                <w:numId w:val="145"/>
              </w:numPr>
              <w:spacing w:before="120" w:after="120"/>
              <w:contextualSpacing w:val="0"/>
              <w:rPr>
                <w:rFonts w:ascii="Verdana" w:hAnsi="Verdana"/>
                <w:sz w:val="24"/>
                <w:szCs w:val="24"/>
              </w:rPr>
            </w:pPr>
            <w:r w:rsidRPr="00EA61A5">
              <w:rPr>
                <w:rFonts w:ascii="Verdana" w:hAnsi="Verdana"/>
                <w:b/>
                <w:sz w:val="24"/>
                <w:szCs w:val="24"/>
              </w:rPr>
              <w:t>SC</w:t>
            </w:r>
            <w:r w:rsidRPr="00EA61A5">
              <w:rPr>
                <w:rFonts w:ascii="Verdana" w:hAnsi="Verdana"/>
                <w:sz w:val="24"/>
                <w:szCs w:val="24"/>
              </w:rPr>
              <w:t xml:space="preserve"> –"State Controlled" drugs that require a prescription by state law.  If DEA is 5 and the legend indicator is 0, it will be classified as SC, if DEA is 5 and the legend is F, then it would be considered a C5. </w:t>
            </w:r>
            <w:r w:rsidR="009A021E" w:rsidRPr="00EA61A5">
              <w:rPr>
                <w:rFonts w:ascii="Verdana" w:hAnsi="Verdana"/>
                <w:b/>
                <w:bCs/>
                <w:sz w:val="24"/>
                <w:szCs w:val="24"/>
              </w:rPr>
              <w:t>Example:</w:t>
            </w:r>
            <w:r w:rsidR="009A021E" w:rsidRPr="00EA61A5">
              <w:rPr>
                <w:rFonts w:ascii="Verdana" w:hAnsi="Verdana"/>
                <w:sz w:val="24"/>
                <w:szCs w:val="24"/>
              </w:rPr>
              <w:t xml:space="preserve"> </w:t>
            </w:r>
            <w:r w:rsidRPr="00EA61A5">
              <w:rPr>
                <w:rFonts w:ascii="Verdana" w:hAnsi="Verdana"/>
                <w:sz w:val="24"/>
                <w:szCs w:val="24"/>
              </w:rPr>
              <w:t xml:space="preserve"> Robitussin AC, Novahistine DH</w:t>
            </w:r>
          </w:p>
          <w:p w14:paraId="474E4859" w14:textId="429F9A8E" w:rsidR="001B619A" w:rsidRPr="00EA61A5" w:rsidRDefault="001B619A" w:rsidP="00EA61A5">
            <w:pPr>
              <w:pStyle w:val="ListParagraph"/>
              <w:numPr>
                <w:ilvl w:val="0"/>
                <w:numId w:val="145"/>
              </w:numPr>
              <w:spacing w:before="120" w:after="120"/>
              <w:contextualSpacing w:val="0"/>
              <w:rPr>
                <w:rFonts w:ascii="Verdana" w:hAnsi="Verdana"/>
                <w:sz w:val="24"/>
                <w:szCs w:val="24"/>
              </w:rPr>
            </w:pPr>
            <w:r w:rsidRPr="00EA61A5">
              <w:rPr>
                <w:rFonts w:ascii="Verdana" w:hAnsi="Verdana"/>
                <w:b/>
                <w:sz w:val="24"/>
                <w:szCs w:val="24"/>
              </w:rPr>
              <w:t>NP</w:t>
            </w:r>
            <w:r w:rsidRPr="00EA61A5">
              <w:rPr>
                <w:rFonts w:ascii="Verdana" w:hAnsi="Verdana"/>
                <w:sz w:val="24"/>
                <w:szCs w:val="24"/>
              </w:rPr>
              <w:t xml:space="preserve"> -"Non-payable" items, includes OTC items and universally excluded items such as Immunization agents, biological </w:t>
            </w:r>
            <w:r w:rsidR="009D67C4" w:rsidRPr="00EA61A5">
              <w:rPr>
                <w:rFonts w:ascii="Verdana" w:hAnsi="Verdana"/>
                <w:sz w:val="24"/>
                <w:szCs w:val="24"/>
              </w:rPr>
              <w:t>sera,</w:t>
            </w:r>
            <w:r w:rsidRPr="00EA61A5">
              <w:rPr>
                <w:rFonts w:ascii="Verdana" w:hAnsi="Verdana"/>
                <w:sz w:val="24"/>
                <w:szCs w:val="24"/>
              </w:rPr>
              <w:t xml:space="preserve"> and blood plasma. </w:t>
            </w:r>
          </w:p>
          <w:p w14:paraId="213A66DD" w14:textId="77777777" w:rsidR="001B619A" w:rsidRPr="00F25025" w:rsidRDefault="001B619A" w:rsidP="00862C44">
            <w:pPr>
              <w:spacing w:before="120" w:after="120"/>
              <w:rPr>
                <w:rFonts w:ascii="Verdana" w:hAnsi="Verdana"/>
              </w:rPr>
            </w:pPr>
          </w:p>
        </w:tc>
      </w:tr>
      <w:tr w:rsidR="001B619A" w:rsidRPr="00F25025" w14:paraId="48D4B14F" w14:textId="77777777" w:rsidTr="00274E2E">
        <w:tc>
          <w:tcPr>
            <w:tcW w:w="1443" w:type="pct"/>
          </w:tcPr>
          <w:p w14:paraId="1255B8A3" w14:textId="77777777" w:rsidR="001B619A" w:rsidRPr="002C36C7" w:rsidRDefault="001B619A" w:rsidP="00862C44">
            <w:pPr>
              <w:spacing w:before="120" w:after="120"/>
              <w:rPr>
                <w:rFonts w:ascii="Verdana" w:hAnsi="Verdana"/>
                <w:color w:val="000000"/>
              </w:rPr>
            </w:pPr>
            <w:r w:rsidRPr="002C36C7">
              <w:rPr>
                <w:rFonts w:ascii="Verdana" w:hAnsi="Verdana"/>
                <w:color w:val="000000"/>
              </w:rPr>
              <w:t>Legend Drugs</w:t>
            </w:r>
          </w:p>
        </w:tc>
        <w:tc>
          <w:tcPr>
            <w:tcW w:w="3557" w:type="pct"/>
          </w:tcPr>
          <w:p w14:paraId="7D991130" w14:textId="77777777" w:rsidR="001B619A" w:rsidRPr="00F25025" w:rsidRDefault="001B619A" w:rsidP="00862C44">
            <w:pPr>
              <w:spacing w:before="120" w:after="120"/>
              <w:rPr>
                <w:rFonts w:ascii="Verdana" w:hAnsi="Verdana"/>
              </w:rPr>
            </w:pPr>
            <w:r w:rsidRPr="00F25025">
              <w:rPr>
                <w:rFonts w:ascii="Verdana" w:hAnsi="Verdana"/>
                <w:color w:val="000000"/>
              </w:rPr>
              <w:t>These are pharmaceutical products available only by prescription in the United States according to Federal law.</w:t>
            </w:r>
          </w:p>
          <w:p w14:paraId="3F8ABF2B" w14:textId="7FF90F4D" w:rsidR="001B619A" w:rsidRPr="00F25025" w:rsidRDefault="001B619A" w:rsidP="00862C44">
            <w:pPr>
              <w:spacing w:before="120" w:after="120"/>
              <w:rPr>
                <w:rFonts w:ascii="Verdana" w:hAnsi="Verdana"/>
              </w:rPr>
            </w:pPr>
            <w:r>
              <w:rPr>
                <w:rFonts w:ascii="Verdana" w:hAnsi="Verdana"/>
                <w:color w:val="000000"/>
              </w:rPr>
              <w:t>Also, a</w:t>
            </w:r>
            <w:r w:rsidRPr="00F25025">
              <w:rPr>
                <w:rFonts w:ascii="Verdana" w:hAnsi="Verdana"/>
                <w:color w:val="000000"/>
              </w:rPr>
              <w:t xml:space="preserve"> drug which cannot legally be obtained without a prescriber's prescription</w:t>
            </w:r>
            <w:r>
              <w:rPr>
                <w:rFonts w:ascii="Verdana" w:hAnsi="Verdana"/>
                <w:color w:val="000000"/>
              </w:rPr>
              <w:t>.</w:t>
            </w:r>
          </w:p>
        </w:tc>
      </w:tr>
      <w:tr w:rsidR="001B619A" w:rsidRPr="00F25025" w14:paraId="3A8C922A" w14:textId="77777777" w:rsidTr="00274E2E">
        <w:tc>
          <w:tcPr>
            <w:tcW w:w="1443" w:type="pct"/>
          </w:tcPr>
          <w:p w14:paraId="601C5D5E" w14:textId="77777777" w:rsidR="001B619A" w:rsidRPr="002C36C7" w:rsidRDefault="001B619A" w:rsidP="00862C44">
            <w:pPr>
              <w:spacing w:before="120" w:after="120"/>
              <w:rPr>
                <w:rFonts w:ascii="Verdana" w:hAnsi="Verdana"/>
              </w:rPr>
            </w:pPr>
            <w:r w:rsidRPr="002C36C7">
              <w:rPr>
                <w:rFonts w:ascii="Verdana" w:hAnsi="Verdana"/>
                <w:color w:val="000000"/>
              </w:rPr>
              <w:t>Level of Effort</w:t>
            </w:r>
          </w:p>
        </w:tc>
        <w:tc>
          <w:tcPr>
            <w:tcW w:w="3557" w:type="pct"/>
          </w:tcPr>
          <w:p w14:paraId="3DC82F0E" w14:textId="10CCF563" w:rsidR="001B619A" w:rsidRDefault="001B619A" w:rsidP="00862C44">
            <w:pPr>
              <w:spacing w:before="120" w:after="120"/>
              <w:rPr>
                <w:rFonts w:ascii="Verdana" w:hAnsi="Verdana"/>
                <w:iCs/>
                <w:color w:val="000000"/>
              </w:rPr>
            </w:pPr>
            <w:r w:rsidRPr="00F25025">
              <w:rPr>
                <w:rFonts w:ascii="Verdana" w:hAnsi="Verdana"/>
                <w:iCs/>
                <w:color w:val="000000"/>
              </w:rPr>
              <w:t xml:space="preserve">Pharmacy may include a Level of Effort Fee along with the ingredient costs and other charges.  The Level of Effort is determined by the complexity of decision-making or resources utilized by a pharmacist to perform a professional service.  </w:t>
            </w:r>
          </w:p>
          <w:p w14:paraId="06BA77A4" w14:textId="21EE868C" w:rsidR="001B619A" w:rsidRPr="00F25025" w:rsidRDefault="001B619A" w:rsidP="00862C44">
            <w:pPr>
              <w:spacing w:before="120" w:after="120"/>
              <w:rPr>
                <w:rFonts w:ascii="Verdana" w:hAnsi="Verdana"/>
              </w:rPr>
            </w:pPr>
            <w:r w:rsidRPr="00F25025">
              <w:rPr>
                <w:rFonts w:ascii="Verdana" w:hAnsi="Verdana"/>
                <w:iCs/>
                <w:color w:val="000000"/>
              </w:rPr>
              <w:t>This fee is factored into the total cost the pharmacy submits for reimbursement.</w:t>
            </w:r>
          </w:p>
        </w:tc>
      </w:tr>
      <w:tr w:rsidR="001B619A" w:rsidRPr="00F25025" w14:paraId="0964940A" w14:textId="77777777" w:rsidTr="00274E2E">
        <w:tc>
          <w:tcPr>
            <w:tcW w:w="1443" w:type="pct"/>
          </w:tcPr>
          <w:p w14:paraId="0D5EAD6D" w14:textId="77777777" w:rsidR="001B619A" w:rsidRPr="002C36C7" w:rsidRDefault="001B619A" w:rsidP="00862C44">
            <w:pPr>
              <w:spacing w:before="120" w:after="120"/>
              <w:rPr>
                <w:rFonts w:ascii="Verdana" w:hAnsi="Verdana"/>
              </w:rPr>
            </w:pPr>
            <w:r w:rsidRPr="002C36C7">
              <w:rPr>
                <w:rFonts w:ascii="Verdana" w:hAnsi="Verdana"/>
              </w:rPr>
              <w:t xml:space="preserve">Lifestyle Classes </w:t>
            </w:r>
          </w:p>
        </w:tc>
        <w:tc>
          <w:tcPr>
            <w:tcW w:w="3557" w:type="pct"/>
          </w:tcPr>
          <w:p w14:paraId="042FE35A" w14:textId="56AC6972" w:rsidR="001B619A" w:rsidRDefault="001B619A" w:rsidP="00862C44">
            <w:pPr>
              <w:spacing w:before="120" w:after="120"/>
              <w:rPr>
                <w:rFonts w:ascii="Verdana" w:hAnsi="Verdana"/>
                <w:color w:val="000000"/>
              </w:rPr>
            </w:pPr>
            <w:r w:rsidRPr="00AC2211">
              <w:rPr>
                <w:rFonts w:ascii="Verdana" w:hAnsi="Verdana"/>
                <w:color w:val="000000"/>
              </w:rPr>
              <w:t xml:space="preserve">Lifestyle classes are categories of medications that, in general, are not considered necessary from a therapeutic standpoint for the treatment of illness or injury. Value Formulary uses a definition of medical necessity that is based on generally accepted standards of clinical pharmacy practice. Because cost effective care is a primary goal of Value Formulary and the clients who implement it, VF includes strong access controls to exclude or to </w:t>
            </w:r>
            <w:r w:rsidR="009D67C4" w:rsidRPr="00AC2211">
              <w:rPr>
                <w:rFonts w:ascii="Verdana" w:hAnsi="Verdana"/>
                <w:color w:val="000000"/>
              </w:rPr>
              <w:t>significantly reduce</w:t>
            </w:r>
            <w:r w:rsidRPr="00AC2211">
              <w:rPr>
                <w:rFonts w:ascii="Verdana" w:hAnsi="Verdana"/>
                <w:color w:val="000000"/>
              </w:rPr>
              <w:t xml:space="preserve"> the utilization of drugs in these classes. A member’s plan sponsor selects one of the following access controls for these classes:</w:t>
            </w:r>
          </w:p>
          <w:p w14:paraId="3C31A260" w14:textId="393853FF"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 xml:space="preserve">Benefit exclusions </w:t>
            </w:r>
            <w:r w:rsidR="009A021E" w:rsidRPr="00EA61A5">
              <w:rPr>
                <w:rFonts w:ascii="Verdana" w:hAnsi="Verdana"/>
                <w:b/>
                <w:bCs/>
                <w:color w:val="000000"/>
                <w:sz w:val="24"/>
                <w:szCs w:val="24"/>
              </w:rPr>
              <w:t>Example:</w:t>
            </w:r>
            <w:r w:rsidR="009A021E" w:rsidRPr="00EA61A5">
              <w:rPr>
                <w:rFonts w:ascii="Verdana" w:hAnsi="Verdana"/>
                <w:color w:val="000000"/>
                <w:sz w:val="24"/>
                <w:szCs w:val="24"/>
              </w:rPr>
              <w:t xml:space="preserve"> </w:t>
            </w:r>
            <w:r w:rsidRPr="00EA61A5">
              <w:rPr>
                <w:rFonts w:ascii="Verdana" w:hAnsi="Verdana"/>
                <w:color w:val="000000"/>
                <w:sz w:val="24"/>
                <w:szCs w:val="24"/>
              </w:rPr>
              <w:t xml:space="preserve"> not covering these drugs and not allowing exceptions for coverage</w:t>
            </w:r>
          </w:p>
          <w:p w14:paraId="572F1CEF" w14:textId="5FB64BE3"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 xml:space="preserve">100% member coinsurance </w:t>
            </w:r>
            <w:r w:rsidR="009A021E" w:rsidRPr="00EA61A5">
              <w:rPr>
                <w:rFonts w:ascii="Verdana" w:hAnsi="Verdana"/>
                <w:b/>
                <w:bCs/>
                <w:color w:val="000000"/>
                <w:sz w:val="24"/>
                <w:szCs w:val="24"/>
              </w:rPr>
              <w:t>Example:</w:t>
            </w:r>
            <w:r w:rsidRPr="00EA61A5">
              <w:rPr>
                <w:rFonts w:ascii="Verdana" w:hAnsi="Verdana"/>
                <w:color w:val="000000"/>
                <w:sz w:val="24"/>
                <w:szCs w:val="24"/>
              </w:rPr>
              <w:t xml:space="preserve"> </w:t>
            </w:r>
            <w:r w:rsidR="009A021E" w:rsidRPr="00EA61A5">
              <w:rPr>
                <w:rFonts w:ascii="Verdana" w:hAnsi="Verdana"/>
                <w:color w:val="000000"/>
                <w:sz w:val="24"/>
                <w:szCs w:val="24"/>
              </w:rPr>
              <w:t xml:space="preserve"> </w:t>
            </w:r>
            <w:r w:rsidRPr="00EA61A5">
              <w:rPr>
                <w:rFonts w:ascii="Verdana" w:hAnsi="Verdana"/>
                <w:color w:val="000000"/>
                <w:sz w:val="24"/>
                <w:szCs w:val="24"/>
              </w:rPr>
              <w:t>member pays 100% of the drug’s network discounted price)</w:t>
            </w:r>
          </w:p>
          <w:p w14:paraId="4575D16B" w14:textId="575F4F75"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 xml:space="preserve">Prior authorization These are the standardized options for each lifestyle class: </w:t>
            </w:r>
          </w:p>
          <w:p w14:paraId="53EFD27B" w14:textId="15DEEAFD"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Erectile dysfunction: Benefit exclusion 100% member coinsurance o</w:t>
            </w:r>
            <w:r w:rsidR="00676577">
              <w:rPr>
                <w:rFonts w:ascii="Verdana" w:hAnsi="Verdana"/>
                <w:color w:val="000000"/>
                <w:sz w:val="24"/>
                <w:szCs w:val="24"/>
              </w:rPr>
              <w:t xml:space="preserve">r </w:t>
            </w:r>
            <w:r w:rsidRPr="00EA61A5">
              <w:rPr>
                <w:rFonts w:ascii="Verdana" w:hAnsi="Verdana"/>
                <w:color w:val="000000"/>
                <w:sz w:val="24"/>
                <w:szCs w:val="24"/>
              </w:rPr>
              <w:t xml:space="preserve">Prior authorization </w:t>
            </w:r>
          </w:p>
          <w:p w14:paraId="326AA601" w14:textId="406A7B8E"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 xml:space="preserve">Infertility: o Benefit exclusion or Prior authorization (via Advanced Control Specialty Formulary and Specialty Guideline Management) </w:t>
            </w:r>
          </w:p>
          <w:p w14:paraId="406F4EBA" w14:textId="23E9BA10" w:rsidR="001B619A" w:rsidRPr="00EA61A5" w:rsidRDefault="001B619A" w:rsidP="00EA61A5">
            <w:pPr>
              <w:pStyle w:val="ListParagraph"/>
              <w:numPr>
                <w:ilvl w:val="0"/>
                <w:numId w:val="146"/>
              </w:numPr>
              <w:spacing w:before="120" w:after="120"/>
              <w:contextualSpacing w:val="0"/>
              <w:rPr>
                <w:rFonts w:ascii="Verdana" w:hAnsi="Verdana"/>
                <w:color w:val="000000"/>
                <w:sz w:val="24"/>
                <w:szCs w:val="24"/>
              </w:rPr>
            </w:pPr>
            <w:r w:rsidRPr="00EA61A5">
              <w:rPr>
                <w:rFonts w:ascii="Verdana" w:hAnsi="Verdana"/>
                <w:color w:val="000000"/>
                <w:sz w:val="24"/>
                <w:szCs w:val="24"/>
              </w:rPr>
              <w:t>Anti-obesity: Benefit exclusion 100% member coinsurance o</w:t>
            </w:r>
            <w:r w:rsidR="00676577">
              <w:rPr>
                <w:rFonts w:ascii="Verdana" w:hAnsi="Verdana"/>
                <w:color w:val="000000"/>
                <w:sz w:val="24"/>
                <w:szCs w:val="24"/>
              </w:rPr>
              <w:t>r</w:t>
            </w:r>
            <w:r w:rsidRPr="00EA61A5">
              <w:rPr>
                <w:rFonts w:ascii="Verdana" w:hAnsi="Verdana"/>
                <w:color w:val="000000"/>
                <w:sz w:val="24"/>
                <w:szCs w:val="24"/>
              </w:rPr>
              <w:t xml:space="preserve"> Prior authorization </w:t>
            </w:r>
          </w:p>
          <w:p w14:paraId="7AAE3CEF" w14:textId="77BCA875" w:rsidR="001B619A" w:rsidRPr="00EA61A5" w:rsidRDefault="001B619A" w:rsidP="00EA61A5">
            <w:pPr>
              <w:pStyle w:val="ListParagraph"/>
              <w:numPr>
                <w:ilvl w:val="0"/>
                <w:numId w:val="146"/>
              </w:numPr>
              <w:spacing w:before="120" w:after="120"/>
              <w:contextualSpacing w:val="0"/>
              <w:rPr>
                <w:rFonts w:ascii="Verdana" w:hAnsi="Verdana"/>
                <w:color w:val="000000"/>
              </w:rPr>
            </w:pPr>
            <w:r w:rsidRPr="00EA61A5">
              <w:rPr>
                <w:rFonts w:ascii="Verdana" w:hAnsi="Verdana"/>
                <w:color w:val="000000"/>
                <w:sz w:val="24"/>
                <w:szCs w:val="24"/>
              </w:rPr>
              <w:t>Cosmetic agents: Benefit exclusion</w:t>
            </w:r>
            <w:r w:rsidRPr="00EA61A5">
              <w:rPr>
                <w:rFonts w:ascii="Verdana" w:hAnsi="Verdana"/>
                <w:color w:val="000000"/>
              </w:rPr>
              <w:t xml:space="preserve"> </w:t>
            </w:r>
          </w:p>
        </w:tc>
      </w:tr>
      <w:tr w:rsidR="001B619A" w:rsidRPr="00F25025" w14:paraId="61CA7946" w14:textId="77777777" w:rsidTr="00274E2E">
        <w:tc>
          <w:tcPr>
            <w:tcW w:w="1443" w:type="pct"/>
          </w:tcPr>
          <w:p w14:paraId="17FC3F5D" w14:textId="09C07D22" w:rsidR="001B619A" w:rsidRPr="002C36C7" w:rsidRDefault="40978D82" w:rsidP="00862C44">
            <w:pPr>
              <w:spacing w:before="120" w:after="120"/>
              <w:rPr>
                <w:rFonts w:ascii="Verdana" w:hAnsi="Verdana" w:cs="Arial"/>
              </w:rPr>
            </w:pPr>
            <w:r w:rsidRPr="38686A72">
              <w:rPr>
                <w:rFonts w:ascii="Verdana" w:hAnsi="Verdana"/>
                <w:color w:val="000000" w:themeColor="text1"/>
              </w:rPr>
              <w:t>Lifestyle</w:t>
            </w:r>
            <w:r w:rsidR="3CCBD127" w:rsidRPr="38686A72">
              <w:rPr>
                <w:rFonts w:ascii="Verdana" w:hAnsi="Verdana"/>
                <w:color w:val="000000" w:themeColor="text1"/>
              </w:rPr>
              <w:t xml:space="preserve"> Drugs</w:t>
            </w:r>
          </w:p>
        </w:tc>
        <w:tc>
          <w:tcPr>
            <w:tcW w:w="3557" w:type="pct"/>
          </w:tcPr>
          <w:p w14:paraId="43179672" w14:textId="7EBB844D" w:rsidR="001B619A" w:rsidRPr="00F25025" w:rsidRDefault="001B619A" w:rsidP="00862C44">
            <w:pPr>
              <w:spacing w:before="120" w:after="120"/>
              <w:rPr>
                <w:rFonts w:ascii="Verdana" w:hAnsi="Verdana"/>
              </w:rPr>
            </w:pPr>
            <w:r w:rsidRPr="00F25025">
              <w:rPr>
                <w:rFonts w:ascii="Verdana" w:hAnsi="Verdana"/>
              </w:rPr>
              <w:t>These are medications are not taken</w:t>
            </w:r>
            <w:r w:rsidR="00BB59C1">
              <w:rPr>
                <w:rFonts w:ascii="Verdana" w:hAnsi="Verdana"/>
              </w:rPr>
              <w:t xml:space="preserve"> </w:t>
            </w:r>
            <w:r w:rsidRPr="00F25025">
              <w:rPr>
                <w:rFonts w:ascii="Verdana" w:hAnsi="Verdana"/>
              </w:rPr>
              <w:t xml:space="preserve">to relieve or cure a medical condition, but to improve the quality of life of the person taking it. They are medications that if not taken, do not result in additional health risks.  Here are some examples: </w:t>
            </w:r>
          </w:p>
          <w:p w14:paraId="7AF36E13" w14:textId="77777777" w:rsidR="001B619A" w:rsidRPr="00F25025" w:rsidRDefault="001B619A" w:rsidP="00862C44">
            <w:pPr>
              <w:spacing w:before="120" w:after="120"/>
              <w:rPr>
                <w:rFonts w:ascii="Verdana" w:hAnsi="Verdana"/>
              </w:rPr>
            </w:pPr>
          </w:p>
          <w:p w14:paraId="67D2C6DC"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Anabolic steroids</w:t>
            </w:r>
          </w:p>
          <w:p w14:paraId="1C23DEC9"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Bedwetting prevention</w:t>
            </w:r>
          </w:p>
          <w:p w14:paraId="272677F9"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Botulism toxin</w:t>
            </w:r>
          </w:p>
          <w:p w14:paraId="09D552B8"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Cognition enhancing drugs</w:t>
            </w:r>
          </w:p>
          <w:p w14:paraId="57D3065A"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Erectile dysfunction treatments</w:t>
            </w:r>
          </w:p>
          <w:p w14:paraId="55A79CA9"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Growth hormone</w:t>
            </w:r>
          </w:p>
          <w:p w14:paraId="1A31E3CD"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Hair growth agents</w:t>
            </w:r>
          </w:p>
          <w:p w14:paraId="06FCF23D" w14:textId="77777777" w:rsidR="001B619A" w:rsidRDefault="001B619A" w:rsidP="00862C44">
            <w:pPr>
              <w:numPr>
                <w:ilvl w:val="0"/>
                <w:numId w:val="53"/>
              </w:numPr>
              <w:spacing w:before="120" w:after="120"/>
              <w:rPr>
                <w:rFonts w:ascii="Verdana" w:hAnsi="Verdana" w:cs="Arial"/>
              </w:rPr>
            </w:pPr>
            <w:r w:rsidRPr="00F25025">
              <w:rPr>
                <w:rFonts w:ascii="Verdana" w:hAnsi="Verdana" w:cs="Arial"/>
              </w:rPr>
              <w:t>Infertility drugs</w:t>
            </w:r>
          </w:p>
          <w:p w14:paraId="30E5BB91"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Morning after pills</w:t>
            </w:r>
          </w:p>
          <w:p w14:paraId="7859865C"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Nail fungus treatments</w:t>
            </w:r>
          </w:p>
          <w:p w14:paraId="1D846BB7"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Non-sedating antihistamines</w:t>
            </w:r>
          </w:p>
          <w:p w14:paraId="7C24FB5B"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Oral contraceptive pills</w:t>
            </w:r>
          </w:p>
          <w:p w14:paraId="31CBD4E2"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Smoking cessation products</w:t>
            </w:r>
          </w:p>
          <w:p w14:paraId="73B2C1A2"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Topical anti-aging agents</w:t>
            </w:r>
          </w:p>
          <w:p w14:paraId="2BBB5465" w14:textId="77777777" w:rsidR="001B619A" w:rsidRPr="00F25025" w:rsidRDefault="001B619A" w:rsidP="00862C44">
            <w:pPr>
              <w:numPr>
                <w:ilvl w:val="0"/>
                <w:numId w:val="53"/>
              </w:numPr>
              <w:spacing w:before="120" w:after="120"/>
              <w:rPr>
                <w:rFonts w:ascii="Verdana" w:hAnsi="Verdana" w:cs="Arial"/>
              </w:rPr>
            </w:pPr>
            <w:r w:rsidRPr="00F25025">
              <w:rPr>
                <w:rFonts w:ascii="Verdana" w:hAnsi="Verdana" w:cs="Arial"/>
              </w:rPr>
              <w:t>Weight loss products</w:t>
            </w:r>
          </w:p>
          <w:p w14:paraId="4CA179F0" w14:textId="77777777" w:rsidR="001B619A" w:rsidRPr="00C943FA" w:rsidRDefault="001B619A" w:rsidP="00862C44">
            <w:pPr>
              <w:numPr>
                <w:ilvl w:val="0"/>
                <w:numId w:val="53"/>
              </w:numPr>
              <w:spacing w:before="120" w:after="120"/>
              <w:rPr>
                <w:rFonts w:ascii="Verdana" w:hAnsi="Verdana"/>
              </w:rPr>
            </w:pPr>
            <w:r w:rsidRPr="00F25025">
              <w:rPr>
                <w:rFonts w:ascii="Verdana" w:hAnsi="Verdana" w:cs="Arial"/>
              </w:rPr>
              <w:t>Oral influenza shortening agents</w:t>
            </w:r>
          </w:p>
          <w:p w14:paraId="69CFBE75" w14:textId="77777777" w:rsidR="001B619A" w:rsidRPr="00F25025" w:rsidRDefault="001B619A" w:rsidP="00862C44">
            <w:pPr>
              <w:spacing w:before="120" w:after="120"/>
              <w:ind w:left="720"/>
              <w:rPr>
                <w:rFonts w:ascii="Verdana" w:hAnsi="Verdana"/>
              </w:rPr>
            </w:pPr>
          </w:p>
        </w:tc>
      </w:tr>
      <w:tr w:rsidR="001B619A" w:rsidRPr="00F25025" w14:paraId="387BFF12" w14:textId="77777777" w:rsidTr="00274E2E">
        <w:tc>
          <w:tcPr>
            <w:tcW w:w="1443" w:type="pct"/>
          </w:tcPr>
          <w:p w14:paraId="789AED41" w14:textId="77777777" w:rsidR="001B619A" w:rsidRPr="002C36C7" w:rsidRDefault="001B619A" w:rsidP="00862C44">
            <w:pPr>
              <w:spacing w:before="120" w:after="120"/>
              <w:rPr>
                <w:rFonts w:ascii="Verdana" w:hAnsi="Verdana"/>
              </w:rPr>
            </w:pPr>
            <w:r w:rsidRPr="002C36C7">
              <w:rPr>
                <w:rFonts w:ascii="Verdana" w:hAnsi="Verdana"/>
                <w:color w:val="000000"/>
              </w:rPr>
              <w:t>Lifetime Maximum</w:t>
            </w:r>
          </w:p>
        </w:tc>
        <w:tc>
          <w:tcPr>
            <w:tcW w:w="3557" w:type="pct"/>
          </w:tcPr>
          <w:p w14:paraId="378D0816" w14:textId="01B01E23" w:rsidR="001B619A" w:rsidRPr="00F25025" w:rsidRDefault="001B619A" w:rsidP="00862C44">
            <w:pPr>
              <w:spacing w:before="120" w:after="120"/>
              <w:rPr>
                <w:rFonts w:ascii="Verdana" w:hAnsi="Verdana"/>
              </w:rPr>
            </w:pPr>
            <w:r w:rsidRPr="00F25025">
              <w:rPr>
                <w:rFonts w:ascii="Verdana" w:hAnsi="Verdana"/>
              </w:rPr>
              <w:t xml:space="preserve">Amount the plan sponsor pays during a plan member's </w:t>
            </w:r>
            <w:r w:rsidR="00BB59C1" w:rsidRPr="00F25025">
              <w:rPr>
                <w:rFonts w:ascii="Verdana" w:hAnsi="Verdana"/>
              </w:rPr>
              <w:t>lifetime before</w:t>
            </w:r>
            <w:r w:rsidRPr="00F25025">
              <w:rPr>
                <w:rFonts w:ascii="Verdana" w:hAnsi="Verdana"/>
              </w:rPr>
              <w:t xml:space="preserve"> benefits cease.</w:t>
            </w:r>
          </w:p>
        </w:tc>
      </w:tr>
      <w:tr w:rsidR="001B619A" w:rsidRPr="00F25025" w14:paraId="442C3EFE" w14:textId="77777777" w:rsidTr="00274E2E">
        <w:tc>
          <w:tcPr>
            <w:tcW w:w="1443" w:type="pct"/>
          </w:tcPr>
          <w:p w14:paraId="201A4542" w14:textId="77777777" w:rsidR="001B619A" w:rsidRPr="002C36C7" w:rsidRDefault="001B619A" w:rsidP="00862C44">
            <w:pPr>
              <w:spacing w:before="120" w:after="120"/>
              <w:rPr>
                <w:noProof/>
              </w:rPr>
            </w:pPr>
            <w:r w:rsidRPr="002C36C7">
              <w:rPr>
                <w:rFonts w:ascii="Verdana" w:hAnsi="Verdana"/>
              </w:rPr>
              <w:t>LIS Reassignment</w:t>
            </w:r>
          </w:p>
        </w:tc>
        <w:tc>
          <w:tcPr>
            <w:tcW w:w="3557" w:type="pct"/>
          </w:tcPr>
          <w:p w14:paraId="73BA1107" w14:textId="28724266" w:rsidR="001B619A" w:rsidRDefault="001B619A" w:rsidP="00BB59C1">
            <w:pPr>
              <w:spacing w:before="120" w:after="120"/>
            </w:pPr>
            <w:r w:rsidRPr="000F184C">
              <w:rPr>
                <w:rFonts w:ascii="Verdana" w:hAnsi="Verdana"/>
              </w:rPr>
              <w:t>The Centers for Medicare and Medicaid Services (CMS) will reassign certain beneficiaries eligible for the Part D low-income subsidy (Extra Help) to different Medicare Part D plans. PDPs may gain and/or lose beneficiaries as a result of this process.</w:t>
            </w:r>
          </w:p>
        </w:tc>
      </w:tr>
      <w:tr w:rsidR="001B619A" w:rsidRPr="00F25025" w14:paraId="4E1297AF" w14:textId="77777777" w:rsidTr="00274E2E">
        <w:tc>
          <w:tcPr>
            <w:tcW w:w="1443" w:type="pct"/>
          </w:tcPr>
          <w:p w14:paraId="7AF4BB0D" w14:textId="77777777" w:rsidR="001B619A" w:rsidRPr="002C36C7" w:rsidRDefault="001B619A" w:rsidP="00862C44">
            <w:pPr>
              <w:spacing w:before="120" w:after="120"/>
              <w:rPr>
                <w:noProof/>
              </w:rPr>
            </w:pPr>
            <w:r w:rsidRPr="002C36C7">
              <w:rPr>
                <w:rFonts w:ascii="Verdana" w:hAnsi="Verdana"/>
              </w:rPr>
              <w:t>LIS Redetermination</w:t>
            </w:r>
          </w:p>
        </w:tc>
        <w:tc>
          <w:tcPr>
            <w:tcW w:w="3557" w:type="pct"/>
          </w:tcPr>
          <w:p w14:paraId="19B8EC6B" w14:textId="77777777" w:rsidR="001B619A" w:rsidRPr="000F184C" w:rsidRDefault="001B619A" w:rsidP="00862C44">
            <w:pPr>
              <w:spacing w:before="120" w:after="120"/>
            </w:pPr>
            <w:r w:rsidRPr="000F184C">
              <w:rPr>
                <w:rFonts w:ascii="Verdana" w:hAnsi="Verdana"/>
              </w:rPr>
              <w:t>The Centers for Medicare and Medicaid Services (CMS) and SSA send notifications to all beneficiaries who </w:t>
            </w:r>
            <w:r w:rsidRPr="000F184C">
              <w:rPr>
                <w:rFonts w:ascii="Verdana" w:hAnsi="Verdana"/>
                <w:bCs/>
              </w:rPr>
              <w:t>no longer automatically</w:t>
            </w:r>
            <w:r w:rsidRPr="000F184C">
              <w:rPr>
                <w:rFonts w:ascii="Verdana" w:hAnsi="Verdana"/>
              </w:rPr>
              <w:t> qualify for Extra Help.</w:t>
            </w:r>
          </w:p>
          <w:p w14:paraId="128D340D" w14:textId="5890472E" w:rsidR="001B619A" w:rsidRDefault="001B619A" w:rsidP="00BB59C1">
            <w:pPr>
              <w:numPr>
                <w:ilvl w:val="0"/>
                <w:numId w:val="91"/>
              </w:numPr>
              <w:spacing w:before="120" w:after="120"/>
            </w:pPr>
            <w:r w:rsidRPr="000F184C">
              <w:rPr>
                <w:rFonts w:ascii="Verdana" w:hAnsi="Verdana"/>
              </w:rPr>
              <w:t>Refer to</w:t>
            </w:r>
            <w:r w:rsidR="00A47CD3">
              <w:rPr>
                <w:rFonts w:ascii="Verdana" w:hAnsi="Verdana"/>
              </w:rPr>
              <w:t xml:space="preserve"> </w:t>
            </w:r>
            <w:hyperlink r:id="rId11" w:anchor="!/view?docid=e3d32e7c-f90a-4d2c-95f6-e4d1a190a8ba" w:history="1">
              <w:r w:rsidR="009A021E" w:rsidRPr="009A021E">
                <w:rPr>
                  <w:rStyle w:val="Hyperlink"/>
                  <w:rFonts w:ascii="Verdana" w:hAnsi="Verdana"/>
                </w:rPr>
                <w:t xml:space="preserve">MED D - Blue MedicareRx (NEJE) Inbound </w:t>
              </w:r>
              <w:r w:rsidR="009A021E" w:rsidRPr="009A021E">
                <w:rPr>
                  <w:rStyle w:val="Hyperlink"/>
                  <w:rFonts w:ascii="Verdana" w:hAnsi="Verdana"/>
                </w:rPr>
                <w:t>R</w:t>
              </w:r>
              <w:r w:rsidR="009A021E" w:rsidRPr="009A021E">
                <w:rPr>
                  <w:rStyle w:val="Hyperlink"/>
                  <w:rFonts w:ascii="Verdana" w:hAnsi="Verdana"/>
                </w:rPr>
                <w:t>edetermination (Loss of Deemed Status) (078838)</w:t>
              </w:r>
            </w:hyperlink>
          </w:p>
        </w:tc>
      </w:tr>
      <w:tr w:rsidR="001B619A" w:rsidRPr="00F25025" w14:paraId="5704F2E6" w14:textId="77777777" w:rsidTr="00274E2E">
        <w:tc>
          <w:tcPr>
            <w:tcW w:w="1443" w:type="pct"/>
          </w:tcPr>
          <w:p w14:paraId="76FA2A3C" w14:textId="77777777" w:rsidR="001B619A" w:rsidRPr="002C36C7" w:rsidRDefault="001B619A" w:rsidP="00862C44">
            <w:pPr>
              <w:spacing w:before="120" w:after="120"/>
              <w:rPr>
                <w:rFonts w:ascii="Verdana" w:hAnsi="Verdana"/>
              </w:rPr>
            </w:pPr>
            <w:r w:rsidRPr="002C36C7">
              <w:rPr>
                <w:rFonts w:ascii="Verdana" w:hAnsi="Verdana"/>
              </w:rPr>
              <w:t>LIS Rider</w:t>
            </w:r>
          </w:p>
          <w:p w14:paraId="76332B17" w14:textId="77777777" w:rsidR="001B619A" w:rsidRPr="002C36C7" w:rsidRDefault="001B619A" w:rsidP="00862C44">
            <w:pPr>
              <w:spacing w:before="120" w:after="120"/>
              <w:rPr>
                <w:noProof/>
              </w:rPr>
            </w:pPr>
          </w:p>
        </w:tc>
        <w:tc>
          <w:tcPr>
            <w:tcW w:w="3557" w:type="pct"/>
          </w:tcPr>
          <w:p w14:paraId="0B946575" w14:textId="5357BF7A" w:rsidR="001B619A" w:rsidRDefault="001B619A" w:rsidP="00862C44">
            <w:pPr>
              <w:spacing w:before="120" w:after="120"/>
              <w:rPr>
                <w:noProof/>
              </w:rPr>
            </w:pPr>
            <w:r>
              <w:rPr>
                <w:noProof/>
              </w:rPr>
              <w:t xml:space="preserve"> </w:t>
            </w:r>
            <w:r w:rsidRPr="000F184C">
              <w:rPr>
                <w:rFonts w:ascii="Verdana" w:hAnsi="Verdana"/>
              </w:rPr>
              <w:t xml:space="preserve">Letter provided to those who receive LIS (Extra Help) in paying for their prescription benefit.  Informs Beneficiaries how much they will pay towards premiums, </w:t>
            </w:r>
            <w:r w:rsidR="009A021E" w:rsidRPr="000F184C">
              <w:rPr>
                <w:rFonts w:ascii="Verdana" w:hAnsi="Verdana"/>
              </w:rPr>
              <w:t>deductibles,</w:t>
            </w:r>
            <w:r w:rsidRPr="000F184C">
              <w:rPr>
                <w:rFonts w:ascii="Verdana" w:hAnsi="Verdana"/>
              </w:rPr>
              <w:t xml:space="preserve"> and copayments.</w:t>
            </w:r>
          </w:p>
        </w:tc>
      </w:tr>
      <w:tr w:rsidR="00CD1617" w:rsidRPr="00F25025" w14:paraId="5FEDE8DA" w14:textId="77777777" w:rsidTr="00274E2E">
        <w:tc>
          <w:tcPr>
            <w:tcW w:w="1443" w:type="pct"/>
          </w:tcPr>
          <w:p w14:paraId="75C776EA" w14:textId="4542139F" w:rsidR="00CD1617" w:rsidRPr="002C36C7" w:rsidRDefault="00274E2E" w:rsidP="00862C44">
            <w:pPr>
              <w:spacing w:before="120" w:after="120"/>
              <w:rPr>
                <w:rFonts w:ascii="Verdana" w:hAnsi="Verdana"/>
              </w:rPr>
            </w:pPr>
            <w:r>
              <w:rPr>
                <w:rFonts w:ascii="Verdana" w:hAnsi="Verdana"/>
                <w:b/>
                <w:bCs/>
                <w:noProof/>
                <w:color w:val="000000" w:themeColor="text1"/>
              </w:rPr>
              <w:drawing>
                <wp:inline distT="0" distB="0" distL="0" distR="0" wp14:anchorId="12F78FBC" wp14:editId="3E51D206">
                  <wp:extent cx="304762" cy="304762"/>
                  <wp:effectExtent l="0" t="0" r="635" b="635"/>
                  <wp:docPr id="2093619982" name="Picture 209361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67059">
              <w:rPr>
                <w:rFonts w:ascii="Verdana" w:hAnsi="Verdana"/>
              </w:rPr>
              <w:t>Lockbox Payments</w:t>
            </w:r>
          </w:p>
        </w:tc>
        <w:tc>
          <w:tcPr>
            <w:tcW w:w="3557" w:type="pct"/>
          </w:tcPr>
          <w:p w14:paraId="0029D570" w14:textId="11E9B247" w:rsidR="00CD1617" w:rsidRPr="00023982" w:rsidRDefault="00067059" w:rsidP="00862C44">
            <w:pPr>
              <w:spacing w:before="120" w:after="120"/>
              <w:rPr>
                <w:rFonts w:ascii="Verdana" w:hAnsi="Verdana"/>
              </w:rPr>
            </w:pPr>
            <w:r>
              <w:rPr>
                <w:rFonts w:ascii="Verdana" w:hAnsi="Verdana"/>
              </w:rPr>
              <w:t>Refer to a service provided by banks to help business process incoming payments more efficiently.</w:t>
            </w:r>
          </w:p>
        </w:tc>
      </w:tr>
      <w:tr w:rsidR="001B619A" w:rsidRPr="00F25025" w14:paraId="2F259050" w14:textId="77777777" w:rsidTr="00274E2E">
        <w:tc>
          <w:tcPr>
            <w:tcW w:w="1443" w:type="pct"/>
          </w:tcPr>
          <w:p w14:paraId="30B9AAFD" w14:textId="685998B7" w:rsidR="001B619A" w:rsidRPr="002C36C7" w:rsidRDefault="001B619A" w:rsidP="00862C44">
            <w:pPr>
              <w:spacing w:before="120" w:after="120"/>
              <w:rPr>
                <w:rFonts w:ascii="Verdana" w:hAnsi="Verdana"/>
              </w:rPr>
            </w:pPr>
            <w:r w:rsidRPr="002C36C7">
              <w:rPr>
                <w:rFonts w:ascii="Verdana" w:hAnsi="Verdana"/>
              </w:rPr>
              <w:t xml:space="preserve">Lock-In </w:t>
            </w:r>
          </w:p>
        </w:tc>
        <w:tc>
          <w:tcPr>
            <w:tcW w:w="3557" w:type="pct"/>
          </w:tcPr>
          <w:p w14:paraId="5DE1812D" w14:textId="77777777" w:rsidR="001B619A" w:rsidRPr="00F25025" w:rsidRDefault="001B619A" w:rsidP="00862C44">
            <w:pPr>
              <w:spacing w:before="120" w:after="120"/>
              <w:rPr>
                <w:rFonts w:ascii="Verdana" w:hAnsi="Verdana"/>
              </w:rPr>
            </w:pPr>
            <w:r w:rsidRPr="00023982">
              <w:rPr>
                <w:rFonts w:ascii="Verdana" w:hAnsi="Verdana"/>
              </w:rPr>
              <w:t>Member is locked into one specific pharmacy or group of pharmacies.</w:t>
            </w:r>
            <w:r>
              <w:rPr>
                <w:rFonts w:ascii="Verdana" w:hAnsi="Verdana"/>
              </w:rPr>
              <w:t xml:space="preserve">  </w:t>
            </w:r>
          </w:p>
        </w:tc>
      </w:tr>
      <w:tr w:rsidR="001B619A" w:rsidRPr="00F25025" w14:paraId="3C534E93" w14:textId="77777777" w:rsidTr="00274E2E">
        <w:tc>
          <w:tcPr>
            <w:tcW w:w="1443" w:type="pct"/>
          </w:tcPr>
          <w:p w14:paraId="05EF6EF1" w14:textId="504485D0" w:rsidR="001B619A" w:rsidRPr="002C36C7" w:rsidRDefault="001B619A" w:rsidP="00862C44">
            <w:pPr>
              <w:spacing w:before="120" w:after="120"/>
              <w:rPr>
                <w:rFonts w:ascii="Verdana" w:hAnsi="Verdana"/>
              </w:rPr>
            </w:pPr>
            <w:r w:rsidRPr="002C36C7">
              <w:rPr>
                <w:rFonts w:ascii="Verdana" w:hAnsi="Verdana"/>
              </w:rPr>
              <w:t>Lock-Out</w:t>
            </w:r>
          </w:p>
        </w:tc>
        <w:tc>
          <w:tcPr>
            <w:tcW w:w="3557" w:type="pct"/>
          </w:tcPr>
          <w:p w14:paraId="4D7FD676" w14:textId="77777777" w:rsidR="001B619A" w:rsidRPr="00F25025" w:rsidRDefault="001B619A" w:rsidP="00862C44">
            <w:pPr>
              <w:spacing w:before="120" w:after="120"/>
              <w:rPr>
                <w:rFonts w:ascii="Verdana" w:hAnsi="Verdana"/>
              </w:rPr>
            </w:pPr>
            <w:r w:rsidRPr="00023982">
              <w:rPr>
                <w:rFonts w:ascii="Verdana" w:hAnsi="Verdana"/>
              </w:rPr>
              <w:t>Member is lock out of one specific pharmacy, group of pharmacies or any pharmacy.</w:t>
            </w:r>
            <w:r w:rsidDel="00D8531B">
              <w:rPr>
                <w:rFonts w:ascii="Verdana" w:hAnsi="Verdana"/>
              </w:rPr>
              <w:t xml:space="preserve"> </w:t>
            </w:r>
          </w:p>
        </w:tc>
      </w:tr>
      <w:tr w:rsidR="001B619A" w:rsidRPr="00F25025" w14:paraId="1012C4D4" w14:textId="77777777" w:rsidTr="00274E2E">
        <w:tc>
          <w:tcPr>
            <w:tcW w:w="1443" w:type="pct"/>
          </w:tcPr>
          <w:p w14:paraId="2084C22E" w14:textId="77777777" w:rsidR="001B619A" w:rsidRPr="002C36C7" w:rsidRDefault="001B619A" w:rsidP="00862C44">
            <w:pPr>
              <w:spacing w:before="120" w:after="120"/>
              <w:rPr>
                <w:rFonts w:ascii="Verdana" w:hAnsi="Verdana"/>
              </w:rPr>
            </w:pPr>
            <w:r w:rsidRPr="002C36C7">
              <w:rPr>
                <w:rFonts w:ascii="Verdana" w:hAnsi="Verdana"/>
                <w:color w:val="000000"/>
              </w:rPr>
              <w:t>Longitudinal Medical Record</w:t>
            </w:r>
          </w:p>
        </w:tc>
        <w:tc>
          <w:tcPr>
            <w:tcW w:w="3557" w:type="pct"/>
          </w:tcPr>
          <w:p w14:paraId="201A3508" w14:textId="77777777" w:rsidR="001B619A" w:rsidRPr="00F25025" w:rsidRDefault="001B619A" w:rsidP="00862C44">
            <w:pPr>
              <w:spacing w:before="120" w:after="120"/>
              <w:rPr>
                <w:rFonts w:ascii="Verdana" w:hAnsi="Verdana"/>
              </w:rPr>
            </w:pPr>
            <w:r w:rsidRPr="00F25025">
              <w:rPr>
                <w:rFonts w:ascii="Verdana" w:hAnsi="Verdana"/>
              </w:rPr>
              <w:t xml:space="preserve">Electronic Participant Record (EPR) or Computerized Participant Record. </w:t>
            </w:r>
          </w:p>
          <w:p w14:paraId="19709BB9" w14:textId="598DA252" w:rsidR="001B619A" w:rsidRPr="00F25025" w:rsidRDefault="001B619A" w:rsidP="00862C44">
            <w:pPr>
              <w:spacing w:before="120" w:after="120"/>
              <w:rPr>
                <w:rFonts w:ascii="Verdana" w:hAnsi="Verdana"/>
              </w:rPr>
            </w:pPr>
            <w:r w:rsidRPr="00F25025">
              <w:rPr>
                <w:rFonts w:ascii="Verdana" w:hAnsi="Verdana"/>
              </w:rPr>
              <w:t xml:space="preserve">Refers to the capture, reporting and maintenance of a member’s complete medical health record using electronic technology. </w:t>
            </w:r>
          </w:p>
        </w:tc>
      </w:tr>
      <w:tr w:rsidR="001B619A" w:rsidRPr="00F25025" w14:paraId="175CFC62" w14:textId="77777777" w:rsidTr="00274E2E">
        <w:tc>
          <w:tcPr>
            <w:tcW w:w="1443" w:type="pct"/>
          </w:tcPr>
          <w:p w14:paraId="40C6D6C2" w14:textId="77777777" w:rsidR="001B619A" w:rsidRPr="002C36C7" w:rsidRDefault="001B619A" w:rsidP="00862C44">
            <w:pPr>
              <w:spacing w:before="120" w:after="120"/>
              <w:rPr>
                <w:rFonts w:ascii="Verdana" w:hAnsi="Verdana"/>
                <w:noProof/>
              </w:rPr>
            </w:pPr>
            <w:r w:rsidRPr="002C36C7">
              <w:rPr>
                <w:rFonts w:ascii="Verdana" w:hAnsi="Verdana"/>
                <w:noProof/>
              </w:rPr>
              <w:t>Long Term Stop See</w:t>
            </w:r>
          </w:p>
          <w:p w14:paraId="27299497" w14:textId="77777777" w:rsidR="001B619A" w:rsidRPr="002C36C7" w:rsidRDefault="001B619A" w:rsidP="00862C44">
            <w:pPr>
              <w:spacing w:before="120" w:after="120"/>
              <w:rPr>
                <w:rFonts w:ascii="Verdana" w:hAnsi="Verdana"/>
              </w:rPr>
            </w:pPr>
          </w:p>
        </w:tc>
        <w:tc>
          <w:tcPr>
            <w:tcW w:w="3557" w:type="pct"/>
          </w:tcPr>
          <w:p w14:paraId="13F41F2F" w14:textId="2999178E" w:rsidR="001B619A" w:rsidRPr="00F25025" w:rsidRDefault="001B619A" w:rsidP="00862C44">
            <w:pPr>
              <w:spacing w:before="120" w:after="120"/>
              <w:rPr>
                <w:rFonts w:ascii="Verdana" w:hAnsi="Verdana"/>
              </w:rPr>
            </w:pPr>
            <w:r w:rsidRPr="00F25025">
              <w:rPr>
                <w:rFonts w:ascii="Verdana" w:hAnsi="Verdana"/>
                <w:color w:val="333333"/>
              </w:rPr>
              <w:t xml:space="preserve">One that would be needed for more than 10 days. For example, member does not want to use </w:t>
            </w:r>
            <w:r>
              <w:rPr>
                <w:rFonts w:ascii="Verdana" w:hAnsi="Verdana"/>
                <w:color w:val="333333"/>
              </w:rPr>
              <w:t>home delivery</w:t>
            </w:r>
            <w:r w:rsidRPr="00F25025">
              <w:rPr>
                <w:rFonts w:ascii="Verdana" w:hAnsi="Verdana"/>
                <w:color w:val="333333"/>
              </w:rPr>
              <w:t xml:space="preserve"> any longer and wants to prevent orders sent directly by the prescriber from filling.</w:t>
            </w:r>
          </w:p>
        </w:tc>
      </w:tr>
      <w:tr w:rsidR="001B619A" w:rsidRPr="00F25025" w14:paraId="095A8E38" w14:textId="77777777" w:rsidTr="00274E2E">
        <w:tc>
          <w:tcPr>
            <w:tcW w:w="1443" w:type="pct"/>
          </w:tcPr>
          <w:p w14:paraId="7D752472" w14:textId="77777777" w:rsidR="001B619A" w:rsidRPr="002C36C7" w:rsidRDefault="001B619A" w:rsidP="00862C44">
            <w:pPr>
              <w:spacing w:before="120" w:after="120"/>
              <w:rPr>
                <w:rFonts w:ascii="Verdana" w:hAnsi="Verdana"/>
              </w:rPr>
            </w:pPr>
            <w:r w:rsidRPr="002C36C7">
              <w:rPr>
                <w:rFonts w:ascii="Verdana" w:hAnsi="Verdana"/>
                <w:color w:val="000000"/>
              </w:rPr>
              <w:t>Lowest Price logic</w:t>
            </w:r>
          </w:p>
        </w:tc>
        <w:tc>
          <w:tcPr>
            <w:tcW w:w="3557" w:type="pct"/>
          </w:tcPr>
          <w:p w14:paraId="44AF04DE" w14:textId="71296E69" w:rsidR="001B619A" w:rsidRPr="00F25025" w:rsidRDefault="001B619A" w:rsidP="00862C44">
            <w:pPr>
              <w:spacing w:before="120" w:after="120"/>
              <w:rPr>
                <w:rFonts w:ascii="Verdana" w:hAnsi="Verdana"/>
              </w:rPr>
            </w:pPr>
            <w:r w:rsidRPr="00F25025">
              <w:rPr>
                <w:rFonts w:ascii="Verdana" w:hAnsi="Verdana"/>
              </w:rPr>
              <w:t>The lowest cost pricing strategies:  AWP price, ingredient cost, MAC price or Usual and Customary.  Does not include dispensing fee or tax.</w:t>
            </w:r>
          </w:p>
        </w:tc>
      </w:tr>
    </w:tbl>
    <w:p w14:paraId="7BF25923" w14:textId="77777777" w:rsidR="00D87929" w:rsidRPr="004E00B6" w:rsidRDefault="00D87929" w:rsidP="00862C44">
      <w:pPr>
        <w:spacing w:before="120" w:after="120"/>
        <w:rPr>
          <w:rFonts w:ascii="Verdana" w:hAnsi="Verdana"/>
          <w:sz w:val="20"/>
          <w:szCs w:val="20"/>
        </w:rPr>
      </w:pPr>
    </w:p>
    <w:p w14:paraId="1B528B74" w14:textId="7032174B" w:rsidR="00675566" w:rsidRPr="003D15F3" w:rsidRDefault="00675566" w:rsidP="00862C44">
      <w:pPr>
        <w:spacing w:before="120" w:after="120"/>
        <w:jc w:val="right"/>
        <w:rPr>
          <w:rFonts w:ascii="Verdana" w:hAnsi="Verdana"/>
          <w:color w:val="FF0000"/>
        </w:rPr>
      </w:pPr>
      <w:hyperlink w:anchor="_top" w:history="1">
        <w:r w:rsidRPr="00A47CD3">
          <w:rPr>
            <w:rStyle w:val="Hyperlink"/>
            <w:rFonts w:ascii="Verdana" w:hAnsi="Verdana"/>
          </w:rPr>
          <w:t>Top of the Document</w:t>
        </w:r>
      </w:hyperlink>
    </w:p>
    <w:p w14:paraId="48BC9ECE" w14:textId="77777777" w:rsidR="00ED4CFD" w:rsidRPr="004E00B6" w:rsidRDefault="00ED4CFD" w:rsidP="00862C44">
      <w:pPr>
        <w:spacing w:before="120" w:after="120"/>
        <w:jc w:val="center"/>
        <w:rPr>
          <w:rFonts w:ascii="Verdana" w:hAnsi="Verdana"/>
          <w:sz w:val="16"/>
          <w:szCs w:val="16"/>
        </w:rPr>
      </w:pPr>
    </w:p>
    <w:p w14:paraId="0725317C" w14:textId="77777777" w:rsidR="00ED4CFD" w:rsidRPr="004E00B6" w:rsidRDefault="00ED4CFD" w:rsidP="00862C44">
      <w:pPr>
        <w:spacing w:before="120" w:after="120"/>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862C44">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862C44">
      <w:pPr>
        <w:spacing w:before="120" w:after="120"/>
        <w:jc w:val="right"/>
        <w:rPr>
          <w:rFonts w:ascii="Verdana" w:hAnsi="Verdana"/>
          <w:sz w:val="20"/>
          <w:szCs w:val="20"/>
        </w:rPr>
      </w:pPr>
    </w:p>
    <w:sectPr w:rsidR="00ED4CFD" w:rsidRPr="00A47CB1" w:rsidSect="00862C4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B5F0" w14:textId="77777777" w:rsidR="00916BBB" w:rsidRDefault="00916BBB">
      <w:r>
        <w:separator/>
      </w:r>
    </w:p>
  </w:endnote>
  <w:endnote w:type="continuationSeparator" w:id="0">
    <w:p w14:paraId="601386CA" w14:textId="77777777" w:rsidR="00916BBB" w:rsidRDefault="0091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763D2" w14:textId="77777777" w:rsidR="00916BBB" w:rsidRDefault="00916BBB">
      <w:r>
        <w:separator/>
      </w:r>
    </w:p>
  </w:footnote>
  <w:footnote w:type="continuationSeparator" w:id="0">
    <w:p w14:paraId="67CCE33A" w14:textId="77777777" w:rsidR="00916BBB" w:rsidRDefault="00916BBB">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bjd97lsRc/Q2n" int2:id="KBYkqqLE">
      <int2:state int2:value="Rejected" int2:type="AugLoop_Text_Critique"/>
    </int2:textHash>
    <int2:textHash int2:hashCode="SaEr9y54KDDLNJ" int2:id="OqVI1YZL">
      <int2:state int2:value="Rejected" int2:type="AugLoop_Text_Critique"/>
    </int2:textHash>
    <int2:textHash int2:hashCode="mZHqJ7voQ5waHr" int2:id="X0poInxU">
      <int2:state int2:value="Rejected" int2:type="AugLoop_Text_Critique"/>
    </int2:textHash>
    <int2:textHash int2:hashCode="AjyNVkv9JcxORL" int2:id="Xf4zZnaQ">
      <int2:state int2:value="Rejected" int2:type="AugLoop_Text_Critique"/>
    </int2:textHash>
    <int2:textHash int2:hashCode="VIJxWG9B3YNi6s" int2:id="bamz1uyf">
      <int2:state int2:value="Rejected" int2:type="AugLoop_Text_Critique"/>
    </int2:textHash>
    <int2:bookmark int2:bookmarkName="_Int_LqiE04OI" int2:invalidationBookmarkName="" int2:hashCode="7TVqilTdEEcPE9" int2:id="DXHVCrNw">
      <int2:state int2:value="Rejected" int2:type="AugLoop_Text_Critique"/>
    </int2:bookmark>
    <int2:bookmark int2:bookmarkName="_Int_Ux6XJ1e7" int2:invalidationBookmarkName="" int2:hashCode="HXV3TA+Wtu5E62" int2:id="EMU6ux0e">
      <int2:state int2:value="Rejected" int2:type="AugLoop_Text_Critique"/>
    </int2:bookmark>
    <int2:bookmark int2:bookmarkName="_Int_SuAyuOGO" int2:invalidationBookmarkName="" int2:hashCode="RoHRJMxsS3O6q/" int2:id="HrNMdmhZ">
      <int2:state int2:value="Rejected" int2:type="AugLoop_Text_Critique"/>
    </int2:bookmark>
    <int2:bookmark int2:bookmarkName="_Int_iXQsuLKi" int2:invalidationBookmarkName="" int2:hashCode="RoHRJMxsS3O6q/" int2:id="Up9JEaZ0">
      <int2:state int2:value="Rejected" int2:type="AugLoop_Text_Critique"/>
    </int2:bookmark>
    <int2:bookmark int2:bookmarkName="_Int_vQOd5RHK" int2:invalidationBookmarkName="" int2:hashCode="RoHRJMxsS3O6q/" int2:id="XgLN03Oj">
      <int2:state int2:value="Rejected" int2:type="AugLoop_Text_Critique"/>
    </int2:bookmark>
    <int2:bookmark int2:bookmarkName="_Int_7LlWmkHv" int2:invalidationBookmarkName="" int2:hashCode="RoHRJMxsS3O6q/" int2:id="ZtjBLtwL">
      <int2:state int2:value="Rejected" int2:type="AugLoop_Text_Critique"/>
    </int2:bookmark>
    <int2:bookmark int2:bookmarkName="_Int_m4t6wVeL" int2:invalidationBookmarkName="" int2:hashCode="RoHRJMxsS3O6q/" int2:id="gG4Qan2i">
      <int2:state int2:value="Rejected" int2:type="AugLoop_Text_Critique"/>
    </int2:bookmark>
    <int2:bookmark int2:bookmarkName="_Int_saIWgTy8" int2:invalidationBookmarkName="" int2:hashCode="NbLuScLTLbCh7a" int2:id="sGRwTPy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BEA091A8"/>
    <w:lvl w:ilvl="0" w:tplc="57F6F556">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ECD2FB12"/>
    <w:lvl w:ilvl="0" w:tplc="6E6211C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8D381CCA"/>
    <w:lvl w:ilvl="0" w:tplc="D93A407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F54E5F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0D6425E"/>
    <w:multiLevelType w:val="hybridMultilevel"/>
    <w:tmpl w:val="219E35BC"/>
    <w:lvl w:ilvl="0" w:tplc="EFB20EF4">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5"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DAE689F"/>
    <w:multiLevelType w:val="hybridMultilevel"/>
    <w:tmpl w:val="25D6CAC4"/>
    <w:lvl w:ilvl="0" w:tplc="4D7AB046">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20"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1"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6"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9"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0"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63930DF"/>
    <w:multiLevelType w:val="hybridMultilevel"/>
    <w:tmpl w:val="5D1214BC"/>
    <w:lvl w:ilvl="0" w:tplc="D1369A9E">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3"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077DEA"/>
    <w:multiLevelType w:val="hybridMultilevel"/>
    <w:tmpl w:val="BF1AC738"/>
    <w:lvl w:ilvl="0" w:tplc="3628FFCA">
      <w:numFmt w:val="bullet"/>
      <w:lvlText w:val="•"/>
      <w:lvlJc w:val="left"/>
      <w:pPr>
        <w:ind w:left="720" w:hanging="360"/>
      </w:pPr>
      <w:rPr>
        <w:rFonts w:ascii="Verdana" w:eastAsia="Times New Roman" w:hAnsi="Verdana" w:cs="Aria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9661322">
    <w:abstractNumId w:val="69"/>
  </w:num>
  <w:num w:numId="2" w16cid:durableId="113403166">
    <w:abstractNumId w:val="104"/>
  </w:num>
  <w:num w:numId="3" w16cid:durableId="315573376">
    <w:abstractNumId w:val="82"/>
  </w:num>
  <w:num w:numId="4" w16cid:durableId="581960016">
    <w:abstractNumId w:val="7"/>
  </w:num>
  <w:num w:numId="5" w16cid:durableId="1356030819">
    <w:abstractNumId w:val="43"/>
  </w:num>
  <w:num w:numId="6" w16cid:durableId="68432786">
    <w:abstractNumId w:val="105"/>
  </w:num>
  <w:num w:numId="7" w16cid:durableId="2116437571">
    <w:abstractNumId w:val="76"/>
  </w:num>
  <w:num w:numId="8" w16cid:durableId="527109160">
    <w:abstractNumId w:val="88"/>
  </w:num>
  <w:num w:numId="9" w16cid:durableId="969551053">
    <w:abstractNumId w:val="86"/>
  </w:num>
  <w:num w:numId="10" w16cid:durableId="119150889">
    <w:abstractNumId w:val="29"/>
  </w:num>
  <w:num w:numId="11" w16cid:durableId="1277827767">
    <w:abstractNumId w:val="106"/>
  </w:num>
  <w:num w:numId="12" w16cid:durableId="1112821879">
    <w:abstractNumId w:val="107"/>
  </w:num>
  <w:num w:numId="13" w16cid:durableId="1374233616">
    <w:abstractNumId w:val="138"/>
  </w:num>
  <w:num w:numId="14" w16cid:durableId="1098791504">
    <w:abstractNumId w:val="142"/>
  </w:num>
  <w:num w:numId="15" w16cid:durableId="1977946533">
    <w:abstractNumId w:val="1"/>
  </w:num>
  <w:num w:numId="16" w16cid:durableId="6517936">
    <w:abstractNumId w:val="53"/>
  </w:num>
  <w:num w:numId="17" w16cid:durableId="509563030">
    <w:abstractNumId w:val="133"/>
  </w:num>
  <w:num w:numId="18" w16cid:durableId="769200223">
    <w:abstractNumId w:val="93"/>
  </w:num>
  <w:num w:numId="19" w16cid:durableId="1970356306">
    <w:abstractNumId w:val="135"/>
  </w:num>
  <w:num w:numId="20" w16cid:durableId="308242435">
    <w:abstractNumId w:val="55"/>
  </w:num>
  <w:num w:numId="21" w16cid:durableId="355693557">
    <w:abstractNumId w:val="22"/>
  </w:num>
  <w:num w:numId="22" w16cid:durableId="1248080286">
    <w:abstractNumId w:val="47"/>
  </w:num>
  <w:num w:numId="23" w16cid:durableId="2046783906">
    <w:abstractNumId w:val="37"/>
  </w:num>
  <w:num w:numId="24" w16cid:durableId="1177884477">
    <w:abstractNumId w:val="100"/>
  </w:num>
  <w:num w:numId="25" w16cid:durableId="1951545485">
    <w:abstractNumId w:val="79"/>
  </w:num>
  <w:num w:numId="26" w16cid:durableId="2103837362">
    <w:abstractNumId w:val="66"/>
  </w:num>
  <w:num w:numId="27" w16cid:durableId="1477797314">
    <w:abstractNumId w:val="10"/>
  </w:num>
  <w:num w:numId="28" w16cid:durableId="658192843">
    <w:abstractNumId w:val="32"/>
  </w:num>
  <w:num w:numId="29" w16cid:durableId="207112862">
    <w:abstractNumId w:val="96"/>
  </w:num>
  <w:num w:numId="30" w16cid:durableId="16784060">
    <w:abstractNumId w:val="0"/>
  </w:num>
  <w:num w:numId="31" w16cid:durableId="226646740">
    <w:abstractNumId w:val="26"/>
  </w:num>
  <w:num w:numId="32" w16cid:durableId="2068916062">
    <w:abstractNumId w:val="117"/>
  </w:num>
  <w:num w:numId="33" w16cid:durableId="692877255">
    <w:abstractNumId w:val="119"/>
  </w:num>
  <w:num w:numId="34" w16cid:durableId="515734726">
    <w:abstractNumId w:val="44"/>
  </w:num>
  <w:num w:numId="35" w16cid:durableId="902642472">
    <w:abstractNumId w:val="19"/>
  </w:num>
  <w:num w:numId="36" w16cid:durableId="379935635">
    <w:abstractNumId w:val="16"/>
  </w:num>
  <w:num w:numId="37" w16cid:durableId="1979529377">
    <w:abstractNumId w:val="95"/>
  </w:num>
  <w:num w:numId="38" w16cid:durableId="1708137449">
    <w:abstractNumId w:val="9"/>
  </w:num>
  <w:num w:numId="39" w16cid:durableId="328678061">
    <w:abstractNumId w:val="128"/>
  </w:num>
  <w:num w:numId="40" w16cid:durableId="1975675362">
    <w:abstractNumId w:val="127"/>
  </w:num>
  <w:num w:numId="41" w16cid:durableId="1490708402">
    <w:abstractNumId w:val="113"/>
  </w:num>
  <w:num w:numId="42" w16cid:durableId="1895848068">
    <w:abstractNumId w:val="20"/>
  </w:num>
  <w:num w:numId="43" w16cid:durableId="844593647">
    <w:abstractNumId w:val="13"/>
  </w:num>
  <w:num w:numId="44" w16cid:durableId="1674259782">
    <w:abstractNumId w:val="50"/>
  </w:num>
  <w:num w:numId="45" w16cid:durableId="1401754315">
    <w:abstractNumId w:val="25"/>
  </w:num>
  <w:num w:numId="46" w16cid:durableId="10376030">
    <w:abstractNumId w:val="27"/>
  </w:num>
  <w:num w:numId="47" w16cid:durableId="1501652504">
    <w:abstractNumId w:val="91"/>
  </w:num>
  <w:num w:numId="48" w16cid:durableId="317152627">
    <w:abstractNumId w:val="129"/>
  </w:num>
  <w:num w:numId="49" w16cid:durableId="1244291708">
    <w:abstractNumId w:val="123"/>
  </w:num>
  <w:num w:numId="50" w16cid:durableId="1531793905">
    <w:abstractNumId w:val="28"/>
  </w:num>
  <w:num w:numId="51" w16cid:durableId="1933662774">
    <w:abstractNumId w:val="35"/>
  </w:num>
  <w:num w:numId="52" w16cid:durableId="1704473172">
    <w:abstractNumId w:val="137"/>
  </w:num>
  <w:num w:numId="53" w16cid:durableId="649208815">
    <w:abstractNumId w:val="14"/>
  </w:num>
  <w:num w:numId="54" w16cid:durableId="126707530">
    <w:abstractNumId w:val="48"/>
  </w:num>
  <w:num w:numId="55" w16cid:durableId="2039311976">
    <w:abstractNumId w:val="83"/>
  </w:num>
  <w:num w:numId="56" w16cid:durableId="880553330">
    <w:abstractNumId w:val="67"/>
  </w:num>
  <w:num w:numId="57" w16cid:durableId="1982616356">
    <w:abstractNumId w:val="4"/>
  </w:num>
  <w:num w:numId="58" w16cid:durableId="2079160226">
    <w:abstractNumId w:val="51"/>
  </w:num>
  <w:num w:numId="59" w16cid:durableId="131102101">
    <w:abstractNumId w:val="85"/>
  </w:num>
  <w:num w:numId="60" w16cid:durableId="313605079">
    <w:abstractNumId w:val="111"/>
  </w:num>
  <w:num w:numId="61" w16cid:durableId="1142575243">
    <w:abstractNumId w:val="65"/>
  </w:num>
  <w:num w:numId="62" w16cid:durableId="99187209">
    <w:abstractNumId w:val="61"/>
  </w:num>
  <w:num w:numId="63" w16cid:durableId="1957061148">
    <w:abstractNumId w:val="98"/>
  </w:num>
  <w:num w:numId="64" w16cid:durableId="393436500">
    <w:abstractNumId w:val="62"/>
  </w:num>
  <w:num w:numId="65" w16cid:durableId="38866028">
    <w:abstractNumId w:val="60"/>
  </w:num>
  <w:num w:numId="66" w16cid:durableId="781266113">
    <w:abstractNumId w:val="108"/>
  </w:num>
  <w:num w:numId="67" w16cid:durableId="1457139170">
    <w:abstractNumId w:val="112"/>
  </w:num>
  <w:num w:numId="68" w16cid:durableId="153451780">
    <w:abstractNumId w:val="33"/>
  </w:num>
  <w:num w:numId="69" w16cid:durableId="992870640">
    <w:abstractNumId w:val="6"/>
  </w:num>
  <w:num w:numId="70" w16cid:durableId="741872074">
    <w:abstractNumId w:val="110"/>
  </w:num>
  <w:num w:numId="71" w16cid:durableId="1415085785">
    <w:abstractNumId w:val="39"/>
  </w:num>
  <w:num w:numId="72" w16cid:durableId="693044530">
    <w:abstractNumId w:val="139"/>
  </w:num>
  <w:num w:numId="73" w16cid:durableId="1255937570">
    <w:abstractNumId w:val="81"/>
  </w:num>
  <w:num w:numId="74" w16cid:durableId="1404839378">
    <w:abstractNumId w:val="56"/>
  </w:num>
  <w:num w:numId="75" w16cid:durableId="1953390234">
    <w:abstractNumId w:val="40"/>
  </w:num>
  <w:num w:numId="76" w16cid:durableId="1488206655">
    <w:abstractNumId w:val="8"/>
  </w:num>
  <w:num w:numId="77" w16cid:durableId="836186012">
    <w:abstractNumId w:val="58"/>
  </w:num>
  <w:num w:numId="78" w16cid:durableId="1139610330">
    <w:abstractNumId w:val="18"/>
  </w:num>
  <w:num w:numId="79" w16cid:durableId="1392192453">
    <w:abstractNumId w:val="77"/>
  </w:num>
  <w:num w:numId="80" w16cid:durableId="1703361393">
    <w:abstractNumId w:val="84"/>
  </w:num>
  <w:num w:numId="81" w16cid:durableId="769466585">
    <w:abstractNumId w:val="136"/>
  </w:num>
  <w:num w:numId="82" w16cid:durableId="253444700">
    <w:abstractNumId w:val="23"/>
  </w:num>
  <w:num w:numId="83" w16cid:durableId="2019308282">
    <w:abstractNumId w:val="49"/>
  </w:num>
  <w:num w:numId="84" w16cid:durableId="571309510">
    <w:abstractNumId w:val="72"/>
  </w:num>
  <w:num w:numId="85" w16cid:durableId="2071613680">
    <w:abstractNumId w:val="5"/>
  </w:num>
  <w:num w:numId="86" w16cid:durableId="1442451178">
    <w:abstractNumId w:val="68"/>
  </w:num>
  <w:num w:numId="87" w16cid:durableId="437792630">
    <w:abstractNumId w:val="11"/>
  </w:num>
  <w:num w:numId="88" w16cid:durableId="1245409840">
    <w:abstractNumId w:val="45"/>
  </w:num>
  <w:num w:numId="89" w16cid:durableId="1305281990">
    <w:abstractNumId w:val="46"/>
  </w:num>
  <w:num w:numId="90" w16cid:durableId="1280454646">
    <w:abstractNumId w:val="141"/>
  </w:num>
  <w:num w:numId="91" w16cid:durableId="483620152">
    <w:abstractNumId w:val="74"/>
  </w:num>
  <w:num w:numId="92" w16cid:durableId="1909807003">
    <w:abstractNumId w:val="2"/>
  </w:num>
  <w:num w:numId="93" w16cid:durableId="1076438809">
    <w:abstractNumId w:val="63"/>
  </w:num>
  <w:num w:numId="94" w16cid:durableId="1161040066">
    <w:abstractNumId w:val="54"/>
  </w:num>
  <w:num w:numId="95" w16cid:durableId="610360759">
    <w:abstractNumId w:val="90"/>
  </w:num>
  <w:num w:numId="96" w16cid:durableId="1058552493">
    <w:abstractNumId w:val="38"/>
  </w:num>
  <w:num w:numId="97" w16cid:durableId="1712148593">
    <w:abstractNumId w:val="120"/>
  </w:num>
  <w:num w:numId="98" w16cid:durableId="1549491258">
    <w:abstractNumId w:val="75"/>
  </w:num>
  <w:num w:numId="99" w16cid:durableId="529224431">
    <w:abstractNumId w:val="97"/>
  </w:num>
  <w:num w:numId="100" w16cid:durableId="1791706152">
    <w:abstractNumId w:val="31"/>
  </w:num>
  <w:num w:numId="101" w16cid:durableId="1998341025">
    <w:abstractNumId w:val="140"/>
  </w:num>
  <w:num w:numId="102" w16cid:durableId="632061925">
    <w:abstractNumId w:val="132"/>
  </w:num>
  <w:num w:numId="103" w16cid:durableId="608585800">
    <w:abstractNumId w:val="71"/>
  </w:num>
  <w:num w:numId="104" w16cid:durableId="324432474">
    <w:abstractNumId w:val="3"/>
  </w:num>
  <w:num w:numId="105" w16cid:durableId="932393580">
    <w:abstractNumId w:val="80"/>
  </w:num>
  <w:num w:numId="106" w16cid:durableId="436366204">
    <w:abstractNumId w:val="94"/>
  </w:num>
  <w:num w:numId="107" w16cid:durableId="1704164296">
    <w:abstractNumId w:val="102"/>
  </w:num>
  <w:num w:numId="108" w16cid:durableId="122892461">
    <w:abstractNumId w:val="59"/>
  </w:num>
  <w:num w:numId="109" w16cid:durableId="912156087">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398043805">
    <w:abstractNumId w:val="114"/>
  </w:num>
  <w:num w:numId="111" w16cid:durableId="194000163">
    <w:abstractNumId w:val="15"/>
  </w:num>
  <w:num w:numId="112" w16cid:durableId="982849942">
    <w:abstractNumId w:val="109"/>
  </w:num>
  <w:num w:numId="113" w16cid:durableId="1770587298">
    <w:abstractNumId w:val="41"/>
  </w:num>
  <w:num w:numId="114" w16cid:durableId="1262379242">
    <w:abstractNumId w:val="99"/>
  </w:num>
  <w:num w:numId="115" w16cid:durableId="1386099643">
    <w:abstractNumId w:val="73"/>
  </w:num>
  <w:num w:numId="116" w16cid:durableId="667366008">
    <w:abstractNumId w:val="64"/>
  </w:num>
  <w:num w:numId="117" w16cid:durableId="877203643">
    <w:abstractNumId w:val="89"/>
  </w:num>
  <w:num w:numId="118" w16cid:durableId="1686054478">
    <w:abstractNumId w:val="130"/>
  </w:num>
  <w:num w:numId="119" w16cid:durableId="534973766">
    <w:abstractNumId w:val="70"/>
  </w:num>
  <w:num w:numId="120" w16cid:durableId="254746680">
    <w:abstractNumId w:val="126"/>
  </w:num>
  <w:num w:numId="121" w16cid:durableId="238172488">
    <w:abstractNumId w:val="42"/>
  </w:num>
  <w:num w:numId="122" w16cid:durableId="1986927233">
    <w:abstractNumId w:val="134"/>
  </w:num>
  <w:num w:numId="123" w16cid:durableId="1948733033">
    <w:abstractNumId w:val="115"/>
  </w:num>
  <w:num w:numId="124" w16cid:durableId="1335035804">
    <w:abstractNumId w:val="87"/>
  </w:num>
  <w:num w:numId="125" w16cid:durableId="1344548436">
    <w:abstractNumId w:val="135"/>
  </w:num>
  <w:num w:numId="126" w16cid:durableId="813377965">
    <w:abstractNumId w:val="21"/>
  </w:num>
  <w:num w:numId="127" w16cid:durableId="760226228">
    <w:abstractNumId w:val="103"/>
  </w:num>
  <w:num w:numId="128" w16cid:durableId="886256146">
    <w:abstractNumId w:val="30"/>
  </w:num>
  <w:num w:numId="129" w16cid:durableId="1273365716">
    <w:abstractNumId w:val="36"/>
  </w:num>
  <w:num w:numId="130" w16cid:durableId="920527577">
    <w:abstractNumId w:val="34"/>
  </w:num>
  <w:num w:numId="131" w16cid:durableId="2094890270">
    <w:abstractNumId w:val="122"/>
  </w:num>
  <w:num w:numId="132" w16cid:durableId="1457142422">
    <w:abstractNumId w:val="116"/>
  </w:num>
  <w:num w:numId="133" w16cid:durableId="1999989600">
    <w:abstractNumId w:val="124"/>
  </w:num>
  <w:num w:numId="134" w16cid:durableId="1583904081">
    <w:abstractNumId w:val="121"/>
  </w:num>
  <w:num w:numId="135" w16cid:durableId="1419793131">
    <w:abstractNumId w:val="52"/>
  </w:num>
  <w:num w:numId="136" w16cid:durableId="249586851">
    <w:abstractNumId w:val="57"/>
  </w:num>
  <w:num w:numId="137" w16cid:durableId="1209143521">
    <w:abstractNumId w:val="24"/>
  </w:num>
  <w:num w:numId="138" w16cid:durableId="1030960955">
    <w:abstractNumId w:val="12"/>
  </w:num>
  <w:num w:numId="139" w16cid:durableId="1555501593">
    <w:abstractNumId w:val="78"/>
  </w:num>
  <w:num w:numId="140" w16cid:durableId="1728795100">
    <w:abstractNumId w:val="139"/>
  </w:num>
  <w:num w:numId="141" w16cid:durableId="640572088">
    <w:abstractNumId w:val="81"/>
  </w:num>
  <w:num w:numId="142" w16cid:durableId="530190797">
    <w:abstractNumId w:val="17"/>
  </w:num>
  <w:num w:numId="143" w16cid:durableId="335886748">
    <w:abstractNumId w:val="125"/>
  </w:num>
  <w:num w:numId="144" w16cid:durableId="389501516">
    <w:abstractNumId w:val="131"/>
  </w:num>
  <w:num w:numId="145" w16cid:durableId="545416674">
    <w:abstractNumId w:val="118"/>
  </w:num>
  <w:num w:numId="146" w16cid:durableId="1703751882">
    <w:abstractNumId w:val="101"/>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1DB"/>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1F"/>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67059"/>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5C1"/>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4E47"/>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1CCE"/>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64EC"/>
    <w:rsid w:val="001D76F9"/>
    <w:rsid w:val="001D7BC2"/>
    <w:rsid w:val="001D7DE5"/>
    <w:rsid w:val="001E14ED"/>
    <w:rsid w:val="001E1F63"/>
    <w:rsid w:val="001E263F"/>
    <w:rsid w:val="001E3A21"/>
    <w:rsid w:val="001E567B"/>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2F26"/>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044"/>
    <w:rsid w:val="002609A1"/>
    <w:rsid w:val="00260AAA"/>
    <w:rsid w:val="002619B4"/>
    <w:rsid w:val="002619E3"/>
    <w:rsid w:val="002636CD"/>
    <w:rsid w:val="00263706"/>
    <w:rsid w:val="00263A89"/>
    <w:rsid w:val="00263F14"/>
    <w:rsid w:val="00264F0F"/>
    <w:rsid w:val="002659D1"/>
    <w:rsid w:val="00266CC3"/>
    <w:rsid w:val="00266E93"/>
    <w:rsid w:val="00267133"/>
    <w:rsid w:val="00270370"/>
    <w:rsid w:val="002708A6"/>
    <w:rsid w:val="0027147F"/>
    <w:rsid w:val="00271E64"/>
    <w:rsid w:val="00274E2E"/>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1787"/>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00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17864"/>
    <w:rsid w:val="00422168"/>
    <w:rsid w:val="00422A36"/>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37351"/>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18"/>
    <w:rsid w:val="00481AC5"/>
    <w:rsid w:val="0048347A"/>
    <w:rsid w:val="00485A27"/>
    <w:rsid w:val="00485B44"/>
    <w:rsid w:val="00490036"/>
    <w:rsid w:val="00490172"/>
    <w:rsid w:val="00490676"/>
    <w:rsid w:val="00491ABB"/>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586A"/>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1F4"/>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6577"/>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D70"/>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C07"/>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41EF"/>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1EA3"/>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2C44"/>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1DC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6BBB"/>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45A"/>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21E"/>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7C4"/>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4E8"/>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47CD3"/>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22B"/>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9C1"/>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3695C"/>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3D8A"/>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617"/>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14A6"/>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C61"/>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5C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361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479"/>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61A5"/>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6842"/>
    <w:rsid w:val="00EC7C86"/>
    <w:rsid w:val="00ED0A3A"/>
    <w:rsid w:val="00ED0B54"/>
    <w:rsid w:val="00ED2382"/>
    <w:rsid w:val="00ED24FE"/>
    <w:rsid w:val="00ED3257"/>
    <w:rsid w:val="00ED3899"/>
    <w:rsid w:val="00ED4CFD"/>
    <w:rsid w:val="00ED60C4"/>
    <w:rsid w:val="00ED776F"/>
    <w:rsid w:val="00ED7ACA"/>
    <w:rsid w:val="00EE21F3"/>
    <w:rsid w:val="00EE2419"/>
    <w:rsid w:val="00EE2561"/>
    <w:rsid w:val="00EE25B1"/>
    <w:rsid w:val="00EE27BB"/>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E78"/>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0470"/>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332E096"/>
    <w:rsid w:val="06B07CD5"/>
    <w:rsid w:val="0A234A64"/>
    <w:rsid w:val="0C9409E9"/>
    <w:rsid w:val="12977538"/>
    <w:rsid w:val="18C15B8C"/>
    <w:rsid w:val="1B3A0AB8"/>
    <w:rsid w:val="1BA4401E"/>
    <w:rsid w:val="1D418632"/>
    <w:rsid w:val="26A4B3DF"/>
    <w:rsid w:val="2BAC6107"/>
    <w:rsid w:val="302DD45B"/>
    <w:rsid w:val="33F36E04"/>
    <w:rsid w:val="38686A72"/>
    <w:rsid w:val="3CCBD127"/>
    <w:rsid w:val="40978D82"/>
    <w:rsid w:val="424A645F"/>
    <w:rsid w:val="4594EE57"/>
    <w:rsid w:val="48500195"/>
    <w:rsid w:val="48518DD9"/>
    <w:rsid w:val="4EE4F0E6"/>
    <w:rsid w:val="5311F7A0"/>
    <w:rsid w:val="5E52F311"/>
    <w:rsid w:val="60B9D7D4"/>
    <w:rsid w:val="654B422A"/>
    <w:rsid w:val="68A62A74"/>
    <w:rsid w:val="693225F9"/>
    <w:rsid w:val="6DE637C9"/>
    <w:rsid w:val="6EE1422C"/>
    <w:rsid w:val="708FBA75"/>
    <w:rsid w:val="73249727"/>
    <w:rsid w:val="748F5ED5"/>
    <w:rsid w:val="749A8738"/>
    <w:rsid w:val="78237FD2"/>
    <w:rsid w:val="78258E68"/>
    <w:rsid w:val="7C65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D514A6"/>
    <w:pPr>
      <w:spacing w:after="240"/>
      <w:outlineLvl w:val="0"/>
    </w:pPr>
    <w:rPr>
      <w:rFonts w:ascii="Verdana" w:hAnsi="Verdana" w:cs="Arial"/>
      <w:b/>
      <w:color w:val="000000" w:themeColor="text1"/>
      <w:sz w:val="36"/>
      <w:szCs w:val="20"/>
    </w:rPr>
  </w:style>
  <w:style w:type="paragraph" w:styleId="Heading2">
    <w:name w:val="heading 2"/>
    <w:basedOn w:val="Normal"/>
    <w:next w:val="Normal"/>
    <w:qFormat/>
    <w:rsid w:val="00BB59C1"/>
    <w:pPr>
      <w:keepNext/>
      <w:spacing w:before="240" w:after="60"/>
      <w:outlineLvl w:val="1"/>
    </w:pPr>
    <w:rPr>
      <w:rFonts w:ascii="Verdana" w:hAnsi="Verdana" w:cs="Arial"/>
      <w:b/>
      <w:bCs/>
      <w:iCs/>
      <w:color w:val="000000" w:themeColor="text1"/>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D514A6"/>
    <w:rPr>
      <w:rFonts w:ascii="Verdana" w:hAnsi="Verdana" w:cs="Arial"/>
      <w:b/>
      <w:color w:val="000000" w:themeColor="text1"/>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 w:type="character" w:styleId="Mention">
    <w:name w:val="Mention"/>
    <w:basedOn w:val="DefaultParagraphFont"/>
    <w:uiPriority w:val="99"/>
    <w:unhideWhenUsed/>
    <w:rsid w:val="003500B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F379A-AAAF-42CD-91D7-8E1C28A1DB21}">
  <ds:schemaRefs>
    <ds:schemaRef ds:uri="http://schemas.microsoft.com/office/2006/documentManagement/types"/>
    <ds:schemaRef ds:uri="89dc5ef0-1810-41f1-9388-914db552e87d"/>
    <ds:schemaRef ds:uri="810b087e-e63c-4859-ac56-9c3d955541ca"/>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16DE9E82-5069-42FC-99D4-88E098B7B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2035</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8</cp:revision>
  <dcterms:created xsi:type="dcterms:W3CDTF">2025-07-08T13:40:00Z</dcterms:created>
  <dcterms:modified xsi:type="dcterms:W3CDTF">2025-07-08T13:48:00Z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