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684F" w14:textId="5152925C" w:rsidR="00524CDD" w:rsidRDefault="008976F4" w:rsidP="001874F5">
      <w:pPr>
        <w:pStyle w:val="Heading1"/>
        <w:rPr>
          <w:rFonts w:ascii="Verdana" w:hAnsi="Verdana"/>
          <w:bCs/>
          <w:color w:val="auto"/>
          <w:sz w:val="36"/>
          <w:szCs w:val="36"/>
        </w:rPr>
      </w:pPr>
      <w:bookmarkStart w:id="0" w:name="_OneSource_Glossary_of"/>
      <w:bookmarkStart w:id="1" w:name="_Customer_Care_Abbreviations,"/>
      <w:bookmarkStart w:id="2" w:name="_top"/>
      <w:bookmarkEnd w:id="0"/>
      <w:bookmarkEnd w:id="1"/>
      <w:bookmarkEnd w:id="2"/>
      <w:r w:rsidRPr="00CC4BFE">
        <w:rPr>
          <w:rFonts w:ascii="Verdana" w:hAnsi="Verdana"/>
          <w:bCs/>
          <w:color w:val="auto"/>
          <w:sz w:val="36"/>
          <w:szCs w:val="36"/>
        </w:rPr>
        <w:t>Customer Care Abbreviati</w:t>
      </w:r>
      <w:r w:rsidR="005D266A" w:rsidRPr="00CC4BFE">
        <w:rPr>
          <w:rFonts w:ascii="Verdana" w:hAnsi="Verdana"/>
          <w:bCs/>
          <w:color w:val="auto"/>
          <w:sz w:val="36"/>
          <w:szCs w:val="36"/>
        </w:rPr>
        <w:t>ons</w:t>
      </w:r>
      <w:r w:rsidR="00CC4BFE">
        <w:rPr>
          <w:rFonts w:ascii="Verdana" w:hAnsi="Verdana"/>
          <w:bCs/>
          <w:color w:val="auto"/>
          <w:sz w:val="36"/>
          <w:szCs w:val="36"/>
        </w:rPr>
        <w:t xml:space="preserve">, </w:t>
      </w:r>
      <w:r w:rsidR="005D266A" w:rsidRPr="00CC4BFE">
        <w:rPr>
          <w:rFonts w:ascii="Verdana" w:hAnsi="Verdana"/>
          <w:bCs/>
          <w:color w:val="auto"/>
          <w:sz w:val="36"/>
          <w:szCs w:val="36"/>
        </w:rPr>
        <w:t>Definitions</w:t>
      </w:r>
      <w:r w:rsidR="00CC4BFE">
        <w:rPr>
          <w:rFonts w:ascii="Verdana" w:hAnsi="Verdana"/>
          <w:bCs/>
          <w:color w:val="auto"/>
          <w:sz w:val="36"/>
          <w:szCs w:val="36"/>
        </w:rPr>
        <w:t xml:space="preserve"> and Terms</w:t>
      </w:r>
      <w:r w:rsidR="002F06C9">
        <w:rPr>
          <w:rFonts w:ascii="Verdana" w:hAnsi="Verdana"/>
          <w:bCs/>
          <w:color w:val="auto"/>
          <w:sz w:val="36"/>
          <w:szCs w:val="36"/>
        </w:rPr>
        <w:t xml:space="preserve"> </w:t>
      </w:r>
      <w:r w:rsidR="0083459A">
        <w:rPr>
          <w:rFonts w:ascii="Verdana" w:hAnsi="Verdana"/>
          <w:bCs/>
          <w:color w:val="auto"/>
          <w:sz w:val="36"/>
          <w:szCs w:val="36"/>
        </w:rPr>
        <w:t xml:space="preserve">– M </w:t>
      </w:r>
    </w:p>
    <w:p w14:paraId="67C5B37A" w14:textId="26834A48" w:rsidR="008C71BE" w:rsidRDefault="008C71BE" w:rsidP="008C71BE">
      <w:pPr>
        <w:pStyle w:val="Heading4"/>
      </w:pPr>
    </w:p>
    <w:p w14:paraId="15C56268" w14:textId="4408A00D" w:rsidR="008C71BE" w:rsidRPr="008C71BE" w:rsidRDefault="008C71BE" w:rsidP="008C71BE">
      <w:pPr>
        <w:spacing w:before="120" w:after="120"/>
        <w:rPr>
          <w:rFonts w:ascii="Verdana" w:hAnsi="Verdana"/>
          <w:b/>
          <w:bCs/>
        </w:rPr>
      </w:pPr>
      <w:r w:rsidRPr="008C71BE">
        <w:rPr>
          <w:rFonts w:ascii="Verdana" w:hAnsi="Verdana"/>
          <w:b/>
          <w:bCs/>
        </w:rPr>
        <w:t>Each Alpha section will have two separate tables:</w:t>
      </w:r>
      <w:r w:rsidR="008717D1">
        <w:rPr>
          <w:rFonts w:ascii="Verdana" w:hAnsi="Verdana"/>
          <w:b/>
          <w:bCs/>
        </w:rPr>
        <w:t xml:space="preserve">  </w:t>
      </w:r>
    </w:p>
    <w:p w14:paraId="38E0AB9F" w14:textId="26D70EF7" w:rsidR="008C71BE" w:rsidRPr="00451F73" w:rsidRDefault="008C71BE" w:rsidP="008C71BE">
      <w:pPr>
        <w:pStyle w:val="ListParagraph"/>
        <w:numPr>
          <w:ilvl w:val="0"/>
          <w:numId w:val="144"/>
        </w:numPr>
        <w:spacing w:before="120" w:after="240"/>
        <w:rPr>
          <w:rFonts w:ascii="Verdana" w:hAnsi="Verdana"/>
          <w:sz w:val="24"/>
          <w:szCs w:val="24"/>
        </w:rPr>
      </w:pPr>
      <w:r w:rsidRPr="00451F73">
        <w:rPr>
          <w:rFonts w:ascii="Verdana" w:hAnsi="Verdana"/>
          <w:sz w:val="24"/>
          <w:szCs w:val="24"/>
        </w:rPr>
        <w:t>Abbreviation, Term and Definition</w:t>
      </w:r>
    </w:p>
    <w:p w14:paraId="2365EAE1" w14:textId="77777777" w:rsidR="008C71BE" w:rsidRPr="00451F73" w:rsidRDefault="008C71BE" w:rsidP="008C71BE">
      <w:pPr>
        <w:pStyle w:val="ListParagraph"/>
        <w:spacing w:before="120" w:after="240"/>
        <w:rPr>
          <w:rFonts w:ascii="Verdana" w:hAnsi="Verdana"/>
          <w:sz w:val="10"/>
          <w:szCs w:val="10"/>
        </w:rPr>
      </w:pPr>
    </w:p>
    <w:p w14:paraId="66B941AF" w14:textId="2915BF2B" w:rsidR="008C71BE" w:rsidRPr="00451F73" w:rsidRDefault="008C71BE" w:rsidP="008C71BE">
      <w:pPr>
        <w:pStyle w:val="ListParagraph"/>
        <w:numPr>
          <w:ilvl w:val="0"/>
          <w:numId w:val="144"/>
        </w:numPr>
        <w:spacing w:before="240" w:after="120"/>
        <w:rPr>
          <w:rFonts w:ascii="Verdana" w:hAnsi="Verdana"/>
          <w:sz w:val="24"/>
          <w:szCs w:val="24"/>
        </w:rPr>
      </w:pPr>
      <w:r w:rsidRPr="00451F73">
        <w:rPr>
          <w:rFonts w:ascii="Verdana" w:hAnsi="Verdana"/>
          <w:sz w:val="24"/>
          <w:szCs w:val="24"/>
        </w:rPr>
        <w:t>Term and Definition</w:t>
      </w:r>
    </w:p>
    <w:p w14:paraId="42539DAD" w14:textId="1CE7AF0B" w:rsidR="008C71BE" w:rsidRDefault="008C71BE" w:rsidP="008C71BE">
      <w:pPr>
        <w:rPr>
          <w:rFonts w:ascii="Verdana" w:hAnsi="Verdana"/>
        </w:rPr>
      </w:pPr>
    </w:p>
    <w:p w14:paraId="7F330233" w14:textId="283F07C3" w:rsidR="008C71BE" w:rsidRDefault="008C71BE" w:rsidP="008C71BE">
      <w:pPr>
        <w:rPr>
          <w:rFonts w:ascii="Verdana" w:hAnsi="Verdana"/>
        </w:rPr>
      </w:pPr>
      <w:r w:rsidRPr="008C71BE">
        <w:rPr>
          <w:rFonts w:ascii="Verdana" w:hAnsi="Verdana"/>
          <w:b/>
          <w:bCs/>
        </w:rPr>
        <w:t>Note:</w:t>
      </w:r>
      <w:r>
        <w:rPr>
          <w:rFonts w:ascii="Verdana" w:hAnsi="Verdana"/>
        </w:rPr>
        <w:t xml:space="preserve">  Terms are not duplicated in both lists.</w:t>
      </w:r>
    </w:p>
    <w:p w14:paraId="151992BE" w14:textId="111F40C4" w:rsidR="008C71BE" w:rsidRDefault="008C71BE" w:rsidP="008C71BE">
      <w:pPr>
        <w:rPr>
          <w:rFonts w:ascii="Verdana" w:hAnsi="Verdana"/>
        </w:rPr>
      </w:pPr>
    </w:p>
    <w:p w14:paraId="5C6A83F7" w14:textId="735BE116" w:rsidR="0090482D" w:rsidRPr="008C71BE" w:rsidRDefault="008C71BE" w:rsidP="008C71BE">
      <w:pPr>
        <w:rPr>
          <w:rFonts w:ascii="Verdana" w:hAnsi="Verdana"/>
        </w:rPr>
      </w:pPr>
      <w:r w:rsidRPr="008C71BE">
        <w:rPr>
          <w:rFonts w:ascii="Verdana" w:hAnsi="Verdana"/>
          <w:b/>
          <w:bCs/>
        </w:rPr>
        <w:t>Quicker Search Results:</w:t>
      </w:r>
      <w:r w:rsidRPr="008C71BE">
        <w:rPr>
          <w:rFonts w:ascii="Verdana" w:hAnsi="Verdana"/>
        </w:rPr>
        <w:t xml:space="preserve">  Depress </w:t>
      </w:r>
      <w:r w:rsidRPr="008C71BE">
        <w:rPr>
          <w:rFonts w:ascii="Verdana" w:hAnsi="Verdana"/>
          <w:b/>
          <w:bCs/>
        </w:rPr>
        <w:t>Ctrl + F</w:t>
      </w:r>
      <w:r w:rsidRPr="008C71BE">
        <w:rPr>
          <w:rFonts w:ascii="Verdana" w:hAnsi="Verdana"/>
        </w:rPr>
        <w:t xml:space="preserve"> </w:t>
      </w:r>
      <w:r w:rsidRPr="008C71BE">
        <w:rPr>
          <w:rFonts w:ascii="Verdana" w:hAnsi="Verdana"/>
          <w:b/>
        </w:rPr>
        <w:t xml:space="preserve"> </w:t>
      </w:r>
      <w:r w:rsidRPr="008C71BE">
        <w:rPr>
          <w:rFonts w:ascii="Arial" w:hAnsi="Arial" w:cs="Arial"/>
          <w:b/>
        </w:rPr>
        <w:t>→</w:t>
      </w:r>
      <w:r w:rsidRPr="008C71BE">
        <w:rPr>
          <w:rFonts w:ascii="Verdana" w:hAnsi="Verdana"/>
          <w:b/>
        </w:rPr>
        <w:t xml:space="preserve"> </w:t>
      </w:r>
      <w:r w:rsidRPr="008C71BE">
        <w:rPr>
          <w:rFonts w:ascii="Verdana" w:hAnsi="Verdana"/>
          <w:bCs/>
        </w:rPr>
        <w:t>Type</w:t>
      </w:r>
      <w:r w:rsidRPr="008C71BE">
        <w:rPr>
          <w:rFonts w:ascii="Verdana" w:hAnsi="Verdana"/>
          <w:b/>
        </w:rPr>
        <w:t xml:space="preserve"> </w:t>
      </w:r>
      <w:r w:rsidRPr="008C71BE">
        <w:rPr>
          <w:rFonts w:ascii="Verdana" w:hAnsi="Verdana"/>
        </w:rPr>
        <w:t xml:space="preserve">in Keyword </w:t>
      </w:r>
      <w:r w:rsidRPr="008C71BE">
        <w:rPr>
          <w:rFonts w:ascii="Verdana" w:hAnsi="Verdana"/>
          <w:b/>
        </w:rPr>
        <w:t xml:space="preserve"> </w:t>
      </w:r>
      <w:r w:rsidRPr="008C71BE">
        <w:rPr>
          <w:rFonts w:ascii="Arial" w:hAnsi="Arial" w:cs="Arial"/>
          <w:b/>
        </w:rPr>
        <w:t>→</w:t>
      </w:r>
      <w:r w:rsidRPr="008C71BE">
        <w:rPr>
          <w:rFonts w:ascii="Verdana" w:hAnsi="Verdana"/>
          <w:b/>
        </w:rPr>
        <w:t xml:space="preserve"> </w:t>
      </w:r>
      <w:r w:rsidRPr="008C71BE">
        <w:rPr>
          <w:rFonts w:ascii="Verdana" w:hAnsi="Verdana"/>
          <w:bCs/>
        </w:rPr>
        <w:t>Click</w:t>
      </w:r>
      <w:r w:rsidRPr="008C71BE">
        <w:rPr>
          <w:rFonts w:ascii="Verdana" w:hAnsi="Verdana"/>
          <w:b/>
        </w:rPr>
        <w:t xml:space="preserve"> Find Next</w:t>
      </w:r>
    </w:p>
    <w:p w14:paraId="7D55850D" w14:textId="77777777" w:rsidR="00F25025" w:rsidRDefault="00F25025" w:rsidP="00F15AAE">
      <w:pPr>
        <w:jc w:val="both"/>
        <w:rPr>
          <w:rFonts w:ascii="Verdana" w:hAnsi="Verdana"/>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3"/>
        <w:gridCol w:w="2562"/>
        <w:gridCol w:w="8445"/>
      </w:tblGrid>
      <w:tr w:rsidR="009C33EF" w:rsidRPr="004E00B6" w14:paraId="3F1F73AA" w14:textId="77777777" w:rsidTr="008338FB">
        <w:tc>
          <w:tcPr>
            <w:tcW w:w="745" w:type="pct"/>
            <w:shd w:val="clear" w:color="auto" w:fill="BFBFBF" w:themeFill="background1" w:themeFillShade="BF"/>
            <w:vAlign w:val="center"/>
          </w:tcPr>
          <w:p w14:paraId="3FDF56C6" w14:textId="0E79CC40" w:rsidR="0083459A" w:rsidRDefault="0083459A" w:rsidP="000431DA">
            <w:pPr>
              <w:spacing w:before="120" w:after="120"/>
              <w:jc w:val="center"/>
              <w:rPr>
                <w:rFonts w:ascii="Verdana" w:hAnsi="Verdana"/>
                <w:b/>
                <w:color w:val="000000"/>
              </w:rPr>
            </w:pPr>
            <w:bookmarkStart w:id="3" w:name="_A_1"/>
            <w:bookmarkEnd w:id="3"/>
            <w:r>
              <w:rPr>
                <w:rFonts w:ascii="Verdana" w:hAnsi="Verdana"/>
                <w:b/>
                <w:color w:val="000000"/>
              </w:rPr>
              <w:t>Abbreviation</w:t>
            </w:r>
          </w:p>
        </w:tc>
        <w:tc>
          <w:tcPr>
            <w:tcW w:w="992" w:type="pct"/>
            <w:shd w:val="clear" w:color="auto" w:fill="BFBFBF" w:themeFill="background1" w:themeFillShade="BF"/>
            <w:vAlign w:val="center"/>
          </w:tcPr>
          <w:p w14:paraId="7610B767" w14:textId="759AE54E" w:rsidR="0083459A" w:rsidRPr="0083459A" w:rsidRDefault="0083459A" w:rsidP="00FF6F12">
            <w:pPr>
              <w:spacing w:before="120" w:after="120"/>
              <w:jc w:val="center"/>
              <w:rPr>
                <w:rFonts w:ascii="Verdana" w:hAnsi="Verdana" w:cs="Arial"/>
                <w:b/>
                <w:bCs/>
              </w:rPr>
            </w:pPr>
            <w:r>
              <w:rPr>
                <w:rFonts w:ascii="Verdana" w:hAnsi="Verdana" w:cs="Arial"/>
                <w:b/>
                <w:bCs/>
              </w:rPr>
              <w:t>Term</w:t>
            </w:r>
          </w:p>
        </w:tc>
        <w:tc>
          <w:tcPr>
            <w:tcW w:w="3263" w:type="pct"/>
            <w:shd w:val="clear" w:color="auto" w:fill="BFBFBF" w:themeFill="background1" w:themeFillShade="BF"/>
            <w:vAlign w:val="center"/>
          </w:tcPr>
          <w:p w14:paraId="7A58E393" w14:textId="095C244A" w:rsidR="0083459A" w:rsidRPr="0083459A" w:rsidRDefault="0083459A" w:rsidP="000431DA">
            <w:pPr>
              <w:spacing w:before="120" w:after="120"/>
              <w:jc w:val="center"/>
              <w:rPr>
                <w:rFonts w:ascii="Verdana" w:hAnsi="Verdana" w:cs="Arial"/>
                <w:b/>
                <w:bCs/>
              </w:rPr>
            </w:pPr>
            <w:r>
              <w:rPr>
                <w:rFonts w:ascii="Verdana" w:hAnsi="Verdana" w:cs="Arial"/>
                <w:b/>
                <w:bCs/>
              </w:rPr>
              <w:t>Definition</w:t>
            </w:r>
          </w:p>
        </w:tc>
      </w:tr>
      <w:tr w:rsidR="009C33EF" w:rsidRPr="004E00B6" w14:paraId="1331A9FE" w14:textId="77777777" w:rsidTr="008338FB">
        <w:tc>
          <w:tcPr>
            <w:tcW w:w="745" w:type="pct"/>
          </w:tcPr>
          <w:p w14:paraId="57BB69E0" w14:textId="6DE333A6" w:rsidR="00F655F6" w:rsidRPr="00F4531F" w:rsidRDefault="00CE205A" w:rsidP="000431DA">
            <w:pPr>
              <w:spacing w:before="120" w:after="120"/>
              <w:jc w:val="center"/>
              <w:rPr>
                <w:rFonts w:ascii="Verdana" w:hAnsi="Verdana"/>
                <w:b/>
                <w:color w:val="000000"/>
              </w:rPr>
            </w:pPr>
            <w:r>
              <w:rPr>
                <w:rFonts w:ascii="Verdana" w:hAnsi="Verdana"/>
                <w:b/>
                <w:color w:val="000000"/>
              </w:rPr>
              <w:t xml:space="preserve"> </w:t>
            </w:r>
            <w:r w:rsidR="00F655F6">
              <w:rPr>
                <w:rFonts w:ascii="Verdana" w:hAnsi="Verdana"/>
                <w:b/>
                <w:color w:val="000000"/>
              </w:rPr>
              <w:t>M1</w:t>
            </w:r>
          </w:p>
        </w:tc>
        <w:tc>
          <w:tcPr>
            <w:tcW w:w="992" w:type="pct"/>
          </w:tcPr>
          <w:p w14:paraId="4BD9A006" w14:textId="77777777" w:rsidR="00F655F6" w:rsidRPr="004E00B6" w:rsidRDefault="00F655F6" w:rsidP="000431DA">
            <w:pPr>
              <w:spacing w:before="120" w:after="120"/>
              <w:rPr>
                <w:rFonts w:ascii="Verdana" w:hAnsi="Verdana" w:cs="Arial"/>
              </w:rPr>
            </w:pPr>
            <w:r>
              <w:rPr>
                <w:rFonts w:ascii="Verdana" w:hAnsi="Verdana" w:cs="Arial"/>
              </w:rPr>
              <w:t>Initial Physician Letter</w:t>
            </w:r>
          </w:p>
        </w:tc>
        <w:tc>
          <w:tcPr>
            <w:tcW w:w="3263" w:type="pct"/>
          </w:tcPr>
          <w:p w14:paraId="76DCE45D" w14:textId="64AB2489" w:rsidR="00F655F6" w:rsidRPr="004E00B6" w:rsidRDefault="008F585C" w:rsidP="000431DA">
            <w:pPr>
              <w:spacing w:before="120" w:after="120"/>
              <w:rPr>
                <w:rFonts w:ascii="Verdana" w:hAnsi="Verdana" w:cs="Arial"/>
              </w:rPr>
            </w:pPr>
            <w:r>
              <w:rPr>
                <w:rFonts w:ascii="Verdana" w:hAnsi="Verdana" w:cs="Arial"/>
              </w:rPr>
              <w:t>First letter to physician</w:t>
            </w:r>
            <w:r w:rsidR="00CE205A">
              <w:rPr>
                <w:rFonts w:ascii="Verdana" w:hAnsi="Verdana" w:cs="Arial"/>
              </w:rPr>
              <w:t>.</w:t>
            </w:r>
          </w:p>
        </w:tc>
      </w:tr>
      <w:tr w:rsidR="009C33EF" w:rsidRPr="004E00B6" w14:paraId="5B425579" w14:textId="77777777" w:rsidTr="008338FB">
        <w:tc>
          <w:tcPr>
            <w:tcW w:w="745" w:type="pct"/>
          </w:tcPr>
          <w:p w14:paraId="56EAAF75" w14:textId="1A2FB08E" w:rsidR="00F655F6" w:rsidRPr="00F4531F" w:rsidRDefault="00F655F6" w:rsidP="000431DA">
            <w:pPr>
              <w:spacing w:before="120" w:after="120"/>
              <w:jc w:val="center"/>
              <w:rPr>
                <w:rFonts w:ascii="Verdana" w:hAnsi="Verdana"/>
                <w:b/>
                <w:color w:val="000000"/>
              </w:rPr>
            </w:pPr>
            <w:r>
              <w:rPr>
                <w:rFonts w:ascii="Verdana" w:hAnsi="Verdana"/>
                <w:b/>
                <w:color w:val="000000"/>
              </w:rPr>
              <w:t>M2</w:t>
            </w:r>
            <w:r>
              <w:rPr>
                <w:noProof/>
              </w:rPr>
              <w:t xml:space="preserve"> </w:t>
            </w:r>
          </w:p>
        </w:tc>
        <w:tc>
          <w:tcPr>
            <w:tcW w:w="992" w:type="pct"/>
          </w:tcPr>
          <w:p w14:paraId="045A0156" w14:textId="77777777" w:rsidR="00F655F6" w:rsidRPr="004E00B6" w:rsidRDefault="00F655F6" w:rsidP="000431DA">
            <w:pPr>
              <w:spacing w:before="120" w:after="120"/>
              <w:rPr>
                <w:rFonts w:ascii="Verdana" w:hAnsi="Verdana" w:cs="Arial"/>
              </w:rPr>
            </w:pPr>
            <w:r>
              <w:rPr>
                <w:rFonts w:ascii="Verdana" w:hAnsi="Verdana" w:cs="Arial"/>
              </w:rPr>
              <w:t>Follow Up Physician Letter</w:t>
            </w:r>
          </w:p>
        </w:tc>
        <w:tc>
          <w:tcPr>
            <w:tcW w:w="3263" w:type="pct"/>
          </w:tcPr>
          <w:p w14:paraId="0BF1EDF4" w14:textId="2BF5B2C9" w:rsidR="00F655F6" w:rsidRPr="004E00B6" w:rsidRDefault="008F585C" w:rsidP="000431DA">
            <w:pPr>
              <w:spacing w:before="120" w:after="120"/>
              <w:rPr>
                <w:rFonts w:ascii="Verdana" w:hAnsi="Verdana" w:cs="Arial"/>
              </w:rPr>
            </w:pPr>
            <w:r>
              <w:rPr>
                <w:rFonts w:ascii="Verdana" w:hAnsi="Verdana" w:cs="Arial"/>
              </w:rPr>
              <w:t>Second letter to physician</w:t>
            </w:r>
            <w:r w:rsidR="00CE205A">
              <w:rPr>
                <w:rFonts w:ascii="Verdana" w:hAnsi="Verdana" w:cs="Arial"/>
              </w:rPr>
              <w:t>.</w:t>
            </w:r>
          </w:p>
        </w:tc>
      </w:tr>
      <w:tr w:rsidR="009C33EF" w:rsidRPr="004E00B6" w14:paraId="25D38953" w14:textId="77777777" w:rsidTr="008338FB">
        <w:tc>
          <w:tcPr>
            <w:tcW w:w="745" w:type="pct"/>
          </w:tcPr>
          <w:p w14:paraId="1AD5E6C4" w14:textId="77777777" w:rsidR="00F655F6" w:rsidRPr="00F4531F" w:rsidRDefault="00F655F6" w:rsidP="000431DA">
            <w:pPr>
              <w:spacing w:before="120" w:after="120"/>
              <w:jc w:val="center"/>
              <w:rPr>
                <w:rFonts w:ascii="Verdana" w:hAnsi="Verdana"/>
                <w:b/>
                <w:color w:val="000000"/>
              </w:rPr>
            </w:pPr>
            <w:r w:rsidRPr="00F4531F">
              <w:rPr>
                <w:rFonts w:ascii="Verdana" w:hAnsi="Verdana"/>
                <w:b/>
                <w:color w:val="000000"/>
              </w:rPr>
              <w:t>M/R</w:t>
            </w:r>
          </w:p>
        </w:tc>
        <w:tc>
          <w:tcPr>
            <w:tcW w:w="992" w:type="pct"/>
          </w:tcPr>
          <w:p w14:paraId="4E8A8881" w14:textId="3EB14729" w:rsidR="00F655F6" w:rsidRPr="004E00B6" w:rsidRDefault="00F655F6" w:rsidP="000431DA">
            <w:pPr>
              <w:spacing w:before="120" w:after="120"/>
              <w:rPr>
                <w:rFonts w:ascii="Verdana" w:hAnsi="Verdana" w:cs="Arial"/>
              </w:rPr>
            </w:pPr>
            <w:r w:rsidRPr="004E00B6">
              <w:rPr>
                <w:rFonts w:ascii="Verdana" w:hAnsi="Verdana" w:cs="Arial"/>
              </w:rPr>
              <w:t>Mail Room</w:t>
            </w:r>
          </w:p>
        </w:tc>
        <w:tc>
          <w:tcPr>
            <w:tcW w:w="3263" w:type="pct"/>
          </w:tcPr>
          <w:p w14:paraId="33A3968E" w14:textId="77777777" w:rsidR="00F655F6" w:rsidRPr="004E00B6" w:rsidRDefault="00F655F6" w:rsidP="000431DA">
            <w:pPr>
              <w:spacing w:before="120" w:after="120"/>
              <w:rPr>
                <w:rFonts w:ascii="Verdana" w:hAnsi="Verdana" w:cs="Arial"/>
              </w:rPr>
            </w:pPr>
            <w:r w:rsidRPr="004E00B6">
              <w:rPr>
                <w:rFonts w:ascii="Verdana" w:hAnsi="Verdana" w:cs="Arial"/>
              </w:rPr>
              <w:t>The area in which postal goods are received.</w:t>
            </w:r>
          </w:p>
        </w:tc>
      </w:tr>
      <w:tr w:rsidR="009C33EF" w:rsidRPr="004E00B6" w14:paraId="66997F83" w14:textId="77777777" w:rsidTr="008338FB">
        <w:tc>
          <w:tcPr>
            <w:tcW w:w="745" w:type="pct"/>
            <w:vMerge w:val="restart"/>
          </w:tcPr>
          <w:p w14:paraId="3F47F06C" w14:textId="2539576E" w:rsidR="00F655F6" w:rsidRPr="00F4531F" w:rsidRDefault="00F655F6" w:rsidP="000431DA">
            <w:pPr>
              <w:spacing w:before="120" w:after="120"/>
              <w:jc w:val="center"/>
              <w:rPr>
                <w:rFonts w:ascii="Verdana" w:hAnsi="Verdana"/>
                <w:b/>
                <w:color w:val="000000"/>
              </w:rPr>
            </w:pPr>
            <w:r w:rsidRPr="00F4531F">
              <w:rPr>
                <w:rFonts w:ascii="Verdana" w:hAnsi="Verdana"/>
                <w:b/>
                <w:color w:val="000000"/>
              </w:rPr>
              <w:t>MA</w:t>
            </w:r>
          </w:p>
        </w:tc>
        <w:tc>
          <w:tcPr>
            <w:tcW w:w="992" w:type="pct"/>
          </w:tcPr>
          <w:p w14:paraId="1DC314EA" w14:textId="11D69E0A" w:rsidR="00F655F6" w:rsidRPr="004E00B6" w:rsidRDefault="00F655F6" w:rsidP="000431DA">
            <w:pPr>
              <w:spacing w:before="120" w:after="120"/>
              <w:rPr>
                <w:rFonts w:ascii="Verdana" w:hAnsi="Verdana" w:cs="Arial"/>
              </w:rPr>
            </w:pPr>
            <w:r w:rsidRPr="004E00B6">
              <w:rPr>
                <w:rFonts w:ascii="Verdana" w:hAnsi="Verdana" w:cs="Arial"/>
              </w:rPr>
              <w:t xml:space="preserve">Managed Access or </w:t>
            </w:r>
            <w:r w:rsidRPr="004E00B6">
              <w:rPr>
                <w:rFonts w:ascii="Verdana" w:hAnsi="Verdana" w:cs="Courier New"/>
              </w:rPr>
              <w:t>Medical Assistant</w:t>
            </w:r>
          </w:p>
        </w:tc>
        <w:tc>
          <w:tcPr>
            <w:tcW w:w="3263" w:type="pct"/>
          </w:tcPr>
          <w:p w14:paraId="600623D5" w14:textId="6AAA4469" w:rsidR="00F655F6" w:rsidRPr="004E00B6" w:rsidRDefault="00F655F6" w:rsidP="000431DA">
            <w:pPr>
              <w:spacing w:before="120" w:after="120"/>
              <w:rPr>
                <w:rFonts w:ascii="Verdana" w:hAnsi="Verdana" w:cs="Arial"/>
              </w:rPr>
            </w:pPr>
            <w:r w:rsidRPr="004E00B6">
              <w:rPr>
                <w:rFonts w:ascii="Verdana" w:hAnsi="Verdana" w:cs="Arial"/>
              </w:rPr>
              <w:t>Prior authorization loaded to Tandem for recap clients</w:t>
            </w:r>
            <w:r w:rsidR="00124EA6" w:rsidRPr="004E00B6">
              <w:rPr>
                <w:rFonts w:ascii="Verdana" w:hAnsi="Verdana" w:cs="Arial"/>
              </w:rPr>
              <w:t xml:space="preserve">. </w:t>
            </w:r>
          </w:p>
        </w:tc>
      </w:tr>
      <w:tr w:rsidR="009C33EF" w:rsidRPr="004E00B6" w14:paraId="3666B083" w14:textId="77777777" w:rsidTr="008338FB">
        <w:tc>
          <w:tcPr>
            <w:tcW w:w="745" w:type="pct"/>
            <w:vMerge/>
          </w:tcPr>
          <w:p w14:paraId="29BDBC54" w14:textId="77777777" w:rsidR="00F655F6" w:rsidRPr="00F4531F" w:rsidRDefault="00F655F6" w:rsidP="000431DA">
            <w:pPr>
              <w:spacing w:before="120" w:after="120"/>
              <w:jc w:val="center"/>
              <w:rPr>
                <w:rFonts w:ascii="Verdana" w:hAnsi="Verdana"/>
                <w:b/>
                <w:color w:val="000000"/>
              </w:rPr>
            </w:pPr>
          </w:p>
        </w:tc>
        <w:tc>
          <w:tcPr>
            <w:tcW w:w="992" w:type="pct"/>
          </w:tcPr>
          <w:p w14:paraId="6EEEA007" w14:textId="77777777" w:rsidR="00F655F6" w:rsidRPr="00AC2505" w:rsidRDefault="00F655F6" w:rsidP="000431DA">
            <w:pPr>
              <w:spacing w:before="120" w:after="120"/>
              <w:rPr>
                <w:noProof/>
              </w:rPr>
            </w:pPr>
            <w:r w:rsidRPr="00AC2505">
              <w:rPr>
                <w:noProof/>
              </w:rPr>
              <w:t xml:space="preserve"> </w:t>
            </w:r>
          </w:p>
          <w:p w14:paraId="2B4244A7" w14:textId="15EDEDB2" w:rsidR="00F655F6" w:rsidRPr="00AC2505" w:rsidRDefault="00F655F6" w:rsidP="000431DA">
            <w:pPr>
              <w:spacing w:before="120" w:after="120"/>
              <w:rPr>
                <w:rFonts w:ascii="Verdana" w:hAnsi="Verdana" w:cs="Arial"/>
              </w:rPr>
            </w:pPr>
            <w:r w:rsidRPr="00AC2505">
              <w:rPr>
                <w:rFonts w:ascii="Verdana" w:hAnsi="Verdana" w:cs="Arial"/>
              </w:rPr>
              <w:t>Medicare Advantage</w:t>
            </w:r>
          </w:p>
        </w:tc>
        <w:tc>
          <w:tcPr>
            <w:tcW w:w="3263" w:type="pct"/>
          </w:tcPr>
          <w:p w14:paraId="285094BC" w14:textId="46523FB3" w:rsidR="00F655F6" w:rsidRPr="00AC2505" w:rsidRDefault="000650AC" w:rsidP="000431DA">
            <w:pPr>
              <w:spacing w:before="120" w:after="120"/>
              <w:rPr>
                <w:rFonts w:ascii="Verdana" w:hAnsi="Verdana" w:cs="Arial"/>
              </w:rPr>
            </w:pPr>
            <w:r w:rsidRPr="00AC2505">
              <w:rPr>
                <w:rFonts w:ascii="Verdana" w:hAnsi="Verdana"/>
              </w:rPr>
              <w:t xml:space="preserve">Sometimes called </w:t>
            </w:r>
            <w:r w:rsidRPr="00AC2505">
              <w:rPr>
                <w:rFonts w:ascii="Verdana" w:hAnsi="Verdana" w:hint="eastAsia"/>
              </w:rPr>
              <w:t>“</w:t>
            </w:r>
            <w:r w:rsidRPr="00AC2505">
              <w:rPr>
                <w:rFonts w:ascii="Verdana" w:hAnsi="Verdana"/>
              </w:rPr>
              <w:t>Part C</w:t>
            </w:r>
            <w:r w:rsidRPr="00AC2505">
              <w:rPr>
                <w:rFonts w:ascii="Verdana" w:hAnsi="Verdana" w:hint="eastAsia"/>
              </w:rPr>
              <w:t>”</w:t>
            </w:r>
            <w:r w:rsidRPr="00AC2505">
              <w:rPr>
                <w:rFonts w:ascii="Verdana" w:hAnsi="Verdana"/>
              </w:rPr>
              <w:t xml:space="preserve"> or </w:t>
            </w:r>
            <w:r w:rsidRPr="00AC2505">
              <w:rPr>
                <w:rFonts w:ascii="Verdana" w:hAnsi="Verdana" w:hint="eastAsia"/>
              </w:rPr>
              <w:t>“</w:t>
            </w:r>
            <w:r w:rsidRPr="00AC2505">
              <w:rPr>
                <w:rFonts w:ascii="Verdana" w:hAnsi="Verdana"/>
              </w:rPr>
              <w:t>MA Plans,</w:t>
            </w:r>
            <w:r w:rsidRPr="00AC2505">
              <w:rPr>
                <w:rFonts w:ascii="Verdana" w:hAnsi="Verdana" w:hint="eastAsia"/>
              </w:rPr>
              <w:t>”</w:t>
            </w:r>
            <w:r w:rsidRPr="00AC2505">
              <w:rPr>
                <w:rFonts w:ascii="Verdana" w:hAnsi="Verdana"/>
              </w:rPr>
              <w:t xml:space="preserve"> are offered by Medicare-approved private companies that must follow rules set by Medicare. Most Medicare Advantage Plans include drug coverage (Part D).</w:t>
            </w:r>
          </w:p>
        </w:tc>
      </w:tr>
      <w:tr w:rsidR="009C33EF" w:rsidRPr="004E00B6" w14:paraId="507278C0" w14:textId="77777777" w:rsidTr="008338FB">
        <w:tc>
          <w:tcPr>
            <w:tcW w:w="745" w:type="pct"/>
          </w:tcPr>
          <w:p w14:paraId="6486FF23"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MAB</w:t>
            </w:r>
          </w:p>
        </w:tc>
        <w:tc>
          <w:tcPr>
            <w:tcW w:w="992" w:type="pct"/>
          </w:tcPr>
          <w:p w14:paraId="29F6D4F5" w14:textId="77777777" w:rsidR="007E2F4A" w:rsidRPr="002C36C7" w:rsidRDefault="007E2F4A" w:rsidP="000431DA">
            <w:pPr>
              <w:spacing w:before="120" w:after="120"/>
              <w:rPr>
                <w:rFonts w:ascii="Verdana" w:hAnsi="Verdana" w:cs="Arial"/>
              </w:rPr>
            </w:pPr>
            <w:r w:rsidRPr="002C36C7">
              <w:rPr>
                <w:rFonts w:ascii="Verdana" w:hAnsi="Verdana" w:cs="Arial"/>
              </w:rPr>
              <w:t>Maximum allowable Benefit</w:t>
            </w:r>
          </w:p>
        </w:tc>
        <w:tc>
          <w:tcPr>
            <w:tcW w:w="3263" w:type="pct"/>
          </w:tcPr>
          <w:p w14:paraId="7D547C6A" w14:textId="7C71B135" w:rsidR="007E2F4A" w:rsidRPr="004E00B6" w:rsidRDefault="007E2F4A" w:rsidP="000431DA">
            <w:pPr>
              <w:spacing w:before="120" w:after="120"/>
              <w:rPr>
                <w:rFonts w:ascii="Verdana" w:hAnsi="Verdana" w:cs="Arial"/>
              </w:rPr>
            </w:pPr>
            <w:r w:rsidRPr="004E00B6">
              <w:rPr>
                <w:rFonts w:ascii="Verdana" w:hAnsi="Verdana" w:cs="Arial"/>
              </w:rPr>
              <w:t>Monetary</w:t>
            </w:r>
            <w:r w:rsidR="00D24249" w:rsidRPr="004E00B6">
              <w:rPr>
                <w:rFonts w:ascii="Verdana" w:hAnsi="Verdana" w:cs="Arial"/>
              </w:rPr>
              <w:t xml:space="preserve">. </w:t>
            </w:r>
            <w:r w:rsidRPr="004E00B6">
              <w:rPr>
                <w:rFonts w:ascii="Verdana" w:hAnsi="Verdana" w:cs="Arial"/>
              </w:rPr>
              <w:t>The maximum amount that will be covered, during a specified time frame, under a member's plan design</w:t>
            </w:r>
            <w:r w:rsidR="00D24249" w:rsidRPr="004E00B6">
              <w:rPr>
                <w:rFonts w:ascii="Verdana" w:hAnsi="Verdana" w:cs="Arial"/>
              </w:rPr>
              <w:t xml:space="preserve">. </w:t>
            </w:r>
            <w:r w:rsidRPr="004E00B6">
              <w:rPr>
                <w:rFonts w:ascii="Verdana" w:hAnsi="Verdana" w:cs="Arial"/>
              </w:rPr>
              <w:t>The total dollar amount a client or plan sponsor will spend on prescriptions</w:t>
            </w:r>
            <w:r w:rsidR="00D24249" w:rsidRPr="004E00B6">
              <w:rPr>
                <w:rFonts w:ascii="Verdana" w:hAnsi="Verdana" w:cs="Arial"/>
              </w:rPr>
              <w:t xml:space="preserve">. </w:t>
            </w:r>
            <w:r w:rsidRPr="004E00B6">
              <w:rPr>
                <w:rFonts w:ascii="Verdana" w:hAnsi="Verdana" w:cs="Arial"/>
              </w:rPr>
              <w:t>Once the MAB has been reached, the member must pay all prescription costs</w:t>
            </w:r>
            <w:r w:rsidR="00D24249" w:rsidRPr="004E00B6">
              <w:rPr>
                <w:rFonts w:ascii="Verdana" w:hAnsi="Verdana" w:cs="Arial"/>
              </w:rPr>
              <w:t xml:space="preserve">. </w:t>
            </w:r>
            <w:r w:rsidRPr="004E00B6">
              <w:rPr>
                <w:rFonts w:ascii="Verdana" w:hAnsi="Verdana" w:cs="Arial"/>
              </w:rPr>
              <w:t>What the member will pay after MAB depends on their plan set up.</w:t>
            </w:r>
          </w:p>
          <w:p w14:paraId="2D35DE4D" w14:textId="77777777" w:rsidR="007E2F4A" w:rsidRPr="004E00B6" w:rsidRDefault="007E2F4A" w:rsidP="000431DA">
            <w:pPr>
              <w:spacing w:before="120" w:after="120"/>
              <w:rPr>
                <w:rFonts w:ascii="Verdana" w:hAnsi="Verdana" w:cs="Arial"/>
              </w:rPr>
            </w:pPr>
          </w:p>
          <w:p w14:paraId="77F6C1B7" w14:textId="2B134F70" w:rsidR="007E2F4A" w:rsidRPr="004E00B6" w:rsidRDefault="007E2F4A" w:rsidP="000431DA">
            <w:pPr>
              <w:spacing w:before="120" w:after="120"/>
              <w:rPr>
                <w:rFonts w:ascii="Verdana" w:hAnsi="Verdana" w:cs="Arial"/>
              </w:rPr>
            </w:pPr>
            <w:r w:rsidRPr="004E00B6">
              <w:rPr>
                <w:rFonts w:ascii="Verdana" w:hAnsi="Verdana" w:cs="Arial"/>
              </w:rPr>
              <w:t>MAB usually starts over every 12 months or beginning of the new plan benefit year</w:t>
            </w:r>
            <w:r w:rsidR="00D24249" w:rsidRPr="004E00B6">
              <w:rPr>
                <w:rFonts w:ascii="Verdana" w:hAnsi="Verdana" w:cs="Arial"/>
              </w:rPr>
              <w:t xml:space="preserve">. </w:t>
            </w:r>
            <w:r w:rsidRPr="004E00B6">
              <w:rPr>
                <w:rFonts w:ascii="Verdana" w:hAnsi="Verdana" w:cs="Arial"/>
              </w:rPr>
              <w:t>MAB can also apply to specific medication, such as fertility drugs</w:t>
            </w:r>
            <w:r w:rsidR="00D24249" w:rsidRPr="004E00B6">
              <w:rPr>
                <w:rFonts w:ascii="Verdana" w:hAnsi="Verdana" w:cs="Arial"/>
              </w:rPr>
              <w:t xml:space="preserve">. </w:t>
            </w:r>
            <w:r w:rsidRPr="004E00B6">
              <w:rPr>
                <w:rFonts w:ascii="Verdana" w:hAnsi="Verdana" w:cs="Arial"/>
              </w:rPr>
              <w:t xml:space="preserve">In these </w:t>
            </w:r>
            <w:r w:rsidR="00661A43" w:rsidRPr="004E00B6">
              <w:rPr>
                <w:rFonts w:ascii="Verdana" w:hAnsi="Verdana" w:cs="Arial"/>
              </w:rPr>
              <w:t>cases,</w:t>
            </w:r>
            <w:r w:rsidRPr="004E00B6">
              <w:rPr>
                <w:rFonts w:ascii="Verdana" w:hAnsi="Verdana" w:cs="Arial"/>
              </w:rPr>
              <w:t xml:space="preserve"> MAB usually applies to those specific medications</w:t>
            </w:r>
            <w:r w:rsidR="00D24249" w:rsidRPr="004E00B6">
              <w:rPr>
                <w:rFonts w:ascii="Verdana" w:hAnsi="Verdana" w:cs="Arial"/>
              </w:rPr>
              <w:t xml:space="preserve">. </w:t>
            </w:r>
            <w:r w:rsidRPr="004E00B6">
              <w:rPr>
                <w:rFonts w:ascii="Verdana" w:hAnsi="Verdana" w:cs="Arial"/>
              </w:rPr>
              <w:t>Not all plans have a MAB.</w:t>
            </w:r>
          </w:p>
        </w:tc>
      </w:tr>
      <w:tr w:rsidR="009C33EF" w:rsidRPr="004E00B6" w14:paraId="3914F44C" w14:textId="77777777" w:rsidTr="008338FB">
        <w:tc>
          <w:tcPr>
            <w:tcW w:w="745" w:type="pct"/>
          </w:tcPr>
          <w:p w14:paraId="14CDB688" w14:textId="77777777" w:rsidR="007E2F4A" w:rsidRPr="00F4531F" w:rsidRDefault="007E2F4A" w:rsidP="000431DA">
            <w:pPr>
              <w:spacing w:before="120" w:after="120"/>
              <w:jc w:val="center"/>
              <w:rPr>
                <w:rFonts w:ascii="Verdana" w:hAnsi="Verdana"/>
                <w:b/>
                <w:bCs/>
                <w:color w:val="000000"/>
              </w:rPr>
            </w:pPr>
            <w:r w:rsidRPr="00F4531F">
              <w:rPr>
                <w:rFonts w:ascii="Verdana" w:hAnsi="Verdana"/>
                <w:b/>
                <w:bCs/>
                <w:color w:val="000000"/>
              </w:rPr>
              <w:t>MAC</w:t>
            </w:r>
          </w:p>
        </w:tc>
        <w:tc>
          <w:tcPr>
            <w:tcW w:w="992" w:type="pct"/>
          </w:tcPr>
          <w:p w14:paraId="32E04A57" w14:textId="77777777" w:rsidR="007E2F4A" w:rsidRPr="002C36C7" w:rsidRDefault="007E2F4A" w:rsidP="000431DA">
            <w:pPr>
              <w:spacing w:before="120" w:after="120"/>
              <w:rPr>
                <w:rFonts w:ascii="Verdana" w:hAnsi="Verdana" w:cs="Arial"/>
              </w:rPr>
            </w:pPr>
            <w:r w:rsidRPr="002C36C7">
              <w:rPr>
                <w:rFonts w:ascii="Verdana" w:hAnsi="Verdana" w:cs="Arial"/>
              </w:rPr>
              <w:t>Maximum allowable costs</w:t>
            </w:r>
          </w:p>
        </w:tc>
        <w:tc>
          <w:tcPr>
            <w:tcW w:w="3263" w:type="pct"/>
          </w:tcPr>
          <w:p w14:paraId="6190A84C" w14:textId="3C764B2F" w:rsidR="007E2F4A" w:rsidRPr="004E00B6" w:rsidRDefault="007E2F4A" w:rsidP="000431DA">
            <w:pPr>
              <w:spacing w:before="120" w:after="120"/>
              <w:rPr>
                <w:rFonts w:ascii="Verdana" w:hAnsi="Verdana" w:cs="Arial"/>
              </w:rPr>
            </w:pPr>
            <w:r w:rsidRPr="004E00B6">
              <w:rPr>
                <w:rFonts w:ascii="Verdana" w:hAnsi="Verdana" w:cs="Arial"/>
              </w:rPr>
              <w:t>Average cost and quantity</w:t>
            </w:r>
            <w:r w:rsidR="00D24249" w:rsidRPr="004E00B6">
              <w:rPr>
                <w:rFonts w:ascii="Verdana" w:hAnsi="Verdana" w:cs="Arial"/>
              </w:rPr>
              <w:t xml:space="preserve">. </w:t>
            </w:r>
            <w:r w:rsidRPr="004E00B6">
              <w:rPr>
                <w:rFonts w:ascii="Verdana" w:hAnsi="Verdana" w:cs="Arial"/>
              </w:rPr>
              <w:t>The maximum price that an insurer or health plan will reimburse per unit dose for generically available or multiple source medications; designed to incent generic dispensing, to assure the pharmacy dispenses economically and to control future cost increases</w:t>
            </w:r>
            <w:r w:rsidR="00D24249" w:rsidRPr="004E00B6">
              <w:rPr>
                <w:rFonts w:ascii="Verdana" w:hAnsi="Verdana" w:cs="Arial"/>
              </w:rPr>
              <w:t xml:space="preserve">. </w:t>
            </w:r>
            <w:r w:rsidRPr="004E00B6">
              <w:rPr>
                <w:rFonts w:ascii="Verdana" w:hAnsi="Verdana" w:cs="Arial"/>
              </w:rPr>
              <w:t xml:space="preserve">This typically follows the initiative for reimbursement by the Medicare and Medicaid program when more than two generic drugs are available in the marketplace. There are different types of MAC programs available to </w:t>
            </w:r>
            <w:r>
              <w:rPr>
                <w:rFonts w:ascii="Verdana" w:hAnsi="Verdana" w:cs="Arial"/>
              </w:rPr>
              <w:t>our</w:t>
            </w:r>
            <w:r w:rsidRPr="004E00B6">
              <w:rPr>
                <w:rFonts w:ascii="Verdana" w:hAnsi="Verdana" w:cs="Arial"/>
              </w:rPr>
              <w:t xml:space="preserve"> clients, such as MAC A, MAC B, MAC C, </w:t>
            </w:r>
            <w:r w:rsidR="003075E7" w:rsidRPr="003075E7">
              <w:rPr>
                <w:rFonts w:ascii="Verdana" w:hAnsi="Verdana" w:cs="Arial"/>
              </w:rPr>
              <w:t>etcetera</w:t>
            </w:r>
            <w:r w:rsidRPr="004E00B6">
              <w:rPr>
                <w:rFonts w:ascii="Verdana" w:hAnsi="Verdana" w:cs="Arial"/>
              </w:rPr>
              <w:t>.</w:t>
            </w:r>
          </w:p>
          <w:p w14:paraId="05954A66" w14:textId="77777777" w:rsidR="007E2F4A" w:rsidRPr="004E00B6" w:rsidRDefault="007E2F4A" w:rsidP="000431DA">
            <w:pPr>
              <w:spacing w:before="120" w:after="120"/>
              <w:rPr>
                <w:rFonts w:ascii="Verdana" w:hAnsi="Verdana" w:cs="Arial"/>
              </w:rPr>
            </w:pPr>
          </w:p>
          <w:p w14:paraId="237ACCF1" w14:textId="1010D711" w:rsidR="007E2F4A" w:rsidRPr="004E00B6" w:rsidRDefault="007E2F4A" w:rsidP="000431DA">
            <w:pPr>
              <w:spacing w:before="120" w:after="120"/>
              <w:rPr>
                <w:rFonts w:ascii="Verdana" w:hAnsi="Verdana" w:cs="Arial"/>
              </w:rPr>
            </w:pPr>
            <w:r w:rsidRPr="004E00B6">
              <w:rPr>
                <w:rFonts w:ascii="Verdana" w:hAnsi="Verdana" w:cs="Arial"/>
              </w:rPr>
              <w:t xml:space="preserve">MAC is not a yearly benefit; it can vary by plan or medication. It is based off of the average cost of </w:t>
            </w:r>
            <w:r w:rsidR="00BE4806" w:rsidRPr="004E00B6">
              <w:rPr>
                <w:rFonts w:ascii="Verdana" w:hAnsi="Verdana" w:cs="Arial"/>
              </w:rPr>
              <w:t>medication</w:t>
            </w:r>
            <w:r w:rsidR="00D24249" w:rsidRPr="004E00B6">
              <w:rPr>
                <w:rFonts w:ascii="Verdana" w:hAnsi="Verdana" w:cs="Arial"/>
              </w:rPr>
              <w:t xml:space="preserve">. </w:t>
            </w:r>
            <w:r w:rsidRPr="00451F73">
              <w:rPr>
                <w:rFonts w:ascii="Verdana" w:hAnsi="Verdana" w:cs="Arial"/>
                <w:b/>
                <w:bCs/>
              </w:rPr>
              <w:t>Example:</w:t>
            </w:r>
            <w:r w:rsidRPr="004E00B6">
              <w:rPr>
                <w:rFonts w:ascii="Verdana" w:hAnsi="Verdana" w:cs="Arial"/>
              </w:rPr>
              <w:t xml:space="preserve">  If the member is getting </w:t>
            </w:r>
            <w:r w:rsidR="00BE4806" w:rsidRPr="004E00B6">
              <w:rPr>
                <w:rFonts w:ascii="Verdana" w:hAnsi="Verdana" w:cs="Arial"/>
              </w:rPr>
              <w:t>medication</w:t>
            </w:r>
            <w:r w:rsidRPr="004E00B6">
              <w:rPr>
                <w:rFonts w:ascii="Verdana" w:hAnsi="Verdana" w:cs="Arial"/>
              </w:rPr>
              <w:t xml:space="preserve">, and the cost is $500 but the plan will pay $300 for the certain type of medication, the member </w:t>
            </w:r>
            <w:r w:rsidR="00BE4806" w:rsidRPr="004E00B6">
              <w:rPr>
                <w:rFonts w:ascii="Verdana" w:hAnsi="Verdana" w:cs="Arial"/>
              </w:rPr>
              <w:t>will</w:t>
            </w:r>
            <w:r w:rsidRPr="004E00B6">
              <w:rPr>
                <w:rFonts w:ascii="Verdana" w:hAnsi="Verdana" w:cs="Arial"/>
              </w:rPr>
              <w:t xml:space="preserve"> have to pay the remaining if they want the medication.  Or if the plan only allows them to get 50 pills, but the script is for 100.</w:t>
            </w:r>
          </w:p>
        </w:tc>
      </w:tr>
      <w:tr w:rsidR="009C33EF" w:rsidRPr="004E00B6" w14:paraId="40DAB631" w14:textId="77777777" w:rsidTr="008338FB">
        <w:tc>
          <w:tcPr>
            <w:tcW w:w="745" w:type="pct"/>
          </w:tcPr>
          <w:p w14:paraId="73ECCAAB" w14:textId="6BE304BB" w:rsidR="007E2F4A" w:rsidRPr="00F4531F" w:rsidRDefault="007E2F4A" w:rsidP="000431DA">
            <w:pPr>
              <w:spacing w:before="120" w:after="120"/>
              <w:jc w:val="center"/>
              <w:rPr>
                <w:rFonts w:ascii="Verdana" w:hAnsi="Verdana"/>
                <w:b/>
                <w:bCs/>
                <w:color w:val="000000"/>
              </w:rPr>
            </w:pPr>
            <w:bookmarkStart w:id="4" w:name="_Hlk126849004"/>
            <w:r w:rsidRPr="00F4531F">
              <w:rPr>
                <w:rFonts w:ascii="Verdana" w:hAnsi="Verdana"/>
                <w:b/>
                <w:bCs/>
                <w:color w:val="000000"/>
              </w:rPr>
              <w:t xml:space="preserve">MAC </w:t>
            </w:r>
            <w:r w:rsidR="008C71BE">
              <w:rPr>
                <w:rFonts w:ascii="Verdana" w:hAnsi="Verdana"/>
                <w:b/>
                <w:bCs/>
                <w:color w:val="000000"/>
              </w:rPr>
              <w:t>C</w:t>
            </w:r>
            <w:r w:rsidR="0020170C">
              <w:rPr>
                <w:rFonts w:ascii="Verdana" w:hAnsi="Verdana"/>
                <w:b/>
                <w:bCs/>
                <w:color w:val="000000"/>
              </w:rPr>
              <w:t xml:space="preserve">ost </w:t>
            </w:r>
            <w:r w:rsidR="008C71BE">
              <w:rPr>
                <w:rFonts w:ascii="Verdana" w:hAnsi="Verdana"/>
                <w:b/>
                <w:bCs/>
                <w:color w:val="000000"/>
              </w:rPr>
              <w:t>D</w:t>
            </w:r>
            <w:r w:rsidR="0020170C">
              <w:rPr>
                <w:rFonts w:ascii="Verdana" w:hAnsi="Verdana"/>
                <w:b/>
                <w:bCs/>
                <w:color w:val="000000"/>
              </w:rPr>
              <w:t>ifference</w:t>
            </w:r>
          </w:p>
        </w:tc>
        <w:tc>
          <w:tcPr>
            <w:tcW w:w="992" w:type="pct"/>
          </w:tcPr>
          <w:p w14:paraId="5E27F1C3" w14:textId="7F3972CA" w:rsidR="007E2F4A" w:rsidRPr="002C36C7" w:rsidRDefault="007E2F4A" w:rsidP="000431DA">
            <w:pPr>
              <w:spacing w:before="120" w:after="120"/>
              <w:rPr>
                <w:rFonts w:ascii="Verdana" w:hAnsi="Verdana" w:cs="Arial"/>
              </w:rPr>
            </w:pPr>
            <w:r w:rsidRPr="002C36C7">
              <w:rPr>
                <w:rFonts w:ascii="Verdana" w:hAnsi="Verdana" w:cs="Arial"/>
              </w:rPr>
              <w:t xml:space="preserve">Maximum Allowable Cost </w:t>
            </w:r>
            <w:r w:rsidR="008C71BE">
              <w:rPr>
                <w:rFonts w:ascii="Verdana" w:hAnsi="Verdana" w:cs="Arial"/>
              </w:rPr>
              <w:t>D</w:t>
            </w:r>
            <w:r w:rsidR="0020170C">
              <w:rPr>
                <w:rFonts w:ascii="Verdana" w:hAnsi="Verdana" w:cs="Arial"/>
              </w:rPr>
              <w:t>ifference</w:t>
            </w:r>
          </w:p>
        </w:tc>
        <w:tc>
          <w:tcPr>
            <w:tcW w:w="3263" w:type="pct"/>
          </w:tcPr>
          <w:p w14:paraId="751EFCF2" w14:textId="77642231" w:rsidR="007E2F4A" w:rsidRPr="006B3934" w:rsidRDefault="007E2F4A" w:rsidP="000431DA">
            <w:pPr>
              <w:spacing w:before="120" w:after="120"/>
              <w:rPr>
                <w:rFonts w:ascii="Verdana" w:hAnsi="Verdana" w:cs="Arial"/>
              </w:rPr>
            </w:pPr>
            <w:r w:rsidRPr="006B3934">
              <w:rPr>
                <w:rFonts w:ascii="Verdana" w:hAnsi="Verdana" w:cs="Arial"/>
              </w:rPr>
              <w:t>Difference in price between the "brand" drug dispensed by the pharmacy and a "generic" drug that was available and could have been dispensed</w:t>
            </w:r>
            <w:r w:rsidR="00D24249" w:rsidRPr="006B3934">
              <w:rPr>
                <w:rFonts w:ascii="Verdana" w:hAnsi="Verdana" w:cs="Arial"/>
              </w:rPr>
              <w:t xml:space="preserve">. </w:t>
            </w:r>
            <w:r w:rsidRPr="006B3934">
              <w:rPr>
                <w:rFonts w:ascii="Verdana" w:hAnsi="Verdana" w:cs="Arial"/>
              </w:rPr>
              <w:t xml:space="preserve">This amount is paid by the cardholder as a </w:t>
            </w:r>
            <w:r w:rsidR="0020170C">
              <w:rPr>
                <w:rFonts w:ascii="Verdana" w:hAnsi="Verdana" w:cs="Arial"/>
              </w:rPr>
              <w:t>cost difference</w:t>
            </w:r>
            <w:r w:rsidRPr="006B3934">
              <w:rPr>
                <w:rFonts w:ascii="Verdana" w:hAnsi="Verdana" w:cs="Arial"/>
              </w:rPr>
              <w:t xml:space="preserve"> for not taking the "generic" drug.</w:t>
            </w:r>
          </w:p>
        </w:tc>
      </w:tr>
      <w:bookmarkEnd w:id="4"/>
      <w:tr w:rsidR="009C33EF" w:rsidRPr="004E00B6" w14:paraId="40400862" w14:textId="77777777" w:rsidTr="008338FB">
        <w:tc>
          <w:tcPr>
            <w:tcW w:w="745" w:type="pct"/>
            <w:shd w:val="clear" w:color="auto" w:fill="auto"/>
          </w:tcPr>
          <w:p w14:paraId="218C4D65" w14:textId="77777777" w:rsidR="007E2F4A" w:rsidRPr="002A444A" w:rsidRDefault="007E2F4A" w:rsidP="000431DA">
            <w:pPr>
              <w:spacing w:before="120" w:after="120"/>
              <w:jc w:val="center"/>
              <w:rPr>
                <w:rFonts w:ascii="Verdana" w:hAnsi="Verdana"/>
                <w:b/>
                <w:bCs/>
              </w:rPr>
            </w:pPr>
            <w:r>
              <w:rPr>
                <w:rFonts w:ascii="Verdana" w:hAnsi="Verdana"/>
                <w:b/>
                <w:bCs/>
              </w:rPr>
              <w:t>MFG</w:t>
            </w:r>
          </w:p>
        </w:tc>
        <w:tc>
          <w:tcPr>
            <w:tcW w:w="992" w:type="pct"/>
            <w:shd w:val="clear" w:color="auto" w:fill="auto"/>
          </w:tcPr>
          <w:p w14:paraId="0D5D83B9" w14:textId="56EEA173" w:rsidR="007E2F4A" w:rsidRPr="002C36C7" w:rsidRDefault="007E2F4A" w:rsidP="000431DA">
            <w:pPr>
              <w:spacing w:before="120" w:after="120"/>
              <w:rPr>
                <w:rFonts w:ascii="Verdana" w:hAnsi="Verdana"/>
              </w:rPr>
            </w:pPr>
            <w:r w:rsidRPr="002C36C7">
              <w:rPr>
                <w:rFonts w:ascii="Verdana" w:hAnsi="Verdana"/>
              </w:rPr>
              <w:t>Manufacturer</w:t>
            </w:r>
          </w:p>
        </w:tc>
        <w:tc>
          <w:tcPr>
            <w:tcW w:w="3263" w:type="pct"/>
          </w:tcPr>
          <w:p w14:paraId="579312AB" w14:textId="727A833F" w:rsidR="007E2F4A" w:rsidRPr="006B3934" w:rsidRDefault="007E2F4A" w:rsidP="000431DA">
            <w:pPr>
              <w:spacing w:before="120" w:after="120"/>
              <w:rPr>
                <w:rFonts w:ascii="Verdana" w:hAnsi="Verdana" w:cs="Arial"/>
              </w:rPr>
            </w:pPr>
            <w:r w:rsidRPr="007508BB">
              <w:rPr>
                <w:rFonts w:ascii="Verdana" w:hAnsi="Verdana"/>
              </w:rPr>
              <w:t>The producer of prescription drug</w:t>
            </w:r>
            <w:r>
              <w:rPr>
                <w:rFonts w:ascii="Verdana" w:hAnsi="Verdana"/>
              </w:rPr>
              <w:t>s</w:t>
            </w:r>
            <w:r w:rsidRPr="007508BB">
              <w:rPr>
                <w:rFonts w:ascii="Verdana" w:hAnsi="Verdana"/>
              </w:rPr>
              <w:t xml:space="preserve"> and medical devices</w:t>
            </w:r>
            <w:r w:rsidR="00995B75">
              <w:rPr>
                <w:rFonts w:ascii="Verdana" w:hAnsi="Verdana"/>
              </w:rPr>
              <w:t>.</w:t>
            </w:r>
          </w:p>
        </w:tc>
      </w:tr>
      <w:tr w:rsidR="009C33EF" w:rsidRPr="004E00B6" w14:paraId="324DB33A" w14:textId="77777777" w:rsidTr="008338FB">
        <w:tc>
          <w:tcPr>
            <w:tcW w:w="745" w:type="pct"/>
            <w:shd w:val="clear" w:color="auto" w:fill="auto"/>
          </w:tcPr>
          <w:p w14:paraId="738E5E68" w14:textId="13B6724C" w:rsidR="007E2F4A" w:rsidRPr="00F4531F" w:rsidRDefault="00CE205A" w:rsidP="000431DA">
            <w:pPr>
              <w:spacing w:before="120" w:after="120"/>
              <w:jc w:val="center"/>
              <w:rPr>
                <w:rFonts w:ascii="Verdana" w:hAnsi="Verdana"/>
                <w:b/>
                <w:bCs/>
                <w:color w:val="000000"/>
              </w:rPr>
            </w:pPr>
            <w:r>
              <w:rPr>
                <w:rFonts w:ascii="Verdana" w:hAnsi="Verdana"/>
                <w:b/>
                <w:bCs/>
              </w:rPr>
              <w:t xml:space="preserve"> </w:t>
            </w:r>
            <w:r w:rsidR="007E2F4A" w:rsidRPr="002A444A">
              <w:rPr>
                <w:rFonts w:ascii="Verdana" w:hAnsi="Verdana"/>
                <w:b/>
                <w:bCs/>
              </w:rPr>
              <w:t>MAPD</w:t>
            </w:r>
          </w:p>
        </w:tc>
        <w:tc>
          <w:tcPr>
            <w:tcW w:w="992" w:type="pct"/>
            <w:shd w:val="clear" w:color="auto" w:fill="auto"/>
          </w:tcPr>
          <w:p w14:paraId="28DDFB5F" w14:textId="7887EA8C" w:rsidR="007E2F4A" w:rsidRPr="002C36C7" w:rsidRDefault="007E2F4A" w:rsidP="000431DA">
            <w:pPr>
              <w:spacing w:before="120" w:after="120"/>
              <w:rPr>
                <w:rFonts w:ascii="Verdana" w:hAnsi="Verdana" w:cs="Arial"/>
              </w:rPr>
            </w:pPr>
            <w:r w:rsidRPr="002C36C7">
              <w:rPr>
                <w:rFonts w:ascii="Verdana" w:hAnsi="Verdana"/>
              </w:rPr>
              <w:t>Medicare Advantage Prescription Drug Plan</w:t>
            </w:r>
          </w:p>
        </w:tc>
        <w:tc>
          <w:tcPr>
            <w:tcW w:w="3263" w:type="pct"/>
          </w:tcPr>
          <w:p w14:paraId="6701274D" w14:textId="35F0D8E9" w:rsidR="007E2F4A" w:rsidRPr="006B3934" w:rsidRDefault="00F93455" w:rsidP="000431DA">
            <w:pPr>
              <w:spacing w:before="120" w:after="120"/>
              <w:rPr>
                <w:rFonts w:ascii="Verdana" w:hAnsi="Verdana" w:cs="Arial"/>
              </w:rPr>
            </w:pPr>
            <w:r>
              <w:rPr>
                <w:rFonts w:ascii="Verdana" w:hAnsi="Verdana"/>
                <w:color w:val="323A45"/>
              </w:rPr>
              <w:t>S</w:t>
            </w:r>
            <w:r w:rsidRPr="006A3E81">
              <w:rPr>
                <w:rFonts w:ascii="Verdana" w:hAnsi="Verdana"/>
                <w:color w:val="323A45"/>
              </w:rPr>
              <w:t xml:space="preserve">ometimes called “Part C” or “MA Plans,” </w:t>
            </w:r>
            <w:r>
              <w:rPr>
                <w:rFonts w:ascii="Verdana" w:hAnsi="Verdana"/>
                <w:color w:val="323A45"/>
              </w:rPr>
              <w:t xml:space="preserve">these prescription drug plans </w:t>
            </w:r>
            <w:r w:rsidRPr="006A3E81">
              <w:rPr>
                <w:rFonts w:ascii="Verdana" w:hAnsi="Verdana"/>
                <w:color w:val="323A45"/>
              </w:rPr>
              <w:t>are offered by Medicare-approved private companies that must follow rules set by Medicare.</w:t>
            </w:r>
            <w:r>
              <w:rPr>
                <w:rFonts w:ascii="Verdana" w:hAnsi="Verdana"/>
                <w:color w:val="323A45"/>
              </w:rPr>
              <w:t xml:space="preserve"> </w:t>
            </w:r>
            <w:r w:rsidRPr="006A3E81">
              <w:rPr>
                <w:rFonts w:ascii="Verdana" w:hAnsi="Verdana"/>
                <w:color w:val="323A45"/>
              </w:rPr>
              <w:t>Most Medicare Advantage Plans include drug coverage (Part D).</w:t>
            </w:r>
          </w:p>
        </w:tc>
      </w:tr>
      <w:tr w:rsidR="009C33EF" w:rsidRPr="004E00B6" w14:paraId="2BA09CD9" w14:textId="77777777" w:rsidTr="008338FB">
        <w:trPr>
          <w:trHeight w:val="2015"/>
        </w:trPr>
        <w:tc>
          <w:tcPr>
            <w:tcW w:w="745" w:type="pct"/>
            <w:shd w:val="clear" w:color="auto" w:fill="auto"/>
          </w:tcPr>
          <w:p w14:paraId="26AD22EC" w14:textId="3A8392B7" w:rsidR="008C71BE" w:rsidRDefault="008C71BE" w:rsidP="000431DA">
            <w:pPr>
              <w:spacing w:before="120" w:after="120"/>
              <w:jc w:val="center"/>
              <w:rPr>
                <w:rFonts w:ascii="Verdana" w:hAnsi="Verdana"/>
                <w:b/>
                <w:bCs/>
              </w:rPr>
            </w:pPr>
            <w:r>
              <w:rPr>
                <w:rFonts w:ascii="Verdana" w:hAnsi="Verdana"/>
                <w:b/>
                <w:bCs/>
              </w:rPr>
              <w:t>MARx</w:t>
            </w:r>
          </w:p>
        </w:tc>
        <w:tc>
          <w:tcPr>
            <w:tcW w:w="992" w:type="pct"/>
            <w:shd w:val="clear" w:color="auto" w:fill="auto"/>
          </w:tcPr>
          <w:p w14:paraId="5B21837C" w14:textId="34F12653" w:rsidR="008C71BE" w:rsidRPr="0012402D" w:rsidRDefault="008C71BE" w:rsidP="000431DA">
            <w:pPr>
              <w:spacing w:before="120" w:after="120"/>
              <w:rPr>
                <w:rFonts w:ascii="Verdana" w:hAnsi="Verdana"/>
              </w:rPr>
            </w:pPr>
            <w:r>
              <w:rPr>
                <w:rFonts w:ascii="Verdana" w:hAnsi="Verdana"/>
              </w:rPr>
              <w:t>Medicare Advantage Prescription Drug</w:t>
            </w:r>
          </w:p>
        </w:tc>
        <w:tc>
          <w:tcPr>
            <w:tcW w:w="3263" w:type="pct"/>
          </w:tcPr>
          <w:p w14:paraId="349C6752" w14:textId="77777777" w:rsidR="00971A0E" w:rsidRPr="008C0402" w:rsidRDefault="008C71BE" w:rsidP="000431DA">
            <w:pPr>
              <w:spacing w:before="120" w:after="120"/>
              <w:rPr>
                <w:rFonts w:ascii="Verdana" w:hAnsi="Verdana"/>
              </w:rPr>
            </w:pPr>
            <w:r w:rsidRPr="008C0402">
              <w:rPr>
                <w:rFonts w:ascii="Verdana" w:hAnsi="Verdana"/>
              </w:rPr>
              <w:t xml:space="preserve">MARx provides real-time CMS beneficiary information. It allows approved users to see information such as Part A, B, and D entitlement dates, past and present plans the beneficiary has been enrolled in, Low Income Subsidy (LIS) levels, any employer subsidy that may be on file with CMS, and the permanent address that is on file with Social Security/Medicare to ensure that enrollment applications are submitted with fewer errors. Depending on the beneficiary’s state of residence, you may also be able to view Medicaid eligibility. If you have any questions about the MARx UI integration with the CMS Enterprise Portal, please contact the MAPD Help Desk. </w:t>
            </w:r>
          </w:p>
          <w:p w14:paraId="3FCF98FD" w14:textId="77777777" w:rsidR="00971A0E" w:rsidRPr="008C0402" w:rsidRDefault="008C71BE" w:rsidP="000431DA">
            <w:pPr>
              <w:spacing w:before="120" w:after="120"/>
              <w:rPr>
                <w:rFonts w:ascii="Verdana" w:hAnsi="Verdana"/>
              </w:rPr>
            </w:pPr>
            <w:r w:rsidRPr="008C0402">
              <w:rPr>
                <w:rFonts w:ascii="Verdana" w:hAnsi="Verdana"/>
              </w:rPr>
              <w:t>Phone:</w:t>
            </w:r>
            <w:r w:rsidR="00971A0E" w:rsidRPr="008C0402">
              <w:rPr>
                <w:rFonts w:ascii="Verdana" w:hAnsi="Verdana"/>
              </w:rPr>
              <w:t xml:space="preserve"> </w:t>
            </w:r>
            <w:r w:rsidRPr="008C0402">
              <w:rPr>
                <w:rFonts w:ascii="Verdana" w:hAnsi="Verdana"/>
              </w:rPr>
              <w:t xml:space="preserve"> 1-800-927-8069 </w:t>
            </w:r>
          </w:p>
          <w:p w14:paraId="4BA42D09" w14:textId="77777777" w:rsidR="00971A0E" w:rsidRPr="008C0402" w:rsidRDefault="008C71BE" w:rsidP="000431DA">
            <w:pPr>
              <w:spacing w:before="120" w:after="120"/>
              <w:rPr>
                <w:rFonts w:ascii="Verdana" w:hAnsi="Verdana"/>
              </w:rPr>
            </w:pPr>
            <w:r w:rsidRPr="008C0402">
              <w:rPr>
                <w:rFonts w:ascii="Verdana" w:hAnsi="Verdana"/>
              </w:rPr>
              <w:t>Email:</w:t>
            </w:r>
            <w:r w:rsidR="00971A0E" w:rsidRPr="008C0402">
              <w:rPr>
                <w:rFonts w:ascii="Verdana" w:hAnsi="Verdana"/>
              </w:rPr>
              <w:t xml:space="preserve"> </w:t>
            </w:r>
            <w:r w:rsidRPr="008C0402">
              <w:rPr>
                <w:rFonts w:ascii="Verdana" w:hAnsi="Verdana"/>
              </w:rPr>
              <w:t xml:space="preserve"> </w:t>
            </w:r>
            <w:hyperlink r:id="rId11" w:history="1">
              <w:r w:rsidRPr="008C0402">
                <w:rPr>
                  <w:rStyle w:val="Hyperlink"/>
                  <w:rFonts w:ascii="Verdana" w:hAnsi="Verdana"/>
                </w:rPr>
                <w:t>MAPDHelp@cms.hhs.gov</w:t>
              </w:r>
            </w:hyperlink>
            <w:r w:rsidRPr="008C0402">
              <w:rPr>
                <w:rFonts w:ascii="Verdana" w:hAnsi="Verdana"/>
              </w:rPr>
              <w:t xml:space="preserve"> </w:t>
            </w:r>
          </w:p>
          <w:p w14:paraId="2FBE1E64" w14:textId="008BC502" w:rsidR="008C71BE" w:rsidRPr="0012402D" w:rsidRDefault="008C71BE" w:rsidP="000431DA">
            <w:pPr>
              <w:spacing w:before="120" w:after="120"/>
              <w:rPr>
                <w:rFonts w:ascii="Verdana" w:hAnsi="Verdana"/>
                <w:color w:val="323A45"/>
              </w:rPr>
            </w:pPr>
            <w:r w:rsidRPr="008C0402">
              <w:rPr>
                <w:rFonts w:ascii="Verdana" w:hAnsi="Verdana"/>
              </w:rPr>
              <w:t xml:space="preserve">Website: </w:t>
            </w:r>
            <w:r w:rsidR="00971A0E" w:rsidRPr="008C0402">
              <w:rPr>
                <w:rFonts w:ascii="Verdana" w:hAnsi="Verdana"/>
              </w:rPr>
              <w:t xml:space="preserve"> </w:t>
            </w:r>
            <w:hyperlink r:id="rId12" w:history="1">
              <w:r w:rsidR="00971A0E" w:rsidRPr="008C0402">
                <w:rPr>
                  <w:rStyle w:val="Hyperlink"/>
                  <w:rFonts w:ascii="Verdana" w:hAnsi="Verdana"/>
                </w:rPr>
                <w:t>http://go.cms.gov/mapdhelpdesk</w:t>
              </w:r>
            </w:hyperlink>
            <w:r w:rsidRPr="008C0402">
              <w:rPr>
                <w:rFonts w:ascii="Verdana" w:hAnsi="Verdana"/>
              </w:rPr>
              <w:t>.</w:t>
            </w:r>
          </w:p>
        </w:tc>
      </w:tr>
      <w:tr w:rsidR="009C33EF" w:rsidRPr="004E00B6" w14:paraId="03FD4723" w14:textId="77777777" w:rsidTr="008338FB">
        <w:tc>
          <w:tcPr>
            <w:tcW w:w="745" w:type="pct"/>
          </w:tcPr>
          <w:p w14:paraId="34E3C5A0" w14:textId="77777777" w:rsidR="007E2F4A" w:rsidRPr="00F4531F" w:rsidRDefault="007E2F4A" w:rsidP="000431DA">
            <w:pPr>
              <w:spacing w:before="120" w:after="120"/>
              <w:jc w:val="center"/>
              <w:rPr>
                <w:rFonts w:ascii="Verdana" w:hAnsi="Verdana"/>
                <w:b/>
                <w:bCs/>
                <w:color w:val="000000"/>
              </w:rPr>
            </w:pPr>
            <w:r>
              <w:rPr>
                <w:rFonts w:ascii="Verdana" w:hAnsi="Verdana"/>
                <w:b/>
                <w:bCs/>
                <w:color w:val="000000"/>
              </w:rPr>
              <w:t>MOF</w:t>
            </w:r>
          </w:p>
        </w:tc>
        <w:tc>
          <w:tcPr>
            <w:tcW w:w="992" w:type="pct"/>
            <w:shd w:val="clear" w:color="auto" w:fill="auto"/>
          </w:tcPr>
          <w:p w14:paraId="21215D19" w14:textId="77777777" w:rsidR="007E2F4A" w:rsidRPr="002C36C7" w:rsidRDefault="007E2F4A" w:rsidP="000431DA">
            <w:pPr>
              <w:spacing w:before="120" w:after="120"/>
              <w:rPr>
                <w:rFonts w:ascii="Verdana" w:hAnsi="Verdana"/>
                <w:color w:val="000000"/>
              </w:rPr>
            </w:pPr>
            <w:r w:rsidRPr="002C36C7">
              <w:rPr>
                <w:rFonts w:ascii="Verdana" w:hAnsi="Verdana"/>
              </w:rPr>
              <w:t>Mail Order Form</w:t>
            </w:r>
          </w:p>
        </w:tc>
        <w:tc>
          <w:tcPr>
            <w:tcW w:w="3263" w:type="pct"/>
            <w:shd w:val="clear" w:color="auto" w:fill="auto"/>
          </w:tcPr>
          <w:p w14:paraId="6CFEBF49" w14:textId="405945BB" w:rsidR="007E2F4A" w:rsidRPr="006B3934" w:rsidRDefault="007E2F4A" w:rsidP="000431DA">
            <w:pPr>
              <w:spacing w:before="120" w:after="120"/>
              <w:rPr>
                <w:rFonts w:ascii="Verdana" w:hAnsi="Verdana" w:cs="Arial"/>
              </w:rPr>
            </w:pPr>
            <w:r w:rsidRPr="000F184C">
              <w:rPr>
                <w:rFonts w:ascii="Verdana" w:hAnsi="Verdana"/>
              </w:rPr>
              <w:t>Form used when the beneficiary is requesting new prescriptions to be filled by Mail Order.</w:t>
            </w:r>
          </w:p>
        </w:tc>
      </w:tr>
      <w:tr w:rsidR="009C33EF" w:rsidRPr="004E00B6" w14:paraId="7CA1425C" w14:textId="77777777" w:rsidTr="008338FB">
        <w:tc>
          <w:tcPr>
            <w:tcW w:w="745" w:type="pct"/>
          </w:tcPr>
          <w:p w14:paraId="269EC7AF" w14:textId="77777777" w:rsidR="007E2F4A" w:rsidRPr="00F4531F" w:rsidRDefault="007E2F4A" w:rsidP="000431DA">
            <w:pPr>
              <w:spacing w:before="120" w:after="120"/>
              <w:jc w:val="center"/>
              <w:rPr>
                <w:rFonts w:ascii="Verdana" w:hAnsi="Verdana"/>
                <w:b/>
                <w:bCs/>
                <w:color w:val="000000"/>
              </w:rPr>
            </w:pPr>
            <w:r>
              <w:rPr>
                <w:rFonts w:ascii="Verdana" w:hAnsi="Verdana"/>
                <w:b/>
                <w:bCs/>
                <w:color w:val="000000"/>
              </w:rPr>
              <w:t>MC</w:t>
            </w:r>
          </w:p>
        </w:tc>
        <w:tc>
          <w:tcPr>
            <w:tcW w:w="992" w:type="pct"/>
          </w:tcPr>
          <w:p w14:paraId="345F405E" w14:textId="77777777" w:rsidR="007E2F4A" w:rsidRPr="002C36C7" w:rsidRDefault="007E2F4A" w:rsidP="000431DA">
            <w:pPr>
              <w:spacing w:before="120" w:after="120"/>
              <w:rPr>
                <w:rFonts w:ascii="Verdana" w:hAnsi="Verdana" w:cs="Arial"/>
              </w:rPr>
            </w:pPr>
            <w:r w:rsidRPr="002C36C7">
              <w:rPr>
                <w:rFonts w:ascii="Verdana" w:hAnsi="Verdana"/>
                <w:color w:val="000000"/>
              </w:rPr>
              <w:t>Maintenance Choice</w:t>
            </w:r>
          </w:p>
        </w:tc>
        <w:tc>
          <w:tcPr>
            <w:tcW w:w="3263" w:type="pct"/>
          </w:tcPr>
          <w:p w14:paraId="243411F2" w14:textId="61789CE9" w:rsidR="007E2F4A" w:rsidRPr="004E00B6" w:rsidRDefault="008D1401" w:rsidP="000431DA">
            <w:pPr>
              <w:spacing w:before="120" w:after="120"/>
              <w:rPr>
                <w:rFonts w:ascii="Verdana" w:hAnsi="Verdana" w:cs="Arial"/>
              </w:rPr>
            </w:pPr>
            <w:r>
              <w:rPr>
                <w:rFonts w:ascii="Verdana" w:hAnsi="Verdana"/>
                <w:noProof/>
                <w:color w:val="333333"/>
              </w:rPr>
              <w:drawing>
                <wp:inline distT="0" distB="0" distL="0" distR="0" wp14:anchorId="29609A2C" wp14:editId="12F01B2E">
                  <wp:extent cx="304762" cy="304762"/>
                  <wp:effectExtent l="0" t="0" r="635" b="635"/>
                  <wp:docPr id="43202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20301" name="Picture 432020301"/>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E2F4A" w:rsidRPr="006B3934">
              <w:rPr>
                <w:rFonts w:ascii="Verdana" w:hAnsi="Verdana"/>
                <w:color w:val="333333"/>
              </w:rPr>
              <w:t xml:space="preserve">Maintenance Choice provides participating plan members the choice of receiving 90-day maintenance prescriptions through </w:t>
            </w:r>
            <w:r w:rsidR="007E2F4A">
              <w:rPr>
                <w:rFonts w:ascii="Verdana" w:hAnsi="Verdana"/>
                <w:color w:val="333333"/>
              </w:rPr>
              <w:t>our</w:t>
            </w:r>
            <w:r w:rsidR="007E2F4A" w:rsidRPr="006B3934">
              <w:rPr>
                <w:rFonts w:ascii="Verdana" w:hAnsi="Verdana"/>
                <w:color w:val="333333"/>
              </w:rPr>
              <w:t xml:space="preserve"> </w:t>
            </w:r>
            <w:r w:rsidR="007E2F4A">
              <w:rPr>
                <w:rFonts w:ascii="Verdana" w:hAnsi="Verdana"/>
                <w:color w:val="333333"/>
              </w:rPr>
              <w:t>home delivery</w:t>
            </w:r>
            <w:r w:rsidR="007E2F4A" w:rsidRPr="006B3934">
              <w:rPr>
                <w:rFonts w:ascii="Verdana" w:hAnsi="Verdana"/>
                <w:color w:val="333333"/>
              </w:rPr>
              <w:t xml:space="preserve"> Pharmacy or  a</w:t>
            </w:r>
            <w:r w:rsidR="00773117">
              <w:rPr>
                <w:rFonts w:ascii="Verdana" w:hAnsi="Verdana"/>
                <w:color w:val="333333"/>
              </w:rPr>
              <w:t>t</w:t>
            </w:r>
            <w:r w:rsidR="007E2F4A" w:rsidRPr="006B3934">
              <w:rPr>
                <w:rFonts w:ascii="Verdana" w:hAnsi="Verdana"/>
                <w:color w:val="333333"/>
              </w:rPr>
              <w:t xml:space="preserve"> </w:t>
            </w:r>
            <w:r w:rsidR="004D4EA0" w:rsidRPr="004D4EA0">
              <w:rPr>
                <w:rFonts w:ascii="Verdana" w:hAnsi="Verdana"/>
                <w:color w:val="333333"/>
              </w:rPr>
              <w:t>select retail participating pharmacy (CVS Retail, Costco Pharmacy, Kroger, or select independent pharmacies, etc.)</w:t>
            </w:r>
            <w:r w:rsidR="004D4EA0">
              <w:rPr>
                <w:rFonts w:ascii="Verdana" w:hAnsi="Verdana"/>
                <w:color w:val="333333"/>
              </w:rPr>
              <w:t xml:space="preserve"> </w:t>
            </w:r>
            <w:r w:rsidR="007E2F4A" w:rsidRPr="006B3934">
              <w:rPr>
                <w:rFonts w:ascii="Verdana" w:hAnsi="Verdana"/>
                <w:color w:val="333333"/>
              </w:rPr>
              <w:t>at the same mail benefits.</w:t>
            </w:r>
          </w:p>
        </w:tc>
      </w:tr>
      <w:tr w:rsidR="009C33EF" w:rsidRPr="004E00B6" w14:paraId="4AF4268E" w14:textId="77777777" w:rsidTr="008338FB">
        <w:tc>
          <w:tcPr>
            <w:tcW w:w="745" w:type="pct"/>
          </w:tcPr>
          <w:p w14:paraId="517BAE45" w14:textId="77777777" w:rsidR="007E2F4A" w:rsidRPr="001B619A" w:rsidRDefault="007E2F4A" w:rsidP="000431DA">
            <w:pPr>
              <w:spacing w:before="120" w:after="120"/>
              <w:jc w:val="center"/>
              <w:rPr>
                <w:rFonts w:ascii="Verdana" w:hAnsi="Verdana"/>
                <w:b/>
                <w:bCs/>
                <w:color w:val="000000"/>
              </w:rPr>
            </w:pPr>
            <w:r w:rsidRPr="001B619A">
              <w:rPr>
                <w:rFonts w:ascii="Verdana" w:hAnsi="Verdana"/>
                <w:b/>
                <w:bCs/>
                <w:color w:val="000000"/>
              </w:rPr>
              <w:t>MP</w:t>
            </w:r>
          </w:p>
        </w:tc>
        <w:tc>
          <w:tcPr>
            <w:tcW w:w="992" w:type="pct"/>
          </w:tcPr>
          <w:p w14:paraId="10D967CF" w14:textId="77777777" w:rsidR="007E2F4A" w:rsidRPr="002C36C7" w:rsidRDefault="007E2F4A" w:rsidP="000431DA">
            <w:pPr>
              <w:spacing w:before="120" w:after="120"/>
              <w:rPr>
                <w:rFonts w:ascii="Verdana" w:hAnsi="Verdana" w:cs="Arial"/>
              </w:rPr>
            </w:pPr>
            <w:r w:rsidRPr="002C36C7">
              <w:rPr>
                <w:rFonts w:ascii="Verdana" w:hAnsi="Verdana"/>
                <w:color w:val="000000"/>
              </w:rPr>
              <w:t>Managed Plan</w:t>
            </w:r>
          </w:p>
        </w:tc>
        <w:tc>
          <w:tcPr>
            <w:tcW w:w="3263" w:type="pct"/>
          </w:tcPr>
          <w:p w14:paraId="7F702266" w14:textId="77777777" w:rsidR="007E2F4A" w:rsidRDefault="007E2F4A" w:rsidP="000431DA">
            <w:pPr>
              <w:spacing w:before="120" w:after="120"/>
              <w:rPr>
                <w:rFonts w:ascii="Verdana" w:hAnsi="Verdana" w:cs="Arial"/>
                <w:color w:val="000000"/>
              </w:rPr>
            </w:pPr>
            <w:r>
              <w:rPr>
                <w:rFonts w:ascii="Verdana" w:hAnsi="Verdana" w:cs="Arial"/>
                <w:color w:val="000000"/>
              </w:rPr>
              <w:t xml:space="preserve">(MP1, MP2 or MP3) </w:t>
            </w:r>
            <w:r w:rsidRPr="006B3934">
              <w:rPr>
                <w:rFonts w:ascii="Verdana" w:hAnsi="Verdana" w:cs="Arial"/>
                <w:color w:val="000000"/>
              </w:rPr>
              <w:t xml:space="preserve">Managed Plan has been changed to Custom Care Mail (CCM). </w:t>
            </w:r>
          </w:p>
          <w:p w14:paraId="0BE497B9" w14:textId="77777777" w:rsidR="007E2F4A" w:rsidRDefault="007E2F4A" w:rsidP="000431DA">
            <w:pPr>
              <w:spacing w:before="120" w:after="120"/>
              <w:rPr>
                <w:rFonts w:ascii="Verdana" w:hAnsi="Verdana" w:cs="Arial"/>
                <w:color w:val="000000"/>
              </w:rPr>
            </w:pPr>
          </w:p>
          <w:p w14:paraId="3AC5A267" w14:textId="0252F78C" w:rsidR="007E2F4A" w:rsidRPr="004E00B6" w:rsidRDefault="007E2F4A" w:rsidP="000431DA">
            <w:pPr>
              <w:spacing w:before="120" w:after="120"/>
              <w:rPr>
                <w:rFonts w:ascii="Verdana" w:hAnsi="Verdana" w:cs="Arial"/>
              </w:rPr>
            </w:pPr>
            <w:r w:rsidRPr="006B3934">
              <w:rPr>
                <w:rFonts w:ascii="Verdana" w:hAnsi="Verdana" w:cs="Arial"/>
                <w:color w:val="000000"/>
              </w:rPr>
              <w:t xml:space="preserve">The Custom Care Mail program works towards optimizing pharmacy utilization by reviewing the member’s mail and retail drug history to ensure all prescriptions are appropriate, </w:t>
            </w:r>
            <w:r w:rsidR="00F97FE5" w:rsidRPr="006B3934">
              <w:rPr>
                <w:rFonts w:ascii="Verdana" w:hAnsi="Verdana" w:cs="Arial"/>
                <w:color w:val="000000"/>
              </w:rPr>
              <w:t>safe,</w:t>
            </w:r>
            <w:r w:rsidRPr="006B3934">
              <w:rPr>
                <w:rFonts w:ascii="Verdana" w:hAnsi="Verdana" w:cs="Arial"/>
                <w:color w:val="000000"/>
              </w:rPr>
              <w:t xml:space="preserve"> and cost effective</w:t>
            </w:r>
            <w:r w:rsidR="00124EA6" w:rsidRPr="006B3934">
              <w:rPr>
                <w:rFonts w:ascii="Verdana" w:hAnsi="Verdana" w:cs="Arial"/>
                <w:color w:val="000000"/>
              </w:rPr>
              <w:t xml:space="preserve">. </w:t>
            </w:r>
          </w:p>
        </w:tc>
      </w:tr>
      <w:tr w:rsidR="00A47CB7" w:rsidRPr="004E00B6" w14:paraId="3C8F6615" w14:textId="77777777" w:rsidTr="008338FB">
        <w:trPr>
          <w:trHeight w:val="73"/>
        </w:trPr>
        <w:tc>
          <w:tcPr>
            <w:tcW w:w="745" w:type="pct"/>
          </w:tcPr>
          <w:p w14:paraId="66C49B6A" w14:textId="544C7CCA" w:rsidR="00A47CB7" w:rsidRDefault="00A47CB7" w:rsidP="000431DA">
            <w:pPr>
              <w:spacing w:before="120" w:after="120"/>
              <w:jc w:val="center"/>
              <w:rPr>
                <w:rFonts w:ascii="Verdana" w:hAnsi="Verdana"/>
                <w:b/>
                <w:bCs/>
                <w:color w:val="000000"/>
              </w:rPr>
            </w:pPr>
            <w:r>
              <w:rPr>
                <w:rFonts w:ascii="Verdana" w:hAnsi="Verdana"/>
                <w:b/>
                <w:bCs/>
                <w:color w:val="000000"/>
              </w:rPr>
              <w:t>MAO</w:t>
            </w:r>
          </w:p>
        </w:tc>
        <w:tc>
          <w:tcPr>
            <w:tcW w:w="992" w:type="pct"/>
          </w:tcPr>
          <w:p w14:paraId="1F8B0FEB" w14:textId="0B712792" w:rsidR="00A47CB7" w:rsidRPr="002C36C7" w:rsidRDefault="00A47CB7" w:rsidP="000431DA">
            <w:pPr>
              <w:spacing w:before="120" w:after="120"/>
              <w:rPr>
                <w:rFonts w:ascii="Verdana" w:hAnsi="Verdana"/>
                <w:color w:val="000000"/>
              </w:rPr>
            </w:pPr>
            <w:r>
              <w:rPr>
                <w:rFonts w:ascii="Verdana" w:hAnsi="Verdana"/>
                <w:color w:val="000000"/>
              </w:rPr>
              <w:t>Medicare Advantage Organization</w:t>
            </w:r>
          </w:p>
        </w:tc>
        <w:tc>
          <w:tcPr>
            <w:tcW w:w="3263" w:type="pct"/>
          </w:tcPr>
          <w:p w14:paraId="34EE7F1E" w14:textId="348497DD" w:rsidR="00A47CB7" w:rsidRDefault="00A47CB7" w:rsidP="000431DA">
            <w:pPr>
              <w:spacing w:before="120" w:after="120"/>
              <w:rPr>
                <w:rFonts w:ascii="Verdana" w:hAnsi="Verdana" w:cs="Arial"/>
              </w:rPr>
            </w:pPr>
            <w:r>
              <w:rPr>
                <w:rFonts w:ascii="Verdana" w:hAnsi="Verdana" w:cs="Arial"/>
              </w:rPr>
              <w:t xml:space="preserve">Organization that manages Medicare plans. </w:t>
            </w:r>
          </w:p>
        </w:tc>
      </w:tr>
      <w:tr w:rsidR="000431DA" w:rsidRPr="004E00B6" w14:paraId="7F3E2008" w14:textId="77777777" w:rsidTr="008338FB">
        <w:trPr>
          <w:trHeight w:val="20"/>
        </w:trPr>
        <w:tc>
          <w:tcPr>
            <w:tcW w:w="745" w:type="pct"/>
          </w:tcPr>
          <w:p w14:paraId="35B490FE" w14:textId="77777777" w:rsidR="007E2F4A" w:rsidRPr="00F4531F" w:rsidRDefault="007E2F4A" w:rsidP="000431DA">
            <w:pPr>
              <w:spacing w:before="120" w:after="120"/>
              <w:jc w:val="center"/>
              <w:rPr>
                <w:rFonts w:ascii="Verdana" w:hAnsi="Verdana"/>
                <w:b/>
                <w:bCs/>
                <w:color w:val="000000"/>
              </w:rPr>
            </w:pPr>
            <w:r>
              <w:rPr>
                <w:rFonts w:ascii="Verdana" w:hAnsi="Verdana"/>
                <w:b/>
                <w:bCs/>
                <w:color w:val="000000"/>
              </w:rPr>
              <w:t xml:space="preserve">MAT </w:t>
            </w:r>
          </w:p>
        </w:tc>
        <w:tc>
          <w:tcPr>
            <w:tcW w:w="992" w:type="pct"/>
          </w:tcPr>
          <w:p w14:paraId="6B2B207C" w14:textId="77777777" w:rsidR="007E2F4A" w:rsidRPr="002C36C7" w:rsidRDefault="007E2F4A" w:rsidP="000431DA">
            <w:pPr>
              <w:spacing w:before="120" w:after="120"/>
              <w:rPr>
                <w:rFonts w:ascii="Verdana" w:hAnsi="Verdana"/>
                <w:color w:val="000000"/>
              </w:rPr>
            </w:pPr>
            <w:r w:rsidRPr="002C36C7">
              <w:rPr>
                <w:rFonts w:ascii="Verdana" w:hAnsi="Verdana"/>
                <w:color w:val="000000"/>
              </w:rPr>
              <w:t xml:space="preserve">Medication Assisted Treatment </w:t>
            </w:r>
          </w:p>
        </w:tc>
        <w:tc>
          <w:tcPr>
            <w:tcW w:w="3263" w:type="pct"/>
          </w:tcPr>
          <w:p w14:paraId="708A286F" w14:textId="77777777" w:rsidR="007E2F4A" w:rsidRDefault="007E2F4A" w:rsidP="000431DA">
            <w:pPr>
              <w:spacing w:before="120" w:after="120"/>
              <w:rPr>
                <w:rFonts w:ascii="Verdana" w:hAnsi="Verdana" w:cs="Arial"/>
              </w:rPr>
            </w:pPr>
            <w:r>
              <w:rPr>
                <w:rFonts w:ascii="Verdana" w:hAnsi="Verdana" w:cs="Arial"/>
              </w:rPr>
              <w:t xml:space="preserve">The use of medications in combination with counseling and behavioral therapies for the treatment of substance use disorders. </w:t>
            </w:r>
          </w:p>
        </w:tc>
      </w:tr>
      <w:tr w:rsidR="009C33EF" w:rsidRPr="004E00B6" w14:paraId="1A85FC1B" w14:textId="77777777" w:rsidTr="008338FB">
        <w:tc>
          <w:tcPr>
            <w:tcW w:w="745" w:type="pct"/>
          </w:tcPr>
          <w:p w14:paraId="36456AA6" w14:textId="633B9019" w:rsidR="007E2F4A" w:rsidRPr="00F4531F" w:rsidRDefault="007E2F4A" w:rsidP="000431DA">
            <w:pPr>
              <w:spacing w:before="120" w:after="120"/>
              <w:jc w:val="center"/>
              <w:rPr>
                <w:rFonts w:ascii="Verdana" w:hAnsi="Verdana"/>
                <w:b/>
                <w:bCs/>
                <w:color w:val="000000"/>
              </w:rPr>
            </w:pPr>
            <w:bookmarkStart w:id="5" w:name="MBI"/>
            <w:r w:rsidRPr="002A444A">
              <w:rPr>
                <w:rFonts w:ascii="Verdana" w:hAnsi="Verdana"/>
                <w:b/>
              </w:rPr>
              <w:t>MBI</w:t>
            </w:r>
            <w:bookmarkEnd w:id="5"/>
          </w:p>
        </w:tc>
        <w:tc>
          <w:tcPr>
            <w:tcW w:w="992" w:type="pct"/>
          </w:tcPr>
          <w:p w14:paraId="201936E7" w14:textId="77777777" w:rsidR="007E2F4A" w:rsidRPr="002C36C7" w:rsidRDefault="007E2F4A" w:rsidP="000431DA">
            <w:pPr>
              <w:spacing w:before="120" w:after="120"/>
              <w:rPr>
                <w:rFonts w:ascii="Verdana" w:hAnsi="Verdana" w:cs="Arial"/>
              </w:rPr>
            </w:pPr>
            <w:r w:rsidRPr="002C36C7">
              <w:rPr>
                <w:rFonts w:ascii="Verdana" w:hAnsi="Verdana"/>
              </w:rPr>
              <w:t>Medicare Beneficiary Identifier</w:t>
            </w:r>
          </w:p>
        </w:tc>
        <w:tc>
          <w:tcPr>
            <w:tcW w:w="3263" w:type="pct"/>
          </w:tcPr>
          <w:p w14:paraId="025BF22C" w14:textId="3B2ECCA9" w:rsidR="007E2F4A" w:rsidRPr="007D0B22" w:rsidRDefault="007E2F4A" w:rsidP="000431DA">
            <w:pPr>
              <w:spacing w:before="120" w:after="120"/>
              <w:rPr>
                <w:rFonts w:ascii="Verdana" w:hAnsi="Verdana"/>
              </w:rPr>
            </w:pPr>
            <w:r w:rsidRPr="007D0B22">
              <w:rPr>
                <w:rFonts w:ascii="Verdana" w:hAnsi="Verdana"/>
              </w:rPr>
              <w:t xml:space="preserve">A randomly generated alpha numeric identifier that will replace the HICN </w:t>
            </w:r>
            <w:r w:rsidR="0076338B" w:rsidRPr="007D0B22">
              <w:rPr>
                <w:rFonts w:ascii="Verdana" w:hAnsi="Verdana"/>
              </w:rPr>
              <w:t xml:space="preserve">and BIC </w:t>
            </w:r>
            <w:r w:rsidRPr="007D0B22">
              <w:rPr>
                <w:rFonts w:ascii="Verdana" w:hAnsi="Verdana"/>
              </w:rPr>
              <w:t xml:space="preserve">for all Medicare beneficiaries beginning April 2018. </w:t>
            </w:r>
          </w:p>
          <w:p w14:paraId="1C662295" w14:textId="77777777" w:rsidR="007E2F4A" w:rsidRPr="007D0B22" w:rsidRDefault="007E2F4A" w:rsidP="000431DA">
            <w:pPr>
              <w:spacing w:before="120" w:after="120"/>
              <w:rPr>
                <w:rFonts w:ascii="Verdana" w:hAnsi="Verdana"/>
              </w:rPr>
            </w:pPr>
          </w:p>
          <w:p w14:paraId="3B467F14" w14:textId="603E4E8D" w:rsidR="007E2F4A" w:rsidRPr="004E00B6" w:rsidRDefault="007E2F4A" w:rsidP="000431DA">
            <w:pPr>
              <w:spacing w:before="120" w:after="120"/>
              <w:rPr>
                <w:rFonts w:ascii="Verdana" w:hAnsi="Verdana" w:cs="Arial"/>
              </w:rPr>
            </w:pPr>
            <w:r w:rsidRPr="007D0B22">
              <w:rPr>
                <w:rFonts w:ascii="Verdana" w:hAnsi="Verdana"/>
              </w:rPr>
              <w:t>Identification number found on the beneficiary’s Medicare Health Insurance Car</w:t>
            </w:r>
            <w:r w:rsidR="00A35756" w:rsidRPr="007D0B22">
              <w:rPr>
                <w:rFonts w:ascii="Verdana" w:hAnsi="Verdana"/>
              </w:rPr>
              <w:t>d</w:t>
            </w:r>
            <w:r w:rsidRPr="007D0B22">
              <w:rPr>
                <w:rFonts w:ascii="Verdana" w:hAnsi="Verdana"/>
              </w:rPr>
              <w:t xml:space="preserve"> (red, white, and blue Medicare card)</w:t>
            </w:r>
            <w:r w:rsidR="00D24249" w:rsidRPr="007D0B22">
              <w:rPr>
                <w:rFonts w:ascii="Verdana" w:hAnsi="Verdana"/>
              </w:rPr>
              <w:t xml:space="preserve">. </w:t>
            </w:r>
            <w:r w:rsidRPr="007D0B22">
              <w:rPr>
                <w:rFonts w:ascii="Verdana" w:hAnsi="Verdana"/>
              </w:rPr>
              <w:t xml:space="preserve">Refer to </w:t>
            </w:r>
            <w:hyperlink r:id="rId14" w:anchor="!/view?docid=a762d9c8-3265-40f8-87ec-2898f00d2d11" w:history="1">
              <w:r w:rsidR="005328E8" w:rsidRPr="007D0B22">
                <w:rPr>
                  <w:rStyle w:val="Hyperlink"/>
                  <w:rFonts w:ascii="Verdana" w:hAnsi="Verdana"/>
                </w:rPr>
                <w:t>HICN (051679)</w:t>
              </w:r>
            </w:hyperlink>
            <w:r w:rsidR="00575708" w:rsidRPr="007D0B22">
              <w:rPr>
                <w:rStyle w:val="Hyperlink"/>
                <w:rFonts w:ascii="Verdana" w:hAnsi="Verdana"/>
              </w:rPr>
              <w:t>.</w:t>
            </w:r>
          </w:p>
        </w:tc>
      </w:tr>
      <w:tr w:rsidR="009C33EF" w:rsidRPr="004E00B6" w14:paraId="05E42E01" w14:textId="77777777" w:rsidTr="008338FB">
        <w:tc>
          <w:tcPr>
            <w:tcW w:w="745" w:type="pct"/>
          </w:tcPr>
          <w:p w14:paraId="2125697C" w14:textId="77777777" w:rsidR="007E2F4A" w:rsidRPr="00F4531F" w:rsidRDefault="007E2F4A" w:rsidP="000431DA">
            <w:pPr>
              <w:spacing w:before="120" w:after="120"/>
              <w:jc w:val="center"/>
              <w:rPr>
                <w:rFonts w:ascii="Verdana" w:hAnsi="Verdana"/>
                <w:b/>
                <w:bCs/>
                <w:color w:val="000000"/>
              </w:rPr>
            </w:pPr>
            <w:r w:rsidRPr="00F4531F">
              <w:rPr>
                <w:rFonts w:ascii="Verdana" w:hAnsi="Verdana"/>
                <w:b/>
                <w:bCs/>
                <w:color w:val="000000"/>
              </w:rPr>
              <w:t>MBO</w:t>
            </w:r>
          </w:p>
        </w:tc>
        <w:tc>
          <w:tcPr>
            <w:tcW w:w="992" w:type="pct"/>
          </w:tcPr>
          <w:p w14:paraId="334C6D13" w14:textId="77777777" w:rsidR="007E2F4A" w:rsidRPr="002C36C7" w:rsidRDefault="007E2F4A" w:rsidP="000431DA">
            <w:pPr>
              <w:spacing w:before="120" w:after="120"/>
              <w:rPr>
                <w:rFonts w:ascii="Verdana" w:hAnsi="Verdana" w:cs="Arial"/>
              </w:rPr>
            </w:pPr>
            <w:r w:rsidRPr="002C36C7">
              <w:rPr>
                <w:rFonts w:ascii="Verdana" w:hAnsi="Verdana" w:cs="Arial"/>
              </w:rPr>
              <w:t>Manufacturer Back Order</w:t>
            </w:r>
          </w:p>
        </w:tc>
        <w:tc>
          <w:tcPr>
            <w:tcW w:w="3263" w:type="pct"/>
          </w:tcPr>
          <w:p w14:paraId="4905FDBE" w14:textId="0B2F2335" w:rsidR="007E2F4A" w:rsidRPr="004E00B6" w:rsidRDefault="007E2F4A" w:rsidP="000431DA">
            <w:pPr>
              <w:spacing w:before="120" w:after="120"/>
              <w:rPr>
                <w:rFonts w:ascii="Verdana" w:hAnsi="Verdana" w:cs="Arial"/>
              </w:rPr>
            </w:pPr>
            <w:r w:rsidRPr="004E00B6">
              <w:rPr>
                <w:rFonts w:ascii="Verdana" w:hAnsi="Verdana" w:cs="Arial"/>
              </w:rPr>
              <w:t>The medication is currently not available from the manufacturer, but when released this prescription will be addressed.</w:t>
            </w:r>
          </w:p>
        </w:tc>
      </w:tr>
      <w:tr w:rsidR="009C33EF" w:rsidRPr="004E00B6" w14:paraId="68ED52E9" w14:textId="77777777" w:rsidTr="008338FB">
        <w:tc>
          <w:tcPr>
            <w:tcW w:w="745" w:type="pct"/>
            <w:vMerge w:val="restart"/>
          </w:tcPr>
          <w:p w14:paraId="1DC596E2" w14:textId="023C9EDE" w:rsidR="007E2F4A" w:rsidRPr="00F4531F" w:rsidRDefault="00CE205A" w:rsidP="000431DA">
            <w:pPr>
              <w:spacing w:before="120" w:after="120"/>
              <w:jc w:val="center"/>
              <w:rPr>
                <w:rFonts w:ascii="Verdana" w:hAnsi="Verdana"/>
                <w:b/>
                <w:bCs/>
                <w:color w:val="000000"/>
              </w:rPr>
            </w:pPr>
            <w:r>
              <w:rPr>
                <w:rFonts w:ascii="Verdana" w:hAnsi="Verdana"/>
                <w:b/>
                <w:bCs/>
                <w:color w:val="000000"/>
              </w:rPr>
              <w:t xml:space="preserve"> </w:t>
            </w:r>
            <w:r w:rsidR="007E2F4A" w:rsidRPr="00F4531F">
              <w:rPr>
                <w:rFonts w:ascii="Verdana" w:hAnsi="Verdana"/>
                <w:b/>
                <w:bCs/>
                <w:color w:val="000000"/>
              </w:rPr>
              <w:t>MBR</w:t>
            </w:r>
          </w:p>
        </w:tc>
        <w:tc>
          <w:tcPr>
            <w:tcW w:w="992" w:type="pct"/>
          </w:tcPr>
          <w:p w14:paraId="403A309F" w14:textId="77777777" w:rsidR="007E2F4A" w:rsidRPr="002C36C7" w:rsidRDefault="007E2F4A" w:rsidP="000431DA">
            <w:pPr>
              <w:spacing w:before="120" w:after="120"/>
              <w:rPr>
                <w:rFonts w:ascii="Verdana" w:hAnsi="Verdana" w:cs="Arial"/>
              </w:rPr>
            </w:pPr>
            <w:r w:rsidRPr="002C36C7">
              <w:rPr>
                <w:rFonts w:ascii="Verdana" w:hAnsi="Verdana" w:cs="Courier New"/>
              </w:rPr>
              <w:t>Member</w:t>
            </w:r>
          </w:p>
        </w:tc>
        <w:tc>
          <w:tcPr>
            <w:tcW w:w="3263" w:type="pct"/>
          </w:tcPr>
          <w:p w14:paraId="1BA375DD" w14:textId="3D2D7D91" w:rsidR="007E2F4A" w:rsidRPr="004E00B6" w:rsidRDefault="007E2F4A" w:rsidP="000431DA">
            <w:pPr>
              <w:spacing w:before="120" w:after="120"/>
              <w:rPr>
                <w:rFonts w:ascii="Verdana" w:hAnsi="Verdana" w:cs="Arial"/>
              </w:rPr>
            </w:pPr>
            <w:r w:rsidRPr="004E00B6">
              <w:rPr>
                <w:rFonts w:ascii="Verdana" w:hAnsi="Verdana"/>
              </w:rPr>
              <w:t>Refers to the Plan Participant/Patient</w:t>
            </w:r>
            <w:r>
              <w:rPr>
                <w:rFonts w:ascii="Verdana" w:hAnsi="Verdana"/>
              </w:rPr>
              <w:t>.</w:t>
            </w:r>
          </w:p>
        </w:tc>
      </w:tr>
      <w:tr w:rsidR="00760EA9" w:rsidRPr="004E00B6" w14:paraId="0C75B73D" w14:textId="77777777" w:rsidTr="008338FB">
        <w:trPr>
          <w:trHeight w:val="20"/>
        </w:trPr>
        <w:tc>
          <w:tcPr>
            <w:tcW w:w="745" w:type="pct"/>
            <w:vMerge/>
          </w:tcPr>
          <w:p w14:paraId="73929440" w14:textId="77777777" w:rsidR="007E2F4A" w:rsidRPr="00F4531F" w:rsidRDefault="007E2F4A" w:rsidP="000431DA">
            <w:pPr>
              <w:spacing w:before="120" w:after="120"/>
              <w:jc w:val="center"/>
              <w:rPr>
                <w:rFonts w:ascii="Verdana" w:hAnsi="Verdana"/>
                <w:b/>
                <w:bCs/>
                <w:color w:val="000000"/>
              </w:rPr>
            </w:pPr>
          </w:p>
        </w:tc>
        <w:tc>
          <w:tcPr>
            <w:tcW w:w="992" w:type="pct"/>
          </w:tcPr>
          <w:p w14:paraId="2CC9D1E4" w14:textId="350EABC4" w:rsidR="007E2F4A" w:rsidRPr="002C36C7" w:rsidRDefault="007E2F4A" w:rsidP="000431DA">
            <w:pPr>
              <w:spacing w:before="120" w:after="120"/>
              <w:rPr>
                <w:rFonts w:ascii="Verdana" w:hAnsi="Verdana" w:cs="Courier New"/>
              </w:rPr>
            </w:pPr>
            <w:r w:rsidRPr="002C36C7">
              <w:rPr>
                <w:rFonts w:ascii="Verdana" w:hAnsi="Verdana" w:cs="Courier New"/>
              </w:rPr>
              <w:t>Medical Billing Representative</w:t>
            </w:r>
          </w:p>
        </w:tc>
        <w:tc>
          <w:tcPr>
            <w:tcW w:w="3263" w:type="pct"/>
          </w:tcPr>
          <w:p w14:paraId="5585E381" w14:textId="4016B928" w:rsidR="007E2F4A" w:rsidRPr="004E00B6" w:rsidRDefault="00FB12D3" w:rsidP="000431DA">
            <w:pPr>
              <w:spacing w:before="120" w:after="120"/>
              <w:rPr>
                <w:rFonts w:ascii="Verdana" w:hAnsi="Verdana" w:cs="Arial"/>
              </w:rPr>
            </w:pPr>
            <w:r>
              <w:rPr>
                <w:rFonts w:ascii="Verdana" w:hAnsi="Verdana" w:cs="Arial"/>
              </w:rPr>
              <w:t>An individual from the member’s medical benefit that handles billing inquiries.</w:t>
            </w:r>
          </w:p>
        </w:tc>
      </w:tr>
      <w:tr w:rsidR="009C75BE" w:rsidRPr="004E00B6" w14:paraId="4DCD747E" w14:textId="77777777" w:rsidTr="008338FB">
        <w:tc>
          <w:tcPr>
            <w:tcW w:w="745" w:type="pct"/>
            <w:vMerge w:val="restart"/>
          </w:tcPr>
          <w:p w14:paraId="1B035DCE" w14:textId="57586E1C" w:rsidR="009C75BE" w:rsidRPr="00F4531F" w:rsidRDefault="009C75BE" w:rsidP="000D7E33">
            <w:pPr>
              <w:spacing w:before="120" w:after="120"/>
              <w:jc w:val="center"/>
              <w:rPr>
                <w:rFonts w:ascii="Verdana" w:hAnsi="Verdana"/>
                <w:b/>
                <w:color w:val="000000"/>
              </w:rPr>
            </w:pPr>
            <w:r w:rsidRPr="00F4531F">
              <w:rPr>
                <w:rFonts w:ascii="Verdana" w:hAnsi="Verdana"/>
                <w:b/>
                <w:color w:val="000000"/>
              </w:rPr>
              <w:t>MC</w:t>
            </w:r>
            <w:r>
              <w:rPr>
                <w:rFonts w:ascii="Verdana" w:hAnsi="Verdana"/>
                <w:b/>
                <w:color w:val="000000"/>
              </w:rPr>
              <w:t xml:space="preserve"> </w:t>
            </w:r>
          </w:p>
        </w:tc>
        <w:tc>
          <w:tcPr>
            <w:tcW w:w="992" w:type="pct"/>
          </w:tcPr>
          <w:p w14:paraId="050B6791" w14:textId="2BD4309A" w:rsidR="009C75BE" w:rsidRPr="002C36C7" w:rsidRDefault="009C75BE" w:rsidP="000431DA">
            <w:pPr>
              <w:spacing w:before="120" w:after="120"/>
              <w:rPr>
                <w:rFonts w:ascii="Verdana" w:hAnsi="Verdana" w:cs="Arial"/>
              </w:rPr>
            </w:pPr>
            <w:r w:rsidRPr="002C36C7">
              <w:rPr>
                <w:rFonts w:ascii="Verdana" w:hAnsi="Verdana" w:cs="Arial"/>
              </w:rPr>
              <w:t>MasterCard</w:t>
            </w:r>
          </w:p>
        </w:tc>
        <w:tc>
          <w:tcPr>
            <w:tcW w:w="3263" w:type="pct"/>
          </w:tcPr>
          <w:p w14:paraId="2190DF26" w14:textId="77777777" w:rsidR="009C75BE" w:rsidRPr="004E00B6" w:rsidRDefault="009C75BE" w:rsidP="000431DA">
            <w:pPr>
              <w:spacing w:before="120" w:after="120"/>
              <w:rPr>
                <w:rFonts w:ascii="Verdana" w:hAnsi="Verdana" w:cs="Arial"/>
              </w:rPr>
            </w:pPr>
            <w:r>
              <w:rPr>
                <w:rFonts w:ascii="Verdana" w:hAnsi="Verdana" w:cs="Arial"/>
              </w:rPr>
              <w:t xml:space="preserve">A </w:t>
            </w:r>
            <w:r w:rsidRPr="004E00B6">
              <w:rPr>
                <w:rFonts w:ascii="Verdana" w:hAnsi="Verdana" w:cs="Arial"/>
              </w:rPr>
              <w:t>credit card</w:t>
            </w:r>
            <w:r>
              <w:rPr>
                <w:rFonts w:ascii="Verdana" w:hAnsi="Verdana" w:cs="Arial"/>
              </w:rPr>
              <w:t xml:space="preserve"> type.</w:t>
            </w:r>
          </w:p>
        </w:tc>
      </w:tr>
      <w:tr w:rsidR="009C75BE" w14:paraId="6F648AB3" w14:textId="77777777" w:rsidTr="008338FB">
        <w:tc>
          <w:tcPr>
            <w:tcW w:w="745" w:type="pct"/>
            <w:vMerge/>
          </w:tcPr>
          <w:p w14:paraId="5DFAEEBF" w14:textId="538733AF" w:rsidR="009C75BE" w:rsidRPr="00F4531F" w:rsidRDefault="009C75BE" w:rsidP="000431DA">
            <w:pPr>
              <w:spacing w:before="120" w:after="120"/>
              <w:jc w:val="center"/>
              <w:rPr>
                <w:rFonts w:ascii="Verdana" w:hAnsi="Verdana"/>
                <w:b/>
                <w:color w:val="000000"/>
              </w:rPr>
            </w:pPr>
          </w:p>
        </w:tc>
        <w:tc>
          <w:tcPr>
            <w:tcW w:w="992" w:type="pct"/>
          </w:tcPr>
          <w:p w14:paraId="7EA60194" w14:textId="77777777" w:rsidR="009C75BE" w:rsidRPr="002C36C7" w:rsidRDefault="009C75BE" w:rsidP="000431DA">
            <w:pPr>
              <w:spacing w:before="120" w:after="120"/>
              <w:rPr>
                <w:rFonts w:ascii="Verdana" w:hAnsi="Verdana" w:cs="Arial"/>
              </w:rPr>
            </w:pPr>
            <w:r w:rsidRPr="002C36C7">
              <w:rPr>
                <w:rFonts w:ascii="Verdana" w:hAnsi="Verdana" w:cs="Arial"/>
              </w:rPr>
              <w:t xml:space="preserve">Maintenance Choice </w:t>
            </w:r>
          </w:p>
        </w:tc>
        <w:tc>
          <w:tcPr>
            <w:tcW w:w="3263" w:type="pct"/>
          </w:tcPr>
          <w:p w14:paraId="4197960F" w14:textId="768511E5" w:rsidR="009C75BE" w:rsidRDefault="00681BAA" w:rsidP="000431DA">
            <w:pPr>
              <w:spacing w:before="120" w:after="120"/>
              <w:rPr>
                <w:rFonts w:ascii="Verdana" w:hAnsi="Verdana" w:cs="Arial"/>
              </w:rPr>
            </w:pPr>
            <w:r>
              <w:rPr>
                <w:rFonts w:ascii="Verdana" w:hAnsi="Verdana" w:cs="Arial"/>
              </w:rPr>
              <w:t>Three (3)</w:t>
            </w:r>
            <w:r w:rsidRPr="00B2268E">
              <w:rPr>
                <w:rFonts w:ascii="Verdana" w:hAnsi="Verdana" w:cs="Arial"/>
              </w:rPr>
              <w:t xml:space="preserve"> </w:t>
            </w:r>
            <w:r w:rsidR="009C75BE" w:rsidRPr="00B2268E">
              <w:rPr>
                <w:rFonts w:ascii="Verdana" w:hAnsi="Verdana" w:cs="Arial"/>
              </w:rPr>
              <w:t>plan options exist:  Voluntary (MCV) , Incentivized (MCI) and Mandatory (MCM)</w:t>
            </w:r>
            <w:r w:rsidR="009C75BE">
              <w:rPr>
                <w:rFonts w:ascii="Verdana" w:hAnsi="Verdana" w:cs="Arial"/>
              </w:rPr>
              <w:t xml:space="preserve"> </w:t>
            </w:r>
          </w:p>
        </w:tc>
      </w:tr>
      <w:tr w:rsidR="005B7E97" w14:paraId="4ED2EF18" w14:textId="77777777" w:rsidTr="008338FB">
        <w:tc>
          <w:tcPr>
            <w:tcW w:w="745" w:type="pct"/>
          </w:tcPr>
          <w:p w14:paraId="047BDE7F" w14:textId="784C0932" w:rsidR="005B7E97" w:rsidRDefault="00A0383D" w:rsidP="000431DA">
            <w:pPr>
              <w:spacing w:before="120" w:after="120"/>
              <w:jc w:val="center"/>
              <w:rPr>
                <w:rFonts w:ascii="Verdana" w:hAnsi="Verdana"/>
                <w:b/>
                <w:color w:val="000000"/>
              </w:rPr>
            </w:pPr>
            <w:bookmarkStart w:id="6" w:name="_Hlk136506186"/>
            <w:r>
              <w:rPr>
                <w:rFonts w:ascii="Verdana" w:hAnsi="Verdana"/>
                <w:b/>
                <w:color w:val="000000"/>
              </w:rPr>
              <w:t>MCAA</w:t>
            </w:r>
          </w:p>
        </w:tc>
        <w:tc>
          <w:tcPr>
            <w:tcW w:w="992" w:type="pct"/>
          </w:tcPr>
          <w:p w14:paraId="1F135F97" w14:textId="02F03EAD" w:rsidR="005B7E97" w:rsidRPr="002C36C7" w:rsidRDefault="00A0383D" w:rsidP="000431DA">
            <w:pPr>
              <w:spacing w:before="120" w:after="120"/>
              <w:rPr>
                <w:rFonts w:ascii="Verdana" w:hAnsi="Verdana" w:cs="Arial"/>
              </w:rPr>
            </w:pPr>
            <w:r>
              <w:rPr>
                <w:rFonts w:ascii="Verdana" w:hAnsi="Verdana" w:cs="Arial"/>
              </w:rPr>
              <w:t xml:space="preserve">Maintenance Choice All Access </w:t>
            </w:r>
          </w:p>
        </w:tc>
        <w:tc>
          <w:tcPr>
            <w:tcW w:w="3263" w:type="pct"/>
          </w:tcPr>
          <w:p w14:paraId="4CE7D589" w14:textId="1F85F5A6" w:rsidR="00A607FB" w:rsidRPr="00A607FB" w:rsidRDefault="00A607FB" w:rsidP="00A607FB">
            <w:pPr>
              <w:spacing w:before="120" w:after="120"/>
              <w:rPr>
                <w:color w:val="000000"/>
                <w:sz w:val="27"/>
                <w:szCs w:val="27"/>
              </w:rPr>
            </w:pPr>
            <w:r w:rsidRPr="00A607FB">
              <w:rPr>
                <w:rFonts w:ascii="Verdana" w:hAnsi="Verdana"/>
                <w:color w:val="000000"/>
              </w:rPr>
              <w:t xml:space="preserve">Everything outlined </w:t>
            </w:r>
            <w:r w:rsidR="00AA797E">
              <w:rPr>
                <w:rFonts w:ascii="Verdana" w:hAnsi="Verdana"/>
                <w:color w:val="000000"/>
              </w:rPr>
              <w:t>in Maintenance Choice Mandatory</w:t>
            </w:r>
            <w:r w:rsidR="00870D28">
              <w:rPr>
                <w:rFonts w:ascii="Verdana" w:hAnsi="Verdana"/>
                <w:color w:val="000000"/>
              </w:rPr>
              <w:t xml:space="preserve"> </w:t>
            </w:r>
            <w:r w:rsidRPr="00A607FB">
              <w:rPr>
                <w:rFonts w:ascii="Verdana" w:hAnsi="Verdana"/>
                <w:color w:val="000000"/>
              </w:rPr>
              <w:t>plus additional convenience offerings:</w:t>
            </w:r>
            <w:r w:rsidR="008717D1">
              <w:rPr>
                <w:rFonts w:ascii="Verdana" w:hAnsi="Verdana"/>
                <w:color w:val="000000"/>
              </w:rPr>
              <w:t xml:space="preserve">  </w:t>
            </w:r>
          </w:p>
          <w:p w14:paraId="46B89EFC" w14:textId="77777777" w:rsidR="003B0652" w:rsidRPr="003B0652" w:rsidRDefault="00A607FB" w:rsidP="003B0652">
            <w:pPr>
              <w:pStyle w:val="ListParagraph"/>
              <w:numPr>
                <w:ilvl w:val="0"/>
                <w:numId w:val="147"/>
              </w:numPr>
              <w:spacing w:before="120" w:after="120"/>
              <w:rPr>
                <w:rFonts w:ascii="Times New Roman" w:hAnsi="Times New Roman"/>
                <w:color w:val="000000"/>
                <w:sz w:val="24"/>
                <w:szCs w:val="24"/>
              </w:rPr>
            </w:pPr>
            <w:r w:rsidRPr="003B0652">
              <w:rPr>
                <w:rFonts w:ascii="Verdana" w:hAnsi="Verdana"/>
                <w:color w:val="000000"/>
                <w:sz w:val="24"/>
                <w:szCs w:val="24"/>
              </w:rPr>
              <w:t>On-Demand Delivery</w:t>
            </w:r>
            <w:r w:rsidR="00E557DD" w:rsidRPr="003B0652">
              <w:rPr>
                <w:rFonts w:ascii="Verdana" w:hAnsi="Verdana"/>
                <w:color w:val="000000"/>
                <w:sz w:val="24"/>
                <w:szCs w:val="24"/>
              </w:rPr>
              <w:t xml:space="preserve"> </w:t>
            </w:r>
            <w:r w:rsidRPr="003B0652">
              <w:rPr>
                <w:rFonts w:ascii="Verdana" w:hAnsi="Verdana"/>
                <w:color w:val="000000"/>
                <w:sz w:val="24"/>
                <w:szCs w:val="24"/>
              </w:rPr>
              <w:t>- arrives within 4 hours from time order is placed from the member’s preferred CVS Pharmacy.</w:t>
            </w:r>
          </w:p>
          <w:p w14:paraId="0A62CC3D" w14:textId="77777777" w:rsidR="003B0652" w:rsidRPr="003B0652" w:rsidRDefault="00A607FB" w:rsidP="003B0652">
            <w:pPr>
              <w:pStyle w:val="ListParagraph"/>
              <w:numPr>
                <w:ilvl w:val="1"/>
                <w:numId w:val="147"/>
              </w:numPr>
              <w:spacing w:before="120" w:after="120"/>
              <w:rPr>
                <w:rFonts w:ascii="Times New Roman" w:hAnsi="Times New Roman"/>
                <w:color w:val="000000"/>
                <w:sz w:val="24"/>
                <w:szCs w:val="24"/>
              </w:rPr>
            </w:pPr>
            <w:r w:rsidRPr="003B0652">
              <w:rPr>
                <w:rFonts w:ascii="Verdana" w:hAnsi="Verdana"/>
                <w:color w:val="000000"/>
                <w:sz w:val="24"/>
                <w:szCs w:val="24"/>
              </w:rPr>
              <w:t>In Manhattan, NYC, Same Day Delivery is offered for free and therefore is offered in place of on demand delivery.</w:t>
            </w:r>
          </w:p>
          <w:p w14:paraId="4546F933" w14:textId="23DA57B0" w:rsidR="005B7E97" w:rsidRPr="003B0652" w:rsidRDefault="00A607FB" w:rsidP="003B0652">
            <w:pPr>
              <w:pStyle w:val="ListParagraph"/>
              <w:numPr>
                <w:ilvl w:val="0"/>
                <w:numId w:val="147"/>
              </w:numPr>
              <w:spacing w:before="120" w:after="120"/>
              <w:rPr>
                <w:rFonts w:ascii="Times New Roman" w:hAnsi="Times New Roman"/>
                <w:color w:val="000000"/>
              </w:rPr>
            </w:pPr>
            <w:r w:rsidRPr="003B0652">
              <w:rPr>
                <w:rFonts w:ascii="Verdana" w:hAnsi="Verdana"/>
                <w:color w:val="000000"/>
                <w:sz w:val="24"/>
                <w:szCs w:val="24"/>
              </w:rPr>
              <w:t>Easy prescription transfer</w:t>
            </w:r>
            <w:r w:rsidR="009E646F" w:rsidRPr="003B0652">
              <w:rPr>
                <w:rFonts w:ascii="Verdana" w:hAnsi="Verdana"/>
                <w:color w:val="000000"/>
                <w:sz w:val="24"/>
                <w:szCs w:val="24"/>
              </w:rPr>
              <w:t xml:space="preserve"> </w:t>
            </w:r>
            <w:r w:rsidRPr="003B0652">
              <w:rPr>
                <w:rFonts w:ascii="Verdana" w:hAnsi="Verdana"/>
                <w:color w:val="000000"/>
                <w:sz w:val="24"/>
                <w:szCs w:val="24"/>
              </w:rPr>
              <w:t>- member can securely transfer their prescriptions online with just a few clicks.</w:t>
            </w:r>
          </w:p>
        </w:tc>
      </w:tr>
      <w:bookmarkEnd w:id="6"/>
      <w:tr w:rsidR="009C33EF" w14:paraId="6CA57E86" w14:textId="77777777" w:rsidTr="008338FB">
        <w:tc>
          <w:tcPr>
            <w:tcW w:w="745" w:type="pct"/>
          </w:tcPr>
          <w:p w14:paraId="7F29D947" w14:textId="77777777" w:rsidR="007E2F4A" w:rsidRPr="00F4531F" w:rsidRDefault="007E2F4A" w:rsidP="000431DA">
            <w:pPr>
              <w:spacing w:before="120" w:after="120"/>
              <w:jc w:val="center"/>
              <w:rPr>
                <w:rFonts w:ascii="Verdana" w:hAnsi="Verdana"/>
                <w:b/>
                <w:color w:val="000000"/>
              </w:rPr>
            </w:pPr>
            <w:r w:rsidRPr="002A444A">
              <w:rPr>
                <w:rFonts w:ascii="Verdana" w:hAnsi="Verdana"/>
                <w:b/>
              </w:rPr>
              <w:t>MCI</w:t>
            </w:r>
          </w:p>
        </w:tc>
        <w:tc>
          <w:tcPr>
            <w:tcW w:w="992" w:type="pct"/>
          </w:tcPr>
          <w:p w14:paraId="03817A7F" w14:textId="77777777" w:rsidR="007E2F4A" w:rsidRPr="002C36C7" w:rsidRDefault="007E2F4A" w:rsidP="000431DA">
            <w:pPr>
              <w:spacing w:before="120" w:after="120"/>
              <w:rPr>
                <w:rFonts w:ascii="Verdana" w:hAnsi="Verdana" w:cs="Arial"/>
              </w:rPr>
            </w:pPr>
            <w:r w:rsidRPr="002C36C7">
              <w:rPr>
                <w:rFonts w:ascii="Verdana" w:hAnsi="Verdana"/>
              </w:rPr>
              <w:t>Maintenance Choice Incentivized</w:t>
            </w:r>
          </w:p>
        </w:tc>
        <w:tc>
          <w:tcPr>
            <w:tcW w:w="3263" w:type="pct"/>
          </w:tcPr>
          <w:p w14:paraId="0B94F5C7" w14:textId="7958057E" w:rsidR="007E2F4A" w:rsidRDefault="00512DA1" w:rsidP="000431DA">
            <w:pPr>
              <w:spacing w:before="120" w:after="120"/>
              <w:rPr>
                <w:rFonts w:ascii="Verdana" w:hAnsi="Verdana" w:cs="Arial"/>
              </w:rPr>
            </w:pPr>
            <w:r>
              <w:rPr>
                <w:rFonts w:ascii="Verdana" w:hAnsi="Verdana"/>
                <w:noProof/>
                <w:color w:val="333333"/>
              </w:rPr>
              <w:drawing>
                <wp:inline distT="0" distB="0" distL="0" distR="0" wp14:anchorId="315FDB5B" wp14:editId="456EF9EA">
                  <wp:extent cx="304762" cy="304762"/>
                  <wp:effectExtent l="0" t="0" r="635" b="635"/>
                  <wp:docPr id="26930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20301" name="Picture 432020301"/>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E2F4A" w:rsidRPr="00B2268E">
              <w:rPr>
                <w:rFonts w:ascii="Verdana" w:hAnsi="Verdana" w:cs="Arial"/>
              </w:rPr>
              <w:t>A Maintenance Choice offering in which copays are increased after a certain number of 30-day supply fills at a retail pharmacy</w:t>
            </w:r>
            <w:r w:rsidR="00D24249" w:rsidRPr="00B2268E">
              <w:rPr>
                <w:rFonts w:ascii="Verdana" w:hAnsi="Verdana" w:cs="Arial"/>
              </w:rPr>
              <w:t xml:space="preserve">. </w:t>
            </w:r>
            <w:r w:rsidR="007E2F4A" w:rsidRPr="00B2268E">
              <w:rPr>
                <w:rFonts w:ascii="Verdana" w:hAnsi="Verdana" w:cs="Arial"/>
              </w:rPr>
              <w:t xml:space="preserve">This provides financial encouragement for the member to participate in the 90-day supply Maintenance Choice opportunity through Mail Service or at </w:t>
            </w:r>
            <w:r w:rsidR="004D4EA0">
              <w:rPr>
                <w:rFonts w:ascii="Verdana" w:hAnsi="Verdana" w:cs="Arial"/>
              </w:rPr>
              <w:t xml:space="preserve">a </w:t>
            </w:r>
            <w:r w:rsidR="004D4EA0" w:rsidRPr="004D4EA0">
              <w:rPr>
                <w:rFonts w:ascii="Verdana" w:hAnsi="Verdana" w:cs="Arial"/>
              </w:rPr>
              <w:t>select retail participating pharmacy (CVS Retail, Costco Pharmacy, Kroger, or select independent pharmacies, etc.).</w:t>
            </w:r>
            <w:r w:rsidR="00D378E9">
              <w:rPr>
                <w:rFonts w:ascii="Verdana" w:hAnsi="Verdana" w:cs="Arial"/>
              </w:rPr>
              <w:t xml:space="preserve"> </w:t>
            </w:r>
            <w:r w:rsidR="007E2F4A" w:rsidRPr="00B2268E">
              <w:rPr>
                <w:rFonts w:ascii="Verdana" w:hAnsi="Verdana" w:cs="Arial"/>
              </w:rPr>
              <w:t>It is client-specific, with the client determining what the copay will be and when it will change.</w:t>
            </w:r>
            <w:r w:rsidR="007E2F4A">
              <w:rPr>
                <w:rFonts w:ascii="Verdana" w:hAnsi="Verdana" w:cs="Arial"/>
              </w:rPr>
              <w:t xml:space="preserve"> </w:t>
            </w:r>
          </w:p>
        </w:tc>
      </w:tr>
      <w:tr w:rsidR="009C33EF" w:rsidRPr="000F184C" w:rsidDel="00B2268E" w14:paraId="0B5C51F7" w14:textId="77777777" w:rsidTr="008338FB">
        <w:tc>
          <w:tcPr>
            <w:tcW w:w="745" w:type="pct"/>
          </w:tcPr>
          <w:p w14:paraId="23F3D377" w14:textId="77777777" w:rsidR="007E2F4A" w:rsidRPr="002A444A" w:rsidRDefault="007E2F4A" w:rsidP="000431DA">
            <w:pPr>
              <w:spacing w:before="120" w:after="120"/>
              <w:jc w:val="center"/>
              <w:rPr>
                <w:rFonts w:ascii="Verdana" w:hAnsi="Verdana"/>
                <w:b/>
              </w:rPr>
            </w:pPr>
            <w:r>
              <w:rPr>
                <w:rFonts w:ascii="Verdana" w:hAnsi="Verdana"/>
                <w:b/>
              </w:rPr>
              <w:t xml:space="preserve">MCM </w:t>
            </w:r>
          </w:p>
        </w:tc>
        <w:tc>
          <w:tcPr>
            <w:tcW w:w="992" w:type="pct"/>
          </w:tcPr>
          <w:p w14:paraId="5C044E93" w14:textId="77777777" w:rsidR="007E2F4A" w:rsidRPr="002C36C7" w:rsidRDefault="007E2F4A" w:rsidP="000431DA">
            <w:pPr>
              <w:spacing w:before="120" w:after="120"/>
              <w:rPr>
                <w:rFonts w:ascii="Verdana" w:hAnsi="Verdana"/>
              </w:rPr>
            </w:pPr>
            <w:r w:rsidRPr="002C36C7">
              <w:rPr>
                <w:rFonts w:ascii="Verdana" w:hAnsi="Verdana"/>
              </w:rPr>
              <w:t xml:space="preserve">Maintenance Choice Mandatory </w:t>
            </w:r>
          </w:p>
        </w:tc>
        <w:tc>
          <w:tcPr>
            <w:tcW w:w="3263" w:type="pct"/>
          </w:tcPr>
          <w:p w14:paraId="2C474F25" w14:textId="0661FF45" w:rsidR="007E2F4A" w:rsidRPr="00B2268E" w:rsidRDefault="00087D16" w:rsidP="000431DA">
            <w:pPr>
              <w:spacing w:before="120" w:after="120"/>
              <w:rPr>
                <w:rFonts w:ascii="Verdana" w:hAnsi="Verdana"/>
              </w:rPr>
            </w:pPr>
            <w:r>
              <w:rPr>
                <w:rFonts w:ascii="Verdana" w:hAnsi="Verdana"/>
                <w:noProof/>
                <w:color w:val="333333"/>
              </w:rPr>
              <w:drawing>
                <wp:inline distT="0" distB="0" distL="0" distR="0" wp14:anchorId="2706803A" wp14:editId="3F71F27C">
                  <wp:extent cx="304762" cy="304762"/>
                  <wp:effectExtent l="0" t="0" r="635" b="635"/>
                  <wp:docPr id="193187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20301" name="Picture 432020301"/>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E2F4A" w:rsidRPr="00B2268E">
              <w:rPr>
                <w:rFonts w:ascii="Verdana" w:hAnsi="Verdana"/>
              </w:rPr>
              <w:t>A Maintenance Choice offering in which the member is limited to a certain number of 30-day supply fills at a retail pharmacy</w:t>
            </w:r>
            <w:r w:rsidR="00D24249" w:rsidRPr="00B2268E">
              <w:rPr>
                <w:rFonts w:ascii="Verdana" w:hAnsi="Verdana"/>
              </w:rPr>
              <w:t xml:space="preserve">. </w:t>
            </w:r>
            <w:r w:rsidR="007E2F4A" w:rsidRPr="00B2268E">
              <w:rPr>
                <w:rFonts w:ascii="Verdana" w:hAnsi="Verdana"/>
              </w:rPr>
              <w:t>After the limit is reached, the medication will only be covered in 90-day supplies through Maintenance Choice at Mail Service or a</w:t>
            </w:r>
            <w:r w:rsidR="00AD227F">
              <w:rPr>
                <w:rFonts w:ascii="Verdana" w:hAnsi="Verdana"/>
              </w:rPr>
              <w:t xml:space="preserve"> </w:t>
            </w:r>
            <w:r w:rsidR="00AD227F" w:rsidRPr="00AD227F">
              <w:rPr>
                <w:rFonts w:ascii="Verdana" w:hAnsi="Verdana"/>
              </w:rPr>
              <w:t>select retail participating pharmacy (CVS Retail, Costco Pharmacy, Kroger, or select independent pharmacies, etc.).</w:t>
            </w:r>
            <w:r w:rsidR="007E2F4A" w:rsidRPr="00B2268E">
              <w:rPr>
                <w:rFonts w:ascii="Verdana" w:hAnsi="Verdana"/>
              </w:rPr>
              <w:t xml:space="preserve"> </w:t>
            </w:r>
            <w:r w:rsidR="00D24249" w:rsidRPr="00B2268E">
              <w:rPr>
                <w:rFonts w:ascii="Verdana" w:hAnsi="Verdana"/>
              </w:rPr>
              <w:t xml:space="preserve">. </w:t>
            </w:r>
          </w:p>
          <w:p w14:paraId="46B40DF1" w14:textId="77777777" w:rsidR="007E2F4A" w:rsidRPr="00B2268E" w:rsidRDefault="007E2F4A" w:rsidP="000431DA">
            <w:pPr>
              <w:spacing w:before="120" w:after="120"/>
              <w:rPr>
                <w:rFonts w:ascii="Verdana" w:hAnsi="Verdana"/>
              </w:rPr>
            </w:pPr>
          </w:p>
          <w:p w14:paraId="0487A5AE" w14:textId="0D293096" w:rsidR="007E2F4A" w:rsidRDefault="007E2F4A" w:rsidP="000431DA">
            <w:pPr>
              <w:spacing w:before="120" w:after="120"/>
              <w:rPr>
                <w:rFonts w:ascii="Verdana" w:hAnsi="Verdana"/>
              </w:rPr>
            </w:pPr>
            <w:r w:rsidRPr="00B2268E">
              <w:rPr>
                <w:rFonts w:ascii="Verdana" w:hAnsi="Verdana"/>
              </w:rPr>
              <w:t>If the member continues to fill 30-day supplies, they will not be covered by the plan</w:t>
            </w:r>
            <w:r w:rsidR="00D24249" w:rsidRPr="00B2268E">
              <w:rPr>
                <w:rFonts w:ascii="Verdana" w:hAnsi="Verdana"/>
              </w:rPr>
              <w:t xml:space="preserve">. </w:t>
            </w:r>
            <w:r w:rsidRPr="00B2268E">
              <w:rPr>
                <w:rFonts w:ascii="Verdana" w:hAnsi="Verdana"/>
              </w:rPr>
              <w:t>It is client-specific, with the client determining how many 30-day supply fills will be covered</w:t>
            </w:r>
            <w:r w:rsidR="00D24249" w:rsidRPr="00B2268E">
              <w:rPr>
                <w:rFonts w:ascii="Verdana" w:hAnsi="Verdana"/>
              </w:rPr>
              <w:t xml:space="preserve">. </w:t>
            </w:r>
          </w:p>
          <w:p w14:paraId="62EBB07E" w14:textId="77777777" w:rsidR="007E2F4A" w:rsidRDefault="007E2F4A" w:rsidP="000431DA">
            <w:pPr>
              <w:spacing w:before="120" w:after="120"/>
              <w:rPr>
                <w:rFonts w:ascii="Verdana" w:hAnsi="Verdana"/>
              </w:rPr>
            </w:pPr>
          </w:p>
          <w:p w14:paraId="55BB3E92" w14:textId="0B2F92F3" w:rsidR="007E2F4A" w:rsidRPr="000F184C" w:rsidDel="00B2268E" w:rsidRDefault="007E2F4A" w:rsidP="000431DA">
            <w:pPr>
              <w:spacing w:before="120" w:after="120"/>
              <w:rPr>
                <w:rFonts w:ascii="Verdana" w:hAnsi="Verdana"/>
              </w:rPr>
            </w:pPr>
            <w:r w:rsidRPr="007323B4">
              <w:rPr>
                <w:rFonts w:ascii="Verdana" w:hAnsi="Verdana"/>
              </w:rPr>
              <w:t xml:space="preserve">It is client-specific, the member </w:t>
            </w:r>
            <w:r w:rsidRPr="007323B4">
              <w:rPr>
                <w:rFonts w:ascii="Verdana" w:hAnsi="Verdana"/>
                <w:b/>
                <w:bCs/>
              </w:rPr>
              <w:t>may</w:t>
            </w:r>
            <w:r w:rsidRPr="007323B4">
              <w:rPr>
                <w:rFonts w:ascii="Verdana" w:hAnsi="Verdana"/>
              </w:rPr>
              <w:t xml:space="preserve"> </w:t>
            </w:r>
            <w:r w:rsidRPr="007323B4">
              <w:rPr>
                <w:rFonts w:ascii="Verdana" w:hAnsi="Verdana"/>
                <w:b/>
                <w:bCs/>
              </w:rPr>
              <w:t>have</w:t>
            </w:r>
            <w:r w:rsidRPr="007323B4">
              <w:rPr>
                <w:rFonts w:ascii="Verdana" w:hAnsi="Verdana"/>
              </w:rPr>
              <w:t xml:space="preserve"> to be opted out of the program with an override</w:t>
            </w:r>
            <w:r w:rsidR="00D24249" w:rsidRPr="007323B4">
              <w:rPr>
                <w:rFonts w:ascii="Verdana" w:hAnsi="Verdana"/>
              </w:rPr>
              <w:t xml:space="preserve">. </w:t>
            </w:r>
            <w:r w:rsidRPr="007323B4">
              <w:rPr>
                <w:rFonts w:ascii="Verdana" w:hAnsi="Verdana"/>
              </w:rPr>
              <w:t xml:space="preserve">Review the plan benefit override tab to see if an opt out is required or review the client’s CIF. </w:t>
            </w:r>
          </w:p>
        </w:tc>
      </w:tr>
      <w:tr w:rsidR="009C33EF" w:rsidRPr="004E00B6" w14:paraId="48B72928" w14:textId="77777777" w:rsidTr="008338FB">
        <w:tc>
          <w:tcPr>
            <w:tcW w:w="745" w:type="pct"/>
          </w:tcPr>
          <w:p w14:paraId="6FC12BEC"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MCO</w:t>
            </w:r>
          </w:p>
        </w:tc>
        <w:tc>
          <w:tcPr>
            <w:tcW w:w="992" w:type="pct"/>
          </w:tcPr>
          <w:p w14:paraId="60BEE99B" w14:textId="77777777" w:rsidR="007E2F4A" w:rsidRPr="002C36C7" w:rsidRDefault="007E2F4A" w:rsidP="000431DA">
            <w:pPr>
              <w:spacing w:before="120" w:after="120"/>
              <w:rPr>
                <w:rFonts w:ascii="Verdana" w:hAnsi="Verdana" w:cs="Arial"/>
              </w:rPr>
            </w:pPr>
            <w:r w:rsidRPr="002C36C7">
              <w:rPr>
                <w:rFonts w:ascii="Verdana" w:hAnsi="Verdana" w:cs="Arial"/>
              </w:rPr>
              <w:t>Managed Care Organization</w:t>
            </w:r>
          </w:p>
        </w:tc>
        <w:tc>
          <w:tcPr>
            <w:tcW w:w="3263" w:type="pct"/>
          </w:tcPr>
          <w:p w14:paraId="1714B64E" w14:textId="440E81DF" w:rsidR="007E2F4A" w:rsidRPr="006B3934" w:rsidRDefault="007E2F4A" w:rsidP="000431DA">
            <w:pPr>
              <w:spacing w:before="120" w:after="120"/>
              <w:rPr>
                <w:rFonts w:ascii="Verdana" w:hAnsi="Verdana" w:cs="Arial"/>
              </w:rPr>
            </w:pPr>
            <w:r w:rsidRPr="006B3934">
              <w:rPr>
                <w:rFonts w:ascii="Verdana" w:hAnsi="Verdana" w:cs="Arial"/>
              </w:rPr>
              <w:t>An organization that provides health care insurance (</w:t>
            </w:r>
            <w:r w:rsidR="0059034A">
              <w:rPr>
                <w:rFonts w:ascii="Verdana" w:hAnsi="Verdana" w:cs="Arial"/>
                <w:b/>
                <w:bCs/>
              </w:rPr>
              <w:t>Example:</w:t>
            </w:r>
            <w:r w:rsidR="0059034A">
              <w:rPr>
                <w:rFonts w:ascii="Verdana" w:hAnsi="Verdana" w:cs="Arial"/>
              </w:rPr>
              <w:t xml:space="preserve"> </w:t>
            </w:r>
            <w:r w:rsidRPr="006B3934">
              <w:rPr>
                <w:rFonts w:ascii="Verdana" w:hAnsi="Verdana" w:cs="Arial"/>
              </w:rPr>
              <w:t xml:space="preserve"> medical, dental, pharmaceutical, </w:t>
            </w:r>
            <w:r w:rsidR="003075E7" w:rsidRPr="003075E7">
              <w:rPr>
                <w:rFonts w:ascii="Verdana" w:hAnsi="Verdana" w:cs="Arial"/>
              </w:rPr>
              <w:t>etc</w:t>
            </w:r>
            <w:r w:rsidR="00371C11">
              <w:rPr>
                <w:rFonts w:ascii="Verdana" w:hAnsi="Verdana" w:cs="Arial"/>
              </w:rPr>
              <w:t>.</w:t>
            </w:r>
            <w:r w:rsidRPr="006B3934">
              <w:rPr>
                <w:rFonts w:ascii="Verdana" w:hAnsi="Verdana" w:cs="Arial"/>
              </w:rPr>
              <w:t>) designed to provide high quality care at the lowest possible cost</w:t>
            </w:r>
            <w:r w:rsidR="00D24249" w:rsidRPr="006B3934">
              <w:rPr>
                <w:rFonts w:ascii="Verdana" w:hAnsi="Verdana" w:cs="Arial"/>
              </w:rPr>
              <w:t xml:space="preserve">. </w:t>
            </w:r>
            <w:r w:rsidRPr="006B3934">
              <w:rPr>
                <w:rFonts w:ascii="Verdana" w:hAnsi="Verdana" w:cs="Arial"/>
              </w:rPr>
              <w:t xml:space="preserve">An MCO primarily delivers health care by using a variety of utilization/quality control and cost containment </w:t>
            </w:r>
            <w:r w:rsidR="00F97FE5" w:rsidRPr="006B3934">
              <w:rPr>
                <w:rFonts w:ascii="Verdana" w:hAnsi="Verdana" w:cs="Arial"/>
              </w:rPr>
              <w:t>methods,</w:t>
            </w:r>
            <w:r w:rsidRPr="006B3934">
              <w:rPr>
                <w:rFonts w:ascii="Verdana" w:hAnsi="Verdana" w:cs="Arial"/>
              </w:rPr>
              <w:t xml:space="preserve"> including:</w:t>
            </w:r>
            <w:r w:rsidR="008717D1">
              <w:rPr>
                <w:rFonts w:ascii="Verdana" w:hAnsi="Verdana" w:cs="Arial"/>
              </w:rPr>
              <w:t xml:space="preserve">  </w:t>
            </w:r>
          </w:p>
          <w:p w14:paraId="10A27D65" w14:textId="77777777" w:rsidR="007E2F4A" w:rsidRPr="006B3934" w:rsidRDefault="007E2F4A" w:rsidP="000431DA">
            <w:pPr>
              <w:numPr>
                <w:ilvl w:val="0"/>
                <w:numId w:val="30"/>
              </w:numPr>
              <w:spacing w:before="120" w:after="120"/>
              <w:rPr>
                <w:rFonts w:ascii="Verdana" w:hAnsi="Verdana" w:cs="Arial"/>
              </w:rPr>
            </w:pPr>
            <w:r w:rsidRPr="006B3934">
              <w:rPr>
                <w:rFonts w:ascii="Verdana" w:hAnsi="Verdana" w:cs="Arial"/>
              </w:rPr>
              <w:t>Health Maintenance Organizations (HMOs)</w:t>
            </w:r>
          </w:p>
          <w:p w14:paraId="44B141DD" w14:textId="77777777" w:rsidR="007E2F4A" w:rsidRPr="006B3934" w:rsidRDefault="007E2F4A" w:rsidP="000431DA">
            <w:pPr>
              <w:numPr>
                <w:ilvl w:val="0"/>
                <w:numId w:val="30"/>
              </w:numPr>
              <w:spacing w:before="120" w:after="120"/>
              <w:rPr>
                <w:rFonts w:ascii="Verdana" w:hAnsi="Verdana" w:cs="Arial"/>
              </w:rPr>
            </w:pPr>
            <w:r w:rsidRPr="006B3934">
              <w:rPr>
                <w:rFonts w:ascii="Verdana" w:hAnsi="Verdana" w:cs="Arial"/>
              </w:rPr>
              <w:t>Point of Service (POS)</w:t>
            </w:r>
          </w:p>
          <w:p w14:paraId="5F38A1A3" w14:textId="77777777" w:rsidR="007E2F4A" w:rsidRPr="006B3934" w:rsidRDefault="007E2F4A" w:rsidP="000431DA">
            <w:pPr>
              <w:numPr>
                <w:ilvl w:val="0"/>
                <w:numId w:val="30"/>
              </w:numPr>
              <w:spacing w:before="120" w:after="120"/>
              <w:rPr>
                <w:rFonts w:ascii="Verdana" w:hAnsi="Verdana" w:cs="Arial"/>
              </w:rPr>
            </w:pPr>
            <w:r w:rsidRPr="006B3934">
              <w:rPr>
                <w:rFonts w:ascii="Verdana" w:hAnsi="Verdana" w:cs="Arial"/>
              </w:rPr>
              <w:t>Preferred Provider Organizations (PPOs)</w:t>
            </w:r>
          </w:p>
          <w:p w14:paraId="1A9DC8B4" w14:textId="77777777" w:rsidR="007E2F4A" w:rsidRPr="006B3934" w:rsidRDefault="007E2F4A" w:rsidP="000431DA">
            <w:pPr>
              <w:numPr>
                <w:ilvl w:val="0"/>
                <w:numId w:val="30"/>
              </w:numPr>
              <w:spacing w:before="120" w:after="120"/>
              <w:rPr>
                <w:rFonts w:ascii="Verdana" w:hAnsi="Verdana" w:cs="Arial"/>
              </w:rPr>
            </w:pPr>
            <w:r w:rsidRPr="006B3934">
              <w:rPr>
                <w:rFonts w:ascii="Verdana" w:hAnsi="Verdana" w:cs="Arial"/>
              </w:rPr>
              <w:t>Exclusive Provider Organizations (EPOs)</w:t>
            </w:r>
          </w:p>
          <w:p w14:paraId="322956BE" w14:textId="77777777" w:rsidR="007E2F4A" w:rsidRPr="006B3934" w:rsidRDefault="007E2F4A" w:rsidP="000431DA">
            <w:pPr>
              <w:numPr>
                <w:ilvl w:val="0"/>
                <w:numId w:val="30"/>
              </w:numPr>
              <w:spacing w:before="120" w:after="120"/>
              <w:rPr>
                <w:rFonts w:ascii="Verdana" w:hAnsi="Verdana" w:cs="Arial"/>
              </w:rPr>
            </w:pPr>
            <w:r w:rsidRPr="006B3934">
              <w:rPr>
                <w:rFonts w:ascii="Verdana" w:hAnsi="Verdana" w:cs="Arial"/>
              </w:rPr>
              <w:t>Managed Indemnity insurance programs</w:t>
            </w:r>
          </w:p>
          <w:p w14:paraId="28726C72" w14:textId="2C0D0833" w:rsidR="007E2F4A" w:rsidRPr="00FF6F12" w:rsidRDefault="007E2F4A" w:rsidP="000431DA">
            <w:pPr>
              <w:numPr>
                <w:ilvl w:val="0"/>
                <w:numId w:val="30"/>
              </w:numPr>
              <w:spacing w:before="120" w:after="120"/>
              <w:rPr>
                <w:rFonts w:ascii="Verdana" w:hAnsi="Verdana" w:cs="Arial"/>
              </w:rPr>
            </w:pPr>
            <w:r w:rsidRPr="006B3934">
              <w:rPr>
                <w:rFonts w:ascii="Verdana" w:hAnsi="Verdana" w:cs="Arial"/>
              </w:rPr>
              <w:t>Managed BCBS programs</w:t>
            </w:r>
          </w:p>
        </w:tc>
      </w:tr>
      <w:tr w:rsidR="009C33EF" w:rsidRPr="000F184C" w14:paraId="174E376F" w14:textId="77777777" w:rsidTr="008338FB">
        <w:tc>
          <w:tcPr>
            <w:tcW w:w="745" w:type="pct"/>
          </w:tcPr>
          <w:p w14:paraId="35B2B1E8" w14:textId="1F45A87A" w:rsidR="007E2F4A" w:rsidRPr="00B5152B" w:rsidRDefault="00CE205A" w:rsidP="000431DA">
            <w:pPr>
              <w:spacing w:before="120" w:after="120"/>
              <w:jc w:val="center"/>
              <w:rPr>
                <w:rFonts w:ascii="Verdana" w:hAnsi="Verdana"/>
                <w:b/>
                <w:noProof/>
              </w:rPr>
            </w:pPr>
            <w:r>
              <w:rPr>
                <w:rFonts w:ascii="Verdana" w:hAnsi="Verdana"/>
                <w:b/>
                <w:noProof/>
              </w:rPr>
              <w:t xml:space="preserve"> </w:t>
            </w:r>
            <w:r w:rsidR="007E2F4A" w:rsidRPr="00B5152B">
              <w:rPr>
                <w:rFonts w:ascii="Verdana" w:hAnsi="Verdana"/>
                <w:b/>
                <w:noProof/>
              </w:rPr>
              <w:t xml:space="preserve">MCSC </w:t>
            </w:r>
          </w:p>
        </w:tc>
        <w:tc>
          <w:tcPr>
            <w:tcW w:w="992" w:type="pct"/>
          </w:tcPr>
          <w:p w14:paraId="235FEAF9" w14:textId="77777777" w:rsidR="007E2F4A" w:rsidRPr="002C36C7" w:rsidRDefault="007E2F4A" w:rsidP="000431DA">
            <w:pPr>
              <w:spacing w:before="120" w:after="120"/>
              <w:rPr>
                <w:rFonts w:ascii="Verdana" w:hAnsi="Verdana"/>
              </w:rPr>
            </w:pPr>
            <w:r w:rsidRPr="002C36C7">
              <w:rPr>
                <w:rFonts w:ascii="Verdana" w:hAnsi="Verdana"/>
              </w:rPr>
              <w:t xml:space="preserve">Medicare Customer Service Center (1-800-MEDICARE) </w:t>
            </w:r>
          </w:p>
        </w:tc>
        <w:tc>
          <w:tcPr>
            <w:tcW w:w="3263" w:type="pct"/>
          </w:tcPr>
          <w:p w14:paraId="31C61632" w14:textId="0270AB31" w:rsidR="007E2F4A" w:rsidRPr="000F184C" w:rsidRDefault="0041743C" w:rsidP="000431DA">
            <w:pPr>
              <w:spacing w:before="120" w:after="120"/>
              <w:rPr>
                <w:rFonts w:ascii="Verdana" w:hAnsi="Verdana"/>
              </w:rPr>
            </w:pPr>
            <w:r>
              <w:rPr>
                <w:rFonts w:ascii="Verdana" w:hAnsi="Verdana"/>
              </w:rPr>
              <w:t>Customer Service for Medicare, used for people who want more information about their Medicare health and drug plan options.</w:t>
            </w:r>
          </w:p>
        </w:tc>
      </w:tr>
      <w:tr w:rsidR="009C33EF" w:rsidRPr="006B3934" w14:paraId="226E385A" w14:textId="77777777" w:rsidTr="008338FB">
        <w:tc>
          <w:tcPr>
            <w:tcW w:w="745" w:type="pct"/>
          </w:tcPr>
          <w:p w14:paraId="2EB16ACD" w14:textId="77777777" w:rsidR="007E2F4A" w:rsidRDefault="007E2F4A" w:rsidP="000431DA">
            <w:pPr>
              <w:spacing w:before="120" w:after="120"/>
              <w:rPr>
                <w:noProof/>
              </w:rPr>
            </w:pPr>
            <w:r>
              <w:rPr>
                <w:noProof/>
              </w:rPr>
              <w:t xml:space="preserve"> </w:t>
            </w:r>
          </w:p>
          <w:p w14:paraId="675B0D44" w14:textId="77777777" w:rsidR="007E2F4A" w:rsidRPr="00F4531F" w:rsidRDefault="007E2F4A" w:rsidP="000431DA">
            <w:pPr>
              <w:spacing w:before="120" w:after="120"/>
              <w:jc w:val="center"/>
              <w:rPr>
                <w:rFonts w:ascii="Verdana" w:hAnsi="Verdana"/>
                <w:b/>
                <w:color w:val="000000"/>
              </w:rPr>
            </w:pPr>
            <w:r w:rsidRPr="002A444A">
              <w:rPr>
                <w:rFonts w:ascii="Verdana" w:hAnsi="Verdana"/>
                <w:b/>
              </w:rPr>
              <w:t>MCV</w:t>
            </w:r>
          </w:p>
        </w:tc>
        <w:tc>
          <w:tcPr>
            <w:tcW w:w="992" w:type="pct"/>
          </w:tcPr>
          <w:p w14:paraId="2B18DEE4" w14:textId="77777777" w:rsidR="007E2F4A" w:rsidRPr="002C36C7" w:rsidRDefault="007E2F4A" w:rsidP="000431DA">
            <w:pPr>
              <w:spacing w:before="120" w:after="120"/>
              <w:rPr>
                <w:rFonts w:ascii="Verdana" w:hAnsi="Verdana" w:cs="Arial"/>
              </w:rPr>
            </w:pPr>
            <w:r w:rsidRPr="002C36C7">
              <w:rPr>
                <w:rFonts w:ascii="Verdana" w:hAnsi="Verdana"/>
              </w:rPr>
              <w:t>Maintenance Choice Voluntary</w:t>
            </w:r>
          </w:p>
        </w:tc>
        <w:tc>
          <w:tcPr>
            <w:tcW w:w="3263" w:type="pct"/>
          </w:tcPr>
          <w:p w14:paraId="742BADF6" w14:textId="77777777" w:rsidR="007E2F4A" w:rsidRPr="000F184C" w:rsidRDefault="007E2F4A" w:rsidP="000431DA">
            <w:pPr>
              <w:spacing w:before="120" w:after="120"/>
              <w:rPr>
                <w:rFonts w:ascii="Verdana" w:hAnsi="Verdana"/>
              </w:rPr>
            </w:pPr>
            <w:r w:rsidRPr="000F184C">
              <w:rPr>
                <w:rFonts w:ascii="Verdana" w:hAnsi="Verdana"/>
              </w:rPr>
              <w:t>A Maintenance Choice offering that is voluntary. </w:t>
            </w:r>
          </w:p>
          <w:p w14:paraId="4ABDAE1A" w14:textId="547E6427" w:rsidR="007E2F4A" w:rsidRDefault="002204DA" w:rsidP="000431DA">
            <w:pPr>
              <w:spacing w:before="120" w:after="120"/>
              <w:rPr>
                <w:rFonts w:ascii="Verdana" w:hAnsi="Verdana"/>
              </w:rPr>
            </w:pPr>
            <w:r>
              <w:rPr>
                <w:rFonts w:ascii="Verdana" w:hAnsi="Verdana"/>
                <w:noProof/>
                <w:color w:val="333333"/>
              </w:rPr>
              <w:drawing>
                <wp:inline distT="0" distB="0" distL="0" distR="0" wp14:anchorId="5E29FD21" wp14:editId="0BE0BAD3">
                  <wp:extent cx="304762" cy="304762"/>
                  <wp:effectExtent l="0" t="0" r="635" b="635"/>
                  <wp:docPr id="155146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20301" name="Picture 432020301"/>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E2F4A" w:rsidRPr="000F184C">
              <w:rPr>
                <w:rFonts w:ascii="Verdana" w:hAnsi="Verdana"/>
              </w:rPr>
              <w:t xml:space="preserve">The beneficiary will not have any refill restrictions or penalties, and no opt outs will be necessary if the beneficiary does not want to use </w:t>
            </w:r>
            <w:r w:rsidR="007E2F4A">
              <w:rPr>
                <w:rFonts w:ascii="Verdana" w:hAnsi="Verdana"/>
              </w:rPr>
              <w:t>home delivery</w:t>
            </w:r>
            <w:r w:rsidR="007E2F4A" w:rsidRPr="000F184C">
              <w:rPr>
                <w:rFonts w:ascii="Verdana" w:hAnsi="Verdana"/>
              </w:rPr>
              <w:t xml:space="preserve"> or a</w:t>
            </w:r>
            <w:r w:rsidR="00122D90">
              <w:rPr>
                <w:rFonts w:ascii="Verdana" w:hAnsi="Verdana"/>
              </w:rPr>
              <w:t xml:space="preserve"> </w:t>
            </w:r>
            <w:r w:rsidR="00712DD2">
              <w:rPr>
                <w:rFonts w:ascii="Verdana" w:hAnsi="Verdana"/>
              </w:rPr>
              <w:t>s</w:t>
            </w:r>
            <w:r w:rsidR="00712DD2" w:rsidRPr="00712DD2">
              <w:rPr>
                <w:rFonts w:ascii="Verdana" w:hAnsi="Verdana"/>
              </w:rPr>
              <w:t>elect retail participating pharmacy (CVS Retail, Costco Pharmacy, Kroger, or select independent pharmacies, etc.).</w:t>
            </w:r>
          </w:p>
          <w:p w14:paraId="69CCFF79" w14:textId="77777777" w:rsidR="007E2F4A" w:rsidRDefault="007E2F4A" w:rsidP="000431DA">
            <w:pPr>
              <w:spacing w:before="120" w:after="120"/>
              <w:rPr>
                <w:rFonts w:ascii="Verdana" w:hAnsi="Verdana"/>
              </w:rPr>
            </w:pPr>
          </w:p>
          <w:p w14:paraId="7871B19A" w14:textId="77777777" w:rsidR="007E2F4A" w:rsidRPr="00B2268E" w:rsidRDefault="007E2F4A" w:rsidP="000431DA">
            <w:pPr>
              <w:spacing w:before="120" w:after="120"/>
              <w:rPr>
                <w:rFonts w:ascii="Verdana" w:hAnsi="Verdana"/>
              </w:rPr>
            </w:pPr>
            <w:r w:rsidRPr="00B2268E">
              <w:rPr>
                <w:rFonts w:ascii="Verdana" w:hAnsi="Verdana"/>
              </w:rPr>
              <w:t xml:space="preserve">This program functions similarly to the Maintenance Choice Mandatory or Incentivized with </w:t>
            </w:r>
            <w:r>
              <w:rPr>
                <w:rFonts w:ascii="Verdana" w:hAnsi="Verdana"/>
              </w:rPr>
              <w:t>one</w:t>
            </w:r>
            <w:r w:rsidRPr="00B2268E">
              <w:rPr>
                <w:rFonts w:ascii="Verdana" w:hAnsi="Verdana"/>
              </w:rPr>
              <w:t xml:space="preserve"> exception</w:t>
            </w:r>
            <w:r>
              <w:rPr>
                <w:rFonts w:ascii="Verdana" w:hAnsi="Verdana"/>
              </w:rPr>
              <w:t>:</w:t>
            </w:r>
            <w:r w:rsidRPr="00B2268E">
              <w:rPr>
                <w:rFonts w:ascii="Verdana" w:hAnsi="Verdana"/>
              </w:rPr>
              <w:t xml:space="preserve">  </w:t>
            </w:r>
          </w:p>
          <w:p w14:paraId="5E84A9AD" w14:textId="3A251ADC" w:rsidR="007E2F4A" w:rsidRPr="00FF6F12" w:rsidRDefault="007E2F4A" w:rsidP="000431DA">
            <w:pPr>
              <w:numPr>
                <w:ilvl w:val="0"/>
                <w:numId w:val="113"/>
              </w:numPr>
              <w:spacing w:before="120" w:after="120"/>
              <w:rPr>
                <w:rFonts w:ascii="Verdana" w:hAnsi="Verdana" w:cs="Arial"/>
              </w:rPr>
            </w:pPr>
            <w:r w:rsidRPr="00B2268E">
              <w:rPr>
                <w:rFonts w:ascii="Verdana" w:hAnsi="Verdana"/>
              </w:rPr>
              <w:t xml:space="preserve">The member </w:t>
            </w:r>
            <w:r w:rsidRPr="00B2268E">
              <w:rPr>
                <w:rFonts w:ascii="Verdana" w:hAnsi="Verdana"/>
                <w:b/>
                <w:bCs/>
              </w:rPr>
              <w:t>will not</w:t>
            </w:r>
            <w:r w:rsidRPr="00B2268E">
              <w:rPr>
                <w:rFonts w:ascii="Verdana" w:hAnsi="Verdana"/>
              </w:rPr>
              <w:t xml:space="preserve"> have any refill restrictions or penalties.</w:t>
            </w:r>
          </w:p>
        </w:tc>
      </w:tr>
      <w:tr w:rsidR="009C33EF" w:rsidRPr="004E00B6" w14:paraId="2F1EA5EA" w14:textId="77777777" w:rsidTr="008338FB">
        <w:tc>
          <w:tcPr>
            <w:tcW w:w="745" w:type="pct"/>
          </w:tcPr>
          <w:p w14:paraId="79749AC0"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MD</w:t>
            </w:r>
          </w:p>
        </w:tc>
        <w:tc>
          <w:tcPr>
            <w:tcW w:w="992" w:type="pct"/>
          </w:tcPr>
          <w:p w14:paraId="0961B196" w14:textId="77777777" w:rsidR="007E2F4A" w:rsidRPr="002C36C7" w:rsidRDefault="007E2F4A" w:rsidP="000431DA">
            <w:pPr>
              <w:spacing w:before="120" w:after="120"/>
              <w:rPr>
                <w:rFonts w:ascii="Verdana" w:hAnsi="Verdana" w:cs="Arial"/>
              </w:rPr>
            </w:pPr>
            <w:r w:rsidRPr="002C36C7">
              <w:rPr>
                <w:rFonts w:ascii="Verdana" w:hAnsi="Verdana" w:cs="Arial"/>
              </w:rPr>
              <w:t>Maintenance Dose</w:t>
            </w:r>
          </w:p>
        </w:tc>
        <w:tc>
          <w:tcPr>
            <w:tcW w:w="3263" w:type="pct"/>
          </w:tcPr>
          <w:p w14:paraId="3E0DB67D" w14:textId="6EAD13DF" w:rsidR="007E2F4A" w:rsidRPr="004E00B6" w:rsidRDefault="007E2F4A" w:rsidP="000431DA">
            <w:pPr>
              <w:spacing w:before="120" w:after="120"/>
              <w:rPr>
                <w:rFonts w:ascii="Verdana" w:hAnsi="Verdana" w:cs="Arial"/>
              </w:rPr>
            </w:pPr>
            <w:r w:rsidRPr="004E00B6">
              <w:rPr>
                <w:rFonts w:ascii="Verdana" w:hAnsi="Verdana" w:cs="Arial"/>
              </w:rPr>
              <w:t>A dose of medication that is lower than starting dose of a drug for continued therapy treatment</w:t>
            </w:r>
            <w:r>
              <w:rPr>
                <w:rFonts w:ascii="Verdana" w:hAnsi="Verdana" w:cs="Arial"/>
              </w:rPr>
              <w:t>.</w:t>
            </w:r>
          </w:p>
        </w:tc>
      </w:tr>
      <w:tr w:rsidR="009C33EF" w:rsidRPr="004E00B6" w14:paraId="46D061E8" w14:textId="77777777" w:rsidTr="008338FB">
        <w:tc>
          <w:tcPr>
            <w:tcW w:w="745" w:type="pct"/>
          </w:tcPr>
          <w:p w14:paraId="45CFC6F1"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MDB</w:t>
            </w:r>
          </w:p>
        </w:tc>
        <w:tc>
          <w:tcPr>
            <w:tcW w:w="992" w:type="pct"/>
          </w:tcPr>
          <w:p w14:paraId="3080F7C2" w14:textId="12A67B56" w:rsidR="007E2F4A" w:rsidRPr="002C36C7" w:rsidRDefault="007E2F4A" w:rsidP="000431DA">
            <w:pPr>
              <w:spacing w:before="120" w:after="120"/>
              <w:rPr>
                <w:rFonts w:ascii="Verdana" w:hAnsi="Verdana" w:cs="Arial"/>
              </w:rPr>
            </w:pPr>
            <w:r w:rsidRPr="002C36C7">
              <w:rPr>
                <w:rFonts w:ascii="Verdana" w:hAnsi="Verdana" w:cs="Arial"/>
              </w:rPr>
              <w:t>Medicare part B or Medicare COB</w:t>
            </w:r>
          </w:p>
        </w:tc>
        <w:tc>
          <w:tcPr>
            <w:tcW w:w="3263" w:type="pct"/>
          </w:tcPr>
          <w:p w14:paraId="5EADA644" w14:textId="77777777" w:rsidR="007E2F4A" w:rsidRPr="004E00B6" w:rsidRDefault="007E2F4A" w:rsidP="000431DA">
            <w:pPr>
              <w:spacing w:before="120" w:after="120"/>
              <w:rPr>
                <w:rFonts w:ascii="Verdana" w:hAnsi="Verdana" w:cs="Arial"/>
              </w:rPr>
            </w:pPr>
            <w:r w:rsidRPr="004E00B6">
              <w:rPr>
                <w:rFonts w:ascii="Verdana" w:hAnsi="Verdana" w:cs="Arial"/>
              </w:rPr>
              <w:t>A federal assistance program</w:t>
            </w:r>
            <w:r>
              <w:rPr>
                <w:rFonts w:ascii="Verdana" w:hAnsi="Verdana" w:cs="Arial"/>
              </w:rPr>
              <w:t>.</w:t>
            </w:r>
          </w:p>
        </w:tc>
      </w:tr>
      <w:tr w:rsidR="009C33EF" w:rsidRPr="004E00B6" w14:paraId="40ACACFE" w14:textId="77777777" w:rsidTr="008338FB">
        <w:tc>
          <w:tcPr>
            <w:tcW w:w="745" w:type="pct"/>
          </w:tcPr>
          <w:p w14:paraId="4348EE01" w14:textId="29E5E427" w:rsidR="007E2F4A" w:rsidRPr="00F4531F" w:rsidRDefault="00CE205A" w:rsidP="000431DA">
            <w:pPr>
              <w:spacing w:before="120" w:after="120"/>
              <w:jc w:val="center"/>
              <w:rPr>
                <w:rFonts w:ascii="Verdana" w:hAnsi="Verdana"/>
                <w:b/>
                <w:color w:val="000000"/>
              </w:rPr>
            </w:pPr>
            <w:r>
              <w:rPr>
                <w:rFonts w:ascii="Verdana" w:hAnsi="Verdana"/>
                <w:b/>
                <w:color w:val="000000"/>
              </w:rPr>
              <w:t xml:space="preserve"> </w:t>
            </w:r>
            <w:r w:rsidR="007E2F4A" w:rsidRPr="00F4531F">
              <w:rPr>
                <w:rFonts w:ascii="Verdana" w:hAnsi="Verdana"/>
                <w:b/>
                <w:color w:val="000000"/>
              </w:rPr>
              <w:t>MDC</w:t>
            </w:r>
          </w:p>
        </w:tc>
        <w:tc>
          <w:tcPr>
            <w:tcW w:w="992" w:type="pct"/>
          </w:tcPr>
          <w:p w14:paraId="183FB7AA" w14:textId="77B6D69E" w:rsidR="007E2F4A" w:rsidRPr="002C36C7" w:rsidRDefault="007E2F4A" w:rsidP="000431DA">
            <w:pPr>
              <w:spacing w:before="120" w:after="120"/>
              <w:rPr>
                <w:rFonts w:ascii="Verdana" w:hAnsi="Verdana" w:cs="Arial"/>
                <w:color w:val="000000"/>
              </w:rPr>
            </w:pPr>
            <w:r w:rsidRPr="002C36C7">
              <w:rPr>
                <w:rFonts w:ascii="Verdana" w:hAnsi="Verdana" w:cs="Arial"/>
                <w:color w:val="000000"/>
              </w:rPr>
              <w:t>Manufacturer Discontinued</w:t>
            </w:r>
          </w:p>
        </w:tc>
        <w:tc>
          <w:tcPr>
            <w:tcW w:w="3263" w:type="pct"/>
          </w:tcPr>
          <w:p w14:paraId="5F75AE4D" w14:textId="01C709F6" w:rsidR="007E2F4A" w:rsidRPr="004E00B6" w:rsidRDefault="00E46115" w:rsidP="000431DA">
            <w:pPr>
              <w:spacing w:before="120" w:after="120"/>
              <w:rPr>
                <w:rFonts w:ascii="Verdana" w:hAnsi="Verdana" w:cs="Arial"/>
                <w:color w:val="000000"/>
              </w:rPr>
            </w:pPr>
            <w:r>
              <w:rPr>
                <w:rFonts w:ascii="Verdana" w:hAnsi="Verdana"/>
                <w:color w:val="000000"/>
              </w:rPr>
              <w:t>A medication/program no longer available from the manufacture.</w:t>
            </w:r>
          </w:p>
        </w:tc>
      </w:tr>
      <w:tr w:rsidR="009C33EF" w:rsidRPr="004E00B6" w14:paraId="3FBE029E" w14:textId="77777777" w:rsidTr="008338FB">
        <w:tc>
          <w:tcPr>
            <w:tcW w:w="745" w:type="pct"/>
          </w:tcPr>
          <w:p w14:paraId="3B757121" w14:textId="77777777" w:rsidR="007E2F4A" w:rsidRPr="00F4531F" w:rsidRDefault="007E2F4A" w:rsidP="000431DA">
            <w:pPr>
              <w:spacing w:before="120" w:after="120"/>
              <w:jc w:val="center"/>
              <w:rPr>
                <w:rFonts w:ascii="Verdana" w:hAnsi="Verdana"/>
                <w:b/>
                <w:bCs/>
                <w:color w:val="000000"/>
              </w:rPr>
            </w:pPr>
            <w:r w:rsidRPr="00F4531F">
              <w:rPr>
                <w:rFonts w:ascii="Verdana" w:hAnsi="Verdana"/>
                <w:b/>
                <w:bCs/>
                <w:color w:val="000000"/>
              </w:rPr>
              <w:t>MDD</w:t>
            </w:r>
          </w:p>
        </w:tc>
        <w:tc>
          <w:tcPr>
            <w:tcW w:w="992" w:type="pct"/>
          </w:tcPr>
          <w:p w14:paraId="2381C533" w14:textId="77777777" w:rsidR="007E2F4A" w:rsidRPr="002C36C7" w:rsidRDefault="007E2F4A" w:rsidP="000431DA">
            <w:pPr>
              <w:spacing w:before="120" w:after="120"/>
              <w:rPr>
                <w:rFonts w:ascii="Verdana" w:hAnsi="Verdana" w:cs="Arial"/>
              </w:rPr>
            </w:pPr>
            <w:r w:rsidRPr="002C36C7">
              <w:rPr>
                <w:rFonts w:ascii="Verdana" w:hAnsi="Verdana" w:cs="Arial"/>
              </w:rPr>
              <w:t>Maximum Daily Dose</w:t>
            </w:r>
          </w:p>
        </w:tc>
        <w:tc>
          <w:tcPr>
            <w:tcW w:w="3263" w:type="pct"/>
          </w:tcPr>
          <w:p w14:paraId="21F7EFFA" w14:textId="76D0AAF0" w:rsidR="007E2F4A" w:rsidRPr="004E00B6" w:rsidRDefault="007E2F4A" w:rsidP="000431DA">
            <w:pPr>
              <w:spacing w:before="120" w:after="120"/>
              <w:rPr>
                <w:rFonts w:ascii="Verdana" w:hAnsi="Verdana" w:cs="Arial"/>
              </w:rPr>
            </w:pPr>
            <w:r w:rsidRPr="004E00B6">
              <w:rPr>
                <w:rFonts w:ascii="Verdana" w:hAnsi="Verdana" w:cs="Arial"/>
              </w:rPr>
              <w:t>The highest dose recommended by the manufacturer, maximum daily dose (mg) of a drug studied without toxicity</w:t>
            </w:r>
            <w:r>
              <w:rPr>
                <w:rFonts w:ascii="Verdana" w:hAnsi="Verdana" w:cs="Arial"/>
              </w:rPr>
              <w:t>.</w:t>
            </w:r>
          </w:p>
        </w:tc>
      </w:tr>
      <w:tr w:rsidR="009C33EF" w:rsidRPr="004E00B6" w14:paraId="5581D88A" w14:textId="77777777" w:rsidTr="008338FB">
        <w:tc>
          <w:tcPr>
            <w:tcW w:w="745" w:type="pct"/>
          </w:tcPr>
          <w:p w14:paraId="7047D2B8"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MDL</w:t>
            </w:r>
          </w:p>
        </w:tc>
        <w:tc>
          <w:tcPr>
            <w:tcW w:w="992" w:type="pct"/>
          </w:tcPr>
          <w:p w14:paraId="0E6BCFA3" w14:textId="77777777" w:rsidR="007E2F4A" w:rsidRPr="002C36C7" w:rsidRDefault="007E2F4A" w:rsidP="000431DA">
            <w:pPr>
              <w:spacing w:before="120" w:after="120"/>
              <w:rPr>
                <w:rFonts w:ascii="Verdana" w:hAnsi="Verdana" w:cs="Arial"/>
              </w:rPr>
            </w:pPr>
            <w:r w:rsidRPr="002C36C7">
              <w:rPr>
                <w:rFonts w:ascii="Verdana" w:hAnsi="Verdana" w:cs="Arial"/>
              </w:rPr>
              <w:t>Managed Drug Limitation</w:t>
            </w:r>
          </w:p>
        </w:tc>
        <w:tc>
          <w:tcPr>
            <w:tcW w:w="3263" w:type="pct"/>
          </w:tcPr>
          <w:p w14:paraId="576EECDE" w14:textId="176D44A3" w:rsidR="007E2F4A" w:rsidRPr="004E00B6" w:rsidRDefault="007E2F4A" w:rsidP="000431DA">
            <w:pPr>
              <w:spacing w:before="120" w:after="120"/>
              <w:rPr>
                <w:rFonts w:ascii="Verdana" w:hAnsi="Verdana" w:cs="Arial"/>
              </w:rPr>
            </w:pPr>
            <w:r w:rsidRPr="004E00B6">
              <w:rPr>
                <w:rFonts w:ascii="Verdana" w:hAnsi="Verdana" w:cs="Arial"/>
              </w:rPr>
              <w:t xml:space="preserve">Plan design limitations which </w:t>
            </w:r>
            <w:r w:rsidR="00F97FE5" w:rsidRPr="004E00B6">
              <w:rPr>
                <w:rFonts w:ascii="Verdana" w:hAnsi="Verdana" w:cs="Arial"/>
              </w:rPr>
              <w:t>limit</w:t>
            </w:r>
            <w:r w:rsidRPr="004E00B6">
              <w:rPr>
                <w:rFonts w:ascii="Verdana" w:hAnsi="Verdana" w:cs="Arial"/>
              </w:rPr>
              <w:t xml:space="preserve"> the quantity allowed within a typical time frame</w:t>
            </w:r>
            <w:r>
              <w:rPr>
                <w:rFonts w:ascii="Verdana" w:hAnsi="Verdana" w:cs="Arial"/>
              </w:rPr>
              <w:t>.</w:t>
            </w:r>
          </w:p>
        </w:tc>
      </w:tr>
      <w:tr w:rsidR="009C33EF" w:rsidRPr="004E00B6" w14:paraId="2928BAA4" w14:textId="77777777" w:rsidTr="008338FB">
        <w:tc>
          <w:tcPr>
            <w:tcW w:w="745" w:type="pct"/>
            <w:vMerge w:val="restart"/>
          </w:tcPr>
          <w:p w14:paraId="715D0271" w14:textId="49947EC4" w:rsidR="007E2F4A" w:rsidRPr="00F4531F" w:rsidRDefault="00CE205A" w:rsidP="000431DA">
            <w:pPr>
              <w:spacing w:before="120" w:after="120"/>
              <w:jc w:val="center"/>
              <w:rPr>
                <w:rFonts w:ascii="Verdana" w:hAnsi="Verdana"/>
                <w:b/>
                <w:color w:val="000000"/>
              </w:rPr>
            </w:pPr>
            <w:r>
              <w:rPr>
                <w:rFonts w:ascii="Verdana" w:hAnsi="Verdana"/>
                <w:b/>
                <w:color w:val="000000"/>
              </w:rPr>
              <w:t xml:space="preserve"> </w:t>
            </w:r>
            <w:r w:rsidR="007E2F4A" w:rsidRPr="00F4531F">
              <w:rPr>
                <w:rFonts w:ascii="Verdana" w:hAnsi="Verdana"/>
                <w:b/>
                <w:color w:val="000000"/>
              </w:rPr>
              <w:t>MDO</w:t>
            </w:r>
          </w:p>
        </w:tc>
        <w:tc>
          <w:tcPr>
            <w:tcW w:w="992" w:type="pct"/>
          </w:tcPr>
          <w:p w14:paraId="1833A0DD" w14:textId="77777777" w:rsidR="007E2F4A" w:rsidRPr="002C36C7" w:rsidRDefault="007E2F4A" w:rsidP="000431DA">
            <w:pPr>
              <w:spacing w:before="120" w:after="120"/>
              <w:rPr>
                <w:rFonts w:ascii="Verdana" w:hAnsi="Verdana" w:cs="Arial"/>
              </w:rPr>
            </w:pPr>
            <w:r w:rsidRPr="002C36C7">
              <w:rPr>
                <w:rFonts w:ascii="Verdana" w:hAnsi="Verdana" w:cs="Arial"/>
              </w:rPr>
              <w:t xml:space="preserve">Maintenance Drug Option </w:t>
            </w:r>
          </w:p>
          <w:p w14:paraId="0FAF02D9" w14:textId="77777777" w:rsidR="007E2F4A" w:rsidRPr="002C36C7" w:rsidRDefault="007E2F4A" w:rsidP="000431DA">
            <w:pPr>
              <w:spacing w:before="120" w:after="120"/>
              <w:rPr>
                <w:rFonts w:ascii="Verdana" w:hAnsi="Verdana" w:cs="Arial"/>
              </w:rPr>
            </w:pPr>
            <w:r w:rsidRPr="002C36C7">
              <w:rPr>
                <w:noProof/>
              </w:rPr>
              <w:t xml:space="preserve">  </w:t>
            </w:r>
          </w:p>
        </w:tc>
        <w:tc>
          <w:tcPr>
            <w:tcW w:w="3263" w:type="pct"/>
          </w:tcPr>
          <w:p w14:paraId="34E0A50D" w14:textId="612AF072" w:rsidR="007E2F4A" w:rsidRPr="004E00B6" w:rsidRDefault="007E2F4A" w:rsidP="000431DA">
            <w:pPr>
              <w:spacing w:before="120" w:after="120"/>
              <w:rPr>
                <w:rFonts w:ascii="Verdana" w:hAnsi="Verdana" w:cs="Arial"/>
              </w:rPr>
            </w:pPr>
            <w:r>
              <w:rPr>
                <w:rFonts w:ascii="Verdana" w:hAnsi="Verdana" w:cs="Arial"/>
              </w:rPr>
              <w:t>U</w:t>
            </w:r>
            <w:r w:rsidRPr="006B3934">
              <w:rPr>
                <w:rFonts w:ascii="Verdana" w:hAnsi="Verdana" w:cs="Arial"/>
              </w:rPr>
              <w:t>sed for the RECAP platform that describes a program that allows an employee to obtain a larger quantity of medication prescribed for long-term use in the treatment of chronic conditions</w:t>
            </w:r>
            <w:r w:rsidR="00D24249" w:rsidRPr="006B3934">
              <w:rPr>
                <w:rFonts w:ascii="Verdana" w:hAnsi="Verdana" w:cs="Arial"/>
              </w:rPr>
              <w:t xml:space="preserve">. </w:t>
            </w:r>
            <w:r w:rsidRPr="006B3934">
              <w:rPr>
                <w:rFonts w:ascii="Verdana" w:hAnsi="Verdana" w:cs="Arial"/>
              </w:rPr>
              <w:t xml:space="preserve">The medications are typically available through a mail order facility for a </w:t>
            </w:r>
            <w:r w:rsidR="00E657E3" w:rsidRPr="006B3934">
              <w:rPr>
                <w:rFonts w:ascii="Verdana" w:hAnsi="Verdana" w:cs="Arial"/>
              </w:rPr>
              <w:t>90-day</w:t>
            </w:r>
            <w:r w:rsidRPr="006B3934">
              <w:rPr>
                <w:rFonts w:ascii="Verdana" w:hAnsi="Verdana" w:cs="Arial"/>
              </w:rPr>
              <w:t xml:space="preserve"> supply.</w:t>
            </w:r>
          </w:p>
        </w:tc>
      </w:tr>
      <w:tr w:rsidR="009C33EF" w14:paraId="439501F7" w14:textId="77777777" w:rsidTr="008338FB">
        <w:tc>
          <w:tcPr>
            <w:tcW w:w="745" w:type="pct"/>
            <w:vMerge/>
          </w:tcPr>
          <w:p w14:paraId="1A8CF408" w14:textId="77777777" w:rsidR="007E2F4A" w:rsidRPr="00F4531F" w:rsidRDefault="007E2F4A" w:rsidP="000431DA">
            <w:pPr>
              <w:spacing w:before="120" w:after="120"/>
              <w:jc w:val="center"/>
              <w:rPr>
                <w:rFonts w:ascii="Verdana" w:hAnsi="Verdana"/>
                <w:b/>
                <w:color w:val="000000"/>
              </w:rPr>
            </w:pPr>
          </w:p>
        </w:tc>
        <w:tc>
          <w:tcPr>
            <w:tcW w:w="992" w:type="pct"/>
          </w:tcPr>
          <w:p w14:paraId="75213780" w14:textId="3A820723" w:rsidR="007E2F4A" w:rsidRPr="002C36C7" w:rsidRDefault="007E2F4A" w:rsidP="000431DA">
            <w:pPr>
              <w:spacing w:before="120" w:after="120"/>
              <w:rPr>
                <w:rFonts w:ascii="Verdana" w:hAnsi="Verdana" w:cs="Arial"/>
              </w:rPr>
            </w:pPr>
            <w:r w:rsidRPr="002C36C7">
              <w:rPr>
                <w:rFonts w:ascii="Verdana" w:hAnsi="Verdana" w:cs="Arial"/>
              </w:rPr>
              <w:t xml:space="preserve">Medical Doctor’s Office </w:t>
            </w:r>
          </w:p>
        </w:tc>
        <w:tc>
          <w:tcPr>
            <w:tcW w:w="3263" w:type="pct"/>
          </w:tcPr>
          <w:p w14:paraId="165B31DF" w14:textId="42FA3AB7" w:rsidR="007E2F4A" w:rsidRDefault="00FB12D3" w:rsidP="000431DA">
            <w:pPr>
              <w:spacing w:before="120" w:after="120"/>
              <w:rPr>
                <w:rFonts w:ascii="Verdana" w:hAnsi="Verdana" w:cs="Arial"/>
              </w:rPr>
            </w:pPr>
            <w:r>
              <w:rPr>
                <w:rFonts w:ascii="Verdana" w:hAnsi="Verdana" w:cs="Arial"/>
              </w:rPr>
              <w:t>A medical office overseen by a doctor</w:t>
            </w:r>
            <w:r w:rsidR="00E46115">
              <w:rPr>
                <w:rFonts w:ascii="Verdana" w:hAnsi="Verdana" w:cs="Arial"/>
              </w:rPr>
              <w:t xml:space="preserve"> (Physician’s office).</w:t>
            </w:r>
          </w:p>
        </w:tc>
      </w:tr>
      <w:tr w:rsidR="009C33EF" w:rsidRPr="004E00B6" w14:paraId="6EF62BA8" w14:textId="77777777" w:rsidTr="008338FB">
        <w:tc>
          <w:tcPr>
            <w:tcW w:w="745" w:type="pct"/>
          </w:tcPr>
          <w:p w14:paraId="46794549"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MDP</w:t>
            </w:r>
          </w:p>
        </w:tc>
        <w:tc>
          <w:tcPr>
            <w:tcW w:w="992" w:type="pct"/>
          </w:tcPr>
          <w:p w14:paraId="3563D238" w14:textId="77777777" w:rsidR="007E2F4A" w:rsidRPr="002C36C7" w:rsidRDefault="007E2F4A" w:rsidP="000431DA">
            <w:pPr>
              <w:spacing w:before="120" w:after="120"/>
              <w:rPr>
                <w:rFonts w:ascii="Verdana" w:hAnsi="Verdana"/>
              </w:rPr>
            </w:pPr>
            <w:r w:rsidRPr="002C36C7">
              <w:rPr>
                <w:rFonts w:ascii="Verdana" w:hAnsi="Verdana"/>
              </w:rPr>
              <w:t>Maintenance Dispensing Program</w:t>
            </w:r>
          </w:p>
        </w:tc>
        <w:tc>
          <w:tcPr>
            <w:tcW w:w="3263" w:type="pct"/>
          </w:tcPr>
          <w:p w14:paraId="62443D72" w14:textId="47572745" w:rsidR="007E2F4A" w:rsidRPr="004E00B6" w:rsidRDefault="007E2F4A" w:rsidP="000431DA">
            <w:pPr>
              <w:spacing w:before="120" w:after="120"/>
              <w:rPr>
                <w:rFonts w:ascii="Verdana" w:hAnsi="Verdana"/>
              </w:rPr>
            </w:pPr>
            <w:r w:rsidRPr="006B3934">
              <w:rPr>
                <w:rFonts w:ascii="Verdana" w:hAnsi="Verdana" w:cs="Arial"/>
              </w:rPr>
              <w:t>An alternative to mail order that enables clients to allow larger quantities of maintenance medications per fill at local retail pharmacies</w:t>
            </w:r>
            <w:r w:rsidR="00D24249" w:rsidRPr="006B3934">
              <w:rPr>
                <w:rFonts w:ascii="Verdana" w:hAnsi="Verdana" w:cs="Arial"/>
              </w:rPr>
              <w:t xml:space="preserve">. </w:t>
            </w:r>
            <w:r w:rsidRPr="006B3934">
              <w:rPr>
                <w:rFonts w:ascii="Verdana" w:hAnsi="Verdana" w:cs="Arial"/>
              </w:rPr>
              <w:t>Client savings are realized from fewer pharmacy dispensing fees, discount AWP, and fewer administrative fees.</w:t>
            </w:r>
          </w:p>
        </w:tc>
      </w:tr>
      <w:tr w:rsidR="002E021C" w:rsidRPr="004E00B6" w14:paraId="0496D922" w14:textId="77777777" w:rsidTr="008338FB">
        <w:tc>
          <w:tcPr>
            <w:tcW w:w="745" w:type="pct"/>
          </w:tcPr>
          <w:p w14:paraId="6F3F0376" w14:textId="7DAB6F46" w:rsidR="002E021C" w:rsidRPr="00F4531F" w:rsidRDefault="002E021C" w:rsidP="000431DA">
            <w:pPr>
              <w:spacing w:before="120" w:after="120"/>
              <w:jc w:val="center"/>
              <w:rPr>
                <w:rFonts w:ascii="Verdana" w:hAnsi="Verdana"/>
                <w:b/>
                <w:color w:val="000000"/>
              </w:rPr>
            </w:pPr>
            <w:r>
              <w:rPr>
                <w:rFonts w:ascii="Verdana" w:hAnsi="Verdana"/>
                <w:b/>
                <w:color w:val="000000"/>
              </w:rPr>
              <w:t>MEM</w:t>
            </w:r>
          </w:p>
        </w:tc>
        <w:tc>
          <w:tcPr>
            <w:tcW w:w="992" w:type="pct"/>
          </w:tcPr>
          <w:p w14:paraId="5F74C744" w14:textId="18565853" w:rsidR="002E021C" w:rsidRPr="002C36C7" w:rsidRDefault="002E021C" w:rsidP="000431DA">
            <w:pPr>
              <w:spacing w:before="120" w:after="120"/>
              <w:rPr>
                <w:rFonts w:ascii="Verdana" w:hAnsi="Verdana"/>
              </w:rPr>
            </w:pPr>
            <w:r>
              <w:rPr>
                <w:rFonts w:ascii="Verdana" w:hAnsi="Verdana"/>
              </w:rPr>
              <w:t>Member</w:t>
            </w:r>
          </w:p>
        </w:tc>
        <w:tc>
          <w:tcPr>
            <w:tcW w:w="3263" w:type="pct"/>
          </w:tcPr>
          <w:p w14:paraId="1E0D7038" w14:textId="72F6E46B" w:rsidR="002E021C" w:rsidRPr="006B3934" w:rsidRDefault="006E361F" w:rsidP="000431DA">
            <w:pPr>
              <w:spacing w:before="120" w:after="120"/>
              <w:rPr>
                <w:rFonts w:ascii="Verdana" w:hAnsi="Verdana" w:cs="Arial"/>
              </w:rPr>
            </w:pPr>
            <w:r w:rsidRPr="006E361F">
              <w:rPr>
                <w:rFonts w:ascii="Verdana" w:hAnsi="Verdana" w:cs="Arial"/>
              </w:rPr>
              <w:t>Refers to the Plan Participant/Patient.</w:t>
            </w:r>
            <w:r w:rsidR="002806A4">
              <w:rPr>
                <w:rFonts w:ascii="Verdana" w:hAnsi="Verdana" w:cs="Arial"/>
              </w:rPr>
              <w:t xml:space="preserve"> </w:t>
            </w:r>
          </w:p>
        </w:tc>
      </w:tr>
      <w:tr w:rsidR="009C33EF" w:rsidRPr="004E00B6" w14:paraId="6F77CE21" w14:textId="77777777" w:rsidTr="008338FB">
        <w:tc>
          <w:tcPr>
            <w:tcW w:w="745" w:type="pct"/>
          </w:tcPr>
          <w:p w14:paraId="2EFF4740"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MET</w:t>
            </w:r>
          </w:p>
        </w:tc>
        <w:tc>
          <w:tcPr>
            <w:tcW w:w="992" w:type="pct"/>
          </w:tcPr>
          <w:p w14:paraId="125D1DD2" w14:textId="77777777" w:rsidR="007E2F4A" w:rsidRPr="002C36C7" w:rsidRDefault="007E2F4A" w:rsidP="000431DA">
            <w:pPr>
              <w:spacing w:before="120" w:after="120"/>
              <w:rPr>
                <w:rFonts w:ascii="Verdana" w:hAnsi="Verdana" w:cs="Arial"/>
                <w:color w:val="000000"/>
              </w:rPr>
            </w:pPr>
            <w:r w:rsidRPr="002C36C7">
              <w:rPr>
                <w:rFonts w:ascii="Verdana" w:hAnsi="Verdana" w:cs="Arial"/>
                <w:color w:val="000000"/>
              </w:rPr>
              <w:t xml:space="preserve">Multiple Employer Trust </w:t>
            </w:r>
          </w:p>
        </w:tc>
        <w:tc>
          <w:tcPr>
            <w:tcW w:w="3263" w:type="pct"/>
          </w:tcPr>
          <w:p w14:paraId="576F9A1A" w14:textId="07C7B9A4" w:rsidR="007E2F4A" w:rsidRPr="006B3934" w:rsidRDefault="007E2F4A" w:rsidP="000431DA">
            <w:pPr>
              <w:spacing w:before="120" w:after="120"/>
              <w:rPr>
                <w:rFonts w:ascii="Verdana" w:hAnsi="Verdana" w:cs="Arial"/>
                <w:color w:val="000000"/>
              </w:rPr>
            </w:pPr>
            <w:r w:rsidRPr="006B3934">
              <w:rPr>
                <w:rFonts w:ascii="Verdana" w:hAnsi="Verdana" w:cs="Arial"/>
              </w:rPr>
              <w:t>Clients that consist of small employer units who have come together to purchase insurance benefits through a trust document.</w:t>
            </w:r>
          </w:p>
        </w:tc>
      </w:tr>
      <w:tr w:rsidR="009C33EF" w:rsidRPr="004E00B6" w14:paraId="552AB940" w14:textId="77777777" w:rsidTr="008338FB">
        <w:tc>
          <w:tcPr>
            <w:tcW w:w="745" w:type="pct"/>
          </w:tcPr>
          <w:p w14:paraId="622BBD66" w14:textId="71AE2717" w:rsidR="007E2F4A" w:rsidRPr="00F4531F" w:rsidRDefault="00CE205A" w:rsidP="000431DA">
            <w:pPr>
              <w:spacing w:before="120" w:after="120"/>
              <w:jc w:val="center"/>
              <w:rPr>
                <w:rFonts w:ascii="Verdana" w:hAnsi="Verdana"/>
                <w:b/>
                <w:color w:val="000000"/>
              </w:rPr>
            </w:pPr>
            <w:r>
              <w:rPr>
                <w:rFonts w:ascii="Verdana" w:hAnsi="Verdana"/>
                <w:b/>
                <w:color w:val="000000"/>
              </w:rPr>
              <w:t xml:space="preserve"> </w:t>
            </w:r>
            <w:r w:rsidR="007E2F4A">
              <w:rPr>
                <w:rFonts w:ascii="Verdana" w:hAnsi="Verdana"/>
                <w:b/>
                <w:color w:val="000000"/>
              </w:rPr>
              <w:t xml:space="preserve">MEQ </w:t>
            </w:r>
          </w:p>
        </w:tc>
        <w:tc>
          <w:tcPr>
            <w:tcW w:w="992" w:type="pct"/>
          </w:tcPr>
          <w:p w14:paraId="430DE42C" w14:textId="77777777" w:rsidR="007E2F4A" w:rsidRPr="002C36C7" w:rsidRDefault="007E2F4A" w:rsidP="000431DA">
            <w:pPr>
              <w:spacing w:before="120" w:after="120"/>
              <w:rPr>
                <w:rFonts w:ascii="Verdana" w:hAnsi="Verdana"/>
                <w:color w:val="000000"/>
              </w:rPr>
            </w:pPr>
            <w:r w:rsidRPr="002C36C7">
              <w:rPr>
                <w:rFonts w:ascii="Verdana" w:hAnsi="Verdana"/>
                <w:color w:val="000000"/>
              </w:rPr>
              <w:t xml:space="preserve">Member Experience Quality </w:t>
            </w:r>
          </w:p>
        </w:tc>
        <w:tc>
          <w:tcPr>
            <w:tcW w:w="3263" w:type="pct"/>
          </w:tcPr>
          <w:p w14:paraId="06F737F7" w14:textId="65E39751" w:rsidR="007E2F4A" w:rsidRPr="006B3934" w:rsidRDefault="0041743C" w:rsidP="000431DA">
            <w:pPr>
              <w:spacing w:before="120" w:after="120"/>
              <w:rPr>
                <w:rFonts w:ascii="Verdana" w:hAnsi="Verdana" w:cs="Arial"/>
              </w:rPr>
            </w:pPr>
            <w:r>
              <w:rPr>
                <w:rFonts w:ascii="Verdana" w:hAnsi="Verdana" w:cs="Arial"/>
              </w:rPr>
              <w:t>Critical element reviewed as a part of We Care Quality performance evaluations</w:t>
            </w:r>
            <w:r w:rsidR="00D24249">
              <w:rPr>
                <w:rFonts w:ascii="Verdana" w:hAnsi="Verdana" w:cs="Arial"/>
              </w:rPr>
              <w:t xml:space="preserve">. </w:t>
            </w:r>
            <w:r>
              <w:rPr>
                <w:rFonts w:ascii="Verdana" w:hAnsi="Verdana" w:cs="Arial"/>
              </w:rPr>
              <w:t xml:space="preserve">Includes qualifications such as </w:t>
            </w:r>
            <w:r w:rsidRPr="0041743C">
              <w:rPr>
                <w:rFonts w:ascii="Verdana" w:hAnsi="Verdana" w:cs="Arial"/>
              </w:rPr>
              <w:t>“</w:t>
            </w:r>
            <w:r w:rsidRPr="002A683B">
              <w:rPr>
                <w:rFonts w:ascii="Verdana" w:hAnsi="Verdana"/>
                <w:color w:val="000000"/>
              </w:rPr>
              <w:t>Did the CCR represent CVS Health in a professional, courteous, and respectful manner?”</w:t>
            </w:r>
            <w:r>
              <w:rPr>
                <w:rFonts w:ascii="Verdana" w:hAnsi="Verdana" w:cs="Arial"/>
              </w:rPr>
              <w:t xml:space="preserve">  and “</w:t>
            </w:r>
            <w:r w:rsidRPr="0041743C">
              <w:rPr>
                <w:rFonts w:ascii="Verdana" w:hAnsi="Verdana" w:cs="Arial"/>
              </w:rPr>
              <w:t>D</w:t>
            </w:r>
            <w:r w:rsidRPr="002A683B">
              <w:rPr>
                <w:rFonts w:ascii="Verdana" w:hAnsi="Verdana"/>
                <w:color w:val="000000"/>
              </w:rPr>
              <w:t>id the CCR take steps to educate and provide useful information, options and/or solutions that could avoid a member call back?”</w:t>
            </w:r>
          </w:p>
        </w:tc>
      </w:tr>
      <w:tr w:rsidR="009C33EF" w:rsidRPr="004E00B6" w14:paraId="3B546D5A" w14:textId="77777777" w:rsidTr="008338FB">
        <w:tc>
          <w:tcPr>
            <w:tcW w:w="745" w:type="pct"/>
          </w:tcPr>
          <w:p w14:paraId="36517B36" w14:textId="38D28A24"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w:t>
            </w:r>
            <w:r>
              <w:rPr>
                <w:rFonts w:ascii="Verdana" w:hAnsi="Verdana"/>
                <w:b/>
                <w:color w:val="000000"/>
              </w:rPr>
              <w:t>EQ</w:t>
            </w:r>
          </w:p>
        </w:tc>
        <w:tc>
          <w:tcPr>
            <w:tcW w:w="992" w:type="pct"/>
          </w:tcPr>
          <w:p w14:paraId="6EF091B1" w14:textId="526C0E0D" w:rsidR="007E2F4A" w:rsidRPr="002C36C7" w:rsidRDefault="00F97FE5" w:rsidP="000431DA">
            <w:pPr>
              <w:spacing w:before="120" w:after="120"/>
              <w:rPr>
                <w:rFonts w:ascii="Verdana" w:hAnsi="Verdana" w:cs="Arial"/>
              </w:rPr>
            </w:pPr>
            <w:r w:rsidRPr="002C36C7">
              <w:rPr>
                <w:rFonts w:ascii="Verdana" w:hAnsi="Verdana"/>
              </w:rPr>
              <w:t>Milliequivalent</w:t>
            </w:r>
          </w:p>
        </w:tc>
        <w:tc>
          <w:tcPr>
            <w:tcW w:w="3263" w:type="pct"/>
          </w:tcPr>
          <w:p w14:paraId="1E1233A8" w14:textId="77777777" w:rsidR="007E2F4A" w:rsidRPr="00365C0D" w:rsidRDefault="007E2F4A" w:rsidP="000431DA">
            <w:pPr>
              <w:spacing w:before="120" w:after="120"/>
              <w:rPr>
                <w:rFonts w:ascii="Verdana" w:hAnsi="Verdana" w:cs="Arial"/>
              </w:rPr>
            </w:pPr>
            <w:r w:rsidRPr="00365C0D">
              <w:rPr>
                <w:rFonts w:ascii="Verdana" w:hAnsi="Verdana"/>
              </w:rPr>
              <w:t>One-thousandth of an equivalent</w:t>
            </w:r>
            <w:r>
              <w:rPr>
                <w:rFonts w:ascii="Verdana" w:hAnsi="Verdana"/>
              </w:rPr>
              <w:t>.</w:t>
            </w:r>
          </w:p>
        </w:tc>
      </w:tr>
      <w:tr w:rsidR="009C33EF" w:rsidRPr="004E00B6" w14:paraId="3207A30F" w14:textId="77777777" w:rsidTr="008338FB">
        <w:tc>
          <w:tcPr>
            <w:tcW w:w="745" w:type="pct"/>
          </w:tcPr>
          <w:p w14:paraId="30F3EDD0"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MF</w:t>
            </w:r>
          </w:p>
        </w:tc>
        <w:tc>
          <w:tcPr>
            <w:tcW w:w="992" w:type="pct"/>
          </w:tcPr>
          <w:p w14:paraId="18F70F6B" w14:textId="77777777" w:rsidR="007E2F4A" w:rsidRPr="002C36C7" w:rsidRDefault="007E2F4A" w:rsidP="000431DA">
            <w:pPr>
              <w:spacing w:before="120" w:after="120"/>
              <w:rPr>
                <w:rFonts w:ascii="Verdana" w:hAnsi="Verdana" w:cs="Arial"/>
              </w:rPr>
            </w:pPr>
            <w:r w:rsidRPr="002C36C7">
              <w:rPr>
                <w:rFonts w:ascii="Verdana" w:hAnsi="Verdana" w:cs="Arial"/>
              </w:rPr>
              <w:t>Must Fax Queue</w:t>
            </w:r>
          </w:p>
        </w:tc>
        <w:tc>
          <w:tcPr>
            <w:tcW w:w="3263" w:type="pct"/>
          </w:tcPr>
          <w:p w14:paraId="6C23BC9C" w14:textId="2AA9AB90" w:rsidR="007E2F4A" w:rsidRPr="004E00B6" w:rsidRDefault="007E2F4A" w:rsidP="000431DA">
            <w:pPr>
              <w:spacing w:before="120" w:after="120"/>
              <w:rPr>
                <w:rFonts w:ascii="Verdana" w:hAnsi="Verdana" w:cs="Arial"/>
              </w:rPr>
            </w:pPr>
            <w:r w:rsidRPr="004E00B6">
              <w:rPr>
                <w:rFonts w:ascii="Verdana" w:hAnsi="Verdana" w:cs="Arial"/>
              </w:rPr>
              <w:t>Also known as the SX queue</w:t>
            </w:r>
            <w:r w:rsidR="00D24249" w:rsidRPr="004E00B6">
              <w:rPr>
                <w:rFonts w:ascii="Verdana" w:hAnsi="Verdana" w:cs="Arial"/>
              </w:rPr>
              <w:t xml:space="preserve">. </w:t>
            </w:r>
            <w:r w:rsidRPr="004E00B6">
              <w:rPr>
                <w:rFonts w:ascii="Verdana" w:hAnsi="Verdana" w:cs="Arial"/>
              </w:rPr>
              <w:t xml:space="preserve">The queue in which prescriptions are </w:t>
            </w:r>
            <w:r w:rsidR="00BE4806" w:rsidRPr="004E00B6">
              <w:rPr>
                <w:rFonts w:ascii="Verdana" w:hAnsi="Verdana" w:cs="Arial"/>
              </w:rPr>
              <w:t>placed</w:t>
            </w:r>
            <w:r w:rsidRPr="004E00B6">
              <w:rPr>
                <w:rFonts w:ascii="Verdana" w:hAnsi="Verdana" w:cs="Arial"/>
              </w:rPr>
              <w:t xml:space="preserve"> requires a pharmacist to reviews for a judgment or make additional contact with the physician.</w:t>
            </w:r>
          </w:p>
        </w:tc>
      </w:tr>
      <w:tr w:rsidR="009C33EF" w:rsidRPr="004E00B6" w14:paraId="1FCA95E4" w14:textId="77777777" w:rsidTr="008338FB">
        <w:tc>
          <w:tcPr>
            <w:tcW w:w="745" w:type="pct"/>
          </w:tcPr>
          <w:p w14:paraId="6A074FFC"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MForce, M-Force</w:t>
            </w:r>
          </w:p>
        </w:tc>
        <w:tc>
          <w:tcPr>
            <w:tcW w:w="992" w:type="pct"/>
          </w:tcPr>
          <w:p w14:paraId="35947913" w14:textId="77777777" w:rsidR="007E2F4A" w:rsidRPr="002C36C7" w:rsidRDefault="007E2F4A" w:rsidP="000431DA">
            <w:pPr>
              <w:spacing w:before="120" w:after="120"/>
              <w:rPr>
                <w:rFonts w:ascii="Verdana" w:hAnsi="Verdana" w:cs="Arial"/>
              </w:rPr>
            </w:pPr>
            <w:r w:rsidRPr="002C36C7">
              <w:rPr>
                <w:rFonts w:ascii="Verdana" w:hAnsi="Verdana" w:cs="Arial"/>
              </w:rPr>
              <w:t>MEDFORCE</w:t>
            </w:r>
          </w:p>
        </w:tc>
        <w:tc>
          <w:tcPr>
            <w:tcW w:w="3263" w:type="pct"/>
          </w:tcPr>
          <w:p w14:paraId="1BF5916A" w14:textId="73EBDFE4" w:rsidR="007E2F4A" w:rsidRPr="000F184C" w:rsidRDefault="007E2F4A" w:rsidP="000431DA">
            <w:pPr>
              <w:spacing w:before="120" w:after="120"/>
              <w:rPr>
                <w:rFonts w:ascii="Verdana" w:hAnsi="Verdana"/>
              </w:rPr>
            </w:pPr>
            <w:r w:rsidRPr="000F184C">
              <w:rPr>
                <w:rFonts w:ascii="Verdana" w:hAnsi="Verdana"/>
              </w:rPr>
              <w:t>Task Submission and Scan image receipt system</w:t>
            </w:r>
            <w:r w:rsidR="0074494B">
              <w:rPr>
                <w:rFonts w:ascii="Verdana" w:hAnsi="Verdana"/>
              </w:rPr>
              <w:t>.</w:t>
            </w:r>
          </w:p>
          <w:p w14:paraId="255743A3" w14:textId="4999ACAF" w:rsidR="007E2F4A" w:rsidRPr="004E00B6" w:rsidRDefault="007E2F4A" w:rsidP="000431DA">
            <w:pPr>
              <w:spacing w:before="120" w:after="120"/>
              <w:rPr>
                <w:rFonts w:ascii="Verdana" w:hAnsi="Verdana" w:cs="Arial"/>
              </w:rPr>
            </w:pPr>
            <w:r w:rsidRPr="000F184C">
              <w:rPr>
                <w:rFonts w:ascii="Verdana" w:hAnsi="Verdana"/>
              </w:rPr>
              <w:t>System that stores all incoming member correspondence including undeliverable mail.</w:t>
            </w:r>
            <w:r>
              <w:rPr>
                <w:rFonts w:ascii="Verdana" w:hAnsi="Verdana"/>
              </w:rPr>
              <w:t xml:space="preserve"> MEDFORCE is a system used by the Paper Claims Department to scan paper claims received from our members. MEDFORCE allows access for paper claims to confirm </w:t>
            </w:r>
            <w:r w:rsidR="00BE4806">
              <w:rPr>
                <w:rFonts w:ascii="Verdana" w:hAnsi="Verdana"/>
              </w:rPr>
              <w:t>whether</w:t>
            </w:r>
            <w:r>
              <w:rPr>
                <w:rFonts w:ascii="Verdana" w:hAnsi="Verdana"/>
              </w:rPr>
              <w:t xml:space="preserve"> member’s claims were received, claims </w:t>
            </w:r>
            <w:r w:rsidR="006A0A3D">
              <w:rPr>
                <w:rFonts w:ascii="Verdana" w:hAnsi="Verdana"/>
              </w:rPr>
              <w:t>processed and</w:t>
            </w:r>
            <w:r>
              <w:rPr>
                <w:rFonts w:ascii="Verdana" w:hAnsi="Verdana"/>
              </w:rPr>
              <w:t xml:space="preserve"> helps to determine discrepancies. </w:t>
            </w:r>
          </w:p>
        </w:tc>
      </w:tr>
      <w:tr w:rsidR="009C33EF" w:rsidRPr="004E00B6" w14:paraId="3FFC132A" w14:textId="77777777" w:rsidTr="008338FB">
        <w:tc>
          <w:tcPr>
            <w:tcW w:w="745" w:type="pct"/>
          </w:tcPr>
          <w:p w14:paraId="39E4FEDB"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MFN</w:t>
            </w:r>
          </w:p>
        </w:tc>
        <w:tc>
          <w:tcPr>
            <w:tcW w:w="992" w:type="pct"/>
          </w:tcPr>
          <w:p w14:paraId="2111E5C9" w14:textId="77777777" w:rsidR="007E2F4A" w:rsidRPr="002C36C7" w:rsidRDefault="007E2F4A" w:rsidP="000431DA">
            <w:pPr>
              <w:spacing w:before="120" w:after="120"/>
              <w:rPr>
                <w:rFonts w:ascii="Verdana" w:hAnsi="Verdana" w:cs="Arial"/>
              </w:rPr>
            </w:pPr>
            <w:r w:rsidRPr="002C36C7">
              <w:rPr>
                <w:rFonts w:ascii="Verdana" w:hAnsi="Verdana" w:cs="Arial"/>
              </w:rPr>
              <w:t>Most Favored Nation</w:t>
            </w:r>
          </w:p>
        </w:tc>
        <w:tc>
          <w:tcPr>
            <w:tcW w:w="3263" w:type="pct"/>
          </w:tcPr>
          <w:p w14:paraId="609B46E8" w14:textId="5C54E74A" w:rsidR="007E2F4A" w:rsidRPr="004E00B6" w:rsidRDefault="007E2F4A" w:rsidP="000431DA">
            <w:pPr>
              <w:spacing w:before="120" w:after="120"/>
              <w:rPr>
                <w:rFonts w:ascii="Verdana" w:hAnsi="Verdana" w:cs="Arial"/>
              </w:rPr>
            </w:pPr>
            <w:r w:rsidRPr="006B3934">
              <w:rPr>
                <w:rFonts w:ascii="Verdana" w:hAnsi="Verdana" w:cs="Arial"/>
              </w:rPr>
              <w:t>Discount or clause in the contractual agreement between a vendor and plan that assures that the lowest prices or terms available to any purchaser will be used</w:t>
            </w:r>
            <w:r w:rsidR="00D24249" w:rsidRPr="006B3934">
              <w:rPr>
                <w:rFonts w:ascii="Verdana" w:hAnsi="Verdana" w:cs="Arial"/>
              </w:rPr>
              <w:t xml:space="preserve">. </w:t>
            </w:r>
            <w:r w:rsidRPr="006B3934">
              <w:rPr>
                <w:rFonts w:ascii="Verdana" w:hAnsi="Verdana" w:cs="Arial"/>
              </w:rPr>
              <w:t>This follows the initiatives by the Medicare and Medicaid programs in health care contracts to assure the lowest available prices.</w:t>
            </w:r>
          </w:p>
        </w:tc>
      </w:tr>
      <w:tr w:rsidR="009C33EF" w:rsidRPr="004E00B6" w14:paraId="643882E8" w14:textId="77777777" w:rsidTr="008338FB">
        <w:tc>
          <w:tcPr>
            <w:tcW w:w="745" w:type="pct"/>
          </w:tcPr>
          <w:p w14:paraId="447806C7"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MFR</w:t>
            </w:r>
          </w:p>
        </w:tc>
        <w:tc>
          <w:tcPr>
            <w:tcW w:w="992" w:type="pct"/>
          </w:tcPr>
          <w:p w14:paraId="4BA8D5F0" w14:textId="77777777" w:rsidR="007E2F4A" w:rsidRPr="002C36C7" w:rsidRDefault="007E2F4A" w:rsidP="000431DA">
            <w:pPr>
              <w:spacing w:before="120" w:after="120"/>
              <w:rPr>
                <w:rFonts w:ascii="Verdana" w:hAnsi="Verdana" w:cs="Arial"/>
              </w:rPr>
            </w:pPr>
            <w:r w:rsidRPr="002C36C7">
              <w:rPr>
                <w:rFonts w:ascii="Verdana" w:hAnsi="Verdana" w:cs="Arial"/>
              </w:rPr>
              <w:t>Manufacturer</w:t>
            </w:r>
          </w:p>
        </w:tc>
        <w:tc>
          <w:tcPr>
            <w:tcW w:w="3263" w:type="pct"/>
          </w:tcPr>
          <w:p w14:paraId="3069C1B1" w14:textId="4AE488F7" w:rsidR="007E2F4A" w:rsidRPr="004E00B6" w:rsidRDefault="004A2383" w:rsidP="000431DA">
            <w:pPr>
              <w:spacing w:before="120" w:after="120"/>
              <w:rPr>
                <w:rFonts w:ascii="Verdana" w:hAnsi="Verdana" w:cs="Arial"/>
              </w:rPr>
            </w:pPr>
            <w:r w:rsidRPr="004A2383">
              <w:rPr>
                <w:rFonts w:ascii="Verdana" w:hAnsi="Verdana" w:cs="Arial"/>
              </w:rPr>
              <w:t>According to the FDA, a drug manufacturer is anyone who is engaged in manufacturing, preparing, propagating, compounding, processing, packaging, repackaging, or labeling of a prescription drug</w:t>
            </w:r>
            <w:r>
              <w:rPr>
                <w:rFonts w:ascii="Verdana" w:hAnsi="Verdana" w:cs="Arial"/>
              </w:rPr>
              <w:t>.</w:t>
            </w:r>
          </w:p>
        </w:tc>
      </w:tr>
      <w:tr w:rsidR="000D0DA5" w:rsidRPr="004E00B6" w14:paraId="052BD8A3" w14:textId="77777777" w:rsidTr="008338FB">
        <w:tc>
          <w:tcPr>
            <w:tcW w:w="745" w:type="pct"/>
          </w:tcPr>
          <w:p w14:paraId="79EEFB71" w14:textId="2351DF34" w:rsidR="000D0DA5" w:rsidRPr="00F4531F" w:rsidRDefault="000D0DA5" w:rsidP="000D0DA5">
            <w:pPr>
              <w:spacing w:before="120" w:after="120"/>
              <w:jc w:val="center"/>
              <w:rPr>
                <w:rFonts w:ascii="Verdana" w:hAnsi="Verdana"/>
                <w:b/>
                <w:color w:val="000000"/>
              </w:rPr>
            </w:pPr>
            <w:r>
              <w:rPr>
                <w:rFonts w:ascii="Verdana" w:hAnsi="Verdana"/>
                <w:b/>
                <w:color w:val="000000"/>
              </w:rPr>
              <w:t>MFR D/C</w:t>
            </w:r>
          </w:p>
        </w:tc>
        <w:tc>
          <w:tcPr>
            <w:tcW w:w="992" w:type="pct"/>
          </w:tcPr>
          <w:p w14:paraId="603118C8" w14:textId="16EC8CFC" w:rsidR="000D0DA5" w:rsidRPr="002C36C7" w:rsidRDefault="000D0DA5" w:rsidP="000D0DA5">
            <w:pPr>
              <w:spacing w:before="120" w:after="120"/>
              <w:rPr>
                <w:rFonts w:ascii="Verdana" w:hAnsi="Verdana" w:cs="Arial"/>
              </w:rPr>
            </w:pPr>
            <w:r>
              <w:rPr>
                <w:rFonts w:ascii="Verdana" w:hAnsi="Verdana" w:cs="Arial"/>
              </w:rPr>
              <w:t>Manufacturer Discontinued</w:t>
            </w:r>
          </w:p>
        </w:tc>
        <w:tc>
          <w:tcPr>
            <w:tcW w:w="3263" w:type="pct"/>
          </w:tcPr>
          <w:p w14:paraId="56909EE0" w14:textId="0BE950C7" w:rsidR="000D0DA5" w:rsidRPr="004E00B6" w:rsidRDefault="000D0DA5" w:rsidP="000D0DA5">
            <w:pPr>
              <w:spacing w:before="120" w:after="120"/>
              <w:rPr>
                <w:rFonts w:ascii="Verdana" w:hAnsi="Verdana" w:cs="Arial"/>
              </w:rPr>
            </w:pPr>
            <w:r>
              <w:rPr>
                <w:rFonts w:ascii="Verdana" w:hAnsi="Verdana" w:cs="Arial"/>
              </w:rPr>
              <w:t>Drug discontinued by the maker.</w:t>
            </w:r>
          </w:p>
        </w:tc>
      </w:tr>
      <w:tr w:rsidR="000D0DA5" w:rsidRPr="004E00B6" w14:paraId="339FDAAA" w14:textId="77777777" w:rsidTr="008338FB">
        <w:tc>
          <w:tcPr>
            <w:tcW w:w="745" w:type="pct"/>
          </w:tcPr>
          <w:p w14:paraId="4E5456F8" w14:textId="76CC6619" w:rsidR="000D0DA5" w:rsidRPr="00F4531F" w:rsidRDefault="000D0DA5" w:rsidP="00FF6F12">
            <w:pPr>
              <w:spacing w:before="120" w:after="120"/>
              <w:jc w:val="center"/>
              <w:rPr>
                <w:rFonts w:ascii="Verdana" w:hAnsi="Verdana"/>
                <w:b/>
                <w:color w:val="000000"/>
              </w:rPr>
            </w:pPr>
            <w:r>
              <w:rPr>
                <w:rFonts w:ascii="Verdana" w:hAnsi="Verdana"/>
                <w:b/>
                <w:color w:val="000000"/>
              </w:rPr>
              <w:t>MG</w:t>
            </w:r>
          </w:p>
        </w:tc>
        <w:tc>
          <w:tcPr>
            <w:tcW w:w="992" w:type="pct"/>
          </w:tcPr>
          <w:p w14:paraId="1499399E" w14:textId="1926E4BC" w:rsidR="000D0DA5" w:rsidRPr="002C36C7" w:rsidRDefault="000D0DA5" w:rsidP="00FF6F12">
            <w:pPr>
              <w:spacing w:before="120" w:after="120"/>
              <w:rPr>
                <w:rFonts w:ascii="Verdana" w:hAnsi="Verdana" w:cs="Arial"/>
              </w:rPr>
            </w:pPr>
            <w:r>
              <w:rPr>
                <w:rFonts w:ascii="Verdana" w:hAnsi="Verdana" w:cs="Arial"/>
              </w:rPr>
              <w:t>Milligram</w:t>
            </w:r>
          </w:p>
        </w:tc>
        <w:tc>
          <w:tcPr>
            <w:tcW w:w="3263" w:type="pct"/>
          </w:tcPr>
          <w:p w14:paraId="55442DDA" w14:textId="53B54D69" w:rsidR="000D0DA5" w:rsidRPr="004E00B6" w:rsidRDefault="000D0DA5" w:rsidP="00FF6F12">
            <w:pPr>
              <w:spacing w:before="120" w:after="120"/>
              <w:rPr>
                <w:rFonts w:ascii="Verdana" w:hAnsi="Verdana" w:cs="Arial"/>
              </w:rPr>
            </w:pPr>
            <w:r>
              <w:rPr>
                <w:rFonts w:ascii="Verdana" w:hAnsi="Verdana" w:cs="Arial"/>
              </w:rPr>
              <w:t xml:space="preserve">Unit of measure, generally describing the strength of a drug. </w:t>
            </w:r>
          </w:p>
        </w:tc>
      </w:tr>
      <w:tr w:rsidR="00956E71" w:rsidRPr="004E00B6" w14:paraId="1707B8ED" w14:textId="77777777" w:rsidTr="008338FB">
        <w:tc>
          <w:tcPr>
            <w:tcW w:w="745" w:type="pct"/>
          </w:tcPr>
          <w:p w14:paraId="37A18F48" w14:textId="0770CDAB" w:rsidR="00956E71" w:rsidRDefault="00956E71" w:rsidP="00FF6F12">
            <w:pPr>
              <w:spacing w:before="120" w:after="120"/>
              <w:jc w:val="center"/>
              <w:rPr>
                <w:rFonts w:ascii="Verdana" w:hAnsi="Verdana"/>
                <w:b/>
                <w:color w:val="000000"/>
              </w:rPr>
            </w:pPr>
            <w:r>
              <w:rPr>
                <w:rFonts w:ascii="Verdana" w:hAnsi="Verdana"/>
                <w:b/>
                <w:color w:val="000000"/>
              </w:rPr>
              <w:t>MCG</w:t>
            </w:r>
          </w:p>
        </w:tc>
        <w:tc>
          <w:tcPr>
            <w:tcW w:w="992" w:type="pct"/>
          </w:tcPr>
          <w:p w14:paraId="4C0281DD" w14:textId="14BD38F4" w:rsidR="00956E71" w:rsidRDefault="00AC0392" w:rsidP="00FF6F12">
            <w:pPr>
              <w:spacing w:before="120" w:after="120"/>
              <w:rPr>
                <w:rFonts w:ascii="Verdana" w:hAnsi="Verdana" w:cs="Arial"/>
              </w:rPr>
            </w:pPr>
            <w:r>
              <w:rPr>
                <w:rFonts w:ascii="Verdana" w:hAnsi="Verdana" w:cs="Arial"/>
              </w:rPr>
              <w:t>Microgram</w:t>
            </w:r>
          </w:p>
        </w:tc>
        <w:tc>
          <w:tcPr>
            <w:tcW w:w="3263" w:type="pct"/>
          </w:tcPr>
          <w:p w14:paraId="173CEAC8" w14:textId="0D8EE028" w:rsidR="00956E71" w:rsidRPr="004A7EF9" w:rsidRDefault="00194687" w:rsidP="00FF6F12">
            <w:pPr>
              <w:spacing w:before="120" w:after="120"/>
              <w:rPr>
                <w:rFonts w:ascii="Verdana" w:hAnsi="Verdana" w:cs="Arial"/>
              </w:rPr>
            </w:pPr>
            <w:bookmarkStart w:id="7" w:name="OLE_LINK1"/>
            <w:r w:rsidRPr="004A7EF9">
              <w:rPr>
                <w:rFonts w:ascii="Verdana" w:hAnsi="Verdana" w:cs="Arial"/>
              </w:rPr>
              <w:t>Uni</w:t>
            </w:r>
            <w:r w:rsidR="00E9320E" w:rsidRPr="004A7EF9">
              <w:rPr>
                <w:rFonts w:ascii="Verdana" w:hAnsi="Verdana" w:cs="Arial"/>
              </w:rPr>
              <w:t>t of measure, generally describing the strength of a drug</w:t>
            </w:r>
            <w:r w:rsidR="004A7EF9" w:rsidRPr="004A7EF9">
              <w:rPr>
                <w:rFonts w:ascii="Verdana" w:hAnsi="Verdana" w:cs="Arial"/>
              </w:rPr>
              <w:t xml:space="preserve">:  </w:t>
            </w:r>
            <w:r w:rsidR="00CC28DA">
              <w:rPr>
                <w:rFonts w:ascii="Verdana" w:hAnsi="Verdana"/>
                <w:color w:val="040C28"/>
              </w:rPr>
              <w:t>O</w:t>
            </w:r>
            <w:r w:rsidR="00D97E88" w:rsidRPr="003B0652">
              <w:rPr>
                <w:rFonts w:ascii="Verdana" w:hAnsi="Verdana"/>
                <w:color w:val="040C28"/>
              </w:rPr>
              <w:t>ne millionth of a gram</w:t>
            </w:r>
            <w:bookmarkEnd w:id="7"/>
            <w:r w:rsidR="00CC28DA">
              <w:rPr>
                <w:rFonts w:ascii="Verdana" w:hAnsi="Verdana"/>
                <w:color w:val="040C28"/>
              </w:rPr>
              <w:t>.</w:t>
            </w:r>
          </w:p>
        </w:tc>
      </w:tr>
      <w:tr w:rsidR="009C33EF" w:rsidRPr="004E00B6" w14:paraId="2017250C" w14:textId="77777777" w:rsidTr="008338FB">
        <w:tc>
          <w:tcPr>
            <w:tcW w:w="745" w:type="pct"/>
          </w:tcPr>
          <w:p w14:paraId="7849B47D" w14:textId="21C1DCA2" w:rsidR="007E2F4A" w:rsidRPr="00F4531F" w:rsidRDefault="00CE205A" w:rsidP="000431DA">
            <w:pPr>
              <w:spacing w:before="120" w:after="120"/>
              <w:jc w:val="center"/>
              <w:rPr>
                <w:rFonts w:ascii="Verdana" w:hAnsi="Verdana"/>
                <w:b/>
                <w:bCs/>
                <w:color w:val="000000"/>
              </w:rPr>
            </w:pPr>
            <w:r>
              <w:rPr>
                <w:rFonts w:ascii="Verdana" w:hAnsi="Verdana"/>
                <w:b/>
                <w:bCs/>
                <w:color w:val="000000"/>
              </w:rPr>
              <w:t xml:space="preserve"> </w:t>
            </w:r>
            <w:r w:rsidR="007E2F4A">
              <w:rPr>
                <w:rFonts w:ascii="Verdana" w:hAnsi="Verdana"/>
                <w:b/>
                <w:bCs/>
                <w:color w:val="000000"/>
              </w:rPr>
              <w:t xml:space="preserve">MI </w:t>
            </w:r>
          </w:p>
        </w:tc>
        <w:tc>
          <w:tcPr>
            <w:tcW w:w="992" w:type="pct"/>
          </w:tcPr>
          <w:p w14:paraId="3E9E0A42" w14:textId="77777777" w:rsidR="007E2F4A" w:rsidRPr="002C36C7" w:rsidRDefault="007E2F4A" w:rsidP="000431DA">
            <w:pPr>
              <w:spacing w:before="120" w:after="120"/>
              <w:rPr>
                <w:rFonts w:ascii="Verdana" w:hAnsi="Verdana" w:cs="Arial"/>
              </w:rPr>
            </w:pPr>
            <w:r w:rsidRPr="002C36C7">
              <w:rPr>
                <w:rFonts w:ascii="Verdana" w:hAnsi="Verdana" w:cs="Arial"/>
              </w:rPr>
              <w:t xml:space="preserve">Middle Initial </w:t>
            </w:r>
          </w:p>
        </w:tc>
        <w:tc>
          <w:tcPr>
            <w:tcW w:w="3263" w:type="pct"/>
          </w:tcPr>
          <w:p w14:paraId="4FFC60B7" w14:textId="267F4041" w:rsidR="00FF6F12" w:rsidRPr="006B3934" w:rsidRDefault="008F585C" w:rsidP="000431DA">
            <w:pPr>
              <w:spacing w:before="120" w:after="120"/>
              <w:rPr>
                <w:rFonts w:ascii="Verdana" w:hAnsi="Verdana" w:cs="Arial"/>
              </w:rPr>
            </w:pPr>
            <w:r>
              <w:rPr>
                <w:rFonts w:ascii="Verdana" w:hAnsi="Verdana" w:cs="Arial"/>
              </w:rPr>
              <w:t>First letter of person</w:t>
            </w:r>
            <w:r w:rsidR="00F012BE">
              <w:rPr>
                <w:rFonts w:ascii="Verdana" w:hAnsi="Verdana" w:cs="Arial"/>
              </w:rPr>
              <w:t>’</w:t>
            </w:r>
            <w:r>
              <w:rPr>
                <w:rFonts w:ascii="Verdana" w:hAnsi="Verdana" w:cs="Arial"/>
              </w:rPr>
              <w:t>s middle initial</w:t>
            </w:r>
            <w:r w:rsidR="00CE205A">
              <w:rPr>
                <w:rFonts w:ascii="Verdana" w:hAnsi="Verdana" w:cs="Arial"/>
              </w:rPr>
              <w:t xml:space="preserve">. </w:t>
            </w:r>
          </w:p>
        </w:tc>
      </w:tr>
      <w:tr w:rsidR="009C33EF" w:rsidRPr="004E00B6" w14:paraId="56374872" w14:textId="77777777" w:rsidTr="008338FB">
        <w:tc>
          <w:tcPr>
            <w:tcW w:w="745" w:type="pct"/>
          </w:tcPr>
          <w:p w14:paraId="32F50BA9" w14:textId="77777777" w:rsidR="007E2F4A" w:rsidRPr="00F4531F" w:rsidRDefault="007E2F4A" w:rsidP="000431DA">
            <w:pPr>
              <w:spacing w:before="120" w:after="120"/>
              <w:jc w:val="center"/>
              <w:rPr>
                <w:rFonts w:ascii="Verdana" w:hAnsi="Verdana"/>
                <w:b/>
                <w:bCs/>
                <w:color w:val="000000"/>
              </w:rPr>
            </w:pPr>
            <w:r>
              <w:rPr>
                <w:rFonts w:ascii="Verdana" w:hAnsi="Verdana"/>
                <w:b/>
                <w:bCs/>
                <w:color w:val="000000"/>
              </w:rPr>
              <w:t xml:space="preserve">MICR </w:t>
            </w:r>
          </w:p>
        </w:tc>
        <w:tc>
          <w:tcPr>
            <w:tcW w:w="992" w:type="pct"/>
          </w:tcPr>
          <w:p w14:paraId="7DCD251D" w14:textId="77777777" w:rsidR="007E2F4A" w:rsidRPr="002C36C7" w:rsidRDefault="007E2F4A" w:rsidP="000431DA">
            <w:pPr>
              <w:spacing w:before="120" w:after="120"/>
              <w:rPr>
                <w:rFonts w:ascii="Verdana" w:hAnsi="Verdana" w:cs="Arial"/>
              </w:rPr>
            </w:pPr>
            <w:r w:rsidRPr="002C36C7">
              <w:rPr>
                <w:rFonts w:ascii="Verdana" w:hAnsi="Verdana" w:cs="Arial"/>
              </w:rPr>
              <w:t xml:space="preserve">Magnetic Ink Character Recognition </w:t>
            </w:r>
          </w:p>
        </w:tc>
        <w:tc>
          <w:tcPr>
            <w:tcW w:w="3263" w:type="pct"/>
          </w:tcPr>
          <w:p w14:paraId="4215B7C1" w14:textId="65642D48" w:rsidR="00FF6F12" w:rsidRPr="006B3934" w:rsidRDefault="007E2F4A" w:rsidP="000431DA">
            <w:pPr>
              <w:spacing w:before="120" w:after="120"/>
              <w:rPr>
                <w:rFonts w:ascii="Verdana" w:hAnsi="Verdana" w:cs="Arial"/>
              </w:rPr>
            </w:pPr>
            <w:r w:rsidRPr="00F0736A">
              <w:rPr>
                <w:rFonts w:ascii="Verdana" w:hAnsi="Verdana" w:cs="Arial"/>
              </w:rPr>
              <w:t>The routing, account and check number located at the bottom of a check.</w:t>
            </w:r>
            <w:r>
              <w:rPr>
                <w:rFonts w:ascii="Verdana" w:hAnsi="Verdana" w:cs="Arial"/>
              </w:rPr>
              <w:t xml:space="preserve"> </w:t>
            </w:r>
          </w:p>
        </w:tc>
      </w:tr>
      <w:tr w:rsidR="009C33EF" w:rsidRPr="004E00B6" w14:paraId="2400699E" w14:textId="77777777" w:rsidTr="008338FB">
        <w:tc>
          <w:tcPr>
            <w:tcW w:w="745" w:type="pct"/>
          </w:tcPr>
          <w:p w14:paraId="21E31562" w14:textId="77777777" w:rsidR="007E2F4A" w:rsidRPr="00F4531F" w:rsidRDefault="007E2F4A" w:rsidP="000431DA">
            <w:pPr>
              <w:spacing w:before="120" w:after="120"/>
              <w:jc w:val="center"/>
              <w:rPr>
                <w:rFonts w:ascii="Verdana" w:hAnsi="Verdana"/>
                <w:b/>
                <w:bCs/>
                <w:color w:val="000000"/>
              </w:rPr>
            </w:pPr>
            <w:r w:rsidRPr="00F4531F">
              <w:rPr>
                <w:rFonts w:ascii="Verdana" w:hAnsi="Verdana"/>
                <w:b/>
                <w:bCs/>
                <w:color w:val="000000"/>
              </w:rPr>
              <w:t>MIP</w:t>
            </w:r>
          </w:p>
        </w:tc>
        <w:tc>
          <w:tcPr>
            <w:tcW w:w="992" w:type="pct"/>
          </w:tcPr>
          <w:p w14:paraId="1FB80D85" w14:textId="77777777" w:rsidR="007E2F4A" w:rsidRPr="002C36C7" w:rsidRDefault="007E2F4A" w:rsidP="000431DA">
            <w:pPr>
              <w:spacing w:before="120" w:after="120"/>
              <w:rPr>
                <w:rFonts w:ascii="Verdana" w:hAnsi="Verdana" w:cs="Arial"/>
              </w:rPr>
            </w:pPr>
            <w:r w:rsidRPr="002C36C7">
              <w:rPr>
                <w:rFonts w:ascii="Verdana" w:hAnsi="Verdana" w:cs="Arial"/>
              </w:rPr>
              <w:t>Managed Indemnity Program</w:t>
            </w:r>
          </w:p>
        </w:tc>
        <w:tc>
          <w:tcPr>
            <w:tcW w:w="3263" w:type="pct"/>
          </w:tcPr>
          <w:p w14:paraId="4DE6A2CD" w14:textId="3D3A1980" w:rsidR="007E2F4A" w:rsidRPr="004E00B6" w:rsidRDefault="007E2F4A" w:rsidP="000431DA">
            <w:pPr>
              <w:spacing w:before="120" w:after="120"/>
              <w:rPr>
                <w:rFonts w:ascii="Verdana" w:hAnsi="Verdana" w:cs="Arial"/>
              </w:rPr>
            </w:pPr>
            <w:r w:rsidRPr="006B3934">
              <w:rPr>
                <w:rFonts w:ascii="Verdana" w:hAnsi="Verdana" w:cs="Arial"/>
              </w:rPr>
              <w:t>System of prescription benefits specifically designed to meet the needs of companies which currently offer prescription drug benefits through traditional major medical indemnity plans</w:t>
            </w:r>
            <w:r w:rsidR="00D24249" w:rsidRPr="006B3934">
              <w:rPr>
                <w:rFonts w:ascii="Verdana" w:hAnsi="Verdana" w:cs="Arial"/>
              </w:rPr>
              <w:t xml:space="preserve">. </w:t>
            </w:r>
            <w:r w:rsidRPr="006B3934">
              <w:rPr>
                <w:rFonts w:ascii="Verdana" w:hAnsi="Verdana" w:cs="Arial"/>
              </w:rPr>
              <w:t>Often referred to as ‘pass thru’ business by Pharmacy Benefit Managers (PBM’s).</w:t>
            </w:r>
          </w:p>
        </w:tc>
      </w:tr>
      <w:tr w:rsidR="009C33EF" w:rsidRPr="004E00B6" w14:paraId="41499283" w14:textId="77777777" w:rsidTr="008338FB">
        <w:tc>
          <w:tcPr>
            <w:tcW w:w="745" w:type="pct"/>
          </w:tcPr>
          <w:p w14:paraId="3EE08F64" w14:textId="77777777" w:rsidR="007E2F4A" w:rsidRPr="00F4531F" w:rsidRDefault="007E2F4A" w:rsidP="000431DA">
            <w:pPr>
              <w:spacing w:before="120" w:after="120"/>
              <w:jc w:val="center"/>
              <w:rPr>
                <w:rFonts w:ascii="Verdana" w:hAnsi="Verdana"/>
                <w:b/>
                <w:bCs/>
                <w:color w:val="000000"/>
              </w:rPr>
            </w:pPr>
            <w:r w:rsidRPr="00F4531F">
              <w:rPr>
                <w:rFonts w:ascii="Verdana" w:hAnsi="Verdana"/>
                <w:b/>
                <w:bCs/>
                <w:color w:val="000000"/>
              </w:rPr>
              <w:t>MISC</w:t>
            </w:r>
          </w:p>
        </w:tc>
        <w:tc>
          <w:tcPr>
            <w:tcW w:w="992" w:type="pct"/>
          </w:tcPr>
          <w:p w14:paraId="47E9C39F" w14:textId="77777777" w:rsidR="007E2F4A" w:rsidRPr="002C36C7" w:rsidRDefault="007E2F4A" w:rsidP="000431DA">
            <w:pPr>
              <w:spacing w:before="120" w:after="120"/>
              <w:rPr>
                <w:rFonts w:ascii="Verdana" w:hAnsi="Verdana" w:cs="Arial"/>
              </w:rPr>
            </w:pPr>
            <w:r w:rsidRPr="002C36C7">
              <w:rPr>
                <w:rFonts w:ascii="Verdana" w:hAnsi="Verdana" w:cs="Arial"/>
              </w:rPr>
              <w:t>Miscellaneous</w:t>
            </w:r>
          </w:p>
        </w:tc>
        <w:tc>
          <w:tcPr>
            <w:tcW w:w="3263" w:type="pct"/>
          </w:tcPr>
          <w:p w14:paraId="73A2A2B9" w14:textId="19BB5E9D" w:rsidR="007E2F4A" w:rsidRPr="004E00B6" w:rsidRDefault="007E2F4A" w:rsidP="000431DA">
            <w:pPr>
              <w:spacing w:before="120" w:after="120"/>
              <w:rPr>
                <w:rFonts w:ascii="Verdana" w:hAnsi="Verdana" w:cs="Arial"/>
              </w:rPr>
            </w:pPr>
            <w:r w:rsidRPr="004E00B6">
              <w:rPr>
                <w:rFonts w:ascii="Verdana" w:hAnsi="Verdana" w:cs="Arial"/>
              </w:rPr>
              <w:t>Consisting of diverse things</w:t>
            </w:r>
            <w:r>
              <w:rPr>
                <w:rFonts w:ascii="Verdana" w:hAnsi="Verdana" w:cs="Arial"/>
              </w:rPr>
              <w:t>.</w:t>
            </w:r>
          </w:p>
        </w:tc>
      </w:tr>
      <w:tr w:rsidR="009C33EF" w:rsidRPr="004E00B6" w14:paraId="52EE3DB4" w14:textId="77777777" w:rsidTr="008338FB">
        <w:tc>
          <w:tcPr>
            <w:tcW w:w="745" w:type="pct"/>
          </w:tcPr>
          <w:p w14:paraId="3E867672" w14:textId="77777777" w:rsidR="007E2F4A" w:rsidRPr="00F4531F" w:rsidRDefault="007E2F4A" w:rsidP="000431DA">
            <w:pPr>
              <w:spacing w:before="120" w:after="120"/>
              <w:jc w:val="center"/>
              <w:rPr>
                <w:rFonts w:ascii="Verdana" w:hAnsi="Verdana"/>
                <w:b/>
                <w:bCs/>
                <w:color w:val="000000"/>
              </w:rPr>
            </w:pPr>
            <w:r w:rsidRPr="00F4531F">
              <w:rPr>
                <w:rFonts w:ascii="Verdana" w:hAnsi="Verdana"/>
                <w:b/>
                <w:bCs/>
                <w:color w:val="000000"/>
              </w:rPr>
              <w:t>MISS</w:t>
            </w:r>
          </w:p>
        </w:tc>
        <w:tc>
          <w:tcPr>
            <w:tcW w:w="992" w:type="pct"/>
          </w:tcPr>
          <w:p w14:paraId="477AB87F" w14:textId="77777777" w:rsidR="007E2F4A" w:rsidRPr="002C36C7" w:rsidRDefault="007E2F4A" w:rsidP="000431DA">
            <w:pPr>
              <w:spacing w:before="120" w:after="120"/>
              <w:rPr>
                <w:rFonts w:ascii="Verdana" w:hAnsi="Verdana" w:cs="Arial"/>
              </w:rPr>
            </w:pPr>
            <w:r w:rsidRPr="002C36C7">
              <w:rPr>
                <w:rFonts w:ascii="Verdana" w:hAnsi="Verdana" w:cs="Arial"/>
              </w:rPr>
              <w:t>Missing</w:t>
            </w:r>
          </w:p>
        </w:tc>
        <w:tc>
          <w:tcPr>
            <w:tcW w:w="3263" w:type="pct"/>
          </w:tcPr>
          <w:p w14:paraId="35171E32" w14:textId="711DEA1C" w:rsidR="007E2F4A" w:rsidRPr="004E00B6" w:rsidRDefault="007E2F4A" w:rsidP="000431DA">
            <w:pPr>
              <w:spacing w:before="120" w:after="120"/>
              <w:rPr>
                <w:rFonts w:ascii="Verdana" w:hAnsi="Verdana" w:cs="Arial"/>
              </w:rPr>
            </w:pPr>
            <w:r w:rsidRPr="004E00B6">
              <w:rPr>
                <w:rFonts w:ascii="Verdana" w:hAnsi="Verdana" w:cs="Arial"/>
              </w:rPr>
              <w:t>Absent. Usually refers to a portion of a prescription that necessitates additional information to be provided by the prescriber</w:t>
            </w:r>
            <w:r>
              <w:rPr>
                <w:rFonts w:ascii="Verdana" w:hAnsi="Verdana" w:cs="Arial"/>
              </w:rPr>
              <w:t>.</w:t>
            </w:r>
          </w:p>
        </w:tc>
      </w:tr>
      <w:tr w:rsidR="009C33EF" w:rsidRPr="004E00B6" w14:paraId="5D890C4E" w14:textId="77777777" w:rsidTr="008338FB">
        <w:tc>
          <w:tcPr>
            <w:tcW w:w="745" w:type="pct"/>
          </w:tcPr>
          <w:p w14:paraId="18C1FE8E" w14:textId="77777777" w:rsidR="007E2F4A" w:rsidRPr="00F4531F" w:rsidRDefault="007E2F4A" w:rsidP="000431DA">
            <w:pPr>
              <w:spacing w:before="120" w:after="120"/>
              <w:jc w:val="center"/>
              <w:rPr>
                <w:rFonts w:ascii="Verdana" w:hAnsi="Verdana"/>
                <w:b/>
                <w:bCs/>
                <w:color w:val="000000"/>
              </w:rPr>
            </w:pPr>
            <w:r w:rsidRPr="00F4531F">
              <w:rPr>
                <w:rFonts w:ascii="Verdana" w:hAnsi="Verdana"/>
                <w:b/>
                <w:bCs/>
                <w:color w:val="000000"/>
              </w:rPr>
              <w:t>ML</w:t>
            </w:r>
          </w:p>
        </w:tc>
        <w:tc>
          <w:tcPr>
            <w:tcW w:w="992" w:type="pct"/>
          </w:tcPr>
          <w:p w14:paraId="654F5118" w14:textId="77777777" w:rsidR="007E2F4A" w:rsidRPr="002C36C7" w:rsidRDefault="007E2F4A" w:rsidP="000431DA">
            <w:pPr>
              <w:spacing w:before="120" w:after="120"/>
              <w:rPr>
                <w:rFonts w:ascii="Verdana" w:hAnsi="Verdana" w:cs="Arial"/>
              </w:rPr>
            </w:pPr>
            <w:r w:rsidRPr="002C36C7">
              <w:rPr>
                <w:rFonts w:ascii="Verdana" w:hAnsi="Verdana" w:cs="Arial"/>
              </w:rPr>
              <w:t>Milliliter</w:t>
            </w:r>
          </w:p>
        </w:tc>
        <w:tc>
          <w:tcPr>
            <w:tcW w:w="3263" w:type="pct"/>
          </w:tcPr>
          <w:p w14:paraId="6DE3F709" w14:textId="334C3C10" w:rsidR="007E2F4A" w:rsidRPr="004E00B6" w:rsidRDefault="007E2F4A" w:rsidP="000431DA">
            <w:pPr>
              <w:spacing w:before="120" w:after="120"/>
              <w:rPr>
                <w:rFonts w:ascii="Verdana" w:hAnsi="Verdana" w:cs="Arial"/>
              </w:rPr>
            </w:pPr>
            <w:r w:rsidRPr="004E00B6">
              <w:rPr>
                <w:rFonts w:ascii="Verdana" w:hAnsi="Verdana" w:cs="Arial"/>
              </w:rPr>
              <w:t>Unit of measure generally describes a liquid in volume</w:t>
            </w:r>
            <w:r>
              <w:rPr>
                <w:rFonts w:ascii="Verdana" w:hAnsi="Verdana" w:cs="Arial"/>
              </w:rPr>
              <w:t>.</w:t>
            </w:r>
          </w:p>
        </w:tc>
      </w:tr>
      <w:tr w:rsidR="009C33EF" w:rsidRPr="004E00B6" w14:paraId="59CECABD" w14:textId="77777777" w:rsidTr="008338FB">
        <w:tc>
          <w:tcPr>
            <w:tcW w:w="745" w:type="pct"/>
          </w:tcPr>
          <w:p w14:paraId="6DA9E5DF" w14:textId="48E19665" w:rsidR="007E2F4A" w:rsidRPr="00F4531F" w:rsidRDefault="00CE205A" w:rsidP="000431DA">
            <w:pPr>
              <w:spacing w:before="120" w:after="120"/>
              <w:jc w:val="center"/>
              <w:rPr>
                <w:rFonts w:ascii="Verdana" w:hAnsi="Verdana"/>
                <w:bCs/>
                <w:color w:val="000000"/>
              </w:rPr>
            </w:pPr>
            <w:r>
              <w:rPr>
                <w:rStyle w:val="Strong"/>
                <w:rFonts w:ascii="Verdana" w:hAnsi="Verdana"/>
                <w:bCs w:val="0"/>
                <w:color w:val="000000"/>
              </w:rPr>
              <w:t xml:space="preserve"> </w:t>
            </w:r>
            <w:r w:rsidR="007E2F4A" w:rsidRPr="00F4531F">
              <w:rPr>
                <w:rStyle w:val="Strong"/>
                <w:rFonts w:ascii="Verdana" w:hAnsi="Verdana"/>
                <w:bCs w:val="0"/>
                <w:color w:val="000000"/>
              </w:rPr>
              <w:t>MLP</w:t>
            </w:r>
          </w:p>
        </w:tc>
        <w:tc>
          <w:tcPr>
            <w:tcW w:w="992" w:type="pct"/>
          </w:tcPr>
          <w:p w14:paraId="29E49E8A" w14:textId="77777777" w:rsidR="007E2F4A" w:rsidRPr="002C36C7" w:rsidRDefault="007E2F4A" w:rsidP="000431DA">
            <w:pPr>
              <w:spacing w:before="120" w:after="120"/>
              <w:rPr>
                <w:rStyle w:val="Strong"/>
                <w:rFonts w:ascii="Verdana" w:hAnsi="Verdana"/>
                <w:b w:val="0"/>
                <w:bCs w:val="0"/>
              </w:rPr>
            </w:pPr>
            <w:r w:rsidRPr="002C36C7">
              <w:rPr>
                <w:rStyle w:val="Strong"/>
                <w:rFonts w:ascii="Verdana" w:hAnsi="Verdana"/>
                <w:b w:val="0"/>
                <w:bCs w:val="0"/>
              </w:rPr>
              <w:t>Mid-Level Prescriber</w:t>
            </w:r>
          </w:p>
          <w:p w14:paraId="42A2D7CB" w14:textId="77777777" w:rsidR="007E2F4A" w:rsidRPr="002C36C7" w:rsidRDefault="007E2F4A" w:rsidP="000431DA">
            <w:pPr>
              <w:spacing w:before="120" w:after="120"/>
              <w:rPr>
                <w:rFonts w:ascii="Verdana" w:hAnsi="Verdana"/>
              </w:rPr>
            </w:pPr>
          </w:p>
        </w:tc>
        <w:tc>
          <w:tcPr>
            <w:tcW w:w="3263" w:type="pct"/>
          </w:tcPr>
          <w:p w14:paraId="7C3D6168" w14:textId="3E60345B" w:rsidR="007E2F4A" w:rsidRPr="00CE205A" w:rsidRDefault="008F585C" w:rsidP="000431DA">
            <w:pPr>
              <w:spacing w:before="120" w:after="120"/>
              <w:rPr>
                <w:rFonts w:ascii="Verdana" w:hAnsi="Verdana"/>
              </w:rPr>
            </w:pPr>
            <w:r w:rsidRPr="00FC39A0">
              <w:rPr>
                <w:rFonts w:ascii="Verdana" w:hAnsi="Verdana"/>
                <w:shd w:val="clear" w:color="auto" w:fill="FFFFFF"/>
              </w:rPr>
              <w:t>Examples of mid-level practitioners include, but are not limited to, health-care providers such as </w:t>
            </w:r>
            <w:r w:rsidRPr="00FC39A0">
              <w:rPr>
                <w:rFonts w:ascii="Verdana" w:hAnsi="Verdana"/>
                <w:b/>
                <w:bCs/>
                <w:shd w:val="clear" w:color="auto" w:fill="FFFFFF"/>
              </w:rPr>
              <w:t>nurse practitioners, nurse midwives, nurse anesthetists, clinical nurse specialists and physician assistants</w:t>
            </w:r>
            <w:r w:rsidRPr="00FC39A0">
              <w:rPr>
                <w:rFonts w:ascii="Verdana" w:hAnsi="Verdana"/>
                <w:shd w:val="clear" w:color="auto" w:fill="FFFFFF"/>
              </w:rPr>
              <w:t> who are authorized to dispense controlled substances by the state in which they practice.</w:t>
            </w:r>
          </w:p>
        </w:tc>
      </w:tr>
      <w:tr w:rsidR="009C33EF" w:rsidRPr="004E00B6" w14:paraId="50C1B81F" w14:textId="77777777" w:rsidTr="008338FB">
        <w:tc>
          <w:tcPr>
            <w:tcW w:w="745" w:type="pct"/>
          </w:tcPr>
          <w:p w14:paraId="6D44AD84" w14:textId="77777777" w:rsidR="007E2F4A" w:rsidRPr="00F4531F" w:rsidRDefault="007E2F4A" w:rsidP="000431DA">
            <w:pPr>
              <w:spacing w:before="120" w:after="120"/>
              <w:jc w:val="center"/>
              <w:rPr>
                <w:rStyle w:val="Strong"/>
                <w:rFonts w:ascii="Verdana" w:hAnsi="Verdana"/>
                <w:bCs w:val="0"/>
                <w:color w:val="000000"/>
              </w:rPr>
            </w:pPr>
            <w:r>
              <w:rPr>
                <w:rStyle w:val="Strong"/>
                <w:rFonts w:ascii="Verdana" w:hAnsi="Verdana"/>
                <w:bCs w:val="0"/>
                <w:color w:val="000000"/>
              </w:rPr>
              <w:t xml:space="preserve">MLPAP </w:t>
            </w:r>
          </w:p>
        </w:tc>
        <w:tc>
          <w:tcPr>
            <w:tcW w:w="992" w:type="pct"/>
          </w:tcPr>
          <w:p w14:paraId="7EC1A0A1" w14:textId="77777777" w:rsidR="007E2F4A" w:rsidRPr="002C36C7" w:rsidRDefault="007E2F4A" w:rsidP="000431DA">
            <w:pPr>
              <w:spacing w:before="120" w:after="120"/>
              <w:rPr>
                <w:rStyle w:val="Strong"/>
                <w:rFonts w:ascii="Verdana" w:hAnsi="Verdana"/>
              </w:rPr>
            </w:pPr>
            <w:r w:rsidRPr="002C36C7">
              <w:rPr>
                <w:rFonts w:ascii="Verdana" w:hAnsi="Verdana"/>
              </w:rPr>
              <w:t xml:space="preserve">Mailed in Paper </w:t>
            </w:r>
          </w:p>
        </w:tc>
        <w:tc>
          <w:tcPr>
            <w:tcW w:w="3263" w:type="pct"/>
          </w:tcPr>
          <w:p w14:paraId="653C2E1B" w14:textId="77777777" w:rsidR="007E2F4A" w:rsidRPr="004E00B6" w:rsidRDefault="007E2F4A" w:rsidP="000431DA">
            <w:pPr>
              <w:spacing w:before="120" w:after="120"/>
              <w:rPr>
                <w:rFonts w:ascii="Verdana" w:hAnsi="Verdana"/>
              </w:rPr>
            </w:pPr>
            <w:r w:rsidRPr="00E66DC6">
              <w:rPr>
                <w:rFonts w:ascii="Verdana" w:hAnsi="Verdana"/>
              </w:rPr>
              <w:t>A Data Exchange (DEX) Method Code, indicating how events are loaded into MBEST, used for any enrollments or disenrollments that come in the mail.</w:t>
            </w:r>
            <w:r>
              <w:rPr>
                <w:rFonts w:ascii="Verdana" w:hAnsi="Verdana"/>
              </w:rPr>
              <w:t xml:space="preserve"> </w:t>
            </w:r>
          </w:p>
        </w:tc>
      </w:tr>
      <w:tr w:rsidR="009C33EF" w:rsidRPr="004E00B6" w14:paraId="37864622" w14:textId="77777777" w:rsidTr="008338FB">
        <w:trPr>
          <w:trHeight w:val="288"/>
        </w:trPr>
        <w:tc>
          <w:tcPr>
            <w:tcW w:w="745" w:type="pct"/>
          </w:tcPr>
          <w:p w14:paraId="32C14FD5" w14:textId="77777777" w:rsidR="007E2F4A" w:rsidRPr="00F4531F" w:rsidRDefault="007E2F4A" w:rsidP="000431DA">
            <w:pPr>
              <w:spacing w:before="120" w:after="120"/>
              <w:jc w:val="center"/>
              <w:rPr>
                <w:rFonts w:ascii="Verdana" w:hAnsi="Verdana"/>
                <w:b/>
                <w:bCs/>
                <w:color w:val="000000"/>
              </w:rPr>
            </w:pPr>
            <w:r w:rsidRPr="00F4531F">
              <w:rPr>
                <w:rFonts w:ascii="Verdana" w:hAnsi="Verdana"/>
                <w:b/>
                <w:bCs/>
                <w:color w:val="000000"/>
              </w:rPr>
              <w:t>MM</w:t>
            </w:r>
          </w:p>
        </w:tc>
        <w:tc>
          <w:tcPr>
            <w:tcW w:w="992" w:type="pct"/>
          </w:tcPr>
          <w:p w14:paraId="3D207EAA" w14:textId="77777777" w:rsidR="007E2F4A" w:rsidRPr="002C36C7" w:rsidRDefault="007E2F4A" w:rsidP="000431DA">
            <w:pPr>
              <w:spacing w:before="120" w:after="120"/>
              <w:rPr>
                <w:rFonts w:ascii="Verdana" w:hAnsi="Verdana" w:cs="Arial"/>
              </w:rPr>
            </w:pPr>
            <w:r w:rsidRPr="002C36C7">
              <w:rPr>
                <w:rFonts w:ascii="Verdana" w:hAnsi="Verdana" w:cs="Arial"/>
              </w:rPr>
              <w:t>Must Call Back</w:t>
            </w:r>
          </w:p>
        </w:tc>
        <w:tc>
          <w:tcPr>
            <w:tcW w:w="3263" w:type="pct"/>
          </w:tcPr>
          <w:p w14:paraId="2283DB71" w14:textId="73BF43DC" w:rsidR="007E2F4A" w:rsidRPr="004E00B6" w:rsidRDefault="007E2F4A" w:rsidP="000431DA">
            <w:pPr>
              <w:spacing w:before="120" w:after="120"/>
              <w:rPr>
                <w:rFonts w:ascii="Verdana" w:hAnsi="Verdana" w:cs="Arial"/>
              </w:rPr>
            </w:pPr>
            <w:r w:rsidRPr="004E00B6">
              <w:rPr>
                <w:rFonts w:ascii="Verdana" w:hAnsi="Verdana"/>
              </w:rPr>
              <w:t>The queue in which prescriptions are placed that requires the prescriber to be contacted by telephone.</w:t>
            </w:r>
          </w:p>
        </w:tc>
      </w:tr>
      <w:tr w:rsidR="009C33EF" w:rsidRPr="004E00B6" w14:paraId="269EB8A6" w14:textId="77777777" w:rsidTr="008338FB">
        <w:trPr>
          <w:trHeight w:val="701"/>
        </w:trPr>
        <w:tc>
          <w:tcPr>
            <w:tcW w:w="745" w:type="pct"/>
          </w:tcPr>
          <w:p w14:paraId="353D5627" w14:textId="77777777" w:rsidR="007E2F4A" w:rsidRPr="00F4531F" w:rsidRDefault="007E2F4A" w:rsidP="000431DA">
            <w:pPr>
              <w:spacing w:before="120" w:after="120"/>
              <w:jc w:val="center"/>
              <w:rPr>
                <w:rFonts w:ascii="Verdana" w:hAnsi="Verdana"/>
                <w:b/>
                <w:bCs/>
                <w:color w:val="000000"/>
              </w:rPr>
            </w:pPr>
            <w:r>
              <w:rPr>
                <w:rFonts w:ascii="Verdana" w:hAnsi="Verdana"/>
                <w:b/>
                <w:bCs/>
                <w:color w:val="000000"/>
              </w:rPr>
              <w:t xml:space="preserve">MMA </w:t>
            </w:r>
          </w:p>
        </w:tc>
        <w:tc>
          <w:tcPr>
            <w:tcW w:w="992" w:type="pct"/>
          </w:tcPr>
          <w:p w14:paraId="0D1EDACE" w14:textId="77777777" w:rsidR="007E2F4A" w:rsidRPr="002C36C7" w:rsidRDefault="007E2F4A" w:rsidP="000431DA">
            <w:pPr>
              <w:spacing w:before="120" w:after="120"/>
              <w:rPr>
                <w:rFonts w:ascii="Verdana" w:hAnsi="Verdana" w:cs="Arial"/>
              </w:rPr>
            </w:pPr>
            <w:r w:rsidRPr="002C36C7">
              <w:rPr>
                <w:rFonts w:ascii="Verdana" w:hAnsi="Verdana" w:cs="Arial"/>
              </w:rPr>
              <w:t xml:space="preserve">Medicare Modernization Act </w:t>
            </w:r>
            <w:r>
              <w:rPr>
                <w:rFonts w:ascii="Verdana" w:hAnsi="Verdana" w:cs="Arial"/>
              </w:rPr>
              <w:t>and Help Desk</w:t>
            </w:r>
          </w:p>
        </w:tc>
        <w:tc>
          <w:tcPr>
            <w:tcW w:w="3263" w:type="pct"/>
          </w:tcPr>
          <w:p w14:paraId="73BCD2FF" w14:textId="77777777" w:rsidR="007E2F4A" w:rsidRDefault="007E2F4A" w:rsidP="000431DA">
            <w:pPr>
              <w:spacing w:before="120" w:after="120"/>
              <w:rPr>
                <w:rFonts w:ascii="Verdana" w:hAnsi="Verdana"/>
              </w:rPr>
            </w:pPr>
            <w:r>
              <w:rPr>
                <w:rFonts w:ascii="Verdana" w:hAnsi="Verdana"/>
              </w:rPr>
              <w:t xml:space="preserve">Act:  </w:t>
            </w:r>
            <w:r w:rsidRPr="00E66DC6">
              <w:rPr>
                <w:rFonts w:ascii="Verdana" w:hAnsi="Verdana"/>
              </w:rPr>
              <w:t>The Medicare Prescription Drug, Improvement, and Modernization Act. Federal legislation passed in 2003 that establishes the Medicare Part D outpatient prescription drug benefit.</w:t>
            </w:r>
            <w:r>
              <w:rPr>
                <w:rFonts w:ascii="Verdana" w:hAnsi="Verdana"/>
              </w:rPr>
              <w:t xml:space="preserve"> </w:t>
            </w:r>
          </w:p>
          <w:p w14:paraId="2DF76963" w14:textId="77777777" w:rsidR="007E2F4A" w:rsidRDefault="007E2F4A" w:rsidP="000431DA">
            <w:pPr>
              <w:spacing w:before="120" w:after="120"/>
              <w:rPr>
                <w:rFonts w:ascii="Verdana" w:hAnsi="Verdana"/>
              </w:rPr>
            </w:pPr>
          </w:p>
          <w:p w14:paraId="0792D269" w14:textId="77777777" w:rsidR="007E2F4A" w:rsidRPr="004E00B6" w:rsidRDefault="007E2F4A" w:rsidP="000431DA">
            <w:pPr>
              <w:spacing w:before="120" w:after="120"/>
              <w:rPr>
                <w:rFonts w:ascii="Verdana" w:hAnsi="Verdana"/>
              </w:rPr>
            </w:pPr>
            <w:r>
              <w:rPr>
                <w:rFonts w:ascii="Verdana" w:hAnsi="Verdana"/>
              </w:rPr>
              <w:t xml:space="preserve">Help Desk:  </w:t>
            </w:r>
            <w:r w:rsidRPr="00E66DC6">
              <w:rPr>
                <w:rFonts w:ascii="Verdana" w:hAnsi="Verdana"/>
              </w:rPr>
              <w:t>Medicare Modernization Act Help Desk is a group within CMS that supports available connectivity options and requirements associated with exchanging data with CMS.</w:t>
            </w:r>
          </w:p>
        </w:tc>
      </w:tr>
      <w:tr w:rsidR="009C33EF" w:rsidRPr="004E00B6" w14:paraId="19CDE2B6" w14:textId="77777777" w:rsidTr="008338FB">
        <w:trPr>
          <w:trHeight w:val="288"/>
        </w:trPr>
        <w:tc>
          <w:tcPr>
            <w:tcW w:w="745" w:type="pct"/>
          </w:tcPr>
          <w:p w14:paraId="321E7C1E" w14:textId="076E7546" w:rsidR="007E2F4A" w:rsidRPr="00C20293" w:rsidRDefault="00CE205A" w:rsidP="000431DA">
            <w:pPr>
              <w:spacing w:before="120" w:after="120"/>
              <w:jc w:val="center"/>
              <w:rPr>
                <w:rFonts w:ascii="Verdana" w:hAnsi="Verdana"/>
                <w:b/>
                <w:noProof/>
              </w:rPr>
            </w:pPr>
            <w:r>
              <w:rPr>
                <w:rFonts w:ascii="Verdana" w:hAnsi="Verdana"/>
                <w:b/>
                <w:noProof/>
              </w:rPr>
              <w:t xml:space="preserve"> </w:t>
            </w:r>
            <w:r w:rsidR="007E2F4A" w:rsidRPr="00C20293">
              <w:rPr>
                <w:rFonts w:ascii="Verdana" w:hAnsi="Verdana"/>
                <w:b/>
                <w:noProof/>
              </w:rPr>
              <w:t xml:space="preserve">MMCM </w:t>
            </w:r>
          </w:p>
        </w:tc>
        <w:tc>
          <w:tcPr>
            <w:tcW w:w="992" w:type="pct"/>
          </w:tcPr>
          <w:p w14:paraId="568C4D22" w14:textId="77777777" w:rsidR="007E2F4A" w:rsidRPr="002C36C7" w:rsidRDefault="007E2F4A" w:rsidP="000431DA">
            <w:pPr>
              <w:spacing w:before="120" w:after="120"/>
              <w:rPr>
                <w:rFonts w:ascii="Verdana" w:hAnsi="Verdana"/>
              </w:rPr>
            </w:pPr>
            <w:r w:rsidRPr="002C36C7">
              <w:rPr>
                <w:rFonts w:ascii="Verdana" w:hAnsi="Verdana"/>
              </w:rPr>
              <w:t xml:space="preserve">Medicare Managed Care Manual </w:t>
            </w:r>
          </w:p>
        </w:tc>
        <w:tc>
          <w:tcPr>
            <w:tcW w:w="3263" w:type="pct"/>
          </w:tcPr>
          <w:p w14:paraId="5F780111" w14:textId="7CD1EE59" w:rsidR="007E2F4A" w:rsidRPr="004E00B6" w:rsidRDefault="008F585C" w:rsidP="000431DA">
            <w:pPr>
              <w:spacing w:before="120" w:after="120"/>
              <w:rPr>
                <w:rFonts w:ascii="Verdana" w:hAnsi="Verdana"/>
              </w:rPr>
            </w:pPr>
            <w:r>
              <w:rPr>
                <w:rFonts w:ascii="Verdana" w:hAnsi="Verdana"/>
              </w:rPr>
              <w:t>Manual referred to when administering Medicare Managed Care</w:t>
            </w:r>
            <w:r w:rsidR="00CE205A">
              <w:rPr>
                <w:rFonts w:ascii="Verdana" w:hAnsi="Verdana"/>
              </w:rPr>
              <w:t>.</w:t>
            </w:r>
          </w:p>
        </w:tc>
      </w:tr>
      <w:tr w:rsidR="009C33EF" w:rsidRPr="004E00B6" w14:paraId="310AFE0D" w14:textId="77777777" w:rsidTr="008338FB">
        <w:trPr>
          <w:trHeight w:val="288"/>
        </w:trPr>
        <w:tc>
          <w:tcPr>
            <w:tcW w:w="745" w:type="pct"/>
          </w:tcPr>
          <w:p w14:paraId="0A7F2B6C" w14:textId="6B9DFEDD" w:rsidR="007E2F4A" w:rsidRPr="00C20293" w:rsidRDefault="00CE205A" w:rsidP="000431DA">
            <w:pPr>
              <w:spacing w:before="120" w:after="120"/>
              <w:jc w:val="center"/>
              <w:rPr>
                <w:rFonts w:ascii="Verdana" w:hAnsi="Verdana"/>
                <w:b/>
                <w:noProof/>
              </w:rPr>
            </w:pPr>
            <w:r>
              <w:rPr>
                <w:rFonts w:ascii="Verdana" w:hAnsi="Verdana"/>
                <w:b/>
                <w:noProof/>
              </w:rPr>
              <w:t xml:space="preserve"> </w:t>
            </w:r>
            <w:r w:rsidR="007E2F4A" w:rsidRPr="00C20293">
              <w:rPr>
                <w:rFonts w:ascii="Verdana" w:hAnsi="Verdana"/>
                <w:b/>
                <w:noProof/>
              </w:rPr>
              <w:t xml:space="preserve">MMCS </w:t>
            </w:r>
          </w:p>
        </w:tc>
        <w:tc>
          <w:tcPr>
            <w:tcW w:w="992" w:type="pct"/>
          </w:tcPr>
          <w:p w14:paraId="4BB196C4" w14:textId="77777777" w:rsidR="007E2F4A" w:rsidRPr="002C36C7" w:rsidRDefault="007E2F4A" w:rsidP="000431DA">
            <w:pPr>
              <w:spacing w:before="120" w:after="120"/>
              <w:rPr>
                <w:rFonts w:ascii="Verdana" w:hAnsi="Verdana"/>
              </w:rPr>
            </w:pPr>
            <w:r w:rsidRPr="002C36C7">
              <w:rPr>
                <w:rFonts w:ascii="Verdana" w:hAnsi="Verdana"/>
              </w:rPr>
              <w:t xml:space="preserve">Medicare Managed Care System </w:t>
            </w:r>
          </w:p>
        </w:tc>
        <w:tc>
          <w:tcPr>
            <w:tcW w:w="3263" w:type="pct"/>
          </w:tcPr>
          <w:p w14:paraId="76F1B072" w14:textId="1CB1CA70" w:rsidR="007E2F4A" w:rsidRPr="004E00B6" w:rsidRDefault="008F585C" w:rsidP="000431DA">
            <w:pPr>
              <w:spacing w:before="120" w:after="120"/>
              <w:rPr>
                <w:rFonts w:ascii="Verdana" w:hAnsi="Verdana"/>
              </w:rPr>
            </w:pPr>
            <w:r>
              <w:rPr>
                <w:rFonts w:ascii="Verdana" w:hAnsi="Verdana"/>
              </w:rPr>
              <w:t>System utilized for Medicare Managed Care</w:t>
            </w:r>
            <w:r w:rsidR="00CE205A">
              <w:rPr>
                <w:rFonts w:ascii="Verdana" w:hAnsi="Verdana"/>
              </w:rPr>
              <w:t>.</w:t>
            </w:r>
          </w:p>
        </w:tc>
      </w:tr>
      <w:tr w:rsidR="009C33EF" w:rsidRPr="004E00B6" w14:paraId="557A1ED3" w14:textId="77777777" w:rsidTr="008338FB">
        <w:trPr>
          <w:trHeight w:val="288"/>
        </w:trPr>
        <w:tc>
          <w:tcPr>
            <w:tcW w:w="745" w:type="pct"/>
          </w:tcPr>
          <w:p w14:paraId="0DC0FD49" w14:textId="77777777" w:rsidR="007E2F4A" w:rsidRPr="00C20293" w:rsidRDefault="007E2F4A" w:rsidP="000431DA">
            <w:pPr>
              <w:spacing w:before="120" w:after="120"/>
              <w:jc w:val="center"/>
              <w:rPr>
                <w:rFonts w:ascii="Verdana" w:hAnsi="Verdana"/>
                <w:b/>
                <w:noProof/>
              </w:rPr>
            </w:pPr>
            <w:r w:rsidRPr="00C20293">
              <w:rPr>
                <w:rFonts w:ascii="Verdana" w:hAnsi="Verdana"/>
                <w:b/>
                <w:noProof/>
              </w:rPr>
              <w:t>MME</w:t>
            </w:r>
          </w:p>
        </w:tc>
        <w:tc>
          <w:tcPr>
            <w:tcW w:w="992" w:type="pct"/>
          </w:tcPr>
          <w:p w14:paraId="3FC194B7" w14:textId="77777777" w:rsidR="007E2F4A" w:rsidRPr="002C36C7" w:rsidRDefault="007E2F4A" w:rsidP="000431DA">
            <w:pPr>
              <w:spacing w:before="120" w:after="120"/>
              <w:rPr>
                <w:rFonts w:ascii="Verdana" w:hAnsi="Verdana"/>
              </w:rPr>
            </w:pPr>
            <w:r w:rsidRPr="002C36C7">
              <w:rPr>
                <w:rFonts w:ascii="Verdana" w:hAnsi="Verdana"/>
              </w:rPr>
              <w:t>Morphine Milligram Equivalents</w:t>
            </w:r>
          </w:p>
        </w:tc>
        <w:tc>
          <w:tcPr>
            <w:tcW w:w="3263" w:type="pct"/>
          </w:tcPr>
          <w:p w14:paraId="0072F6FE" w14:textId="77777777" w:rsidR="007E2F4A" w:rsidRPr="004E00B6" w:rsidRDefault="007E2F4A" w:rsidP="000431DA">
            <w:pPr>
              <w:spacing w:before="120" w:after="120"/>
              <w:rPr>
                <w:rFonts w:ascii="Verdana" w:hAnsi="Verdana"/>
              </w:rPr>
            </w:pPr>
            <w:r>
              <w:rPr>
                <w:rFonts w:ascii="Verdana" w:hAnsi="Verdana"/>
              </w:rPr>
              <w:t xml:space="preserve">A value assigned to opioids to represent their relative potencies. </w:t>
            </w:r>
          </w:p>
        </w:tc>
      </w:tr>
      <w:tr w:rsidR="009C33EF" w:rsidRPr="004E00B6" w14:paraId="51BDF16D" w14:textId="77777777" w:rsidTr="008338FB">
        <w:trPr>
          <w:trHeight w:val="288"/>
        </w:trPr>
        <w:tc>
          <w:tcPr>
            <w:tcW w:w="745" w:type="pct"/>
          </w:tcPr>
          <w:p w14:paraId="3F29B65A" w14:textId="645533C9" w:rsidR="007E2F4A" w:rsidRPr="00F4531F" w:rsidRDefault="00CE205A" w:rsidP="000431DA">
            <w:pPr>
              <w:spacing w:before="120" w:after="120"/>
              <w:jc w:val="center"/>
              <w:rPr>
                <w:rFonts w:ascii="Verdana" w:hAnsi="Verdana"/>
                <w:b/>
                <w:bCs/>
                <w:color w:val="000000"/>
              </w:rPr>
            </w:pPr>
            <w:r>
              <w:rPr>
                <w:rFonts w:ascii="Verdana" w:hAnsi="Verdana"/>
                <w:b/>
              </w:rPr>
              <w:t xml:space="preserve"> </w:t>
            </w:r>
            <w:r w:rsidR="007E2F4A" w:rsidRPr="002A444A">
              <w:rPr>
                <w:rFonts w:ascii="Verdana" w:hAnsi="Verdana"/>
                <w:b/>
              </w:rPr>
              <w:t>MMP</w:t>
            </w:r>
          </w:p>
        </w:tc>
        <w:tc>
          <w:tcPr>
            <w:tcW w:w="992" w:type="pct"/>
          </w:tcPr>
          <w:p w14:paraId="3E4578A8" w14:textId="77777777" w:rsidR="007E2F4A" w:rsidRPr="002C36C7" w:rsidRDefault="007E2F4A" w:rsidP="000431DA">
            <w:pPr>
              <w:spacing w:before="120" w:after="120"/>
              <w:rPr>
                <w:rFonts w:ascii="Verdana" w:hAnsi="Verdana" w:cs="Arial"/>
              </w:rPr>
            </w:pPr>
            <w:r w:rsidRPr="002C36C7">
              <w:rPr>
                <w:rFonts w:ascii="Verdana" w:hAnsi="Verdana"/>
              </w:rPr>
              <w:t>Medicare Medicaid Plan</w:t>
            </w:r>
          </w:p>
        </w:tc>
        <w:tc>
          <w:tcPr>
            <w:tcW w:w="3263" w:type="pct"/>
          </w:tcPr>
          <w:p w14:paraId="0A329655" w14:textId="64D5EBC5" w:rsidR="007E2F4A" w:rsidRPr="004E00B6" w:rsidRDefault="008F585C" w:rsidP="000431DA">
            <w:pPr>
              <w:spacing w:before="120" w:after="120"/>
              <w:rPr>
                <w:rFonts w:ascii="Verdana" w:hAnsi="Verdana"/>
              </w:rPr>
            </w:pPr>
            <w:r>
              <w:rPr>
                <w:rFonts w:ascii="Verdana" w:hAnsi="Verdana"/>
              </w:rPr>
              <w:t>Specific plan</w:t>
            </w:r>
            <w:r w:rsidR="00CE205A">
              <w:rPr>
                <w:rFonts w:ascii="Verdana" w:hAnsi="Verdana"/>
              </w:rPr>
              <w:t>.</w:t>
            </w:r>
          </w:p>
        </w:tc>
      </w:tr>
      <w:tr w:rsidR="009C33EF" w:rsidRPr="004E00B6" w14:paraId="57F2C1DD" w14:textId="77777777" w:rsidTr="008338FB">
        <w:tc>
          <w:tcPr>
            <w:tcW w:w="745" w:type="pct"/>
          </w:tcPr>
          <w:p w14:paraId="7EE3C56D" w14:textId="77777777" w:rsidR="007E2F4A" w:rsidRPr="00F4531F" w:rsidRDefault="007E2F4A" w:rsidP="000431DA">
            <w:pPr>
              <w:spacing w:before="120" w:after="120"/>
              <w:jc w:val="center"/>
              <w:rPr>
                <w:rFonts w:ascii="Verdana" w:hAnsi="Verdana"/>
                <w:b/>
                <w:color w:val="000000"/>
              </w:rPr>
            </w:pPr>
            <w:r>
              <w:rPr>
                <w:rFonts w:ascii="Verdana" w:hAnsi="Verdana"/>
                <w:b/>
                <w:color w:val="000000"/>
              </w:rPr>
              <w:t xml:space="preserve">MMR </w:t>
            </w:r>
          </w:p>
        </w:tc>
        <w:tc>
          <w:tcPr>
            <w:tcW w:w="992" w:type="pct"/>
          </w:tcPr>
          <w:p w14:paraId="0319D6D8" w14:textId="77777777" w:rsidR="007E2F4A" w:rsidRPr="002C36C7" w:rsidRDefault="007E2F4A" w:rsidP="000431DA">
            <w:pPr>
              <w:spacing w:before="120" w:after="120"/>
              <w:rPr>
                <w:rFonts w:ascii="Verdana" w:hAnsi="Verdana" w:cs="Arial"/>
              </w:rPr>
            </w:pPr>
            <w:r w:rsidRPr="002C36C7">
              <w:rPr>
                <w:rFonts w:ascii="Verdana" w:hAnsi="Verdana" w:cs="Arial"/>
              </w:rPr>
              <w:t xml:space="preserve">Monthly Membership Report </w:t>
            </w:r>
          </w:p>
        </w:tc>
        <w:tc>
          <w:tcPr>
            <w:tcW w:w="3263" w:type="pct"/>
          </w:tcPr>
          <w:p w14:paraId="1153D3D8" w14:textId="77777777" w:rsidR="007E2F4A" w:rsidRPr="006B3934" w:rsidRDefault="007E2F4A" w:rsidP="000431DA">
            <w:pPr>
              <w:spacing w:before="120" w:after="120"/>
              <w:rPr>
                <w:rFonts w:ascii="Verdana" w:hAnsi="Verdana" w:cs="Arial"/>
              </w:rPr>
            </w:pPr>
            <w:r w:rsidRPr="00E66DC6">
              <w:rPr>
                <w:rFonts w:ascii="Verdana" w:hAnsi="Verdana" w:cs="Arial"/>
              </w:rPr>
              <w:t>CMS Monthly Membership Report that indicates SSLLC members. CMS uses the MMR as the base for the cutoff date for a particular month according to the annual CMS MMR schedule.</w:t>
            </w:r>
            <w:r>
              <w:rPr>
                <w:rFonts w:ascii="Verdana" w:hAnsi="Verdana" w:cs="Arial"/>
              </w:rPr>
              <w:t xml:space="preserve"> </w:t>
            </w:r>
          </w:p>
        </w:tc>
      </w:tr>
      <w:tr w:rsidR="009C33EF" w:rsidRPr="004E00B6" w14:paraId="49CA4531" w14:textId="77777777" w:rsidTr="008338FB">
        <w:tc>
          <w:tcPr>
            <w:tcW w:w="745" w:type="pct"/>
          </w:tcPr>
          <w:p w14:paraId="17041534"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MMS</w:t>
            </w:r>
          </w:p>
        </w:tc>
        <w:tc>
          <w:tcPr>
            <w:tcW w:w="992" w:type="pct"/>
          </w:tcPr>
          <w:p w14:paraId="12AE1E2C" w14:textId="77777777" w:rsidR="007E2F4A" w:rsidRPr="002C36C7" w:rsidRDefault="007E2F4A" w:rsidP="000431DA">
            <w:pPr>
              <w:spacing w:before="120" w:after="120"/>
              <w:rPr>
                <w:rFonts w:ascii="Verdana" w:hAnsi="Verdana" w:cs="Arial"/>
              </w:rPr>
            </w:pPr>
            <w:r w:rsidRPr="002C36C7">
              <w:rPr>
                <w:rFonts w:ascii="Verdana" w:hAnsi="Verdana" w:cs="Arial"/>
              </w:rPr>
              <w:t>Managed Mail Service</w:t>
            </w:r>
          </w:p>
        </w:tc>
        <w:tc>
          <w:tcPr>
            <w:tcW w:w="3263" w:type="pct"/>
          </w:tcPr>
          <w:p w14:paraId="666EF56D" w14:textId="78F11B76" w:rsidR="007E2F4A" w:rsidRPr="004E00B6" w:rsidRDefault="007E2F4A" w:rsidP="000431DA">
            <w:pPr>
              <w:spacing w:before="120" w:after="120"/>
              <w:rPr>
                <w:rFonts w:ascii="Verdana" w:hAnsi="Verdana" w:cs="Arial"/>
              </w:rPr>
            </w:pPr>
            <w:r w:rsidRPr="006B3934">
              <w:rPr>
                <w:rFonts w:ascii="Verdana" w:hAnsi="Verdana" w:cs="Arial"/>
              </w:rPr>
              <w:t xml:space="preserve">Refers to </w:t>
            </w:r>
            <w:r>
              <w:rPr>
                <w:rFonts w:ascii="Verdana" w:hAnsi="Verdana" w:cs="Arial"/>
              </w:rPr>
              <w:t>our</w:t>
            </w:r>
            <w:r w:rsidRPr="006B3934">
              <w:rPr>
                <w:rFonts w:ascii="Verdana" w:hAnsi="Verdana" w:cs="Arial"/>
              </w:rPr>
              <w:t xml:space="preserve"> mail order service</w:t>
            </w:r>
            <w:r w:rsidR="00D24249" w:rsidRPr="006B3934">
              <w:rPr>
                <w:rFonts w:ascii="Verdana" w:hAnsi="Verdana" w:cs="Arial"/>
              </w:rPr>
              <w:t xml:space="preserve">. </w:t>
            </w:r>
            <w:r>
              <w:rPr>
                <w:rFonts w:ascii="Verdana" w:hAnsi="Verdana" w:cs="Arial"/>
              </w:rPr>
              <w:t>We have</w:t>
            </w:r>
            <w:r w:rsidRPr="006B3934">
              <w:rPr>
                <w:rFonts w:ascii="Verdana" w:hAnsi="Verdana" w:cs="Arial"/>
              </w:rPr>
              <w:t xml:space="preserve"> a number of mail order fulfillment facilities in across the United States.</w:t>
            </w:r>
          </w:p>
        </w:tc>
      </w:tr>
      <w:tr w:rsidR="009C33EF" w:rsidRPr="004E00B6" w14:paraId="6BA9EA19" w14:textId="77777777" w:rsidTr="008338FB">
        <w:tc>
          <w:tcPr>
            <w:tcW w:w="745" w:type="pct"/>
          </w:tcPr>
          <w:p w14:paraId="387045B5"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MO</w:t>
            </w:r>
          </w:p>
        </w:tc>
        <w:tc>
          <w:tcPr>
            <w:tcW w:w="992" w:type="pct"/>
          </w:tcPr>
          <w:p w14:paraId="163D54D1" w14:textId="05AB78E4" w:rsidR="007E2F4A" w:rsidRPr="002C36C7" w:rsidRDefault="007E2F4A" w:rsidP="000431DA">
            <w:pPr>
              <w:spacing w:before="120" w:after="120"/>
              <w:rPr>
                <w:rFonts w:ascii="Verdana" w:hAnsi="Verdana" w:cs="Arial"/>
              </w:rPr>
            </w:pPr>
            <w:r w:rsidRPr="002C36C7">
              <w:rPr>
                <w:rFonts w:ascii="Verdana" w:hAnsi="Verdana" w:cs="Arial"/>
              </w:rPr>
              <w:t>Money Order</w:t>
            </w:r>
          </w:p>
        </w:tc>
        <w:tc>
          <w:tcPr>
            <w:tcW w:w="3263" w:type="pct"/>
          </w:tcPr>
          <w:p w14:paraId="49EB8714" w14:textId="77777777" w:rsidR="007E2F4A" w:rsidRPr="004E00B6" w:rsidRDefault="007E2F4A" w:rsidP="000431DA">
            <w:pPr>
              <w:spacing w:before="120" w:after="120"/>
              <w:rPr>
                <w:rFonts w:ascii="Verdana" w:hAnsi="Verdana" w:cs="Arial"/>
              </w:rPr>
            </w:pPr>
            <w:r w:rsidRPr="004E00B6">
              <w:rPr>
                <w:rFonts w:ascii="Verdana" w:hAnsi="Verdana" w:cs="Arial"/>
              </w:rPr>
              <w:t>A payment method</w:t>
            </w:r>
            <w:r>
              <w:rPr>
                <w:rFonts w:ascii="Verdana" w:hAnsi="Verdana" w:cs="Arial"/>
              </w:rPr>
              <w:t>.</w:t>
            </w:r>
          </w:p>
        </w:tc>
      </w:tr>
      <w:tr w:rsidR="008041F2" w:rsidRPr="004E00B6" w14:paraId="4758C8C2" w14:textId="77777777" w:rsidTr="008338FB">
        <w:tc>
          <w:tcPr>
            <w:tcW w:w="745" w:type="pct"/>
            <w:vMerge w:val="restart"/>
          </w:tcPr>
          <w:p w14:paraId="7086A722" w14:textId="4A64F001" w:rsidR="008041F2" w:rsidRPr="00F4531F" w:rsidRDefault="008041F2" w:rsidP="000431DA">
            <w:pPr>
              <w:spacing w:before="120" w:after="120"/>
              <w:jc w:val="center"/>
              <w:rPr>
                <w:rFonts w:ascii="Verdana" w:hAnsi="Verdana"/>
                <w:b/>
                <w:color w:val="000000"/>
              </w:rPr>
            </w:pPr>
            <w:r>
              <w:rPr>
                <w:rFonts w:ascii="Verdana" w:hAnsi="Verdana"/>
                <w:b/>
                <w:color w:val="000000"/>
              </w:rPr>
              <w:t xml:space="preserve"> </w:t>
            </w:r>
            <w:r w:rsidRPr="00F4531F">
              <w:rPr>
                <w:rFonts w:ascii="Verdana" w:hAnsi="Verdana"/>
                <w:b/>
                <w:color w:val="000000"/>
              </w:rPr>
              <w:t>MOA</w:t>
            </w:r>
          </w:p>
        </w:tc>
        <w:tc>
          <w:tcPr>
            <w:tcW w:w="992" w:type="pct"/>
          </w:tcPr>
          <w:p w14:paraId="78C6AC79" w14:textId="77777777" w:rsidR="008041F2" w:rsidRPr="002C36C7" w:rsidRDefault="008041F2" w:rsidP="000431DA">
            <w:pPr>
              <w:spacing w:before="120" w:after="120"/>
              <w:rPr>
                <w:rFonts w:ascii="Verdana" w:hAnsi="Verdana" w:cs="Arial"/>
              </w:rPr>
            </w:pPr>
            <w:r w:rsidRPr="002C36C7">
              <w:rPr>
                <w:rFonts w:ascii="Verdana" w:hAnsi="Verdana" w:cs="Arial"/>
              </w:rPr>
              <w:t>Medical Office Assistant</w:t>
            </w:r>
          </w:p>
          <w:p w14:paraId="78D39829" w14:textId="77777777" w:rsidR="008041F2" w:rsidRPr="002C36C7" w:rsidRDefault="008041F2" w:rsidP="000431DA">
            <w:pPr>
              <w:spacing w:before="120" w:after="120"/>
              <w:rPr>
                <w:rFonts w:ascii="Verdana" w:hAnsi="Verdana" w:cs="Arial"/>
              </w:rPr>
            </w:pPr>
          </w:p>
        </w:tc>
        <w:tc>
          <w:tcPr>
            <w:tcW w:w="3263" w:type="pct"/>
          </w:tcPr>
          <w:p w14:paraId="688166FC" w14:textId="3B89388E" w:rsidR="008041F2" w:rsidRPr="004E00B6" w:rsidRDefault="008041F2" w:rsidP="000431DA">
            <w:pPr>
              <w:spacing w:before="120" w:after="120"/>
              <w:rPr>
                <w:rFonts w:ascii="Verdana" w:hAnsi="Verdana" w:cs="Arial"/>
              </w:rPr>
            </w:pPr>
            <w:r>
              <w:rPr>
                <w:rFonts w:ascii="Verdana" w:hAnsi="Verdana" w:cs="Arial"/>
              </w:rPr>
              <w:t>Responsible for performing office duties and ensuring a medical clinic runs smoothly. These duties include transcribing patient records and letters, keeping accounts, billing patients, filing claims with insurance companies and scheduling appointments.</w:t>
            </w:r>
          </w:p>
        </w:tc>
      </w:tr>
      <w:tr w:rsidR="008041F2" w:rsidRPr="004E00B6" w14:paraId="7A960F58" w14:textId="77777777" w:rsidTr="008338FB">
        <w:tc>
          <w:tcPr>
            <w:tcW w:w="745" w:type="pct"/>
            <w:vMerge/>
          </w:tcPr>
          <w:p w14:paraId="34E8A180" w14:textId="77777777" w:rsidR="008041F2" w:rsidRDefault="008041F2" w:rsidP="000431DA">
            <w:pPr>
              <w:spacing w:before="120" w:after="120"/>
              <w:jc w:val="center"/>
              <w:rPr>
                <w:rFonts w:ascii="Verdana" w:hAnsi="Verdana"/>
                <w:b/>
                <w:color w:val="000000"/>
              </w:rPr>
            </w:pPr>
          </w:p>
        </w:tc>
        <w:tc>
          <w:tcPr>
            <w:tcW w:w="992" w:type="pct"/>
          </w:tcPr>
          <w:p w14:paraId="5B8874C7" w14:textId="6D24198E" w:rsidR="008041F2" w:rsidRPr="002C36C7" w:rsidRDefault="00731D43" w:rsidP="000431DA">
            <w:pPr>
              <w:spacing w:before="120" w:after="120"/>
              <w:rPr>
                <w:rFonts w:ascii="Verdana" w:hAnsi="Verdana" w:cs="Arial"/>
              </w:rPr>
            </w:pPr>
            <w:r>
              <w:rPr>
                <w:rFonts w:ascii="Verdana" w:hAnsi="Verdana"/>
                <w:noProof/>
                <w:color w:val="333333"/>
              </w:rPr>
              <w:drawing>
                <wp:inline distT="0" distB="0" distL="0" distR="0" wp14:anchorId="1CF55E97" wp14:editId="0C3A8007">
                  <wp:extent cx="304762" cy="304762"/>
                  <wp:effectExtent l="0" t="0" r="635" b="635"/>
                  <wp:docPr id="197328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20301" name="Picture 432020301"/>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0E3AF3">
              <w:rPr>
                <w:rFonts w:ascii="Verdana" w:hAnsi="Verdana" w:cs="Arial"/>
              </w:rPr>
              <w:t>Mail Order Available Table</w:t>
            </w:r>
          </w:p>
        </w:tc>
        <w:tc>
          <w:tcPr>
            <w:tcW w:w="3263" w:type="pct"/>
          </w:tcPr>
          <w:p w14:paraId="1CF4E8DC" w14:textId="710A0A37" w:rsidR="008041F2" w:rsidRDefault="00731D43" w:rsidP="000431DA">
            <w:pPr>
              <w:spacing w:before="120" w:after="120"/>
              <w:rPr>
                <w:rFonts w:ascii="Verdana" w:hAnsi="Verdana" w:cs="Arial"/>
              </w:rPr>
            </w:pPr>
            <w:r>
              <w:rPr>
                <w:rFonts w:ascii="Verdana" w:hAnsi="Verdana"/>
                <w:noProof/>
                <w:color w:val="333333"/>
              </w:rPr>
              <w:drawing>
                <wp:inline distT="0" distB="0" distL="0" distR="0" wp14:anchorId="2936DFF6" wp14:editId="393A9D23">
                  <wp:extent cx="304762" cy="304762"/>
                  <wp:effectExtent l="0" t="0" r="635" b="635"/>
                  <wp:docPr id="115517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20301" name="Picture 432020301"/>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0E3AF3" w:rsidRPr="000E3AF3">
              <w:rPr>
                <w:rFonts w:ascii="Verdana" w:hAnsi="Verdana" w:cs="Arial"/>
              </w:rPr>
              <w:t>LINKS MOA Table (visible in Drug Sub Tab at the top of the Resolve Conflict Screen).</w:t>
            </w:r>
          </w:p>
        </w:tc>
      </w:tr>
      <w:tr w:rsidR="006C6FA8" w:rsidRPr="004E00B6" w14:paraId="051A5449" w14:textId="77777777" w:rsidTr="008338FB">
        <w:tc>
          <w:tcPr>
            <w:tcW w:w="745" w:type="pct"/>
          </w:tcPr>
          <w:p w14:paraId="2E1157B5" w14:textId="1F6D08FB" w:rsidR="006C6FA8" w:rsidRPr="00F4531F" w:rsidRDefault="006321EB" w:rsidP="000431DA">
            <w:pPr>
              <w:spacing w:before="120" w:after="120"/>
              <w:jc w:val="center"/>
              <w:rPr>
                <w:rFonts w:ascii="Verdana" w:hAnsi="Verdana"/>
                <w:b/>
                <w:color w:val="000000"/>
              </w:rPr>
            </w:pPr>
            <w:r>
              <w:rPr>
                <w:rFonts w:ascii="Verdana" w:hAnsi="Verdana"/>
                <w:noProof/>
                <w:color w:val="333333"/>
              </w:rPr>
              <w:drawing>
                <wp:inline distT="0" distB="0" distL="0" distR="0" wp14:anchorId="34FE4BB1" wp14:editId="1AAA9C38">
                  <wp:extent cx="304762" cy="304762"/>
                  <wp:effectExtent l="0" t="0" r="635" b="635"/>
                  <wp:docPr id="158964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20301" name="Picture 432020301"/>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56C1C">
              <w:rPr>
                <w:rFonts w:ascii="Verdana" w:hAnsi="Verdana"/>
                <w:b/>
                <w:color w:val="000000"/>
              </w:rPr>
              <w:t>MOD</w:t>
            </w:r>
          </w:p>
        </w:tc>
        <w:tc>
          <w:tcPr>
            <w:tcW w:w="992" w:type="pct"/>
          </w:tcPr>
          <w:p w14:paraId="6A5E974A" w14:textId="398468F4" w:rsidR="006C6FA8" w:rsidRPr="002C36C7" w:rsidRDefault="001708BA" w:rsidP="000431DA">
            <w:pPr>
              <w:spacing w:before="120" w:after="120"/>
              <w:rPr>
                <w:rFonts w:ascii="Verdana" w:hAnsi="Verdana" w:cs="Arial"/>
              </w:rPr>
            </w:pPr>
            <w:r>
              <w:rPr>
                <w:rFonts w:ascii="Verdana" w:hAnsi="Verdana" w:cs="Arial"/>
              </w:rPr>
              <w:t>Mail Order Delivery</w:t>
            </w:r>
          </w:p>
        </w:tc>
        <w:tc>
          <w:tcPr>
            <w:tcW w:w="3263" w:type="pct"/>
          </w:tcPr>
          <w:p w14:paraId="49DED83C" w14:textId="7CA92B53" w:rsidR="006C6FA8" w:rsidRDefault="00916AF1" w:rsidP="000431DA">
            <w:pPr>
              <w:spacing w:before="120" w:after="120"/>
              <w:rPr>
                <w:rFonts w:ascii="Verdana" w:hAnsi="Verdana" w:cs="Arial"/>
              </w:rPr>
            </w:pPr>
            <w:r w:rsidRPr="00916AF1">
              <w:rPr>
                <w:rFonts w:ascii="Verdana" w:hAnsi="Verdana" w:cs="Arial"/>
              </w:rPr>
              <w:t>A service responsible for the fulfillment and shipment of prescription medications or healthcare products directly to patients via mail. This process typically involves centralized pharmacy operations and is designed to improve convenience, adherence, and access to medications.</w:t>
            </w:r>
          </w:p>
        </w:tc>
      </w:tr>
      <w:tr w:rsidR="009C33EF" w:rsidRPr="004E00B6" w14:paraId="7BE0FD45" w14:textId="77777777" w:rsidTr="008338FB">
        <w:tc>
          <w:tcPr>
            <w:tcW w:w="745" w:type="pct"/>
          </w:tcPr>
          <w:p w14:paraId="341A93F1"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Mobile App</w:t>
            </w:r>
          </w:p>
        </w:tc>
        <w:tc>
          <w:tcPr>
            <w:tcW w:w="992" w:type="pct"/>
          </w:tcPr>
          <w:p w14:paraId="7AAA59BE" w14:textId="77777777" w:rsidR="007E2F4A" w:rsidRPr="002C36C7" w:rsidRDefault="007E2F4A" w:rsidP="000431DA">
            <w:pPr>
              <w:spacing w:before="120" w:after="120"/>
              <w:rPr>
                <w:rFonts w:ascii="Verdana" w:hAnsi="Verdana" w:cs="Arial"/>
              </w:rPr>
            </w:pPr>
            <w:r w:rsidRPr="002C36C7">
              <w:rPr>
                <w:rFonts w:ascii="Verdana" w:hAnsi="Verdana" w:cs="Arial"/>
              </w:rPr>
              <w:t>Mobile Application</w:t>
            </w:r>
          </w:p>
        </w:tc>
        <w:tc>
          <w:tcPr>
            <w:tcW w:w="3263" w:type="pct"/>
          </w:tcPr>
          <w:p w14:paraId="7441BC04" w14:textId="54B78782" w:rsidR="007E2F4A" w:rsidRDefault="007E2F4A" w:rsidP="000431DA">
            <w:pPr>
              <w:spacing w:before="120" w:after="120"/>
              <w:rPr>
                <w:rFonts w:ascii="Verdana" w:hAnsi="Verdana" w:cs="Arial"/>
              </w:rPr>
            </w:pPr>
            <w:r>
              <w:rPr>
                <w:rFonts w:ascii="Verdana" w:hAnsi="Verdana" w:cs="Arial"/>
              </w:rPr>
              <w:t xml:space="preserve">An </w:t>
            </w:r>
            <w:r w:rsidRPr="006B3934">
              <w:rPr>
                <w:rFonts w:ascii="Verdana" w:hAnsi="Verdana" w:cs="Arial"/>
              </w:rPr>
              <w:t>application software designed to run on smartphones, tablet computers, and mobile devices</w:t>
            </w:r>
            <w:r w:rsidR="00D24249" w:rsidRPr="006B3934">
              <w:rPr>
                <w:rFonts w:ascii="Verdana" w:hAnsi="Verdana" w:cs="Arial"/>
              </w:rPr>
              <w:t xml:space="preserve">. </w:t>
            </w:r>
          </w:p>
          <w:p w14:paraId="18D6D82C" w14:textId="77777777" w:rsidR="007E2F4A" w:rsidRDefault="007E2F4A" w:rsidP="000431DA">
            <w:pPr>
              <w:spacing w:before="120" w:after="120"/>
              <w:rPr>
                <w:rFonts w:ascii="Verdana" w:hAnsi="Verdana" w:cs="Arial"/>
              </w:rPr>
            </w:pPr>
          </w:p>
          <w:p w14:paraId="14F45156" w14:textId="1FD679FE" w:rsidR="007E2F4A" w:rsidRPr="004E00B6" w:rsidRDefault="007E2F4A" w:rsidP="000431DA">
            <w:pPr>
              <w:spacing w:before="120" w:after="120"/>
              <w:rPr>
                <w:rFonts w:ascii="Verdana" w:hAnsi="Verdana" w:cs="Arial"/>
              </w:rPr>
            </w:pPr>
            <w:r w:rsidRPr="006B3934">
              <w:rPr>
                <w:rFonts w:ascii="Verdana" w:hAnsi="Verdana" w:cs="Arial"/>
              </w:rPr>
              <w:t>The</w:t>
            </w:r>
            <w:r>
              <w:rPr>
                <w:rFonts w:ascii="Verdana" w:hAnsi="Verdana" w:cs="Arial"/>
              </w:rPr>
              <w:t xml:space="preserve"> </w:t>
            </w:r>
            <w:r w:rsidRPr="006B3934">
              <w:rPr>
                <w:rFonts w:ascii="Verdana" w:hAnsi="Verdana" w:cs="Arial"/>
              </w:rPr>
              <w:t>.com Mobile App is a free download available for Apple (iPhone, iPad) and Android mobile devices</w:t>
            </w:r>
            <w:r w:rsidR="00D24249" w:rsidRPr="006B3934">
              <w:rPr>
                <w:rFonts w:ascii="Verdana" w:hAnsi="Verdana" w:cs="Arial"/>
              </w:rPr>
              <w:t xml:space="preserve">. </w:t>
            </w:r>
            <w:r w:rsidRPr="006B3934">
              <w:rPr>
                <w:rFonts w:ascii="Verdana" w:hAnsi="Verdana" w:cs="Arial"/>
              </w:rPr>
              <w:t>In order to access the</w:t>
            </w:r>
            <w:r>
              <w:rPr>
                <w:rFonts w:ascii="Verdana" w:hAnsi="Verdana" w:cs="Arial"/>
              </w:rPr>
              <w:t xml:space="preserve"> .</w:t>
            </w:r>
            <w:r w:rsidRPr="006B3934">
              <w:rPr>
                <w:rFonts w:ascii="Verdana" w:hAnsi="Verdana" w:cs="Arial"/>
              </w:rPr>
              <w:t>com</w:t>
            </w:r>
            <w:r>
              <w:rPr>
                <w:rFonts w:ascii="Verdana" w:hAnsi="Verdana" w:cs="Arial"/>
              </w:rPr>
              <w:t>,</w:t>
            </w:r>
            <w:r w:rsidRPr="006B3934">
              <w:rPr>
                <w:rFonts w:ascii="Verdana" w:hAnsi="Verdana" w:cs="Arial"/>
              </w:rPr>
              <w:t xml:space="preserve"> mobile app, the member needs to download the app from</w:t>
            </w:r>
            <w:r>
              <w:rPr>
                <w:rFonts w:ascii="Verdana" w:hAnsi="Verdana" w:cs="Arial"/>
              </w:rPr>
              <w:t xml:space="preserve"> the Apple App Store for iPhone</w:t>
            </w:r>
            <w:r w:rsidRPr="006B3934">
              <w:rPr>
                <w:rFonts w:ascii="Verdana" w:hAnsi="Verdana" w:cs="Arial"/>
              </w:rPr>
              <w:t xml:space="preserve"> or the Google Play Store for Androids.</w:t>
            </w:r>
          </w:p>
        </w:tc>
      </w:tr>
      <w:tr w:rsidR="009C33EF" w:rsidRPr="006B3934" w14:paraId="39D6488B" w14:textId="77777777" w:rsidTr="008338FB">
        <w:tc>
          <w:tcPr>
            <w:tcW w:w="745" w:type="pct"/>
          </w:tcPr>
          <w:p w14:paraId="0BDFBDC0" w14:textId="412BBEB6" w:rsidR="007E2F4A" w:rsidRPr="00F4531F" w:rsidRDefault="007E2F4A" w:rsidP="000431DA">
            <w:pPr>
              <w:spacing w:before="120" w:after="120"/>
              <w:jc w:val="center"/>
              <w:rPr>
                <w:rFonts w:ascii="Verdana" w:hAnsi="Verdana"/>
                <w:b/>
                <w:color w:val="000000"/>
              </w:rPr>
            </w:pPr>
            <w:r w:rsidRPr="00315A3A">
              <w:rPr>
                <w:rFonts w:ascii="Verdana" w:hAnsi="Verdana"/>
                <w:b/>
                <w:color w:val="000000"/>
              </w:rPr>
              <w:t>MONMEMD</w:t>
            </w:r>
            <w:r>
              <w:rPr>
                <w:rFonts w:ascii="Verdana" w:hAnsi="Verdana"/>
                <w:b/>
                <w:color w:val="000000"/>
              </w:rPr>
              <w:t xml:space="preserve"> </w:t>
            </w:r>
          </w:p>
        </w:tc>
        <w:tc>
          <w:tcPr>
            <w:tcW w:w="992" w:type="pct"/>
          </w:tcPr>
          <w:p w14:paraId="217F1CC2" w14:textId="77777777" w:rsidR="007E2F4A" w:rsidRPr="002C36C7" w:rsidRDefault="007E2F4A" w:rsidP="000431DA">
            <w:pPr>
              <w:spacing w:before="120" w:after="120"/>
              <w:rPr>
                <w:rFonts w:ascii="Verdana" w:hAnsi="Verdana" w:cs="Arial"/>
              </w:rPr>
            </w:pPr>
            <w:r w:rsidRPr="002C36C7">
              <w:rPr>
                <w:rFonts w:ascii="Verdana" w:hAnsi="Verdana" w:cs="Arial"/>
              </w:rPr>
              <w:t xml:space="preserve">Monthly Membership Detail Report </w:t>
            </w:r>
          </w:p>
        </w:tc>
        <w:tc>
          <w:tcPr>
            <w:tcW w:w="3263" w:type="pct"/>
          </w:tcPr>
          <w:p w14:paraId="247F11B0" w14:textId="77777777" w:rsidR="007E2F4A" w:rsidRPr="006B3934" w:rsidRDefault="007E2F4A" w:rsidP="000431DA">
            <w:pPr>
              <w:spacing w:before="120" w:after="120"/>
              <w:rPr>
                <w:rFonts w:ascii="Verdana" w:hAnsi="Verdana" w:cs="Arial"/>
              </w:rPr>
            </w:pPr>
            <w:r w:rsidRPr="00315A3A">
              <w:rPr>
                <w:rFonts w:ascii="Verdana" w:hAnsi="Verdana" w:cs="Arial"/>
              </w:rPr>
              <w:t>Also known as MMR, MMRD or LIPSLEP report.</w:t>
            </w:r>
            <w:r>
              <w:rPr>
                <w:rFonts w:ascii="Verdana" w:hAnsi="Verdana" w:cs="Arial"/>
              </w:rPr>
              <w:t xml:space="preserve"> </w:t>
            </w:r>
          </w:p>
        </w:tc>
      </w:tr>
      <w:tr w:rsidR="009C33EF" w:rsidRPr="004E00B6" w14:paraId="3F99C65F" w14:textId="77777777" w:rsidTr="008338FB">
        <w:tc>
          <w:tcPr>
            <w:tcW w:w="745" w:type="pct"/>
            <w:vMerge w:val="restart"/>
          </w:tcPr>
          <w:p w14:paraId="6CA9D625"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MOP</w:t>
            </w:r>
          </w:p>
        </w:tc>
        <w:tc>
          <w:tcPr>
            <w:tcW w:w="992" w:type="pct"/>
          </w:tcPr>
          <w:p w14:paraId="4A894346" w14:textId="77777777" w:rsidR="007E2F4A" w:rsidRPr="002C36C7" w:rsidRDefault="007E2F4A" w:rsidP="000431DA">
            <w:pPr>
              <w:spacing w:before="120" w:after="120"/>
              <w:rPr>
                <w:rFonts w:ascii="Verdana" w:hAnsi="Verdana" w:cs="Arial"/>
              </w:rPr>
            </w:pPr>
            <w:r w:rsidRPr="002C36C7">
              <w:rPr>
                <w:rFonts w:ascii="Verdana" w:hAnsi="Verdana" w:cs="Arial"/>
              </w:rPr>
              <w:t>Mail Order Pharmacy</w:t>
            </w:r>
          </w:p>
        </w:tc>
        <w:tc>
          <w:tcPr>
            <w:tcW w:w="3263" w:type="pct"/>
          </w:tcPr>
          <w:p w14:paraId="44BDC776" w14:textId="26ECA565" w:rsidR="007E2F4A" w:rsidRPr="004E00B6" w:rsidRDefault="007E2F4A" w:rsidP="000431DA">
            <w:pPr>
              <w:spacing w:before="120" w:after="120"/>
              <w:rPr>
                <w:rFonts w:ascii="Verdana" w:hAnsi="Verdana" w:cs="Arial"/>
              </w:rPr>
            </w:pPr>
            <w:r w:rsidRPr="006B3934">
              <w:rPr>
                <w:rFonts w:ascii="Verdana" w:hAnsi="Verdana" w:cs="Arial"/>
              </w:rPr>
              <w:t xml:space="preserve">Organization that provides pharmacy services via telephone, mail or the Internet and delivers its medications using a home delivery method, such as the U.S. Postal Service, Fed </w:t>
            </w:r>
            <w:r w:rsidR="005A6B97" w:rsidRPr="006B3934">
              <w:rPr>
                <w:rFonts w:ascii="Verdana" w:hAnsi="Verdana" w:cs="Arial"/>
              </w:rPr>
              <w:t>Ex,</w:t>
            </w:r>
            <w:r w:rsidRPr="006B3934">
              <w:rPr>
                <w:rFonts w:ascii="Verdana" w:hAnsi="Verdana" w:cs="Arial"/>
              </w:rPr>
              <w:t xml:space="preserve"> or UPS</w:t>
            </w:r>
            <w:r w:rsidR="00124EA6" w:rsidRPr="006B3934">
              <w:rPr>
                <w:rFonts w:ascii="Verdana" w:hAnsi="Verdana" w:cs="Arial"/>
              </w:rPr>
              <w:t xml:space="preserve">. </w:t>
            </w:r>
            <w:r w:rsidRPr="006B3934">
              <w:rPr>
                <w:rFonts w:ascii="Verdana" w:hAnsi="Verdana" w:cs="Arial"/>
              </w:rPr>
              <w:t>Most prescription benefit plans allow members to receive up to a 90-day supply per fill for covered medications filled by the respective plan’s designated mail order pharmacy.</w:t>
            </w:r>
            <w:r>
              <w:rPr>
                <w:rFonts w:ascii="Verdana" w:hAnsi="Verdana" w:cs="Arial"/>
              </w:rPr>
              <w:t xml:space="preserve"> </w:t>
            </w:r>
          </w:p>
        </w:tc>
      </w:tr>
      <w:tr w:rsidR="009C33EF" w14:paraId="39295A4D" w14:textId="77777777" w:rsidTr="008338FB">
        <w:tc>
          <w:tcPr>
            <w:tcW w:w="745" w:type="pct"/>
            <w:vMerge/>
          </w:tcPr>
          <w:p w14:paraId="095BEF73" w14:textId="77777777" w:rsidR="007E2F4A" w:rsidRPr="00F4531F" w:rsidRDefault="007E2F4A" w:rsidP="000431DA">
            <w:pPr>
              <w:spacing w:before="120" w:after="120"/>
              <w:jc w:val="center"/>
              <w:rPr>
                <w:rFonts w:ascii="Verdana" w:hAnsi="Verdana"/>
                <w:b/>
                <w:color w:val="000000"/>
              </w:rPr>
            </w:pPr>
          </w:p>
        </w:tc>
        <w:tc>
          <w:tcPr>
            <w:tcW w:w="992" w:type="pct"/>
          </w:tcPr>
          <w:p w14:paraId="26FDC673" w14:textId="77777777" w:rsidR="007E2F4A" w:rsidRPr="002C36C7" w:rsidRDefault="007E2F4A" w:rsidP="000431DA">
            <w:pPr>
              <w:spacing w:before="120" w:after="120"/>
              <w:rPr>
                <w:rFonts w:ascii="Verdana" w:hAnsi="Verdana" w:cs="Arial"/>
              </w:rPr>
            </w:pPr>
            <w:r w:rsidRPr="002C36C7">
              <w:rPr>
                <w:rFonts w:ascii="Verdana" w:hAnsi="Verdana" w:cs="Arial"/>
              </w:rPr>
              <w:t>Method of Payment</w:t>
            </w:r>
          </w:p>
        </w:tc>
        <w:tc>
          <w:tcPr>
            <w:tcW w:w="3263" w:type="pct"/>
          </w:tcPr>
          <w:p w14:paraId="1E6238CA" w14:textId="0C2D5670" w:rsidR="007E2F4A" w:rsidRDefault="007E2F4A" w:rsidP="000431DA">
            <w:pPr>
              <w:spacing w:before="120" w:after="120"/>
              <w:rPr>
                <w:rFonts w:ascii="Verdana" w:hAnsi="Verdana" w:cs="Arial"/>
              </w:rPr>
            </w:pPr>
            <w:r w:rsidRPr="004E00B6">
              <w:rPr>
                <w:rFonts w:ascii="Verdana" w:hAnsi="Verdana" w:cs="Arial"/>
              </w:rPr>
              <w:t>Member’s payment type</w:t>
            </w:r>
            <w:r>
              <w:rPr>
                <w:rFonts w:ascii="Verdana" w:hAnsi="Verdana" w:cs="Arial"/>
              </w:rPr>
              <w:t>.</w:t>
            </w:r>
          </w:p>
        </w:tc>
      </w:tr>
      <w:tr w:rsidR="009C33EF" w:rsidRPr="004E00B6" w14:paraId="174CC730" w14:textId="77777777" w:rsidTr="008338FB">
        <w:tc>
          <w:tcPr>
            <w:tcW w:w="745" w:type="pct"/>
          </w:tcPr>
          <w:p w14:paraId="027A094E"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MOOP</w:t>
            </w:r>
          </w:p>
        </w:tc>
        <w:tc>
          <w:tcPr>
            <w:tcW w:w="992" w:type="pct"/>
          </w:tcPr>
          <w:p w14:paraId="1EC393D6" w14:textId="77777777" w:rsidR="007E2F4A" w:rsidRPr="002C36C7" w:rsidRDefault="007E2F4A" w:rsidP="000431DA">
            <w:pPr>
              <w:spacing w:before="120" w:after="120"/>
              <w:rPr>
                <w:rFonts w:ascii="Verdana" w:hAnsi="Verdana" w:cs="Arial"/>
              </w:rPr>
            </w:pPr>
            <w:r w:rsidRPr="002C36C7">
              <w:rPr>
                <w:rFonts w:ascii="Verdana" w:hAnsi="Verdana" w:cs="Arial"/>
              </w:rPr>
              <w:t>Maximum Out Of Pocket</w:t>
            </w:r>
          </w:p>
        </w:tc>
        <w:tc>
          <w:tcPr>
            <w:tcW w:w="3263" w:type="pct"/>
          </w:tcPr>
          <w:p w14:paraId="5741EDCD" w14:textId="405D536B" w:rsidR="007E2F4A" w:rsidRPr="004E00B6" w:rsidRDefault="007E2F4A" w:rsidP="000431DA">
            <w:pPr>
              <w:spacing w:before="120" w:after="120"/>
              <w:rPr>
                <w:rFonts w:ascii="Verdana" w:hAnsi="Verdana" w:cs="Arial"/>
              </w:rPr>
            </w:pPr>
            <w:r w:rsidRPr="004E00B6">
              <w:rPr>
                <w:rFonts w:ascii="Verdana" w:hAnsi="Verdana" w:cs="Arial"/>
              </w:rPr>
              <w:t>Annual maximum a person can expect to pay for covered services</w:t>
            </w:r>
            <w:r>
              <w:rPr>
                <w:rFonts w:ascii="Verdana" w:hAnsi="Verdana" w:cs="Arial"/>
              </w:rPr>
              <w:t>.</w:t>
            </w:r>
          </w:p>
        </w:tc>
      </w:tr>
      <w:tr w:rsidR="009C33EF" w:rsidRPr="00F25025" w14:paraId="266F9380" w14:textId="77777777" w:rsidTr="008338FB">
        <w:tc>
          <w:tcPr>
            <w:tcW w:w="745" w:type="pct"/>
          </w:tcPr>
          <w:p w14:paraId="77823D9F"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MOR</w:t>
            </w:r>
          </w:p>
        </w:tc>
        <w:tc>
          <w:tcPr>
            <w:tcW w:w="992" w:type="pct"/>
          </w:tcPr>
          <w:p w14:paraId="5A82FE03" w14:textId="77777777" w:rsidR="007E2F4A" w:rsidRDefault="007E2F4A" w:rsidP="000431DA">
            <w:pPr>
              <w:spacing w:before="120" w:after="120"/>
              <w:rPr>
                <w:rFonts w:ascii="Verdana" w:hAnsi="Verdana" w:cs="Arial"/>
              </w:rPr>
            </w:pPr>
            <w:r w:rsidRPr="002C36C7">
              <w:rPr>
                <w:rFonts w:ascii="Verdana" w:hAnsi="Verdana" w:cs="Arial"/>
              </w:rPr>
              <w:t>Mail Order</w:t>
            </w:r>
          </w:p>
          <w:p w14:paraId="6E579FAA" w14:textId="77777777" w:rsidR="007E2F4A" w:rsidRPr="002C36C7" w:rsidRDefault="007E2F4A" w:rsidP="000431DA">
            <w:pPr>
              <w:spacing w:before="120" w:after="120"/>
              <w:rPr>
                <w:rFonts w:ascii="Verdana" w:hAnsi="Verdana" w:cs="Arial"/>
              </w:rPr>
            </w:pPr>
            <w:r>
              <w:rPr>
                <w:rFonts w:ascii="Verdana" w:hAnsi="Verdana" w:cs="Arial"/>
              </w:rPr>
              <w:t xml:space="preserve"> </w:t>
            </w:r>
          </w:p>
        </w:tc>
        <w:tc>
          <w:tcPr>
            <w:tcW w:w="3263" w:type="pct"/>
          </w:tcPr>
          <w:p w14:paraId="32953026" w14:textId="5F91CA17" w:rsidR="007E2F4A" w:rsidRDefault="007E2F4A" w:rsidP="000431DA">
            <w:pPr>
              <w:spacing w:before="120" w:after="120"/>
              <w:rPr>
                <w:rFonts w:ascii="Verdana" w:hAnsi="Verdana"/>
              </w:rPr>
            </w:pPr>
            <w:r>
              <w:rPr>
                <w:rFonts w:ascii="Verdana" w:hAnsi="Verdana"/>
              </w:rPr>
              <w:t>A p</w:t>
            </w:r>
            <w:r w:rsidRPr="00F25025">
              <w:rPr>
                <w:rFonts w:ascii="Verdana" w:hAnsi="Verdana"/>
              </w:rPr>
              <w:t>harmacy that fills prescriptions for members via mail delivery</w:t>
            </w:r>
            <w:r w:rsidR="005A6B97">
              <w:rPr>
                <w:rFonts w:ascii="Verdana" w:hAnsi="Verdana"/>
              </w:rPr>
              <w:t xml:space="preserve">. </w:t>
            </w:r>
          </w:p>
          <w:p w14:paraId="2064F128" w14:textId="77777777" w:rsidR="007E2F4A" w:rsidRPr="00F25025" w:rsidRDefault="007E2F4A" w:rsidP="000431DA">
            <w:pPr>
              <w:spacing w:before="120" w:after="120"/>
              <w:rPr>
                <w:rFonts w:ascii="Verdana" w:hAnsi="Verdana"/>
              </w:rPr>
            </w:pPr>
          </w:p>
          <w:p w14:paraId="7D8009BA" w14:textId="0321EBDC" w:rsidR="007E2F4A" w:rsidRPr="00F25025" w:rsidRDefault="007E2F4A" w:rsidP="000431DA">
            <w:pPr>
              <w:spacing w:before="120" w:after="120"/>
              <w:rPr>
                <w:rFonts w:ascii="Verdana" w:hAnsi="Verdana"/>
              </w:rPr>
            </w:pPr>
            <w:r>
              <w:rPr>
                <w:rFonts w:ascii="Verdana" w:hAnsi="Verdana"/>
              </w:rPr>
              <w:t>Home Delivery</w:t>
            </w:r>
            <w:r w:rsidRPr="00F25025">
              <w:rPr>
                <w:rFonts w:ascii="Verdana" w:hAnsi="Verdana"/>
              </w:rPr>
              <w:t xml:space="preserve"> dispensing offers several powerful advantages over retail network dispensing, including:</w:t>
            </w:r>
            <w:r w:rsidR="008717D1">
              <w:rPr>
                <w:rFonts w:ascii="Verdana" w:hAnsi="Verdana"/>
              </w:rPr>
              <w:t xml:space="preserve">  </w:t>
            </w:r>
          </w:p>
          <w:p w14:paraId="34023170" w14:textId="465154F4" w:rsidR="007E2F4A" w:rsidRDefault="007E2F4A" w:rsidP="000431DA">
            <w:pPr>
              <w:numPr>
                <w:ilvl w:val="0"/>
                <w:numId w:val="54"/>
              </w:numPr>
              <w:spacing w:before="120" w:after="120"/>
              <w:rPr>
                <w:rFonts w:ascii="Verdana" w:hAnsi="Verdana"/>
              </w:rPr>
            </w:pPr>
            <w:r w:rsidRPr="00E520D8">
              <w:rPr>
                <w:rFonts w:ascii="Verdana" w:hAnsi="Verdana"/>
                <w:b/>
              </w:rPr>
              <w:t>Lower Cost</w:t>
            </w:r>
            <w:r w:rsidRPr="00FF1C89">
              <w:rPr>
                <w:rFonts w:ascii="Verdana" w:hAnsi="Verdana"/>
              </w:rPr>
              <w:t>- Average plan savings of 12% compared to retail</w:t>
            </w:r>
            <w:r w:rsidR="005A6B97" w:rsidRPr="00FF1C89">
              <w:rPr>
                <w:rFonts w:ascii="Verdana" w:hAnsi="Verdana"/>
              </w:rPr>
              <w:t xml:space="preserve">. </w:t>
            </w:r>
            <w:r>
              <w:rPr>
                <w:rFonts w:ascii="Verdana" w:hAnsi="Verdana"/>
              </w:rPr>
              <w:t>We</w:t>
            </w:r>
            <w:r w:rsidRPr="00FF1C89">
              <w:rPr>
                <w:rFonts w:ascii="Verdana" w:hAnsi="Verdana"/>
              </w:rPr>
              <w:t xml:space="preserve"> buy in bulk from drug manufacturers, often repackaging large lots of the drugs into common prescription quantities themselves</w:t>
            </w:r>
            <w:r w:rsidR="005A6B97" w:rsidRPr="00FF1C89">
              <w:rPr>
                <w:rFonts w:ascii="Verdana" w:hAnsi="Verdana"/>
              </w:rPr>
              <w:t xml:space="preserve">. </w:t>
            </w:r>
            <w:r>
              <w:rPr>
                <w:rFonts w:ascii="Verdana" w:hAnsi="Verdana"/>
              </w:rPr>
              <w:t>We</w:t>
            </w:r>
            <w:r w:rsidRPr="00FF1C89">
              <w:rPr>
                <w:rFonts w:ascii="Verdana" w:hAnsi="Verdana"/>
              </w:rPr>
              <w:t xml:space="preserve"> then pass those discounts on to our clients’ benefit plans and their members, along with lower dispensing fees than retail pharmacies charge</w:t>
            </w:r>
            <w:r w:rsidR="005A6B97" w:rsidRPr="00FF1C89">
              <w:rPr>
                <w:rFonts w:ascii="Verdana" w:hAnsi="Verdana"/>
              </w:rPr>
              <w:t xml:space="preserve">. </w:t>
            </w:r>
            <w:r w:rsidRPr="00FF1C89">
              <w:rPr>
                <w:rFonts w:ascii="Verdana" w:hAnsi="Verdana"/>
              </w:rPr>
              <w:t>These savings help reduce our clients’ drug trend, and in most cases allow them to</w:t>
            </w:r>
            <w:r>
              <w:rPr>
                <w:rFonts w:ascii="Verdana" w:hAnsi="Verdana"/>
              </w:rPr>
              <w:t xml:space="preserve"> offer lower copays (per day</w:t>
            </w:r>
            <w:r w:rsidRPr="00FF1C89">
              <w:rPr>
                <w:rFonts w:ascii="Verdana" w:hAnsi="Verdana"/>
              </w:rPr>
              <w:t xml:space="preserve"> supply) to their members for </w:t>
            </w:r>
            <w:r>
              <w:rPr>
                <w:rFonts w:ascii="Verdana" w:hAnsi="Verdana"/>
              </w:rPr>
              <w:t>home delivery</w:t>
            </w:r>
            <w:r w:rsidRPr="00FF1C89">
              <w:rPr>
                <w:rFonts w:ascii="Verdana" w:hAnsi="Verdana"/>
              </w:rPr>
              <w:t>.</w:t>
            </w:r>
          </w:p>
          <w:p w14:paraId="532F5BBF" w14:textId="3C82EF51" w:rsidR="007E2F4A" w:rsidRDefault="007E2F4A" w:rsidP="000431DA">
            <w:pPr>
              <w:numPr>
                <w:ilvl w:val="0"/>
                <w:numId w:val="54"/>
              </w:numPr>
              <w:spacing w:before="120" w:after="120"/>
              <w:rPr>
                <w:rFonts w:ascii="Verdana" w:hAnsi="Verdana"/>
              </w:rPr>
            </w:pPr>
            <w:r w:rsidRPr="00E520D8">
              <w:rPr>
                <w:rFonts w:ascii="Verdana" w:hAnsi="Verdana"/>
                <w:b/>
              </w:rPr>
              <w:t>Better Programs</w:t>
            </w:r>
            <w:r>
              <w:rPr>
                <w:rFonts w:ascii="Verdana" w:hAnsi="Verdana"/>
              </w:rPr>
              <w:t xml:space="preserve">- </w:t>
            </w:r>
            <w:r w:rsidRPr="000D09DB">
              <w:rPr>
                <w:rFonts w:ascii="Verdana" w:hAnsi="Verdana"/>
              </w:rPr>
              <w:t xml:space="preserve">The </w:t>
            </w:r>
            <w:r>
              <w:rPr>
                <w:rFonts w:ascii="Verdana" w:hAnsi="Verdana"/>
              </w:rPr>
              <w:t>home delivery</w:t>
            </w:r>
            <w:r w:rsidRPr="000D09DB">
              <w:rPr>
                <w:rFonts w:ascii="Verdana" w:hAnsi="Verdana"/>
              </w:rPr>
              <w:t xml:space="preserve"> environment, which unlike the retail environment is controlled by </w:t>
            </w:r>
            <w:r>
              <w:rPr>
                <w:rFonts w:ascii="Verdana" w:hAnsi="Verdana"/>
              </w:rPr>
              <w:t>us</w:t>
            </w:r>
            <w:r w:rsidRPr="000D09DB">
              <w:rPr>
                <w:rFonts w:ascii="Verdana" w:hAnsi="Verdana"/>
              </w:rPr>
              <w:t>, makes possible a range of clinical and formulary intervention programs, enhanced utilization reviews, and disease management services</w:t>
            </w:r>
            <w:r w:rsidR="005A6B97" w:rsidRPr="000D09DB">
              <w:rPr>
                <w:rFonts w:ascii="Verdana" w:hAnsi="Verdana"/>
              </w:rPr>
              <w:t xml:space="preserve">. </w:t>
            </w:r>
            <w:r w:rsidRPr="000D09DB">
              <w:rPr>
                <w:rFonts w:ascii="Verdana" w:hAnsi="Verdana"/>
              </w:rPr>
              <w:t>In particular, generic dispensing rates are better at mail</w:t>
            </w:r>
            <w:r w:rsidR="005A6B97" w:rsidRPr="000D09DB">
              <w:rPr>
                <w:rFonts w:ascii="Verdana" w:hAnsi="Verdana"/>
              </w:rPr>
              <w:t xml:space="preserve">. </w:t>
            </w:r>
            <w:r>
              <w:rPr>
                <w:rFonts w:ascii="Verdana" w:hAnsi="Verdana"/>
              </w:rPr>
              <w:t xml:space="preserve">Our </w:t>
            </w:r>
            <w:r w:rsidRPr="000D09DB">
              <w:rPr>
                <w:rFonts w:ascii="Verdana" w:hAnsi="Verdana"/>
              </w:rPr>
              <w:t>specially trained clinical pharmacists have instant access to the member’s full prescription profile as well as complete details of the plan design features and utilization programs specific to the client’s plan, so that they can optimize utilization and reduce costs one prescription at a time.</w:t>
            </w:r>
          </w:p>
          <w:p w14:paraId="5ADF81DB" w14:textId="0623C58E" w:rsidR="007E2F4A" w:rsidRDefault="007E2F4A" w:rsidP="000431DA">
            <w:pPr>
              <w:numPr>
                <w:ilvl w:val="0"/>
                <w:numId w:val="54"/>
              </w:numPr>
              <w:spacing w:before="120" w:after="120"/>
              <w:rPr>
                <w:rFonts w:ascii="Verdana" w:hAnsi="Verdana"/>
              </w:rPr>
            </w:pPr>
            <w:r w:rsidRPr="00E520D8">
              <w:rPr>
                <w:rFonts w:ascii="Verdana" w:hAnsi="Verdana"/>
                <w:b/>
              </w:rPr>
              <w:t>Greater Safety</w:t>
            </w:r>
            <w:r>
              <w:rPr>
                <w:rFonts w:ascii="Verdana" w:hAnsi="Verdana"/>
              </w:rPr>
              <w:t>- Our</w:t>
            </w:r>
            <w:r w:rsidRPr="00FE36D0">
              <w:rPr>
                <w:rFonts w:ascii="Verdana" w:hAnsi="Verdana"/>
              </w:rPr>
              <w:t xml:space="preserve"> </w:t>
            </w:r>
            <w:r>
              <w:rPr>
                <w:rFonts w:ascii="Verdana" w:hAnsi="Verdana"/>
              </w:rPr>
              <w:t>home delivery</w:t>
            </w:r>
            <w:r w:rsidRPr="00FE36D0">
              <w:rPr>
                <w:rFonts w:ascii="Verdana" w:hAnsi="Verdana"/>
              </w:rPr>
              <w:t xml:space="preserve"> pharmacies are highly automated and feature redundant quality checks and dispensing controls</w:t>
            </w:r>
            <w:r w:rsidR="005A6B97" w:rsidRPr="00FE36D0">
              <w:rPr>
                <w:rFonts w:ascii="Verdana" w:hAnsi="Verdana"/>
              </w:rPr>
              <w:t xml:space="preserve">. </w:t>
            </w:r>
            <w:r w:rsidRPr="00FE36D0">
              <w:rPr>
                <w:rFonts w:ascii="Verdana" w:hAnsi="Verdana"/>
              </w:rPr>
              <w:t>These technologies, overseen at multiple checkpoints by registered pharmacists, yield higher accuracy than most retail pharmacies can offer, which means lower risk of drug errors and greater satisfaction and convenience.</w:t>
            </w:r>
          </w:p>
          <w:p w14:paraId="5ECE2BB4" w14:textId="255E84DF" w:rsidR="007E2F4A" w:rsidRPr="00FF6F12" w:rsidRDefault="007E2F4A" w:rsidP="000431DA">
            <w:pPr>
              <w:numPr>
                <w:ilvl w:val="0"/>
                <w:numId w:val="54"/>
              </w:numPr>
              <w:spacing w:before="120" w:after="120"/>
              <w:rPr>
                <w:rFonts w:ascii="Verdana" w:hAnsi="Verdana"/>
              </w:rPr>
            </w:pPr>
            <w:r w:rsidRPr="00E520D8">
              <w:rPr>
                <w:rFonts w:ascii="Verdana" w:hAnsi="Verdana"/>
                <w:b/>
              </w:rPr>
              <w:t>Higher Satisfaction</w:t>
            </w:r>
            <w:r>
              <w:rPr>
                <w:rFonts w:ascii="Verdana" w:hAnsi="Verdana"/>
              </w:rPr>
              <w:t xml:space="preserve">- </w:t>
            </w:r>
            <w:r w:rsidRPr="00D46C61">
              <w:rPr>
                <w:rFonts w:ascii="Verdana" w:hAnsi="Verdana"/>
              </w:rPr>
              <w:t xml:space="preserve">One recent survey reported an overwhelming majority of pharmacy benefit plan members are highly satisfied with their </w:t>
            </w:r>
            <w:r>
              <w:rPr>
                <w:rFonts w:ascii="Verdana" w:hAnsi="Verdana"/>
              </w:rPr>
              <w:t>home delivery</w:t>
            </w:r>
            <w:r w:rsidRPr="00D46C61">
              <w:rPr>
                <w:rFonts w:ascii="Verdana" w:hAnsi="Verdana"/>
              </w:rPr>
              <w:t xml:space="preserve"> experience</w:t>
            </w:r>
            <w:r w:rsidR="005A6B97" w:rsidRPr="00D46C61">
              <w:rPr>
                <w:rFonts w:ascii="Verdana" w:hAnsi="Verdana"/>
              </w:rPr>
              <w:t xml:space="preserve">. </w:t>
            </w:r>
            <w:r w:rsidRPr="00D46C61">
              <w:rPr>
                <w:rFonts w:ascii="Verdana" w:hAnsi="Verdana"/>
              </w:rPr>
              <w:t xml:space="preserve">Coupled with the convenience of obtaining maintenance prescriptions without having to leave home and telephone or web-based ordering, these high satisfaction rates suggest that promoting </w:t>
            </w:r>
            <w:r>
              <w:rPr>
                <w:rFonts w:ascii="Verdana" w:hAnsi="Verdana"/>
              </w:rPr>
              <w:t>home delivery</w:t>
            </w:r>
            <w:r w:rsidRPr="00D46C61">
              <w:rPr>
                <w:rFonts w:ascii="Verdana" w:hAnsi="Verdana"/>
              </w:rPr>
              <w:t xml:space="preserve"> utilization can be a powerful tool for improving both cost control and overall program satisfaction.</w:t>
            </w:r>
          </w:p>
        </w:tc>
      </w:tr>
      <w:tr w:rsidR="009C33EF" w:rsidRPr="004E00B6" w14:paraId="7AE21415" w14:textId="77777777" w:rsidTr="008338FB">
        <w:tc>
          <w:tcPr>
            <w:tcW w:w="745" w:type="pct"/>
          </w:tcPr>
          <w:p w14:paraId="217A59B0" w14:textId="77777777" w:rsidR="007E2F4A" w:rsidRPr="00F4531F" w:rsidRDefault="007E2F4A" w:rsidP="000431DA">
            <w:pPr>
              <w:spacing w:before="120" w:after="120"/>
              <w:jc w:val="center"/>
              <w:rPr>
                <w:rFonts w:ascii="Verdana" w:hAnsi="Verdana"/>
                <w:b/>
                <w:color w:val="000000"/>
              </w:rPr>
            </w:pPr>
            <w:r>
              <w:rPr>
                <w:rFonts w:ascii="Verdana" w:hAnsi="Verdana"/>
                <w:b/>
                <w:color w:val="000000"/>
              </w:rPr>
              <w:t>MOR Default</w:t>
            </w:r>
          </w:p>
        </w:tc>
        <w:tc>
          <w:tcPr>
            <w:tcW w:w="992" w:type="pct"/>
          </w:tcPr>
          <w:p w14:paraId="6DCF73A6" w14:textId="77777777" w:rsidR="007E2F4A" w:rsidRPr="002C36C7" w:rsidRDefault="007E2F4A" w:rsidP="000431DA">
            <w:pPr>
              <w:spacing w:before="120" w:after="120"/>
              <w:rPr>
                <w:rFonts w:ascii="Verdana" w:hAnsi="Verdana" w:cs="Arial"/>
              </w:rPr>
            </w:pPr>
            <w:r>
              <w:rPr>
                <w:rFonts w:ascii="Verdana" w:hAnsi="Verdana"/>
                <w:color w:val="000000"/>
              </w:rPr>
              <w:t>Mail Order Default</w:t>
            </w:r>
          </w:p>
        </w:tc>
        <w:tc>
          <w:tcPr>
            <w:tcW w:w="3263" w:type="pct"/>
          </w:tcPr>
          <w:p w14:paraId="441BD5B3" w14:textId="70009FEE" w:rsidR="007E2F4A" w:rsidRPr="004E00B6" w:rsidRDefault="007E2F4A" w:rsidP="000431DA">
            <w:pPr>
              <w:spacing w:before="120" w:after="120"/>
              <w:rPr>
                <w:rFonts w:ascii="Verdana" w:hAnsi="Verdana" w:cs="Arial"/>
              </w:rPr>
            </w:pPr>
            <w:r w:rsidRPr="006B3934">
              <w:rPr>
                <w:rFonts w:ascii="Verdana" w:hAnsi="Verdana" w:cs="Arial"/>
              </w:rPr>
              <w:t>Within the address system, one address for each member and/or dependent is specifically identified as the "Mail Order Default" address</w:t>
            </w:r>
            <w:r w:rsidR="005A6B97" w:rsidRPr="006B3934">
              <w:rPr>
                <w:rFonts w:ascii="Verdana" w:hAnsi="Verdana" w:cs="Arial"/>
              </w:rPr>
              <w:t xml:space="preserve">. </w:t>
            </w:r>
            <w:r w:rsidRPr="006B3934">
              <w:rPr>
                <w:rFonts w:ascii="Verdana" w:hAnsi="Verdana" w:cs="Arial"/>
              </w:rPr>
              <w:t>The "MOR Default" indicates the address to which a mail order prescription will be automatically sent</w:t>
            </w:r>
            <w:r w:rsidR="005A6B97" w:rsidRPr="006B3934">
              <w:rPr>
                <w:rFonts w:ascii="Verdana" w:hAnsi="Verdana" w:cs="Arial"/>
              </w:rPr>
              <w:t xml:space="preserve">. </w:t>
            </w:r>
            <w:r w:rsidRPr="006B3934">
              <w:rPr>
                <w:rFonts w:ascii="Verdana" w:hAnsi="Verdana" w:cs="Arial"/>
              </w:rPr>
              <w:t>It is extremely important to verify the member's current address against the MOR Default address during each member contact to ensure that medications are sent to the correct address.</w:t>
            </w:r>
          </w:p>
        </w:tc>
      </w:tr>
      <w:tr w:rsidR="009C33EF" w:rsidRPr="004E00B6" w14:paraId="6A29D4F7" w14:textId="77777777" w:rsidTr="008338FB">
        <w:tc>
          <w:tcPr>
            <w:tcW w:w="745" w:type="pct"/>
          </w:tcPr>
          <w:p w14:paraId="4E296496"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MOS</w:t>
            </w:r>
          </w:p>
        </w:tc>
        <w:tc>
          <w:tcPr>
            <w:tcW w:w="992" w:type="pct"/>
          </w:tcPr>
          <w:p w14:paraId="2504AB2E" w14:textId="77777777" w:rsidR="007E2F4A" w:rsidRPr="002C36C7" w:rsidRDefault="007E2F4A" w:rsidP="000431DA">
            <w:pPr>
              <w:spacing w:before="120" w:after="120"/>
              <w:rPr>
                <w:rFonts w:ascii="Verdana" w:hAnsi="Verdana" w:cs="Arial"/>
              </w:rPr>
            </w:pPr>
            <w:r w:rsidRPr="002C36C7">
              <w:rPr>
                <w:rFonts w:ascii="Verdana" w:hAnsi="Verdana" w:cs="Arial"/>
              </w:rPr>
              <w:t>Month</w:t>
            </w:r>
          </w:p>
        </w:tc>
        <w:tc>
          <w:tcPr>
            <w:tcW w:w="3263" w:type="pct"/>
          </w:tcPr>
          <w:p w14:paraId="75A23074" w14:textId="215A9131" w:rsidR="007E2F4A" w:rsidRPr="004E00B6" w:rsidRDefault="007E2F4A" w:rsidP="000431DA">
            <w:pPr>
              <w:spacing w:before="120" w:after="120"/>
              <w:rPr>
                <w:rFonts w:ascii="Verdana" w:hAnsi="Verdana" w:cs="Arial"/>
              </w:rPr>
            </w:pPr>
            <w:r w:rsidRPr="004E00B6">
              <w:rPr>
                <w:rFonts w:ascii="Verdana" w:hAnsi="Verdana" w:cs="Arial"/>
              </w:rPr>
              <w:t>Each of the twelve named periods into which a year is divided.</w:t>
            </w:r>
          </w:p>
        </w:tc>
      </w:tr>
      <w:tr w:rsidR="009C33EF" w:rsidRPr="004E00B6" w14:paraId="1F9924F0" w14:textId="77777777" w:rsidTr="008338FB">
        <w:tc>
          <w:tcPr>
            <w:tcW w:w="745" w:type="pct"/>
          </w:tcPr>
          <w:p w14:paraId="61DBE743" w14:textId="61142B61" w:rsidR="007E2F4A" w:rsidRPr="00F4531F" w:rsidRDefault="00CE205A" w:rsidP="000431DA">
            <w:pPr>
              <w:spacing w:before="120" w:after="120"/>
              <w:jc w:val="center"/>
              <w:rPr>
                <w:rFonts w:ascii="Verdana" w:hAnsi="Verdana"/>
                <w:b/>
                <w:color w:val="000000"/>
              </w:rPr>
            </w:pPr>
            <w:r>
              <w:rPr>
                <w:rFonts w:ascii="Verdana" w:hAnsi="Verdana"/>
                <w:b/>
                <w:color w:val="000000"/>
              </w:rPr>
              <w:t xml:space="preserve"> </w:t>
            </w:r>
            <w:r w:rsidR="007E2F4A" w:rsidRPr="00F4531F">
              <w:rPr>
                <w:rFonts w:ascii="Verdana" w:hAnsi="Verdana"/>
                <w:b/>
                <w:color w:val="000000"/>
              </w:rPr>
              <w:t>MP3</w:t>
            </w:r>
          </w:p>
        </w:tc>
        <w:tc>
          <w:tcPr>
            <w:tcW w:w="992" w:type="pct"/>
          </w:tcPr>
          <w:p w14:paraId="4C43E5E2" w14:textId="77777777" w:rsidR="007E2F4A" w:rsidRPr="002C36C7" w:rsidRDefault="007E2F4A" w:rsidP="000431DA">
            <w:pPr>
              <w:spacing w:before="120" w:after="120"/>
              <w:rPr>
                <w:rFonts w:ascii="Verdana" w:hAnsi="Verdana" w:cs="Arial"/>
              </w:rPr>
            </w:pPr>
            <w:r w:rsidRPr="002C36C7">
              <w:rPr>
                <w:rFonts w:ascii="Verdana" w:hAnsi="Verdana" w:cs="Arial"/>
              </w:rPr>
              <w:t>Managed Plan 3/DSM</w:t>
            </w:r>
          </w:p>
          <w:p w14:paraId="63D6E232" w14:textId="77777777" w:rsidR="007E2F4A" w:rsidRPr="002C36C7" w:rsidRDefault="007E2F4A" w:rsidP="000431DA">
            <w:pPr>
              <w:spacing w:before="120" w:after="120"/>
              <w:rPr>
                <w:rFonts w:ascii="Verdana" w:hAnsi="Verdana" w:cs="Arial"/>
              </w:rPr>
            </w:pPr>
          </w:p>
        </w:tc>
        <w:tc>
          <w:tcPr>
            <w:tcW w:w="3263" w:type="pct"/>
          </w:tcPr>
          <w:p w14:paraId="45B082DD" w14:textId="63046472" w:rsidR="007E2F4A" w:rsidRPr="00CE205A" w:rsidRDefault="00635ED9" w:rsidP="000431DA">
            <w:pPr>
              <w:spacing w:before="120" w:after="120"/>
              <w:rPr>
                <w:rFonts w:ascii="Verdana" w:hAnsi="Verdana" w:cs="Arial"/>
              </w:rPr>
            </w:pPr>
            <w:r w:rsidRPr="002A683B">
              <w:rPr>
                <w:rFonts w:ascii="Verdana" w:hAnsi="Verdana"/>
                <w:color w:val="202124"/>
                <w:shd w:val="clear" w:color="auto" w:fill="FFFFFF"/>
              </w:rPr>
              <w:t>Managed care plans are </w:t>
            </w:r>
            <w:r w:rsidRPr="002A683B">
              <w:rPr>
                <w:rFonts w:ascii="Verdana" w:hAnsi="Verdana"/>
                <w:b/>
                <w:bCs/>
                <w:color w:val="202124"/>
                <w:shd w:val="clear" w:color="auto" w:fill="FFFFFF"/>
              </w:rPr>
              <w:t xml:space="preserve">health insurance plans with the goal of managing two major aspects of healthcare: </w:t>
            </w:r>
            <w:r w:rsidR="0058240F">
              <w:rPr>
                <w:rFonts w:ascii="Verdana" w:hAnsi="Verdana"/>
                <w:b/>
                <w:bCs/>
                <w:color w:val="202124"/>
                <w:shd w:val="clear" w:color="auto" w:fill="FFFFFF"/>
              </w:rPr>
              <w:t xml:space="preserve"> </w:t>
            </w:r>
            <w:r w:rsidR="00CC28DA">
              <w:rPr>
                <w:rFonts w:ascii="Verdana" w:hAnsi="Verdana"/>
                <w:b/>
                <w:bCs/>
                <w:color w:val="202124"/>
                <w:shd w:val="clear" w:color="auto" w:fill="FFFFFF"/>
              </w:rPr>
              <w:t>C</w:t>
            </w:r>
            <w:r w:rsidRPr="002A683B">
              <w:rPr>
                <w:rFonts w:ascii="Verdana" w:hAnsi="Verdana"/>
                <w:b/>
                <w:bCs/>
                <w:color w:val="202124"/>
                <w:shd w:val="clear" w:color="auto" w:fill="FFFFFF"/>
              </w:rPr>
              <w:t>ost and quality</w:t>
            </w:r>
            <w:r w:rsidRPr="002A683B">
              <w:rPr>
                <w:rFonts w:ascii="Verdana" w:hAnsi="Verdana"/>
                <w:color w:val="202124"/>
                <w:shd w:val="clear" w:color="auto" w:fill="FFFFFF"/>
              </w:rPr>
              <w:t>. With these plans, the insurer signs contracts with certain health care providers and facilities to provide care for their members at a reduced cost.</w:t>
            </w:r>
          </w:p>
        </w:tc>
      </w:tr>
      <w:tr w:rsidR="009C33EF" w:rsidRPr="004E00B6" w14:paraId="0A70DD1A" w14:textId="77777777" w:rsidTr="008338FB">
        <w:tc>
          <w:tcPr>
            <w:tcW w:w="745" w:type="pct"/>
          </w:tcPr>
          <w:p w14:paraId="512ADE0F" w14:textId="7AD7C334" w:rsidR="007E2F4A" w:rsidRPr="00F4531F" w:rsidRDefault="00CE205A" w:rsidP="000431DA">
            <w:pPr>
              <w:spacing w:before="120" w:after="120"/>
              <w:jc w:val="center"/>
              <w:rPr>
                <w:rFonts w:ascii="Verdana" w:hAnsi="Verdana"/>
                <w:b/>
                <w:color w:val="000000"/>
              </w:rPr>
            </w:pPr>
            <w:r>
              <w:rPr>
                <w:rFonts w:ascii="Verdana" w:hAnsi="Verdana"/>
                <w:b/>
                <w:color w:val="000000"/>
              </w:rPr>
              <w:t xml:space="preserve"> </w:t>
            </w:r>
            <w:r w:rsidR="007E2F4A" w:rsidRPr="00F4531F">
              <w:rPr>
                <w:rFonts w:ascii="Verdana" w:hAnsi="Verdana"/>
                <w:b/>
                <w:color w:val="000000"/>
              </w:rPr>
              <w:t>MP2</w:t>
            </w:r>
          </w:p>
        </w:tc>
        <w:tc>
          <w:tcPr>
            <w:tcW w:w="992" w:type="pct"/>
          </w:tcPr>
          <w:p w14:paraId="7495BB3D" w14:textId="77777777" w:rsidR="007E2F4A" w:rsidRPr="002C36C7" w:rsidRDefault="007E2F4A" w:rsidP="000431DA">
            <w:pPr>
              <w:spacing w:before="120" w:after="120"/>
              <w:rPr>
                <w:rFonts w:ascii="Verdana" w:hAnsi="Verdana" w:cs="Arial"/>
              </w:rPr>
            </w:pPr>
            <w:r w:rsidRPr="002C36C7">
              <w:rPr>
                <w:rFonts w:ascii="Verdana" w:hAnsi="Verdana" w:cs="Arial"/>
              </w:rPr>
              <w:t>Managed Plan 2</w:t>
            </w:r>
          </w:p>
          <w:p w14:paraId="2F3D128A" w14:textId="77777777" w:rsidR="007E2F4A" w:rsidRPr="002C36C7" w:rsidRDefault="007E2F4A" w:rsidP="000431DA">
            <w:pPr>
              <w:spacing w:before="120" w:after="120"/>
              <w:rPr>
                <w:rFonts w:ascii="Verdana" w:hAnsi="Verdana" w:cs="Arial"/>
              </w:rPr>
            </w:pPr>
          </w:p>
        </w:tc>
        <w:tc>
          <w:tcPr>
            <w:tcW w:w="3263" w:type="pct"/>
          </w:tcPr>
          <w:p w14:paraId="54FD09E1" w14:textId="3A8E5456" w:rsidR="007E2F4A" w:rsidRPr="00CE205A" w:rsidRDefault="00635ED9" w:rsidP="000431DA">
            <w:pPr>
              <w:spacing w:before="120" w:after="120"/>
              <w:rPr>
                <w:rFonts w:ascii="Verdana" w:hAnsi="Verdana" w:cs="Arial"/>
              </w:rPr>
            </w:pPr>
            <w:r w:rsidRPr="002A683B">
              <w:rPr>
                <w:rFonts w:ascii="Verdana" w:hAnsi="Verdana"/>
                <w:color w:val="202124"/>
                <w:shd w:val="clear" w:color="auto" w:fill="FFFFFF"/>
              </w:rPr>
              <w:t>Managed care plans are </w:t>
            </w:r>
            <w:r w:rsidRPr="002A683B">
              <w:rPr>
                <w:rFonts w:ascii="Verdana" w:hAnsi="Verdana"/>
                <w:b/>
                <w:bCs/>
                <w:color w:val="202124"/>
                <w:shd w:val="clear" w:color="auto" w:fill="FFFFFF"/>
              </w:rPr>
              <w:t xml:space="preserve">health insurance plans with the goal of managing two major aspects of healthcare: </w:t>
            </w:r>
            <w:r w:rsidR="0058240F">
              <w:rPr>
                <w:rFonts w:ascii="Verdana" w:hAnsi="Verdana"/>
                <w:b/>
                <w:bCs/>
                <w:color w:val="202124"/>
                <w:shd w:val="clear" w:color="auto" w:fill="FFFFFF"/>
              </w:rPr>
              <w:t xml:space="preserve"> </w:t>
            </w:r>
            <w:r w:rsidR="00CC28DA">
              <w:rPr>
                <w:rFonts w:ascii="Verdana" w:hAnsi="Verdana"/>
                <w:b/>
                <w:bCs/>
                <w:color w:val="202124"/>
                <w:shd w:val="clear" w:color="auto" w:fill="FFFFFF"/>
              </w:rPr>
              <w:t>C</w:t>
            </w:r>
            <w:r w:rsidRPr="002A683B">
              <w:rPr>
                <w:rFonts w:ascii="Verdana" w:hAnsi="Verdana"/>
                <w:b/>
                <w:bCs/>
                <w:color w:val="202124"/>
                <w:shd w:val="clear" w:color="auto" w:fill="FFFFFF"/>
              </w:rPr>
              <w:t>ost and quality</w:t>
            </w:r>
            <w:r w:rsidRPr="002A683B">
              <w:rPr>
                <w:rFonts w:ascii="Verdana" w:hAnsi="Verdana"/>
                <w:color w:val="202124"/>
                <w:shd w:val="clear" w:color="auto" w:fill="FFFFFF"/>
              </w:rPr>
              <w:t>. With these plans, the insurer signs contracts with certain health care providers and facilities to provide care for their members at a reduced cost.</w:t>
            </w:r>
          </w:p>
        </w:tc>
      </w:tr>
      <w:tr w:rsidR="009C33EF" w:rsidRPr="004E00B6" w14:paraId="6CC008E1" w14:textId="77777777" w:rsidTr="008338FB">
        <w:tc>
          <w:tcPr>
            <w:tcW w:w="745" w:type="pct"/>
          </w:tcPr>
          <w:p w14:paraId="26DED230" w14:textId="08EDFAAF"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MP1</w:t>
            </w:r>
          </w:p>
        </w:tc>
        <w:tc>
          <w:tcPr>
            <w:tcW w:w="992" w:type="pct"/>
          </w:tcPr>
          <w:p w14:paraId="4D324790" w14:textId="77777777" w:rsidR="007E2F4A" w:rsidRPr="002C36C7" w:rsidRDefault="007E2F4A" w:rsidP="000431DA">
            <w:pPr>
              <w:spacing w:before="120" w:after="120"/>
              <w:rPr>
                <w:rFonts w:ascii="Verdana" w:hAnsi="Verdana" w:cs="Arial"/>
              </w:rPr>
            </w:pPr>
            <w:r w:rsidRPr="002C36C7">
              <w:rPr>
                <w:rFonts w:ascii="Verdana" w:hAnsi="Verdana" w:cs="Arial"/>
              </w:rPr>
              <w:t>Managed Plan 1</w:t>
            </w:r>
          </w:p>
          <w:p w14:paraId="1CF04E22" w14:textId="77777777" w:rsidR="007E2F4A" w:rsidRPr="002C36C7" w:rsidRDefault="007E2F4A" w:rsidP="000431DA">
            <w:pPr>
              <w:spacing w:before="120" w:after="120"/>
              <w:rPr>
                <w:rFonts w:ascii="Verdana" w:hAnsi="Verdana" w:cs="Arial"/>
              </w:rPr>
            </w:pPr>
          </w:p>
        </w:tc>
        <w:tc>
          <w:tcPr>
            <w:tcW w:w="3263" w:type="pct"/>
          </w:tcPr>
          <w:p w14:paraId="49F23AA1" w14:textId="014648CE" w:rsidR="007E2F4A" w:rsidRPr="00CE205A" w:rsidRDefault="00635ED9" w:rsidP="000431DA">
            <w:pPr>
              <w:spacing w:before="120" w:after="120"/>
              <w:rPr>
                <w:rFonts w:ascii="Verdana" w:hAnsi="Verdana" w:cs="Arial"/>
              </w:rPr>
            </w:pPr>
            <w:r w:rsidRPr="002A683B">
              <w:rPr>
                <w:rFonts w:ascii="Verdana" w:hAnsi="Verdana"/>
                <w:color w:val="202124"/>
                <w:shd w:val="clear" w:color="auto" w:fill="FFFFFF"/>
              </w:rPr>
              <w:t>Managed care plans are </w:t>
            </w:r>
            <w:r w:rsidRPr="002A683B">
              <w:rPr>
                <w:rFonts w:ascii="Verdana" w:hAnsi="Verdana"/>
                <w:b/>
                <w:bCs/>
                <w:color w:val="202124"/>
                <w:shd w:val="clear" w:color="auto" w:fill="FFFFFF"/>
              </w:rPr>
              <w:t xml:space="preserve">health insurance plans with the goal of managing two major aspects of healthcare: </w:t>
            </w:r>
            <w:r w:rsidR="0058240F">
              <w:rPr>
                <w:rFonts w:ascii="Verdana" w:hAnsi="Verdana"/>
                <w:b/>
                <w:bCs/>
                <w:color w:val="202124"/>
                <w:shd w:val="clear" w:color="auto" w:fill="FFFFFF"/>
              </w:rPr>
              <w:t xml:space="preserve"> </w:t>
            </w:r>
            <w:r w:rsidR="00CC28DA">
              <w:rPr>
                <w:rFonts w:ascii="Verdana" w:hAnsi="Verdana"/>
                <w:b/>
                <w:bCs/>
                <w:color w:val="202124"/>
                <w:shd w:val="clear" w:color="auto" w:fill="FFFFFF"/>
              </w:rPr>
              <w:t>C</w:t>
            </w:r>
            <w:r w:rsidRPr="002A683B">
              <w:rPr>
                <w:rFonts w:ascii="Verdana" w:hAnsi="Verdana"/>
                <w:b/>
                <w:bCs/>
                <w:color w:val="202124"/>
                <w:shd w:val="clear" w:color="auto" w:fill="FFFFFF"/>
              </w:rPr>
              <w:t>ost and quality</w:t>
            </w:r>
            <w:r w:rsidRPr="002A683B">
              <w:rPr>
                <w:rFonts w:ascii="Verdana" w:hAnsi="Verdana"/>
                <w:color w:val="202124"/>
                <w:shd w:val="clear" w:color="auto" w:fill="FFFFFF"/>
              </w:rPr>
              <w:t>. With these plans, the insurer signs contracts with certain health care providers and facilities to provide care for their members at a reduced cost.</w:t>
            </w:r>
          </w:p>
        </w:tc>
      </w:tr>
      <w:tr w:rsidR="009C33EF" w:rsidRPr="004E00B6" w14:paraId="10F608B5" w14:textId="77777777" w:rsidTr="008338FB">
        <w:tc>
          <w:tcPr>
            <w:tcW w:w="745" w:type="pct"/>
          </w:tcPr>
          <w:p w14:paraId="46ED0913" w14:textId="11FB571C" w:rsidR="007E2F4A" w:rsidRPr="00F4531F" w:rsidRDefault="00CE205A" w:rsidP="000431DA">
            <w:pPr>
              <w:spacing w:before="120" w:after="120"/>
              <w:jc w:val="center"/>
              <w:rPr>
                <w:rFonts w:ascii="Verdana" w:hAnsi="Verdana"/>
                <w:b/>
                <w:color w:val="000000"/>
              </w:rPr>
            </w:pPr>
            <w:r>
              <w:rPr>
                <w:rFonts w:ascii="Verdana" w:hAnsi="Verdana"/>
                <w:b/>
                <w:color w:val="000000"/>
              </w:rPr>
              <w:t xml:space="preserve"> </w:t>
            </w:r>
            <w:r w:rsidR="007E2F4A">
              <w:rPr>
                <w:rFonts w:ascii="Verdana" w:hAnsi="Verdana"/>
                <w:b/>
                <w:color w:val="000000"/>
              </w:rPr>
              <w:t xml:space="preserve">MPWR </w:t>
            </w:r>
          </w:p>
        </w:tc>
        <w:tc>
          <w:tcPr>
            <w:tcW w:w="992" w:type="pct"/>
          </w:tcPr>
          <w:p w14:paraId="0E8200D9" w14:textId="77777777" w:rsidR="007E2F4A" w:rsidRPr="002C36C7" w:rsidRDefault="007E2F4A" w:rsidP="000431DA">
            <w:pPr>
              <w:spacing w:before="120" w:after="120"/>
              <w:rPr>
                <w:rFonts w:ascii="Verdana" w:hAnsi="Verdana" w:cs="Arial"/>
              </w:rPr>
            </w:pPr>
            <w:r w:rsidRPr="002C36C7">
              <w:rPr>
                <w:rFonts w:ascii="Verdana" w:hAnsi="Verdana" w:cs="Arial"/>
              </w:rPr>
              <w:t xml:space="preserve">Monthly Premium Withholding Report Data File </w:t>
            </w:r>
          </w:p>
        </w:tc>
        <w:tc>
          <w:tcPr>
            <w:tcW w:w="3263" w:type="pct"/>
          </w:tcPr>
          <w:p w14:paraId="2C674605" w14:textId="57C2D1E0" w:rsidR="007E2F4A" w:rsidRPr="004E00B6" w:rsidRDefault="0041743C" w:rsidP="000431DA">
            <w:pPr>
              <w:spacing w:before="120" w:after="120"/>
              <w:rPr>
                <w:rFonts w:ascii="Verdana" w:hAnsi="Verdana" w:cs="Arial"/>
              </w:rPr>
            </w:pPr>
            <w:r>
              <w:rPr>
                <w:rFonts w:ascii="Verdana" w:hAnsi="Verdana"/>
                <w:color w:val="000000"/>
              </w:rPr>
              <w:t>A beneficiary who receives a Social Security Benefit or Railroad Benefit can request to have their monthly premium for their prescription part D coverage paid from their monthly benefit amount.</w:t>
            </w:r>
          </w:p>
        </w:tc>
      </w:tr>
      <w:tr w:rsidR="009C33EF" w:rsidRPr="004E00B6" w14:paraId="1088143B" w14:textId="77777777" w:rsidTr="008338FB">
        <w:trPr>
          <w:trHeight w:val="20"/>
        </w:trPr>
        <w:tc>
          <w:tcPr>
            <w:tcW w:w="745" w:type="pct"/>
          </w:tcPr>
          <w:p w14:paraId="49B8C7E4"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MRDD</w:t>
            </w:r>
            <w:r>
              <w:rPr>
                <w:rFonts w:ascii="Verdana" w:hAnsi="Verdana"/>
                <w:b/>
                <w:color w:val="000000"/>
              </w:rPr>
              <w:t xml:space="preserve"> </w:t>
            </w:r>
          </w:p>
        </w:tc>
        <w:tc>
          <w:tcPr>
            <w:tcW w:w="992" w:type="pct"/>
          </w:tcPr>
          <w:p w14:paraId="3E9B04B8" w14:textId="23EAA658" w:rsidR="007E2F4A" w:rsidRPr="002C36C7" w:rsidRDefault="007E2F4A" w:rsidP="000431DA">
            <w:pPr>
              <w:spacing w:before="120" w:after="120"/>
              <w:rPr>
                <w:rFonts w:ascii="Verdana" w:hAnsi="Verdana" w:cs="Arial"/>
              </w:rPr>
            </w:pPr>
            <w:r w:rsidRPr="002C36C7">
              <w:rPr>
                <w:rFonts w:ascii="Verdana" w:hAnsi="Verdana" w:cs="Arial"/>
              </w:rPr>
              <w:t>Maximum Recommended Daily Dose</w:t>
            </w:r>
          </w:p>
        </w:tc>
        <w:tc>
          <w:tcPr>
            <w:tcW w:w="3263" w:type="pct"/>
          </w:tcPr>
          <w:p w14:paraId="5C10EE05" w14:textId="77777777" w:rsidR="007E2F4A" w:rsidRPr="004E00B6" w:rsidRDefault="007E2F4A" w:rsidP="000431DA">
            <w:pPr>
              <w:spacing w:before="120" w:after="120"/>
              <w:rPr>
                <w:rFonts w:ascii="Verdana" w:hAnsi="Verdana" w:cs="Arial"/>
              </w:rPr>
            </w:pPr>
            <w:r w:rsidRPr="004E00B6">
              <w:rPr>
                <w:rFonts w:ascii="Verdana" w:hAnsi="Verdana" w:cs="Arial"/>
              </w:rPr>
              <w:t>Maximum daily dose (mg) of a drug studied without toxicity</w:t>
            </w:r>
            <w:r>
              <w:rPr>
                <w:rFonts w:ascii="Verdana" w:hAnsi="Verdana" w:cs="Arial"/>
              </w:rPr>
              <w:t>.</w:t>
            </w:r>
          </w:p>
        </w:tc>
      </w:tr>
      <w:tr w:rsidR="009C33EF" w:rsidRPr="004E00B6" w14:paraId="235FD054" w14:textId="77777777" w:rsidTr="008338FB">
        <w:trPr>
          <w:trHeight w:val="20"/>
        </w:trPr>
        <w:tc>
          <w:tcPr>
            <w:tcW w:w="745" w:type="pct"/>
          </w:tcPr>
          <w:p w14:paraId="4F7CC9D0"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MRE</w:t>
            </w:r>
          </w:p>
        </w:tc>
        <w:tc>
          <w:tcPr>
            <w:tcW w:w="992" w:type="pct"/>
          </w:tcPr>
          <w:p w14:paraId="4CC8B809" w14:textId="77777777" w:rsidR="005507EC" w:rsidRDefault="007E2F4A" w:rsidP="000431DA">
            <w:pPr>
              <w:spacing w:before="120" w:after="120"/>
              <w:rPr>
                <w:rFonts w:ascii="Verdana" w:hAnsi="Verdana" w:cs="Arial"/>
              </w:rPr>
            </w:pPr>
            <w:r w:rsidRPr="002C36C7">
              <w:rPr>
                <w:rFonts w:ascii="Verdana" w:hAnsi="Verdana" w:cs="Arial"/>
              </w:rPr>
              <w:t xml:space="preserve">Management Referral </w:t>
            </w:r>
          </w:p>
          <w:p w14:paraId="01571B1D" w14:textId="3974B175" w:rsidR="007E2F4A" w:rsidRPr="002C36C7" w:rsidRDefault="007E2F4A" w:rsidP="000431DA">
            <w:pPr>
              <w:spacing w:before="120" w:after="120"/>
              <w:rPr>
                <w:rFonts w:ascii="Verdana" w:hAnsi="Verdana" w:cs="Arial"/>
              </w:rPr>
            </w:pPr>
            <w:r w:rsidRPr="002C36C7">
              <w:rPr>
                <w:rFonts w:ascii="Verdana" w:hAnsi="Verdana" w:cs="Arial"/>
              </w:rPr>
              <w:t>(also shown as MANG REF)</w:t>
            </w:r>
          </w:p>
        </w:tc>
        <w:tc>
          <w:tcPr>
            <w:tcW w:w="3263" w:type="pct"/>
          </w:tcPr>
          <w:p w14:paraId="7B09005C" w14:textId="0CB00FF3" w:rsidR="007E2F4A" w:rsidRPr="004E00B6" w:rsidRDefault="007E2F4A" w:rsidP="000431DA">
            <w:pPr>
              <w:spacing w:before="120" w:after="120"/>
              <w:rPr>
                <w:rFonts w:ascii="Verdana" w:hAnsi="Verdana" w:cs="Arial"/>
              </w:rPr>
            </w:pPr>
            <w:r w:rsidRPr="004E00B6">
              <w:rPr>
                <w:rFonts w:ascii="Verdana" w:hAnsi="Verdana" w:cs="Arial"/>
              </w:rPr>
              <w:t xml:space="preserve">Website use to send down escalations by the call center and client services with a </w:t>
            </w:r>
            <w:r w:rsidR="00FC39A0" w:rsidRPr="004E00B6">
              <w:rPr>
                <w:rFonts w:ascii="Verdana" w:hAnsi="Verdana" w:cs="Arial"/>
              </w:rPr>
              <w:t>24-hour</w:t>
            </w:r>
            <w:r w:rsidRPr="004E00B6">
              <w:rPr>
                <w:rFonts w:ascii="Verdana" w:hAnsi="Verdana" w:cs="Arial"/>
              </w:rPr>
              <w:t xml:space="preserve"> TAT for resolution</w:t>
            </w:r>
            <w:r>
              <w:rPr>
                <w:rFonts w:ascii="Verdana" w:hAnsi="Verdana" w:cs="Arial"/>
              </w:rPr>
              <w:t>.</w:t>
            </w:r>
          </w:p>
        </w:tc>
      </w:tr>
      <w:tr w:rsidR="009C33EF" w:rsidRPr="004E00B6" w14:paraId="42D94D8B" w14:textId="77777777" w:rsidTr="008338FB">
        <w:tc>
          <w:tcPr>
            <w:tcW w:w="745" w:type="pct"/>
          </w:tcPr>
          <w:p w14:paraId="2DC7E754" w14:textId="77777777" w:rsidR="007E2F4A" w:rsidRPr="001F4EAD" w:rsidRDefault="007E2F4A" w:rsidP="000431DA">
            <w:pPr>
              <w:spacing w:before="120" w:after="120"/>
              <w:jc w:val="center"/>
              <w:rPr>
                <w:rFonts w:ascii="Verdana" w:hAnsi="Verdana"/>
                <w:b/>
                <w:color w:val="000000"/>
              </w:rPr>
            </w:pPr>
            <w:r w:rsidRPr="001F4EAD">
              <w:rPr>
                <w:rFonts w:ascii="Verdana" w:hAnsi="Verdana"/>
                <w:b/>
                <w:noProof/>
              </w:rPr>
              <w:t xml:space="preserve">MSA </w:t>
            </w:r>
          </w:p>
          <w:p w14:paraId="69025FEC" w14:textId="77777777" w:rsidR="007E2F4A" w:rsidRPr="00B5152B" w:rsidRDefault="007E2F4A" w:rsidP="000431DA">
            <w:pPr>
              <w:spacing w:before="120" w:after="120"/>
              <w:jc w:val="center"/>
              <w:rPr>
                <w:rFonts w:ascii="Verdana" w:hAnsi="Verdana"/>
                <w:noProof/>
              </w:rPr>
            </w:pPr>
          </w:p>
        </w:tc>
        <w:tc>
          <w:tcPr>
            <w:tcW w:w="992" w:type="pct"/>
          </w:tcPr>
          <w:p w14:paraId="1B26DBD8" w14:textId="77777777" w:rsidR="007E2F4A" w:rsidRPr="002C36C7" w:rsidRDefault="007E2F4A" w:rsidP="000431DA">
            <w:pPr>
              <w:spacing w:before="120" w:after="120"/>
              <w:rPr>
                <w:rFonts w:ascii="Verdana" w:hAnsi="Verdana"/>
                <w:noProof/>
              </w:rPr>
            </w:pPr>
            <w:r w:rsidRPr="002C36C7">
              <w:rPr>
                <w:rFonts w:ascii="Verdana" w:hAnsi="Verdana"/>
                <w:noProof/>
              </w:rPr>
              <w:t xml:space="preserve">Medicare Medical Savings Account Plan </w:t>
            </w:r>
          </w:p>
        </w:tc>
        <w:tc>
          <w:tcPr>
            <w:tcW w:w="3263" w:type="pct"/>
          </w:tcPr>
          <w:p w14:paraId="3CCCB1A7" w14:textId="77777777" w:rsidR="007E2F4A" w:rsidRPr="00315A3A" w:rsidRDefault="007E2F4A" w:rsidP="000431DA">
            <w:pPr>
              <w:spacing w:before="120" w:after="120"/>
              <w:rPr>
                <w:rFonts w:ascii="Verdana" w:hAnsi="Verdana" w:cs="Arial"/>
              </w:rPr>
            </w:pPr>
            <w:r w:rsidRPr="00315A3A">
              <w:rPr>
                <w:rFonts w:ascii="Verdana" w:hAnsi="Verdana" w:cs="Arial"/>
              </w:rPr>
              <w:t>MSAs are similar to Health Savings Account plans available outside of Medicare, and they have two parts.</w:t>
            </w:r>
          </w:p>
          <w:p w14:paraId="35219DC3" w14:textId="20CC3DFD" w:rsidR="001B5172" w:rsidRPr="00315A3A" w:rsidRDefault="007E2F4A" w:rsidP="000431DA">
            <w:pPr>
              <w:numPr>
                <w:ilvl w:val="0"/>
                <w:numId w:val="110"/>
              </w:numPr>
              <w:spacing w:before="120" w:after="120"/>
              <w:rPr>
                <w:rFonts w:ascii="Verdana" w:hAnsi="Verdana" w:cs="Arial"/>
              </w:rPr>
            </w:pPr>
            <w:r w:rsidRPr="00315A3A">
              <w:rPr>
                <w:rFonts w:ascii="Verdana" w:hAnsi="Verdana" w:cs="Arial"/>
              </w:rPr>
              <w:t>The first part is a Medicare Advantage Plan with a high deductible</w:t>
            </w:r>
            <w:r w:rsidR="00FC39A0">
              <w:rPr>
                <w:rFonts w:ascii="Verdana" w:hAnsi="Verdana" w:cs="Arial"/>
              </w:rPr>
              <w:t>.</w:t>
            </w:r>
          </w:p>
          <w:p w14:paraId="0335D281" w14:textId="77777777" w:rsidR="007E2F4A" w:rsidRPr="001B5172" w:rsidRDefault="007E2F4A" w:rsidP="00451F73">
            <w:pPr>
              <w:numPr>
                <w:ilvl w:val="0"/>
                <w:numId w:val="110"/>
              </w:numPr>
              <w:spacing w:before="120" w:after="120"/>
              <w:rPr>
                <w:rFonts w:ascii="Verdana" w:hAnsi="Verdana" w:cs="Arial"/>
              </w:rPr>
            </w:pPr>
            <w:r w:rsidRPr="001B5172">
              <w:rPr>
                <w:rFonts w:ascii="Verdana" w:hAnsi="Verdana" w:cs="Arial"/>
              </w:rPr>
              <w:t xml:space="preserve">The second part is a Medical Savings Account into which Medicare deposits money that may be used to pay health care costs. </w:t>
            </w:r>
          </w:p>
        </w:tc>
      </w:tr>
      <w:tr w:rsidR="009C33EF" w:rsidRPr="004E00B6" w14:paraId="0F63C8BF" w14:textId="77777777" w:rsidTr="008338FB">
        <w:tc>
          <w:tcPr>
            <w:tcW w:w="745" w:type="pct"/>
          </w:tcPr>
          <w:p w14:paraId="548F0C2F" w14:textId="287545DC" w:rsidR="007E2F4A" w:rsidRPr="00F4531F" w:rsidRDefault="007E2F4A" w:rsidP="000431DA">
            <w:pPr>
              <w:spacing w:before="120" w:after="120"/>
              <w:jc w:val="center"/>
              <w:rPr>
                <w:rFonts w:ascii="Verdana" w:hAnsi="Verdana"/>
                <w:b/>
                <w:color w:val="000000"/>
              </w:rPr>
            </w:pPr>
            <w:r>
              <w:rPr>
                <w:noProof/>
              </w:rPr>
              <w:t xml:space="preserve"> </w:t>
            </w:r>
            <w:r w:rsidRPr="002A444A">
              <w:rPr>
                <w:rFonts w:ascii="Verdana" w:hAnsi="Verdana"/>
                <w:b/>
                <w:bCs/>
              </w:rPr>
              <w:t>MSA</w:t>
            </w:r>
          </w:p>
        </w:tc>
        <w:tc>
          <w:tcPr>
            <w:tcW w:w="992" w:type="pct"/>
          </w:tcPr>
          <w:p w14:paraId="421A87C9" w14:textId="33878490" w:rsidR="007E2F4A" w:rsidRPr="002C36C7" w:rsidRDefault="007E2F4A" w:rsidP="000431DA">
            <w:pPr>
              <w:spacing w:before="120" w:after="120"/>
              <w:rPr>
                <w:rFonts w:ascii="Verdana" w:hAnsi="Verdana" w:cs="Arial"/>
              </w:rPr>
            </w:pPr>
            <w:r w:rsidRPr="002C36C7">
              <w:rPr>
                <w:noProof/>
              </w:rPr>
              <w:t xml:space="preserve"> </w:t>
            </w:r>
            <w:r w:rsidRPr="002C36C7">
              <w:rPr>
                <w:rFonts w:ascii="Verdana" w:hAnsi="Verdana"/>
              </w:rPr>
              <w:t>Medicaid State Agency</w:t>
            </w:r>
          </w:p>
        </w:tc>
        <w:tc>
          <w:tcPr>
            <w:tcW w:w="3263" w:type="pct"/>
          </w:tcPr>
          <w:p w14:paraId="0ED7FF24" w14:textId="7F5E1D8A" w:rsidR="007E2F4A" w:rsidRPr="004E00B6" w:rsidRDefault="0041743C" w:rsidP="000431DA">
            <w:pPr>
              <w:spacing w:before="120" w:after="120"/>
              <w:rPr>
                <w:rFonts w:ascii="Verdana" w:hAnsi="Verdana" w:cs="Arial"/>
              </w:rPr>
            </w:pPr>
            <w:r>
              <w:rPr>
                <w:rFonts w:ascii="Verdana" w:hAnsi="Verdana" w:cs="Arial"/>
              </w:rPr>
              <w:t>An agency which may contact Customer Care regarding grievances or other Medicaid-related inquiries on behalf of the beneficiary.</w:t>
            </w:r>
          </w:p>
        </w:tc>
      </w:tr>
      <w:tr w:rsidR="009C33EF" w:rsidRPr="004E00B6" w14:paraId="43186252" w14:textId="77777777" w:rsidTr="008338FB">
        <w:tc>
          <w:tcPr>
            <w:tcW w:w="745" w:type="pct"/>
          </w:tcPr>
          <w:p w14:paraId="2A6ED0BC" w14:textId="44043D49" w:rsidR="007E2F4A" w:rsidRPr="00F4531F" w:rsidRDefault="007B5947" w:rsidP="000431DA">
            <w:pPr>
              <w:spacing w:before="120" w:after="120"/>
              <w:jc w:val="center"/>
              <w:rPr>
                <w:rFonts w:ascii="Verdana" w:hAnsi="Verdana"/>
                <w:b/>
                <w:color w:val="000000"/>
              </w:rPr>
            </w:pPr>
            <w:r>
              <w:rPr>
                <w:rFonts w:ascii="Verdana" w:hAnsi="Verdana"/>
                <w:b/>
                <w:color w:val="000000"/>
              </w:rPr>
              <w:t xml:space="preserve"> </w:t>
            </w:r>
            <w:r w:rsidR="007E2F4A" w:rsidRPr="00F4531F">
              <w:rPr>
                <w:rFonts w:ascii="Verdana" w:hAnsi="Verdana"/>
                <w:b/>
                <w:color w:val="000000"/>
              </w:rPr>
              <w:t>MSG</w:t>
            </w:r>
          </w:p>
        </w:tc>
        <w:tc>
          <w:tcPr>
            <w:tcW w:w="992" w:type="pct"/>
          </w:tcPr>
          <w:p w14:paraId="784A72C4" w14:textId="77777777" w:rsidR="007E2F4A" w:rsidRPr="002C36C7" w:rsidRDefault="007E2F4A" w:rsidP="000431DA">
            <w:pPr>
              <w:spacing w:before="120" w:after="120"/>
              <w:rPr>
                <w:rFonts w:ascii="Verdana" w:hAnsi="Verdana" w:cs="Arial"/>
              </w:rPr>
            </w:pPr>
            <w:r w:rsidRPr="002C36C7">
              <w:rPr>
                <w:rFonts w:ascii="Verdana" w:hAnsi="Verdana" w:cs="Arial"/>
              </w:rPr>
              <w:t>Message</w:t>
            </w:r>
          </w:p>
        </w:tc>
        <w:tc>
          <w:tcPr>
            <w:tcW w:w="3263" w:type="pct"/>
          </w:tcPr>
          <w:p w14:paraId="3A86091D" w14:textId="41053ABA" w:rsidR="007E2F4A" w:rsidRPr="004E00B6" w:rsidRDefault="00FB12D3" w:rsidP="000431DA">
            <w:pPr>
              <w:spacing w:before="120" w:after="120"/>
              <w:rPr>
                <w:rFonts w:ascii="Verdana" w:hAnsi="Verdana" w:cs="Arial"/>
              </w:rPr>
            </w:pPr>
            <w:r>
              <w:rPr>
                <w:rFonts w:ascii="Verdana" w:hAnsi="Verdana" w:cs="Arial"/>
              </w:rPr>
              <w:t>Information communicated to a person as the intended recipient.</w:t>
            </w:r>
          </w:p>
        </w:tc>
      </w:tr>
      <w:tr w:rsidR="009C33EF" w:rsidRPr="004E00B6" w14:paraId="14C8FD77" w14:textId="77777777" w:rsidTr="008338FB">
        <w:tc>
          <w:tcPr>
            <w:tcW w:w="745" w:type="pct"/>
          </w:tcPr>
          <w:p w14:paraId="1980B3E4" w14:textId="77777777" w:rsidR="007E2F4A" w:rsidRPr="00F4531F" w:rsidRDefault="007E2F4A" w:rsidP="000431DA">
            <w:pPr>
              <w:spacing w:before="120" w:after="120"/>
              <w:jc w:val="center"/>
              <w:rPr>
                <w:rFonts w:ascii="Verdana" w:hAnsi="Verdana"/>
                <w:b/>
                <w:color w:val="000000"/>
              </w:rPr>
            </w:pPr>
            <w:r>
              <w:rPr>
                <w:rFonts w:ascii="Verdana" w:hAnsi="Verdana"/>
                <w:b/>
                <w:color w:val="000000"/>
              </w:rPr>
              <w:t>MSO</w:t>
            </w:r>
          </w:p>
        </w:tc>
        <w:tc>
          <w:tcPr>
            <w:tcW w:w="992" w:type="pct"/>
          </w:tcPr>
          <w:p w14:paraId="7981EBF8" w14:textId="77777777" w:rsidR="007E2F4A" w:rsidRPr="002C36C7" w:rsidRDefault="007E2F4A" w:rsidP="000431DA">
            <w:pPr>
              <w:spacing w:before="120" w:after="120"/>
              <w:rPr>
                <w:rFonts w:ascii="Verdana" w:hAnsi="Verdana" w:cs="Arial"/>
              </w:rPr>
            </w:pPr>
            <w:r>
              <w:rPr>
                <w:rFonts w:ascii="Verdana" w:hAnsi="Verdana" w:cs="Arial"/>
              </w:rPr>
              <w:t>Aetna Member Services</w:t>
            </w:r>
          </w:p>
        </w:tc>
        <w:tc>
          <w:tcPr>
            <w:tcW w:w="3263" w:type="pct"/>
          </w:tcPr>
          <w:p w14:paraId="08468780" w14:textId="77777777" w:rsidR="007E2F4A" w:rsidRPr="004E00B6" w:rsidRDefault="007E2F4A" w:rsidP="000431DA">
            <w:pPr>
              <w:spacing w:before="120" w:after="120"/>
              <w:rPr>
                <w:rFonts w:ascii="Verdana" w:hAnsi="Verdana" w:cs="Arial"/>
              </w:rPr>
            </w:pPr>
            <w:r>
              <w:rPr>
                <w:rFonts w:ascii="Verdana" w:hAnsi="Verdana" w:cs="Arial"/>
              </w:rPr>
              <w:t>Term used to refer to the Aetna Member Services department also known as Medicare Service Operations for Aetna Med D.</w:t>
            </w:r>
          </w:p>
        </w:tc>
      </w:tr>
      <w:tr w:rsidR="009C33EF" w:rsidRPr="004E00B6" w14:paraId="5B7DB9A0" w14:textId="77777777" w:rsidTr="008338FB">
        <w:tc>
          <w:tcPr>
            <w:tcW w:w="745" w:type="pct"/>
          </w:tcPr>
          <w:p w14:paraId="7DB06809" w14:textId="09C36DBA" w:rsidR="007E2F4A" w:rsidRPr="00F4531F" w:rsidRDefault="007B5947" w:rsidP="000431DA">
            <w:pPr>
              <w:spacing w:before="120" w:after="120"/>
              <w:jc w:val="center"/>
              <w:rPr>
                <w:rFonts w:ascii="Verdana" w:hAnsi="Verdana"/>
                <w:b/>
                <w:color w:val="000000"/>
              </w:rPr>
            </w:pPr>
            <w:r>
              <w:rPr>
                <w:rFonts w:ascii="Verdana" w:hAnsi="Verdana"/>
                <w:b/>
                <w:color w:val="000000"/>
              </w:rPr>
              <w:t xml:space="preserve"> </w:t>
            </w:r>
            <w:r w:rsidR="007E2F4A" w:rsidRPr="00F4531F">
              <w:rPr>
                <w:rFonts w:ascii="Verdana" w:hAnsi="Verdana"/>
                <w:b/>
                <w:color w:val="000000"/>
              </w:rPr>
              <w:t>MSOF</w:t>
            </w:r>
          </w:p>
        </w:tc>
        <w:tc>
          <w:tcPr>
            <w:tcW w:w="992" w:type="pct"/>
          </w:tcPr>
          <w:p w14:paraId="16E0192B" w14:textId="248BF454" w:rsidR="007E2F4A" w:rsidRPr="002C36C7" w:rsidRDefault="007E2F4A" w:rsidP="000431DA">
            <w:pPr>
              <w:spacing w:before="120" w:after="120"/>
              <w:rPr>
                <w:rFonts w:ascii="Verdana" w:hAnsi="Verdana" w:cs="Arial"/>
              </w:rPr>
            </w:pPr>
            <w:r w:rsidRPr="002C36C7">
              <w:rPr>
                <w:rFonts w:ascii="Verdana" w:hAnsi="Verdana" w:cs="Arial"/>
              </w:rPr>
              <w:t>Mail Service Order Form</w:t>
            </w:r>
          </w:p>
        </w:tc>
        <w:tc>
          <w:tcPr>
            <w:tcW w:w="3263" w:type="pct"/>
          </w:tcPr>
          <w:p w14:paraId="2E3251ED" w14:textId="4502ACFC" w:rsidR="007E2F4A" w:rsidRPr="004E00B6" w:rsidRDefault="00FB12D3" w:rsidP="000431DA">
            <w:pPr>
              <w:spacing w:before="120" w:after="120"/>
              <w:rPr>
                <w:rFonts w:ascii="Verdana" w:hAnsi="Verdana" w:cs="Arial"/>
              </w:rPr>
            </w:pPr>
            <w:r>
              <w:rPr>
                <w:rFonts w:ascii="Verdana" w:hAnsi="Verdana" w:cs="Arial"/>
              </w:rPr>
              <w:t>A paper form that members can fill out and mail in to request a prescription from our mail order pharmacy.</w:t>
            </w:r>
          </w:p>
        </w:tc>
      </w:tr>
      <w:tr w:rsidR="009C33EF" w:rsidRPr="004E00B6" w14:paraId="0E2F6429" w14:textId="77777777" w:rsidTr="008338FB">
        <w:tc>
          <w:tcPr>
            <w:tcW w:w="745" w:type="pct"/>
          </w:tcPr>
          <w:p w14:paraId="014728BD" w14:textId="77777777" w:rsidR="007E2F4A" w:rsidRDefault="007E2F4A" w:rsidP="000431DA">
            <w:pPr>
              <w:spacing w:before="120" w:after="120"/>
              <w:rPr>
                <w:noProof/>
              </w:rPr>
            </w:pPr>
            <w:r>
              <w:rPr>
                <w:noProof/>
              </w:rPr>
              <w:t xml:space="preserve"> </w:t>
            </w:r>
          </w:p>
          <w:p w14:paraId="21F28692" w14:textId="77777777" w:rsidR="007E2F4A" w:rsidRPr="00F4531F" w:rsidRDefault="007E2F4A" w:rsidP="000431DA">
            <w:pPr>
              <w:spacing w:before="120" w:after="120"/>
              <w:jc w:val="center"/>
              <w:rPr>
                <w:rFonts w:ascii="Verdana" w:hAnsi="Verdana"/>
                <w:b/>
                <w:color w:val="000000"/>
              </w:rPr>
            </w:pPr>
            <w:r w:rsidRPr="002A444A">
              <w:rPr>
                <w:rFonts w:ascii="Verdana" w:hAnsi="Verdana"/>
                <w:b/>
                <w:bCs/>
              </w:rPr>
              <w:t>MSP</w:t>
            </w:r>
          </w:p>
        </w:tc>
        <w:tc>
          <w:tcPr>
            <w:tcW w:w="992" w:type="pct"/>
          </w:tcPr>
          <w:p w14:paraId="70215372" w14:textId="77777777" w:rsidR="007E2F4A" w:rsidRPr="002C36C7" w:rsidRDefault="007E2F4A" w:rsidP="000431DA">
            <w:pPr>
              <w:spacing w:before="120" w:after="120"/>
              <w:rPr>
                <w:rFonts w:ascii="Verdana" w:hAnsi="Verdana" w:cs="Arial"/>
              </w:rPr>
            </w:pPr>
            <w:r w:rsidRPr="002C36C7">
              <w:rPr>
                <w:rFonts w:ascii="Verdana" w:hAnsi="Verdana"/>
              </w:rPr>
              <w:t>Medicare Secondary Payer</w:t>
            </w:r>
          </w:p>
        </w:tc>
        <w:tc>
          <w:tcPr>
            <w:tcW w:w="3263" w:type="pct"/>
          </w:tcPr>
          <w:p w14:paraId="7E6BF1FD" w14:textId="60D00C5B" w:rsidR="007E2F4A" w:rsidRPr="004E00B6" w:rsidRDefault="007E2F4A" w:rsidP="000431DA">
            <w:pPr>
              <w:spacing w:before="120" w:after="120"/>
              <w:rPr>
                <w:rFonts w:ascii="Verdana" w:hAnsi="Verdana" w:cs="Arial"/>
              </w:rPr>
            </w:pPr>
            <w:r w:rsidRPr="000F184C">
              <w:rPr>
                <w:rFonts w:ascii="Verdana" w:hAnsi="Verdana"/>
              </w:rPr>
              <w:t>When the Medicare Program does not have primary payment responsibility - that is, when another entity has the responsibility for paying before Medicare.</w:t>
            </w:r>
          </w:p>
        </w:tc>
      </w:tr>
      <w:tr w:rsidR="009C33EF" w:rsidRPr="004E00B6" w14:paraId="2DB0F622" w14:textId="77777777" w:rsidTr="008338FB">
        <w:tc>
          <w:tcPr>
            <w:tcW w:w="745" w:type="pct"/>
          </w:tcPr>
          <w:p w14:paraId="4B222613"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MTP</w:t>
            </w:r>
          </w:p>
        </w:tc>
        <w:tc>
          <w:tcPr>
            <w:tcW w:w="992" w:type="pct"/>
          </w:tcPr>
          <w:p w14:paraId="781B950B" w14:textId="77777777" w:rsidR="007E2F4A" w:rsidRPr="002C36C7" w:rsidRDefault="007E2F4A" w:rsidP="000431DA">
            <w:pPr>
              <w:spacing w:before="120" w:after="120"/>
              <w:rPr>
                <w:rFonts w:ascii="Verdana" w:hAnsi="Verdana" w:cs="Arial"/>
              </w:rPr>
            </w:pPr>
            <w:r w:rsidRPr="002C36C7">
              <w:rPr>
                <w:rFonts w:ascii="Verdana" w:hAnsi="Verdana" w:cs="Arial"/>
              </w:rPr>
              <w:t>Mount Prospect, IL mail facility</w:t>
            </w:r>
          </w:p>
        </w:tc>
        <w:tc>
          <w:tcPr>
            <w:tcW w:w="3263" w:type="pct"/>
          </w:tcPr>
          <w:p w14:paraId="71C5007F" w14:textId="309553A7" w:rsidR="007E2F4A" w:rsidRPr="004E00B6" w:rsidRDefault="007E2F4A" w:rsidP="000431DA">
            <w:pPr>
              <w:spacing w:before="120" w:after="120"/>
              <w:rPr>
                <w:rFonts w:ascii="Verdana" w:hAnsi="Verdana" w:cs="Arial"/>
              </w:rPr>
            </w:pPr>
            <w:r>
              <w:rPr>
                <w:rFonts w:ascii="Verdana" w:hAnsi="Verdana" w:cs="Arial"/>
              </w:rPr>
              <w:t>Our</w:t>
            </w:r>
            <w:r w:rsidRPr="004E00B6">
              <w:rPr>
                <w:rFonts w:ascii="Verdana" w:hAnsi="Verdana" w:cs="Arial"/>
              </w:rPr>
              <w:t xml:space="preserve"> mail order pharmacy in Mount Prospect IL</w:t>
            </w:r>
            <w:r>
              <w:rPr>
                <w:rFonts w:ascii="Verdana" w:hAnsi="Verdana" w:cs="Arial"/>
              </w:rPr>
              <w:t>.</w:t>
            </w:r>
          </w:p>
        </w:tc>
      </w:tr>
      <w:tr w:rsidR="009C33EF" w14:paraId="53FCC39D" w14:textId="77777777" w:rsidTr="008338FB">
        <w:tc>
          <w:tcPr>
            <w:tcW w:w="745" w:type="pct"/>
          </w:tcPr>
          <w:p w14:paraId="78DF42B3" w14:textId="77777777" w:rsidR="007E2F4A" w:rsidRDefault="007E2F4A" w:rsidP="000431DA">
            <w:pPr>
              <w:spacing w:before="120" w:after="120"/>
              <w:rPr>
                <w:noProof/>
              </w:rPr>
            </w:pPr>
            <w:r>
              <w:rPr>
                <w:noProof/>
              </w:rPr>
              <w:t xml:space="preserve"> </w:t>
            </w:r>
          </w:p>
          <w:p w14:paraId="280ED0C1" w14:textId="77777777" w:rsidR="007E2F4A" w:rsidRPr="00F4531F" w:rsidRDefault="007E2F4A" w:rsidP="000431DA">
            <w:pPr>
              <w:spacing w:before="120" w:after="120"/>
              <w:jc w:val="center"/>
              <w:rPr>
                <w:rFonts w:ascii="Verdana" w:hAnsi="Verdana"/>
                <w:b/>
                <w:color w:val="000000"/>
              </w:rPr>
            </w:pPr>
            <w:r w:rsidRPr="002A444A">
              <w:rPr>
                <w:rFonts w:ascii="Verdana" w:hAnsi="Verdana"/>
                <w:b/>
                <w:bCs/>
              </w:rPr>
              <w:t>MTMP</w:t>
            </w:r>
          </w:p>
        </w:tc>
        <w:tc>
          <w:tcPr>
            <w:tcW w:w="992" w:type="pct"/>
          </w:tcPr>
          <w:p w14:paraId="5B6B3C2D" w14:textId="77777777" w:rsidR="007E2F4A" w:rsidRPr="002C36C7" w:rsidRDefault="007E2F4A" w:rsidP="000431DA">
            <w:pPr>
              <w:spacing w:before="120" w:after="120"/>
              <w:rPr>
                <w:rFonts w:ascii="Verdana" w:hAnsi="Verdana" w:cs="Arial"/>
              </w:rPr>
            </w:pPr>
            <w:r w:rsidRPr="002C36C7">
              <w:rPr>
                <w:rFonts w:ascii="Verdana" w:hAnsi="Verdana"/>
              </w:rPr>
              <w:t>Medication Therapy Management Program</w:t>
            </w:r>
          </w:p>
        </w:tc>
        <w:tc>
          <w:tcPr>
            <w:tcW w:w="3263" w:type="pct"/>
          </w:tcPr>
          <w:p w14:paraId="11FDE311" w14:textId="666A4DB8" w:rsidR="007E2F4A" w:rsidRDefault="007E2F4A" w:rsidP="000431DA">
            <w:pPr>
              <w:spacing w:before="120" w:after="120"/>
              <w:rPr>
                <w:rFonts w:ascii="Verdana" w:hAnsi="Verdana" w:cs="Arial"/>
              </w:rPr>
            </w:pPr>
            <w:r w:rsidRPr="000F184C">
              <w:rPr>
                <w:rFonts w:ascii="Verdana" w:hAnsi="Verdana"/>
              </w:rPr>
              <w:t>The Medication Therapy Management Program (MTMP) is designed to optimize targeted Part D Beneficiaries’ understanding of medication use, improve therapeutic outcomes, improve medication adherence, and reduce adverse drug events. The MTMP identifies Part D Beneficiaries at risk for adverse medical events and works collaboratively with Beneficiaries and prescribers to reduce risk, thereby decreasing Beneficiaries overall medical costs.</w:t>
            </w:r>
          </w:p>
        </w:tc>
      </w:tr>
      <w:tr w:rsidR="009C33EF" w:rsidRPr="004E00B6" w14:paraId="2E10E86E" w14:textId="77777777" w:rsidTr="008338FB">
        <w:tc>
          <w:tcPr>
            <w:tcW w:w="745" w:type="pct"/>
          </w:tcPr>
          <w:p w14:paraId="22E93FF8"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MTMS</w:t>
            </w:r>
          </w:p>
        </w:tc>
        <w:tc>
          <w:tcPr>
            <w:tcW w:w="992" w:type="pct"/>
          </w:tcPr>
          <w:p w14:paraId="6947D014" w14:textId="77777777" w:rsidR="007E2F4A" w:rsidRPr="002C36C7" w:rsidRDefault="007E2F4A" w:rsidP="000431DA">
            <w:pPr>
              <w:spacing w:before="120" w:after="120"/>
              <w:rPr>
                <w:rFonts w:ascii="Verdana" w:hAnsi="Verdana" w:cs="Arial"/>
              </w:rPr>
            </w:pPr>
            <w:r w:rsidRPr="002C36C7">
              <w:rPr>
                <w:rFonts w:ascii="Verdana" w:hAnsi="Verdana" w:cs="Arial"/>
              </w:rPr>
              <w:t xml:space="preserve">Medication Therapy Management Services </w:t>
            </w:r>
          </w:p>
        </w:tc>
        <w:tc>
          <w:tcPr>
            <w:tcW w:w="3263" w:type="pct"/>
          </w:tcPr>
          <w:p w14:paraId="2A3428E0" w14:textId="79587224" w:rsidR="007E2F4A" w:rsidRPr="004E00B6" w:rsidRDefault="007E2F4A" w:rsidP="000431DA">
            <w:pPr>
              <w:spacing w:before="120" w:after="120"/>
              <w:rPr>
                <w:rFonts w:ascii="Verdana" w:hAnsi="Verdana" w:cs="Arial"/>
              </w:rPr>
            </w:pPr>
            <w:r w:rsidRPr="006B3934">
              <w:rPr>
                <w:rFonts w:ascii="Verdana" w:hAnsi="Verdana" w:cs="Arial"/>
              </w:rPr>
              <w:t>A group of services, outside the normal scope of practice, that goes above and beyond in optimizing a member’s therapeutic outcome</w:t>
            </w:r>
            <w:r>
              <w:rPr>
                <w:rFonts w:ascii="Verdana" w:hAnsi="Verdana" w:cs="Arial"/>
              </w:rPr>
              <w:t>.</w:t>
            </w:r>
          </w:p>
        </w:tc>
      </w:tr>
      <w:tr w:rsidR="009C33EF" w:rsidRPr="004E00B6" w14:paraId="756826AD" w14:textId="77777777" w:rsidTr="008338FB">
        <w:tc>
          <w:tcPr>
            <w:tcW w:w="745" w:type="pct"/>
          </w:tcPr>
          <w:p w14:paraId="59B18047" w14:textId="1391DF94" w:rsidR="007E2F4A" w:rsidRPr="00F4531F" w:rsidRDefault="007B5947" w:rsidP="000431DA">
            <w:pPr>
              <w:spacing w:before="120" w:after="120"/>
              <w:jc w:val="center"/>
              <w:rPr>
                <w:rFonts w:ascii="Verdana" w:hAnsi="Verdana"/>
                <w:b/>
                <w:color w:val="000000"/>
              </w:rPr>
            </w:pPr>
            <w:r>
              <w:rPr>
                <w:rFonts w:ascii="Verdana" w:hAnsi="Verdana"/>
                <w:b/>
                <w:color w:val="000000"/>
              </w:rPr>
              <w:t xml:space="preserve"> </w:t>
            </w:r>
            <w:r w:rsidR="007E2F4A" w:rsidRPr="00F4531F">
              <w:rPr>
                <w:rFonts w:ascii="Verdana" w:hAnsi="Verdana"/>
                <w:b/>
                <w:color w:val="000000"/>
              </w:rPr>
              <w:t>MTR</w:t>
            </w:r>
          </w:p>
        </w:tc>
        <w:tc>
          <w:tcPr>
            <w:tcW w:w="992" w:type="pct"/>
          </w:tcPr>
          <w:p w14:paraId="685DD2E8" w14:textId="76F7F286" w:rsidR="007E2F4A" w:rsidRPr="002C36C7" w:rsidRDefault="007E2F4A" w:rsidP="000431DA">
            <w:pPr>
              <w:spacing w:before="120" w:after="120"/>
              <w:rPr>
                <w:rFonts w:ascii="Verdana" w:hAnsi="Verdana" w:cs="Arial"/>
              </w:rPr>
            </w:pPr>
            <w:r w:rsidRPr="002C36C7">
              <w:rPr>
                <w:rFonts w:ascii="Verdana" w:hAnsi="Verdana" w:cs="Arial"/>
              </w:rPr>
              <w:t>Meter</w:t>
            </w:r>
          </w:p>
        </w:tc>
        <w:tc>
          <w:tcPr>
            <w:tcW w:w="3263" w:type="pct"/>
          </w:tcPr>
          <w:p w14:paraId="727108B6" w14:textId="36D97D72" w:rsidR="007E2F4A" w:rsidRPr="004E00B6" w:rsidRDefault="00F93A35" w:rsidP="000431DA">
            <w:pPr>
              <w:spacing w:before="120" w:after="120"/>
              <w:rPr>
                <w:rFonts w:ascii="Verdana" w:hAnsi="Verdana" w:cs="Arial"/>
              </w:rPr>
            </w:pPr>
            <w:r>
              <w:rPr>
                <w:rFonts w:ascii="Verdana" w:hAnsi="Verdana" w:cs="Arial"/>
              </w:rPr>
              <w:t>A diabetic supply used for glucose monitoring.</w:t>
            </w:r>
          </w:p>
        </w:tc>
      </w:tr>
      <w:tr w:rsidR="009C33EF" w:rsidRPr="004E00B6" w14:paraId="0FBD8E09" w14:textId="77777777" w:rsidTr="008338FB">
        <w:tc>
          <w:tcPr>
            <w:tcW w:w="745" w:type="pct"/>
          </w:tcPr>
          <w:p w14:paraId="37A09EBA"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MTX</w:t>
            </w:r>
          </w:p>
        </w:tc>
        <w:tc>
          <w:tcPr>
            <w:tcW w:w="992" w:type="pct"/>
          </w:tcPr>
          <w:p w14:paraId="28DD8848" w14:textId="0BFFA068" w:rsidR="007E2F4A" w:rsidRPr="002C36C7" w:rsidRDefault="007E2F4A" w:rsidP="000431DA">
            <w:pPr>
              <w:spacing w:before="120" w:after="120"/>
              <w:rPr>
                <w:rFonts w:ascii="Verdana" w:hAnsi="Verdana" w:cs="Arial"/>
              </w:rPr>
            </w:pPr>
            <w:r w:rsidRPr="002C36C7">
              <w:rPr>
                <w:rFonts w:ascii="Verdana" w:hAnsi="Verdana" w:cs="Arial"/>
              </w:rPr>
              <w:t>Methotrexate</w:t>
            </w:r>
          </w:p>
        </w:tc>
        <w:tc>
          <w:tcPr>
            <w:tcW w:w="3263" w:type="pct"/>
          </w:tcPr>
          <w:p w14:paraId="55C20819" w14:textId="77777777" w:rsidR="007E2F4A" w:rsidRPr="004E00B6" w:rsidRDefault="007E2F4A" w:rsidP="000431DA">
            <w:pPr>
              <w:spacing w:before="120" w:after="120"/>
              <w:rPr>
                <w:rFonts w:ascii="Verdana" w:hAnsi="Verdana" w:cs="Arial"/>
              </w:rPr>
            </w:pPr>
            <w:r w:rsidRPr="004E00B6">
              <w:rPr>
                <w:rFonts w:ascii="Verdana" w:hAnsi="Verdana" w:cs="Arial"/>
              </w:rPr>
              <w:t>Abbreviation of the drug name Methotrexate</w:t>
            </w:r>
            <w:r>
              <w:rPr>
                <w:rFonts w:ascii="Verdana" w:hAnsi="Verdana" w:cs="Arial"/>
              </w:rPr>
              <w:t>.</w:t>
            </w:r>
          </w:p>
        </w:tc>
      </w:tr>
      <w:tr w:rsidR="009C33EF" w:rsidRPr="004E00B6" w14:paraId="745CBCF1" w14:textId="77777777" w:rsidTr="008338FB">
        <w:tc>
          <w:tcPr>
            <w:tcW w:w="745" w:type="pct"/>
          </w:tcPr>
          <w:p w14:paraId="75FEB8C5" w14:textId="77777777" w:rsidR="007E2F4A" w:rsidRPr="00F4531F" w:rsidRDefault="007E2F4A" w:rsidP="000431DA">
            <w:pPr>
              <w:spacing w:before="120" w:after="120"/>
              <w:jc w:val="center"/>
              <w:rPr>
                <w:rFonts w:ascii="Verdana" w:hAnsi="Verdana"/>
                <w:b/>
                <w:color w:val="000000"/>
              </w:rPr>
            </w:pPr>
            <w:r>
              <w:rPr>
                <w:rFonts w:ascii="Verdana" w:hAnsi="Verdana"/>
                <w:b/>
                <w:color w:val="000000"/>
              </w:rPr>
              <w:t xml:space="preserve">MV RES </w:t>
            </w:r>
          </w:p>
        </w:tc>
        <w:tc>
          <w:tcPr>
            <w:tcW w:w="992" w:type="pct"/>
          </w:tcPr>
          <w:p w14:paraId="48036509" w14:textId="77777777" w:rsidR="007E2F4A" w:rsidRPr="002C36C7" w:rsidRDefault="007E2F4A" w:rsidP="000431DA">
            <w:pPr>
              <w:spacing w:before="120" w:after="120"/>
              <w:rPr>
                <w:rFonts w:ascii="Verdana" w:hAnsi="Verdana"/>
                <w:color w:val="000000"/>
              </w:rPr>
            </w:pPr>
            <w:r w:rsidRPr="002C36C7">
              <w:rPr>
                <w:rFonts w:ascii="Verdana" w:hAnsi="Verdana"/>
                <w:color w:val="000000"/>
              </w:rPr>
              <w:t xml:space="preserve">Moved/Re-issued </w:t>
            </w:r>
          </w:p>
        </w:tc>
        <w:tc>
          <w:tcPr>
            <w:tcW w:w="3263" w:type="pct"/>
          </w:tcPr>
          <w:p w14:paraId="4547F3B2" w14:textId="77777777" w:rsidR="007E2F4A" w:rsidRPr="006B3934" w:rsidRDefault="007E2F4A" w:rsidP="000431DA">
            <w:pPr>
              <w:spacing w:before="120" w:after="120"/>
              <w:rPr>
                <w:rFonts w:ascii="Verdana" w:hAnsi="Verdana" w:cs="Arial"/>
              </w:rPr>
            </w:pPr>
            <w:r>
              <w:rPr>
                <w:rFonts w:ascii="Verdana" w:hAnsi="Verdana" w:cs="Arial"/>
              </w:rPr>
              <w:t xml:space="preserve">An order status used in LINKS. </w:t>
            </w:r>
          </w:p>
        </w:tc>
      </w:tr>
      <w:tr w:rsidR="009C33EF" w:rsidRPr="004E00B6" w14:paraId="2FE37F50" w14:textId="77777777" w:rsidTr="008338FB">
        <w:tc>
          <w:tcPr>
            <w:tcW w:w="745" w:type="pct"/>
          </w:tcPr>
          <w:p w14:paraId="24C95C1E" w14:textId="77777777" w:rsidR="007E2F4A" w:rsidRPr="00F4531F" w:rsidRDefault="007E2F4A" w:rsidP="000431DA">
            <w:pPr>
              <w:spacing w:before="120" w:after="120"/>
              <w:jc w:val="center"/>
              <w:rPr>
                <w:rFonts w:ascii="Verdana" w:hAnsi="Verdana"/>
                <w:b/>
                <w:color w:val="000000"/>
              </w:rPr>
            </w:pPr>
            <w:r w:rsidRPr="00F4531F">
              <w:rPr>
                <w:rFonts w:ascii="Verdana" w:hAnsi="Verdana"/>
                <w:b/>
                <w:color w:val="000000"/>
              </w:rPr>
              <w:t>MX</w:t>
            </w:r>
          </w:p>
        </w:tc>
        <w:tc>
          <w:tcPr>
            <w:tcW w:w="992" w:type="pct"/>
          </w:tcPr>
          <w:p w14:paraId="5BDFBA65" w14:textId="77777777" w:rsidR="007E2F4A" w:rsidRPr="002C36C7" w:rsidRDefault="007E2F4A" w:rsidP="000431DA">
            <w:pPr>
              <w:spacing w:before="120" w:after="120"/>
              <w:rPr>
                <w:rFonts w:ascii="Verdana" w:hAnsi="Verdana" w:cs="Arial"/>
              </w:rPr>
            </w:pPr>
            <w:r w:rsidRPr="002C36C7">
              <w:rPr>
                <w:rFonts w:ascii="Verdana" w:hAnsi="Verdana" w:cs="Arial"/>
              </w:rPr>
              <w:t>Fax communication</w:t>
            </w:r>
          </w:p>
        </w:tc>
        <w:tc>
          <w:tcPr>
            <w:tcW w:w="3263" w:type="pct"/>
          </w:tcPr>
          <w:p w14:paraId="34D3795C" w14:textId="48307A88" w:rsidR="007E2F4A" w:rsidRPr="004E00B6" w:rsidRDefault="007E2F4A" w:rsidP="000431DA">
            <w:pPr>
              <w:spacing w:before="120" w:after="120"/>
              <w:rPr>
                <w:rFonts w:ascii="Verdana" w:hAnsi="Verdana" w:cs="Arial"/>
              </w:rPr>
            </w:pPr>
            <w:r w:rsidRPr="004E00B6">
              <w:rPr>
                <w:rFonts w:ascii="Verdana" w:hAnsi="Verdana" w:cs="Arial"/>
              </w:rPr>
              <w:t xml:space="preserve">The intervention code in </w:t>
            </w:r>
            <w:r w:rsidR="00922127">
              <w:rPr>
                <w:rFonts w:ascii="Verdana" w:hAnsi="Verdana" w:cs="Arial"/>
              </w:rPr>
              <w:t>LINKS</w:t>
            </w:r>
            <w:r w:rsidRPr="004E00B6">
              <w:rPr>
                <w:rFonts w:ascii="Verdana" w:hAnsi="Verdana" w:cs="Arial"/>
              </w:rPr>
              <w:t xml:space="preserve"> indicates a fax communication has been created.</w:t>
            </w:r>
          </w:p>
        </w:tc>
      </w:tr>
    </w:tbl>
    <w:p w14:paraId="4597DF14" w14:textId="77777777" w:rsidR="007E2F4A" w:rsidRPr="00FB0507" w:rsidRDefault="007E2F4A" w:rsidP="007E2F4A"/>
    <w:p w14:paraId="164B5353" w14:textId="77777777" w:rsidR="00E55B3A" w:rsidRDefault="00E55B3A" w:rsidP="00E55B3A"/>
    <w:p w14:paraId="62C84C5A" w14:textId="77777777" w:rsidR="00E55B3A" w:rsidRDefault="00E55B3A" w:rsidP="00E55B3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2"/>
        <w:gridCol w:w="9218"/>
      </w:tblGrid>
      <w:tr w:rsidR="0083459A" w:rsidRPr="004E00B6" w14:paraId="16A82C3F" w14:textId="77777777" w:rsidTr="008338FB">
        <w:tc>
          <w:tcPr>
            <w:tcW w:w="1441" w:type="pct"/>
            <w:shd w:val="clear" w:color="auto" w:fill="BFBFBF" w:themeFill="background1" w:themeFillShade="BF"/>
          </w:tcPr>
          <w:p w14:paraId="0C42C032" w14:textId="7E80E1D6" w:rsidR="0083459A" w:rsidRPr="0083459A" w:rsidRDefault="0083459A" w:rsidP="007D6EB9">
            <w:pPr>
              <w:spacing w:before="120" w:after="120"/>
              <w:jc w:val="center"/>
              <w:rPr>
                <w:rFonts w:ascii="Verdana" w:hAnsi="Verdana"/>
                <w:b/>
                <w:bCs/>
                <w:color w:val="000000"/>
              </w:rPr>
            </w:pPr>
            <w:r w:rsidRPr="0083459A">
              <w:rPr>
                <w:rFonts w:ascii="Verdana" w:hAnsi="Verdana"/>
                <w:b/>
                <w:bCs/>
                <w:color w:val="000000"/>
              </w:rPr>
              <w:t>Term</w:t>
            </w:r>
          </w:p>
        </w:tc>
        <w:tc>
          <w:tcPr>
            <w:tcW w:w="3559" w:type="pct"/>
            <w:shd w:val="clear" w:color="auto" w:fill="BFBFBF" w:themeFill="background1" w:themeFillShade="BF"/>
          </w:tcPr>
          <w:p w14:paraId="77D3E293" w14:textId="4BD78663" w:rsidR="0083459A" w:rsidRPr="0083459A" w:rsidRDefault="0083459A" w:rsidP="007D6EB9">
            <w:pPr>
              <w:spacing w:before="120" w:after="120"/>
              <w:jc w:val="center"/>
              <w:rPr>
                <w:rFonts w:ascii="Verdana" w:hAnsi="Verdana" w:cs="Arial"/>
                <w:b/>
                <w:bCs/>
                <w:color w:val="000000"/>
              </w:rPr>
            </w:pPr>
            <w:r w:rsidRPr="0083459A">
              <w:rPr>
                <w:rFonts w:ascii="Verdana" w:hAnsi="Verdana" w:cs="Arial"/>
                <w:b/>
                <w:bCs/>
                <w:color w:val="000000"/>
              </w:rPr>
              <w:t>Definition</w:t>
            </w:r>
          </w:p>
        </w:tc>
      </w:tr>
      <w:tr w:rsidR="001B619A" w:rsidRPr="004E00B6" w14:paraId="372544B4" w14:textId="77777777" w:rsidTr="008338FB">
        <w:tc>
          <w:tcPr>
            <w:tcW w:w="1441" w:type="pct"/>
          </w:tcPr>
          <w:p w14:paraId="3BD0E70F" w14:textId="28ADBBC4" w:rsidR="001B619A" w:rsidRPr="002C36C7" w:rsidRDefault="001B619A" w:rsidP="000431DA">
            <w:pPr>
              <w:spacing w:before="120" w:after="120"/>
              <w:rPr>
                <w:rFonts w:ascii="Verdana" w:hAnsi="Verdana"/>
                <w:color w:val="000000"/>
              </w:rPr>
            </w:pPr>
            <w:r w:rsidRPr="002C36C7">
              <w:rPr>
                <w:rFonts w:ascii="Verdana" w:hAnsi="Verdana"/>
                <w:color w:val="000000"/>
              </w:rPr>
              <w:t>Manual Refund</w:t>
            </w:r>
          </w:p>
        </w:tc>
        <w:tc>
          <w:tcPr>
            <w:tcW w:w="3559" w:type="pct"/>
          </w:tcPr>
          <w:p w14:paraId="583CFF91" w14:textId="77777777" w:rsidR="001B619A" w:rsidRPr="004B198D" w:rsidRDefault="001B619A" w:rsidP="000431DA">
            <w:pPr>
              <w:spacing w:before="120" w:after="120"/>
              <w:rPr>
                <w:rFonts w:ascii="Verdana" w:hAnsi="Verdana" w:cs="Arial"/>
                <w:color w:val="000000"/>
              </w:rPr>
            </w:pPr>
            <w:r w:rsidRPr="004B198D">
              <w:rPr>
                <w:rFonts w:ascii="Verdana" w:hAnsi="Verdana" w:cs="Arial"/>
                <w:color w:val="000000"/>
              </w:rPr>
              <w:t>Refund credit back to the account via a paper check</w:t>
            </w:r>
            <w:r>
              <w:rPr>
                <w:rFonts w:ascii="Verdana" w:hAnsi="Verdana" w:cs="Arial"/>
                <w:color w:val="000000"/>
              </w:rPr>
              <w:t>.</w:t>
            </w:r>
          </w:p>
        </w:tc>
      </w:tr>
      <w:tr w:rsidR="001B619A" w:rsidRPr="004E00B6" w14:paraId="501EC137" w14:textId="77777777" w:rsidTr="008338FB">
        <w:tc>
          <w:tcPr>
            <w:tcW w:w="1441" w:type="pct"/>
          </w:tcPr>
          <w:p w14:paraId="6E288241" w14:textId="24488BDE" w:rsidR="001B619A" w:rsidRPr="002C36C7" w:rsidRDefault="001B619A" w:rsidP="000431DA">
            <w:pPr>
              <w:spacing w:before="120" w:after="120"/>
              <w:rPr>
                <w:rFonts w:ascii="Verdana" w:hAnsi="Verdana" w:cs="Arial"/>
              </w:rPr>
            </w:pPr>
            <w:r w:rsidRPr="002C36C7">
              <w:rPr>
                <w:rFonts w:ascii="Verdana" w:hAnsi="Verdana"/>
                <w:color w:val="000000"/>
              </w:rPr>
              <w:t>Mail Order Drugs</w:t>
            </w:r>
          </w:p>
        </w:tc>
        <w:tc>
          <w:tcPr>
            <w:tcW w:w="3559" w:type="pct"/>
          </w:tcPr>
          <w:p w14:paraId="35D1E3D9" w14:textId="39FA3916" w:rsidR="001B619A" w:rsidRPr="004E00B6" w:rsidRDefault="001B619A" w:rsidP="000431DA">
            <w:pPr>
              <w:spacing w:before="120" w:after="120"/>
              <w:rPr>
                <w:rFonts w:ascii="Verdana" w:hAnsi="Verdana" w:cs="Arial"/>
              </w:rPr>
            </w:pPr>
            <w:r w:rsidRPr="006B3934">
              <w:rPr>
                <w:rFonts w:ascii="Verdana" w:hAnsi="Verdana" w:cs="Arial"/>
              </w:rPr>
              <w:t>Prescriptions or other medications sent to a member by a mail order or Internet pharmacy using a home delivery method, such as the U.</w:t>
            </w:r>
            <w:r>
              <w:rPr>
                <w:rFonts w:ascii="Verdana" w:hAnsi="Verdana" w:cs="Arial"/>
              </w:rPr>
              <w:t xml:space="preserve">S. Postal Service, </w:t>
            </w:r>
            <w:r w:rsidR="00F97FE5">
              <w:rPr>
                <w:rFonts w:ascii="Verdana" w:hAnsi="Verdana" w:cs="Arial"/>
              </w:rPr>
              <w:t>FedEx,</w:t>
            </w:r>
            <w:r>
              <w:rPr>
                <w:rFonts w:ascii="Verdana" w:hAnsi="Verdana" w:cs="Arial"/>
              </w:rPr>
              <w:t xml:space="preserve"> or UPS</w:t>
            </w:r>
            <w:r w:rsidR="005A6B97">
              <w:rPr>
                <w:rFonts w:ascii="Verdana" w:hAnsi="Verdana" w:cs="Arial"/>
              </w:rPr>
              <w:t>.</w:t>
            </w:r>
            <w:r w:rsidR="005A6B97" w:rsidRPr="006B3934">
              <w:rPr>
                <w:rFonts w:ascii="Verdana" w:hAnsi="Verdana" w:cs="Arial"/>
              </w:rPr>
              <w:t xml:space="preserve"> </w:t>
            </w:r>
            <w:r w:rsidR="006D7BD2" w:rsidRPr="006B3934">
              <w:rPr>
                <w:rFonts w:ascii="Verdana" w:hAnsi="Verdana" w:cs="Arial"/>
              </w:rPr>
              <w:t>Generally,</w:t>
            </w:r>
            <w:r w:rsidRPr="006B3934">
              <w:rPr>
                <w:rFonts w:ascii="Verdana" w:hAnsi="Verdana" w:cs="Arial"/>
              </w:rPr>
              <w:t xml:space="preserve"> these medications are used on a long-term basis by members for chronic conditions, such as diabetes or hypertension</w:t>
            </w:r>
            <w:r>
              <w:rPr>
                <w:rFonts w:ascii="Verdana" w:hAnsi="Verdana" w:cs="Arial"/>
              </w:rPr>
              <w:t>.</w:t>
            </w:r>
          </w:p>
        </w:tc>
      </w:tr>
      <w:tr w:rsidR="001B619A" w:rsidRPr="004E00B6" w14:paraId="1A09BBE0" w14:textId="77777777" w:rsidTr="008338FB">
        <w:trPr>
          <w:trHeight w:val="288"/>
        </w:trPr>
        <w:tc>
          <w:tcPr>
            <w:tcW w:w="1441" w:type="pct"/>
            <w:shd w:val="clear" w:color="auto" w:fill="auto"/>
          </w:tcPr>
          <w:p w14:paraId="46B06082" w14:textId="4A7ABBD1" w:rsidR="001B619A" w:rsidRPr="002C36C7" w:rsidRDefault="001B619A" w:rsidP="000431DA">
            <w:pPr>
              <w:spacing w:before="120" w:after="120"/>
              <w:rPr>
                <w:rFonts w:ascii="Verdana" w:hAnsi="Verdana"/>
                <w:color w:val="000000"/>
              </w:rPr>
            </w:pPr>
            <w:r w:rsidRPr="002C36C7">
              <w:rPr>
                <w:rFonts w:ascii="Verdana" w:hAnsi="Verdana"/>
              </w:rPr>
              <w:t>Mail Tag</w:t>
            </w:r>
          </w:p>
        </w:tc>
        <w:tc>
          <w:tcPr>
            <w:tcW w:w="3559" w:type="pct"/>
            <w:shd w:val="clear" w:color="auto" w:fill="auto"/>
          </w:tcPr>
          <w:p w14:paraId="777336C9" w14:textId="22DEA7FC" w:rsidR="001B619A" w:rsidRPr="006B3934" w:rsidRDefault="001B619A" w:rsidP="000431DA">
            <w:pPr>
              <w:spacing w:before="120" w:after="120"/>
              <w:rPr>
                <w:rFonts w:ascii="Verdana" w:hAnsi="Verdana" w:cs="Arial"/>
              </w:rPr>
            </w:pPr>
            <w:r w:rsidRPr="000F184C">
              <w:rPr>
                <w:rFonts w:ascii="Verdana" w:hAnsi="Verdana"/>
              </w:rPr>
              <w:t xml:space="preserve">Pre-paid postage label and container that is sent to the beneficiary to return product to </w:t>
            </w:r>
            <w:r>
              <w:rPr>
                <w:rFonts w:ascii="Verdana" w:hAnsi="Verdana"/>
              </w:rPr>
              <w:t>us</w:t>
            </w:r>
            <w:r w:rsidR="008D42C1">
              <w:rPr>
                <w:rFonts w:ascii="Verdana" w:hAnsi="Verdana"/>
              </w:rPr>
              <w:t>.</w:t>
            </w:r>
          </w:p>
        </w:tc>
      </w:tr>
      <w:tr w:rsidR="001B619A" w:rsidRPr="004E00B6" w14:paraId="4636322F" w14:textId="77777777" w:rsidTr="008338FB">
        <w:tc>
          <w:tcPr>
            <w:tcW w:w="1441" w:type="pct"/>
          </w:tcPr>
          <w:p w14:paraId="6743D6BE" w14:textId="25D11131" w:rsidR="001B619A" w:rsidRPr="002C36C7" w:rsidRDefault="001B619A" w:rsidP="000431DA">
            <w:pPr>
              <w:spacing w:before="120" w:after="120"/>
              <w:rPr>
                <w:rFonts w:ascii="Verdana" w:hAnsi="Verdana" w:cs="Arial"/>
              </w:rPr>
            </w:pPr>
            <w:r w:rsidRPr="002C36C7">
              <w:rPr>
                <w:rFonts w:ascii="Verdana" w:hAnsi="Verdana"/>
                <w:color w:val="000000"/>
              </w:rPr>
              <w:t>Maintenance Dispensing Program Drug</w:t>
            </w:r>
          </w:p>
        </w:tc>
        <w:tc>
          <w:tcPr>
            <w:tcW w:w="3559" w:type="pct"/>
          </w:tcPr>
          <w:p w14:paraId="70CB66DD" w14:textId="476AD7A0" w:rsidR="001B619A" w:rsidRPr="004E00B6" w:rsidRDefault="001B619A" w:rsidP="000431DA">
            <w:pPr>
              <w:spacing w:before="120" w:after="120"/>
              <w:rPr>
                <w:rFonts w:ascii="Verdana" w:hAnsi="Verdana" w:cs="Arial"/>
              </w:rPr>
            </w:pPr>
            <w:r w:rsidRPr="006B3934">
              <w:rPr>
                <w:rFonts w:ascii="Verdana" w:hAnsi="Verdana" w:cs="Arial"/>
              </w:rPr>
              <w:t>A product identified as a maintenance drug available through the Maintenance Drug Program</w:t>
            </w:r>
            <w:r>
              <w:rPr>
                <w:rFonts w:ascii="Verdana" w:hAnsi="Verdana" w:cs="Arial"/>
              </w:rPr>
              <w:t>.</w:t>
            </w:r>
          </w:p>
        </w:tc>
      </w:tr>
      <w:tr w:rsidR="001B619A" w:rsidRPr="004E00B6" w14:paraId="2521A4FD" w14:textId="77777777" w:rsidTr="008338FB">
        <w:tc>
          <w:tcPr>
            <w:tcW w:w="1441" w:type="pct"/>
          </w:tcPr>
          <w:p w14:paraId="54631394" w14:textId="26051E56" w:rsidR="001B619A" w:rsidRPr="002C36C7" w:rsidRDefault="001B619A" w:rsidP="000431DA">
            <w:pPr>
              <w:spacing w:before="120" w:after="120"/>
              <w:rPr>
                <w:rFonts w:ascii="Verdana" w:hAnsi="Verdana" w:cs="Arial"/>
              </w:rPr>
            </w:pPr>
            <w:r w:rsidRPr="002C36C7">
              <w:rPr>
                <w:rFonts w:ascii="Verdana" w:hAnsi="Verdana"/>
                <w:color w:val="000000"/>
              </w:rPr>
              <w:t>Maintenance Medication</w:t>
            </w:r>
          </w:p>
        </w:tc>
        <w:tc>
          <w:tcPr>
            <w:tcW w:w="3559" w:type="pct"/>
          </w:tcPr>
          <w:p w14:paraId="3FA12BFF" w14:textId="4F6CE2C6" w:rsidR="001B619A" w:rsidRPr="004E00B6" w:rsidRDefault="001B619A" w:rsidP="000431DA">
            <w:pPr>
              <w:spacing w:before="120" w:after="120"/>
              <w:rPr>
                <w:rFonts w:ascii="Verdana" w:hAnsi="Verdana" w:cs="Arial"/>
              </w:rPr>
            </w:pPr>
            <w:r w:rsidRPr="006B3934">
              <w:rPr>
                <w:rFonts w:ascii="Verdana" w:hAnsi="Verdana" w:cs="Arial"/>
              </w:rPr>
              <w:t>Medications considered by the insurance company to be prescribed for long-term use in the treatment of chronic conditions (</w:t>
            </w:r>
            <w:r w:rsidR="007F2239" w:rsidRPr="007F2239">
              <w:rPr>
                <w:rFonts w:ascii="Verdana" w:hAnsi="Verdana" w:cs="Arial"/>
                <w:b/>
              </w:rPr>
              <w:t xml:space="preserve">Example:  </w:t>
            </w:r>
            <w:r w:rsidR="00BB2A69">
              <w:rPr>
                <w:rFonts w:ascii="Verdana" w:hAnsi="Verdana" w:cs="Arial"/>
              </w:rPr>
              <w:t>B</w:t>
            </w:r>
            <w:r w:rsidRPr="006B3934">
              <w:rPr>
                <w:rFonts w:ascii="Verdana" w:hAnsi="Verdana" w:cs="Arial"/>
              </w:rPr>
              <w:t xml:space="preserve">lood pressure medications, heart medications, </w:t>
            </w:r>
            <w:r w:rsidR="00464358" w:rsidRPr="00464358">
              <w:rPr>
                <w:rFonts w:ascii="Verdana" w:hAnsi="Verdana" w:cs="Arial"/>
              </w:rPr>
              <w:t>etcetera</w:t>
            </w:r>
            <w:r w:rsidRPr="006B3934">
              <w:rPr>
                <w:rFonts w:ascii="Verdana" w:hAnsi="Verdana" w:cs="Arial"/>
              </w:rPr>
              <w:t>).</w:t>
            </w:r>
          </w:p>
        </w:tc>
      </w:tr>
      <w:tr w:rsidR="001B619A" w:rsidRPr="004E00B6" w14:paraId="21686A20" w14:textId="77777777" w:rsidTr="008338FB">
        <w:tc>
          <w:tcPr>
            <w:tcW w:w="1441" w:type="pct"/>
          </w:tcPr>
          <w:p w14:paraId="5B587CF8" w14:textId="454C74B6" w:rsidR="001B619A" w:rsidRPr="002C36C7" w:rsidRDefault="001B619A" w:rsidP="000431DA">
            <w:pPr>
              <w:spacing w:before="120" w:after="120"/>
              <w:rPr>
                <w:rFonts w:ascii="Verdana" w:hAnsi="Verdana" w:cs="Arial"/>
              </w:rPr>
            </w:pPr>
            <w:r w:rsidRPr="002C36C7">
              <w:rPr>
                <w:rFonts w:ascii="Verdana" w:hAnsi="Verdana"/>
                <w:color w:val="000000"/>
              </w:rPr>
              <w:t>MajoRx</w:t>
            </w:r>
            <w:r w:rsidRPr="002C36C7" w:rsidDel="003B031C">
              <w:rPr>
                <w:rFonts w:ascii="Verdana" w:hAnsi="Verdana" w:cs="Arial"/>
              </w:rPr>
              <w:t xml:space="preserve"> </w:t>
            </w:r>
          </w:p>
        </w:tc>
        <w:tc>
          <w:tcPr>
            <w:tcW w:w="3559" w:type="pct"/>
          </w:tcPr>
          <w:p w14:paraId="7AB8DFA3" w14:textId="1F44A158" w:rsidR="001B619A" w:rsidRPr="004E00B6" w:rsidRDefault="001B619A" w:rsidP="000431DA">
            <w:pPr>
              <w:spacing w:before="120" w:after="120"/>
              <w:rPr>
                <w:rFonts w:ascii="Verdana" w:hAnsi="Verdana" w:cs="Arial"/>
              </w:rPr>
            </w:pPr>
            <w:r>
              <w:rPr>
                <w:rFonts w:ascii="Verdana" w:hAnsi="Verdana" w:cs="Arial"/>
              </w:rPr>
              <w:t>I</w:t>
            </w:r>
            <w:r w:rsidRPr="006B3934">
              <w:rPr>
                <w:rFonts w:ascii="Verdana" w:hAnsi="Verdana" w:cs="Arial"/>
              </w:rPr>
              <w:t>nnovative product line designed to mirror a client’s major medical claim accumulation programs</w:t>
            </w:r>
            <w:r w:rsidR="005A6B97" w:rsidRPr="006B3934">
              <w:rPr>
                <w:rFonts w:ascii="Verdana" w:hAnsi="Verdana" w:cs="Arial"/>
              </w:rPr>
              <w:t xml:space="preserve">. </w:t>
            </w:r>
            <w:r w:rsidRPr="006B3934">
              <w:rPr>
                <w:rFonts w:ascii="Verdana" w:hAnsi="Verdana" w:cs="Arial"/>
              </w:rPr>
              <w:t>Allows the client greater program flexibility and offers the opportunity to realize more effective cost management (</w:t>
            </w:r>
            <w:r w:rsidR="00F82DC5" w:rsidRPr="00F82DC5">
              <w:rPr>
                <w:rFonts w:ascii="Verdana" w:hAnsi="Verdana" w:cs="Arial"/>
                <w:b/>
              </w:rPr>
              <w:t xml:space="preserve">Example:  </w:t>
            </w:r>
            <w:r w:rsidR="00164EF7">
              <w:rPr>
                <w:rFonts w:ascii="Verdana" w:hAnsi="Verdana" w:cs="Arial"/>
              </w:rPr>
              <w:t>F</w:t>
            </w:r>
            <w:r w:rsidRPr="006B3934">
              <w:rPr>
                <w:rFonts w:ascii="Verdana" w:hAnsi="Verdana" w:cs="Arial"/>
              </w:rPr>
              <w:t>ront-end deductible, stop-</w:t>
            </w:r>
            <w:r w:rsidR="00F97FE5" w:rsidRPr="006B3934">
              <w:rPr>
                <w:rFonts w:ascii="Verdana" w:hAnsi="Verdana" w:cs="Arial"/>
              </w:rPr>
              <w:t>loss,</w:t>
            </w:r>
            <w:r w:rsidRPr="006B3934">
              <w:rPr>
                <w:rFonts w:ascii="Verdana" w:hAnsi="Verdana" w:cs="Arial"/>
              </w:rPr>
              <w:t xml:space="preserve"> and maximum benefit).</w:t>
            </w:r>
          </w:p>
        </w:tc>
      </w:tr>
      <w:tr w:rsidR="001B619A" w:rsidRPr="004E00B6" w14:paraId="566A5F29" w14:textId="77777777" w:rsidTr="008338FB">
        <w:tc>
          <w:tcPr>
            <w:tcW w:w="1441" w:type="pct"/>
          </w:tcPr>
          <w:p w14:paraId="7390F0F0" w14:textId="536BC6CA" w:rsidR="001B619A" w:rsidRPr="002C36C7" w:rsidRDefault="001B619A" w:rsidP="000431DA">
            <w:pPr>
              <w:spacing w:before="120" w:after="120"/>
              <w:rPr>
                <w:rFonts w:ascii="Verdana" w:hAnsi="Verdana" w:cs="Arial"/>
              </w:rPr>
            </w:pPr>
            <w:r w:rsidRPr="002C36C7">
              <w:rPr>
                <w:rFonts w:ascii="Verdana" w:hAnsi="Verdana"/>
                <w:color w:val="000000"/>
              </w:rPr>
              <w:t>Managed Care</w:t>
            </w:r>
          </w:p>
        </w:tc>
        <w:tc>
          <w:tcPr>
            <w:tcW w:w="3559" w:type="pct"/>
          </w:tcPr>
          <w:p w14:paraId="0D38C857" w14:textId="1D2BE1C6" w:rsidR="001B619A" w:rsidRPr="004E00B6" w:rsidRDefault="001B619A" w:rsidP="000431DA">
            <w:pPr>
              <w:spacing w:before="120" w:after="120"/>
              <w:rPr>
                <w:rFonts w:ascii="Verdana" w:hAnsi="Verdana" w:cs="Arial"/>
              </w:rPr>
            </w:pPr>
            <w:r w:rsidRPr="006B3934">
              <w:rPr>
                <w:rFonts w:ascii="Verdana" w:hAnsi="Verdana" w:cs="Arial"/>
              </w:rPr>
              <w:t>Proactive approach to healthcare benefit management in which plan sponsors exert controls over the delivery system; usually includes such elements as provider networks, utilization review, cost sharing incentives</w:t>
            </w:r>
            <w:r>
              <w:rPr>
                <w:rFonts w:ascii="Verdana" w:hAnsi="Verdana" w:cs="Arial"/>
              </w:rPr>
              <w:t>,</w:t>
            </w:r>
            <w:r w:rsidRPr="006B3934">
              <w:rPr>
                <w:rFonts w:ascii="Verdana" w:hAnsi="Verdana" w:cs="Arial"/>
              </w:rPr>
              <w:t xml:space="preserve"> and clinical information systems.</w:t>
            </w:r>
          </w:p>
        </w:tc>
      </w:tr>
      <w:tr w:rsidR="001B619A" w:rsidRPr="004E00B6" w14:paraId="31CE4FD7" w14:textId="77777777" w:rsidTr="008338FB">
        <w:tc>
          <w:tcPr>
            <w:tcW w:w="1441" w:type="pct"/>
          </w:tcPr>
          <w:p w14:paraId="07EEBE01" w14:textId="2A8DBC3C" w:rsidR="001B619A" w:rsidRPr="002C36C7" w:rsidRDefault="001B619A" w:rsidP="000431DA">
            <w:pPr>
              <w:spacing w:before="120" w:after="120"/>
              <w:rPr>
                <w:rFonts w:ascii="Verdana" w:hAnsi="Verdana" w:cs="Arial"/>
              </w:rPr>
            </w:pPr>
            <w:r w:rsidRPr="002C36C7">
              <w:rPr>
                <w:rFonts w:ascii="Verdana" w:hAnsi="Verdana"/>
                <w:color w:val="000000"/>
              </w:rPr>
              <w:t>Managed Care Programs</w:t>
            </w:r>
          </w:p>
        </w:tc>
        <w:tc>
          <w:tcPr>
            <w:tcW w:w="3559" w:type="pct"/>
          </w:tcPr>
          <w:p w14:paraId="1559D1B2" w14:textId="4465A854" w:rsidR="001B619A" w:rsidRPr="004E00B6" w:rsidRDefault="001B619A" w:rsidP="000431DA">
            <w:pPr>
              <w:spacing w:before="120" w:after="120"/>
              <w:rPr>
                <w:rFonts w:ascii="Verdana" w:hAnsi="Verdana" w:cs="Arial"/>
              </w:rPr>
            </w:pPr>
            <w:r w:rsidRPr="006B3934">
              <w:rPr>
                <w:rFonts w:ascii="Verdana" w:hAnsi="Verdana" w:cs="Arial"/>
              </w:rPr>
              <w:t>The containment of prescription drug costs, so that, without compromising quality, each prescription is clinically consistent, economically reasonable</w:t>
            </w:r>
            <w:r>
              <w:rPr>
                <w:rFonts w:ascii="Verdana" w:hAnsi="Verdana" w:cs="Arial"/>
              </w:rPr>
              <w:t>,</w:t>
            </w:r>
            <w:r w:rsidRPr="006B3934">
              <w:rPr>
                <w:rFonts w:ascii="Verdana" w:hAnsi="Verdana" w:cs="Arial"/>
              </w:rPr>
              <w:t xml:space="preserve"> and conveniently available.</w:t>
            </w:r>
          </w:p>
        </w:tc>
      </w:tr>
      <w:tr w:rsidR="001B619A" w:rsidRPr="004E00B6" w14:paraId="16F85497" w14:textId="77777777" w:rsidTr="008338FB">
        <w:tc>
          <w:tcPr>
            <w:tcW w:w="1441" w:type="pct"/>
          </w:tcPr>
          <w:p w14:paraId="381C2072" w14:textId="782E34E1" w:rsidR="001B619A" w:rsidRPr="002C36C7" w:rsidRDefault="001B619A" w:rsidP="000431DA">
            <w:pPr>
              <w:spacing w:before="120" w:after="120"/>
              <w:rPr>
                <w:rFonts w:ascii="Verdana" w:hAnsi="Verdana" w:cs="Arial"/>
              </w:rPr>
            </w:pPr>
            <w:r w:rsidRPr="002C36C7">
              <w:rPr>
                <w:rFonts w:ascii="Verdana" w:hAnsi="Verdana"/>
                <w:color w:val="000000"/>
              </w:rPr>
              <w:t>Mandatory Generic</w:t>
            </w:r>
          </w:p>
        </w:tc>
        <w:tc>
          <w:tcPr>
            <w:tcW w:w="3559" w:type="pct"/>
          </w:tcPr>
          <w:p w14:paraId="2A157EC5" w14:textId="26EE7786" w:rsidR="001B619A" w:rsidRDefault="001B619A" w:rsidP="000431DA">
            <w:pPr>
              <w:spacing w:before="120" w:after="120"/>
              <w:rPr>
                <w:rFonts w:ascii="Verdana" w:hAnsi="Verdana" w:cs="Arial"/>
              </w:rPr>
            </w:pPr>
            <w:r w:rsidRPr="006B3934">
              <w:rPr>
                <w:rFonts w:ascii="Verdana" w:hAnsi="Verdana" w:cs="Arial"/>
              </w:rPr>
              <w:t xml:space="preserve">Because of the lower cost of generic medications compared to brand medications, many </w:t>
            </w:r>
            <w:r>
              <w:rPr>
                <w:rFonts w:ascii="Verdana" w:hAnsi="Verdana" w:cs="Arial"/>
              </w:rPr>
              <w:t xml:space="preserve">plans </w:t>
            </w:r>
            <w:r w:rsidRPr="006B3934">
              <w:rPr>
                <w:rFonts w:ascii="Verdana" w:hAnsi="Verdana" w:cs="Arial"/>
              </w:rPr>
              <w:t>require that generic medications (if an AA or AB rated generic if available) be dispensed instead of the brand equivalent</w:t>
            </w:r>
            <w:r w:rsidR="005A6B97" w:rsidRPr="006B3934">
              <w:rPr>
                <w:rFonts w:ascii="Verdana" w:hAnsi="Verdana" w:cs="Arial"/>
              </w:rPr>
              <w:t xml:space="preserve">. </w:t>
            </w:r>
          </w:p>
          <w:p w14:paraId="15AD1EBD" w14:textId="77777777" w:rsidR="001B619A" w:rsidRDefault="001B619A" w:rsidP="000431DA">
            <w:pPr>
              <w:spacing w:before="120" w:after="120"/>
              <w:rPr>
                <w:rFonts w:ascii="Verdana" w:hAnsi="Verdana" w:cs="Arial"/>
              </w:rPr>
            </w:pPr>
          </w:p>
          <w:p w14:paraId="4981E343" w14:textId="62F85C76" w:rsidR="001B619A" w:rsidRPr="004E00B6" w:rsidRDefault="001B619A" w:rsidP="000431DA">
            <w:pPr>
              <w:spacing w:before="120" w:after="120"/>
              <w:rPr>
                <w:rFonts w:ascii="Verdana" w:hAnsi="Verdana" w:cs="Arial"/>
              </w:rPr>
            </w:pPr>
            <w:r w:rsidRPr="006B3934">
              <w:rPr>
                <w:rFonts w:ascii="Verdana" w:hAnsi="Verdana" w:cs="Arial"/>
              </w:rPr>
              <w:t xml:space="preserve">If the prescriber has indicated DAW, </w:t>
            </w:r>
            <w:r w:rsidR="00922127" w:rsidRPr="006B3934">
              <w:rPr>
                <w:rFonts w:ascii="Verdana" w:hAnsi="Verdana" w:cs="Arial"/>
              </w:rPr>
              <w:t>or</w:t>
            </w:r>
            <w:r w:rsidRPr="006B3934">
              <w:rPr>
                <w:rFonts w:ascii="Verdana" w:hAnsi="Verdana" w:cs="Arial"/>
              </w:rPr>
              <w:t xml:space="preserve"> if the member chooses not to accept the generic substitution, depending on the plan specifications either:  </w:t>
            </w:r>
            <w:r>
              <w:rPr>
                <w:rFonts w:ascii="Verdana" w:hAnsi="Verdana" w:cs="Arial"/>
              </w:rPr>
              <w:t>T</w:t>
            </w:r>
            <w:r w:rsidRPr="006B3934">
              <w:rPr>
                <w:rFonts w:ascii="Verdana" w:hAnsi="Verdana" w:cs="Arial"/>
              </w:rPr>
              <w:t>he member pay</w:t>
            </w:r>
            <w:r>
              <w:rPr>
                <w:rFonts w:ascii="Verdana" w:hAnsi="Verdana" w:cs="Arial"/>
              </w:rPr>
              <w:t>s</w:t>
            </w:r>
            <w:r w:rsidRPr="006B3934">
              <w:rPr>
                <w:rFonts w:ascii="Verdana" w:hAnsi="Verdana" w:cs="Arial"/>
              </w:rPr>
              <w:t xml:space="preserve"> a higher co-payment amount, </w:t>
            </w:r>
            <w:r w:rsidR="00F97FE5" w:rsidRPr="006B3934">
              <w:rPr>
                <w:rFonts w:ascii="Verdana" w:hAnsi="Verdana" w:cs="Arial"/>
              </w:rPr>
              <w:t>or</w:t>
            </w:r>
            <w:r w:rsidRPr="006B3934">
              <w:rPr>
                <w:rFonts w:ascii="Verdana" w:hAnsi="Verdana" w:cs="Arial"/>
              </w:rPr>
              <w:t xml:space="preserve"> the prescription cannot be filled using plan benefits</w:t>
            </w:r>
            <w:r>
              <w:rPr>
                <w:rFonts w:ascii="Verdana" w:hAnsi="Verdana" w:cs="Arial"/>
              </w:rPr>
              <w:t xml:space="preserve">. </w:t>
            </w:r>
          </w:p>
        </w:tc>
      </w:tr>
      <w:tr w:rsidR="001B619A" w:rsidRPr="004E00B6" w14:paraId="533C38C8" w14:textId="77777777" w:rsidTr="008338FB">
        <w:trPr>
          <w:trHeight w:val="720"/>
        </w:trPr>
        <w:tc>
          <w:tcPr>
            <w:tcW w:w="1441" w:type="pct"/>
          </w:tcPr>
          <w:p w14:paraId="3F42B39D" w14:textId="2EC1E117" w:rsidR="001B619A" w:rsidRPr="002C36C7" w:rsidRDefault="001B619A" w:rsidP="000431DA">
            <w:pPr>
              <w:spacing w:before="120" w:after="120"/>
              <w:rPr>
                <w:rFonts w:ascii="Verdana" w:hAnsi="Verdana"/>
              </w:rPr>
            </w:pPr>
            <w:r w:rsidRPr="002C36C7">
              <w:rPr>
                <w:rFonts w:ascii="Verdana" w:hAnsi="Verdana"/>
              </w:rPr>
              <w:t>Mandatory Mail</w:t>
            </w:r>
          </w:p>
        </w:tc>
        <w:tc>
          <w:tcPr>
            <w:tcW w:w="3559" w:type="pct"/>
          </w:tcPr>
          <w:p w14:paraId="7CF161A7" w14:textId="369D046A" w:rsidR="001B619A" w:rsidRDefault="001B619A" w:rsidP="000431DA">
            <w:pPr>
              <w:spacing w:before="120" w:after="120"/>
              <w:rPr>
                <w:rFonts w:ascii="Verdana" w:hAnsi="Verdana"/>
              </w:rPr>
            </w:pPr>
            <w:r>
              <w:rPr>
                <w:rFonts w:ascii="Verdana" w:hAnsi="Verdana"/>
              </w:rPr>
              <w:t>Plan o</w:t>
            </w:r>
            <w:r w:rsidRPr="009159A5">
              <w:rPr>
                <w:rFonts w:ascii="Verdana" w:hAnsi="Verdana"/>
              </w:rPr>
              <w:t xml:space="preserve">ffering in which the member is limited to a certain </w:t>
            </w:r>
            <w:r w:rsidR="00922127" w:rsidRPr="009159A5">
              <w:rPr>
                <w:rFonts w:ascii="Verdana" w:hAnsi="Verdana"/>
              </w:rPr>
              <w:t>30</w:t>
            </w:r>
            <w:r w:rsidRPr="009159A5">
              <w:rPr>
                <w:rFonts w:ascii="Verdana" w:hAnsi="Verdana"/>
              </w:rPr>
              <w:t>-day supply fills at a retail pharmacy</w:t>
            </w:r>
            <w:r w:rsidR="005A6B97" w:rsidRPr="009159A5">
              <w:rPr>
                <w:rFonts w:ascii="Verdana" w:hAnsi="Verdana"/>
              </w:rPr>
              <w:t xml:space="preserve">. </w:t>
            </w:r>
            <w:r w:rsidRPr="009159A5">
              <w:rPr>
                <w:rFonts w:ascii="Verdana" w:hAnsi="Verdana"/>
              </w:rPr>
              <w:t xml:space="preserve">After the limit is reached, the medication will only be covered in 90-day supplies through </w:t>
            </w:r>
            <w:r>
              <w:rPr>
                <w:rFonts w:ascii="Verdana" w:hAnsi="Verdana"/>
              </w:rPr>
              <w:t>home delivery</w:t>
            </w:r>
            <w:r w:rsidR="005A6B97" w:rsidRPr="009159A5">
              <w:rPr>
                <w:rFonts w:ascii="Verdana" w:hAnsi="Verdana"/>
              </w:rPr>
              <w:t>.</w:t>
            </w:r>
            <w:r w:rsidR="005A6B97">
              <w:rPr>
                <w:rFonts w:ascii="Verdana" w:hAnsi="Verdana"/>
              </w:rPr>
              <w:t xml:space="preserve"> </w:t>
            </w:r>
            <w:r w:rsidRPr="009159A5">
              <w:rPr>
                <w:rFonts w:ascii="Verdana" w:hAnsi="Verdana"/>
              </w:rPr>
              <w:t>If the member continues to fill 30-day supplies, they will not be covered by the plan</w:t>
            </w:r>
            <w:r w:rsidR="005A6B97" w:rsidRPr="009159A5">
              <w:rPr>
                <w:rFonts w:ascii="Verdana" w:hAnsi="Verdana"/>
              </w:rPr>
              <w:t xml:space="preserve">. </w:t>
            </w:r>
            <w:r w:rsidRPr="009159A5">
              <w:rPr>
                <w:rFonts w:ascii="Verdana" w:hAnsi="Verdana"/>
              </w:rPr>
              <w:t>It is client-specific, with the client determining how many 30-day supply fills will be covered.</w:t>
            </w:r>
          </w:p>
        </w:tc>
      </w:tr>
      <w:tr w:rsidR="001B619A" w:rsidRPr="004E00B6" w14:paraId="79049615" w14:textId="77777777" w:rsidTr="008338FB">
        <w:trPr>
          <w:trHeight w:val="1296"/>
        </w:trPr>
        <w:tc>
          <w:tcPr>
            <w:tcW w:w="1441" w:type="pct"/>
          </w:tcPr>
          <w:p w14:paraId="6BF02204" w14:textId="77777777" w:rsidR="001B619A" w:rsidRPr="002C36C7" w:rsidRDefault="001B619A" w:rsidP="000431DA">
            <w:pPr>
              <w:spacing w:before="120" w:after="120"/>
              <w:rPr>
                <w:rFonts w:ascii="Verdana" w:hAnsi="Verdana"/>
                <w:color w:val="000000"/>
              </w:rPr>
            </w:pPr>
            <w:r w:rsidRPr="002C36C7">
              <w:rPr>
                <w:rFonts w:ascii="Verdana" w:hAnsi="Verdana"/>
                <w:color w:val="000000"/>
              </w:rPr>
              <w:t>Mandatory Maintenance</w:t>
            </w:r>
          </w:p>
          <w:p w14:paraId="7655D2D5" w14:textId="77777777" w:rsidR="001B619A" w:rsidRPr="002C36C7" w:rsidRDefault="001B619A" w:rsidP="000431DA">
            <w:pPr>
              <w:spacing w:before="120" w:after="120"/>
              <w:rPr>
                <w:rFonts w:ascii="Verdana" w:hAnsi="Verdana" w:cs="Arial"/>
              </w:rPr>
            </w:pPr>
            <w:r w:rsidRPr="002C36C7">
              <w:rPr>
                <w:rFonts w:ascii="Verdana" w:hAnsi="Verdana"/>
                <w:color w:val="000000"/>
              </w:rPr>
              <w:t>Choice</w:t>
            </w:r>
          </w:p>
        </w:tc>
        <w:tc>
          <w:tcPr>
            <w:tcW w:w="3559" w:type="pct"/>
          </w:tcPr>
          <w:p w14:paraId="55863E6C" w14:textId="0FD50A95" w:rsidR="001B619A" w:rsidRDefault="004A1460" w:rsidP="000431DA">
            <w:pPr>
              <w:spacing w:before="120" w:after="120"/>
              <w:rPr>
                <w:rFonts w:ascii="Verdana" w:hAnsi="Verdana"/>
              </w:rPr>
            </w:pPr>
            <w:r>
              <w:rPr>
                <w:rFonts w:ascii="Verdana" w:hAnsi="Verdana"/>
                <w:noProof/>
                <w:color w:val="333333"/>
              </w:rPr>
              <w:drawing>
                <wp:inline distT="0" distB="0" distL="0" distR="0" wp14:anchorId="18EC572F" wp14:editId="3DD96F6E">
                  <wp:extent cx="304762" cy="304762"/>
                  <wp:effectExtent l="0" t="0" r="635" b="635"/>
                  <wp:docPr id="124065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20301" name="Picture 432020301"/>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1B619A">
              <w:rPr>
                <w:rFonts w:ascii="Verdana" w:hAnsi="Verdana"/>
              </w:rPr>
              <w:t>Plan o</w:t>
            </w:r>
            <w:r w:rsidR="001B619A" w:rsidRPr="009159A5">
              <w:rPr>
                <w:rFonts w:ascii="Verdana" w:hAnsi="Verdana"/>
              </w:rPr>
              <w:t xml:space="preserve">ffering in which the member is limited to a certain </w:t>
            </w:r>
            <w:r w:rsidR="00922127" w:rsidRPr="009159A5">
              <w:rPr>
                <w:rFonts w:ascii="Verdana" w:hAnsi="Verdana"/>
              </w:rPr>
              <w:t>30</w:t>
            </w:r>
            <w:r w:rsidR="001B619A" w:rsidRPr="009159A5">
              <w:rPr>
                <w:rFonts w:ascii="Verdana" w:hAnsi="Verdana"/>
              </w:rPr>
              <w:t>-day supply fills at a retail pharmacy</w:t>
            </w:r>
            <w:r w:rsidR="005A6B97" w:rsidRPr="009159A5">
              <w:rPr>
                <w:rFonts w:ascii="Verdana" w:hAnsi="Verdana"/>
              </w:rPr>
              <w:t xml:space="preserve">. </w:t>
            </w:r>
            <w:r w:rsidR="001B619A" w:rsidRPr="009159A5">
              <w:rPr>
                <w:rFonts w:ascii="Verdana" w:hAnsi="Verdana"/>
              </w:rPr>
              <w:t xml:space="preserve">After the limit is reached, the medication will only be covered in 90-day supplies through Maintenance Choice at </w:t>
            </w:r>
            <w:r w:rsidR="001B619A">
              <w:rPr>
                <w:rFonts w:ascii="Verdana" w:hAnsi="Verdana"/>
              </w:rPr>
              <w:t>home delivery</w:t>
            </w:r>
            <w:r w:rsidR="001B619A" w:rsidRPr="009159A5">
              <w:rPr>
                <w:rFonts w:ascii="Verdana" w:hAnsi="Verdana"/>
              </w:rPr>
              <w:t xml:space="preserve"> or</w:t>
            </w:r>
            <w:r w:rsidR="00CA5920">
              <w:rPr>
                <w:rFonts w:ascii="Verdana" w:hAnsi="Verdana"/>
              </w:rPr>
              <w:t xml:space="preserve"> a </w:t>
            </w:r>
            <w:r w:rsidR="003353BD">
              <w:rPr>
                <w:rFonts w:ascii="Verdana" w:hAnsi="Verdana"/>
              </w:rPr>
              <w:t>select retail participating pharmacy</w:t>
            </w:r>
            <w:r w:rsidR="00DB3CEA">
              <w:rPr>
                <w:rFonts w:ascii="Verdana" w:hAnsi="Verdana"/>
              </w:rPr>
              <w:t xml:space="preserve"> (CVS Retail, Costco Pharmacy, Kroger, or select independent pharmacies, etc.)</w:t>
            </w:r>
            <w:r w:rsidR="00896159">
              <w:rPr>
                <w:rFonts w:ascii="Verdana" w:hAnsi="Verdana"/>
              </w:rPr>
              <w:t>.</w:t>
            </w:r>
            <w:r w:rsidR="001B619A" w:rsidRPr="009159A5">
              <w:rPr>
                <w:rFonts w:ascii="Verdana" w:hAnsi="Verdana"/>
              </w:rPr>
              <w:t xml:space="preserve"> </w:t>
            </w:r>
          </w:p>
          <w:p w14:paraId="1A15979E" w14:textId="77777777" w:rsidR="001B619A" w:rsidRDefault="001B619A" w:rsidP="000431DA">
            <w:pPr>
              <w:spacing w:before="120" w:after="120"/>
              <w:rPr>
                <w:rFonts w:ascii="Verdana" w:hAnsi="Verdana"/>
              </w:rPr>
            </w:pPr>
          </w:p>
          <w:p w14:paraId="74EB1153" w14:textId="56809E1B" w:rsidR="001B619A" w:rsidRPr="00A47CB7" w:rsidRDefault="001B619A" w:rsidP="00A47CB7">
            <w:pPr>
              <w:pStyle w:val="ListParagraph"/>
              <w:numPr>
                <w:ilvl w:val="0"/>
                <w:numId w:val="148"/>
              </w:numPr>
              <w:spacing w:before="120" w:after="120"/>
              <w:rPr>
                <w:rFonts w:ascii="Verdana" w:hAnsi="Verdana" w:cs="Arial"/>
              </w:rPr>
            </w:pPr>
            <w:r w:rsidRPr="00A47CB7">
              <w:rPr>
                <w:rFonts w:ascii="Verdana" w:hAnsi="Verdana"/>
              </w:rPr>
              <w:t>If the member continues to fill 30-day supplies, they will not be covered by the plan</w:t>
            </w:r>
            <w:r w:rsidR="005A6B97" w:rsidRPr="00A47CB7">
              <w:rPr>
                <w:rFonts w:ascii="Verdana" w:hAnsi="Verdana"/>
              </w:rPr>
              <w:t xml:space="preserve">. </w:t>
            </w:r>
            <w:r w:rsidRPr="00A47CB7">
              <w:rPr>
                <w:rFonts w:ascii="Verdana" w:hAnsi="Verdana"/>
              </w:rPr>
              <w:t>It is client-specific, with the client determining how many 30-day supply fills will be covered.</w:t>
            </w:r>
          </w:p>
        </w:tc>
      </w:tr>
      <w:tr w:rsidR="001B619A" w:rsidRPr="004E00B6" w14:paraId="1B35D27F" w14:textId="77777777" w:rsidTr="008338FB">
        <w:trPr>
          <w:trHeight w:val="20"/>
        </w:trPr>
        <w:tc>
          <w:tcPr>
            <w:tcW w:w="1441" w:type="pct"/>
          </w:tcPr>
          <w:p w14:paraId="27DCE8BF" w14:textId="77777777" w:rsidR="001B619A" w:rsidRPr="002C36C7" w:rsidRDefault="001B619A" w:rsidP="000431DA">
            <w:pPr>
              <w:pStyle w:val="ListParagraph"/>
              <w:spacing w:before="120" w:after="120"/>
              <w:ind w:left="0"/>
              <w:contextualSpacing w:val="0"/>
              <w:rPr>
                <w:rFonts w:ascii="Verdana" w:hAnsi="Verdana" w:cs="Arial"/>
                <w:sz w:val="24"/>
                <w:szCs w:val="24"/>
              </w:rPr>
            </w:pPr>
            <w:r w:rsidRPr="002C36C7">
              <w:rPr>
                <w:rFonts w:ascii="Verdana" w:hAnsi="Verdana" w:cs="Arial"/>
                <w:sz w:val="24"/>
                <w:szCs w:val="24"/>
              </w:rPr>
              <w:t xml:space="preserve">Manual Letter </w:t>
            </w:r>
          </w:p>
        </w:tc>
        <w:tc>
          <w:tcPr>
            <w:tcW w:w="3559" w:type="pct"/>
          </w:tcPr>
          <w:p w14:paraId="60D9B65C" w14:textId="77777777" w:rsidR="001B619A" w:rsidRDefault="001B619A" w:rsidP="000431DA">
            <w:pPr>
              <w:spacing w:before="120" w:after="120"/>
              <w:rPr>
                <w:rFonts w:ascii="Verdana" w:hAnsi="Verdana" w:cs="Arial"/>
              </w:rPr>
            </w:pPr>
            <w:r w:rsidRPr="00F0736A">
              <w:rPr>
                <w:rFonts w:ascii="Verdana" w:hAnsi="Verdana" w:cs="Arial"/>
              </w:rPr>
              <w:t>Letter (notice) necessitated by enrollment activity that the enrollment system and Print Vendor are unable to fulfill.</w:t>
            </w:r>
            <w:r>
              <w:rPr>
                <w:rFonts w:ascii="Verdana" w:hAnsi="Verdana" w:cs="Arial"/>
              </w:rPr>
              <w:t xml:space="preserve"> </w:t>
            </w:r>
          </w:p>
        </w:tc>
      </w:tr>
      <w:tr w:rsidR="001B619A" w:rsidRPr="004E00B6" w14:paraId="7E5D6A35" w14:textId="77777777" w:rsidTr="008338FB">
        <w:trPr>
          <w:trHeight w:val="432"/>
        </w:trPr>
        <w:tc>
          <w:tcPr>
            <w:tcW w:w="1441" w:type="pct"/>
          </w:tcPr>
          <w:p w14:paraId="75F7E454" w14:textId="77777777" w:rsidR="001B619A" w:rsidRPr="002C36C7" w:rsidRDefault="001B619A" w:rsidP="000431DA">
            <w:pPr>
              <w:pStyle w:val="ListParagraph"/>
              <w:spacing w:before="120" w:after="120"/>
              <w:ind w:left="0"/>
              <w:contextualSpacing w:val="0"/>
              <w:rPr>
                <w:rFonts w:ascii="Verdana" w:hAnsi="Verdana" w:cs="Arial"/>
                <w:sz w:val="24"/>
                <w:szCs w:val="24"/>
              </w:rPr>
            </w:pPr>
            <w:r w:rsidRPr="002C36C7">
              <w:rPr>
                <w:rFonts w:ascii="Verdana" w:hAnsi="Verdana" w:cs="Arial"/>
                <w:sz w:val="24"/>
              </w:rPr>
              <w:t>Manufacturer Copay Card (Non-needs-based copay card)</w:t>
            </w:r>
          </w:p>
        </w:tc>
        <w:tc>
          <w:tcPr>
            <w:tcW w:w="3559" w:type="pct"/>
          </w:tcPr>
          <w:p w14:paraId="41FF689F" w14:textId="1F3E6041" w:rsidR="001B619A" w:rsidRDefault="001B619A" w:rsidP="000431DA">
            <w:pPr>
              <w:spacing w:before="120" w:after="120"/>
              <w:rPr>
                <w:rFonts w:ascii="Verdana" w:hAnsi="Verdana" w:cs="Arial"/>
              </w:rPr>
            </w:pPr>
            <w:r>
              <w:rPr>
                <w:rFonts w:ascii="Verdana" w:hAnsi="Verdana" w:cs="Arial"/>
              </w:rPr>
              <w:t>C</w:t>
            </w:r>
            <w:r w:rsidRPr="00834C9C">
              <w:rPr>
                <w:rFonts w:ascii="Verdana" w:hAnsi="Verdana" w:cs="Arial"/>
              </w:rPr>
              <w:t>opay card pharmaceutical manufacturers offer to commercially insured patients in order to help off-set the cost of the medication</w:t>
            </w:r>
            <w:r w:rsidR="005A6B97" w:rsidRPr="00834C9C">
              <w:rPr>
                <w:rFonts w:ascii="Verdana" w:hAnsi="Verdana" w:cs="Arial"/>
              </w:rPr>
              <w:t xml:space="preserve">. </w:t>
            </w:r>
            <w:r w:rsidRPr="00834C9C">
              <w:rPr>
                <w:rFonts w:ascii="Verdana" w:hAnsi="Verdana" w:cs="Arial"/>
              </w:rPr>
              <w:t xml:space="preserve">There </w:t>
            </w:r>
            <w:r w:rsidR="007B5947" w:rsidRPr="00834C9C">
              <w:rPr>
                <w:rFonts w:ascii="Verdana" w:hAnsi="Verdana" w:cs="Arial"/>
              </w:rPr>
              <w:t>are</w:t>
            </w:r>
            <w:r w:rsidRPr="00834C9C">
              <w:rPr>
                <w:rFonts w:ascii="Verdana" w:hAnsi="Verdana" w:cs="Arial"/>
              </w:rPr>
              <w:t xml:space="preserve"> </w:t>
            </w:r>
            <w:r>
              <w:rPr>
                <w:rFonts w:ascii="Verdana" w:hAnsi="Verdana" w:cs="Arial"/>
              </w:rPr>
              <w:t xml:space="preserve">typically </w:t>
            </w:r>
            <w:r w:rsidRPr="00834C9C">
              <w:rPr>
                <w:rFonts w:ascii="Verdana" w:hAnsi="Verdana" w:cs="Arial"/>
              </w:rPr>
              <w:t>no eligibility criteria that must be met in order for a patient to use a manufacturer copay card.</w:t>
            </w:r>
          </w:p>
        </w:tc>
      </w:tr>
      <w:tr w:rsidR="001B619A" w:rsidRPr="004E00B6" w14:paraId="13C190C0" w14:textId="77777777" w:rsidTr="008338FB">
        <w:trPr>
          <w:trHeight w:val="2304"/>
        </w:trPr>
        <w:tc>
          <w:tcPr>
            <w:tcW w:w="1441" w:type="pct"/>
          </w:tcPr>
          <w:p w14:paraId="3C72528C" w14:textId="77777777" w:rsidR="001B619A" w:rsidRPr="002C36C7" w:rsidRDefault="001B619A" w:rsidP="000431DA">
            <w:pPr>
              <w:spacing w:before="120" w:after="120"/>
              <w:rPr>
                <w:rFonts w:ascii="Verdana" w:hAnsi="Verdana" w:cs="Arial"/>
              </w:rPr>
            </w:pPr>
            <w:r w:rsidRPr="002C36C7">
              <w:rPr>
                <w:rFonts w:ascii="Verdana" w:hAnsi="Verdana"/>
                <w:color w:val="000000"/>
              </w:rPr>
              <w:t>Market Probe, Inc</w:t>
            </w:r>
          </w:p>
        </w:tc>
        <w:tc>
          <w:tcPr>
            <w:tcW w:w="3559" w:type="pct"/>
          </w:tcPr>
          <w:p w14:paraId="08D5AAD7" w14:textId="36FF6D6A" w:rsidR="001B619A" w:rsidRDefault="001B619A" w:rsidP="000431DA">
            <w:pPr>
              <w:spacing w:before="120" w:after="120"/>
              <w:rPr>
                <w:rFonts w:ascii="Verdana" w:hAnsi="Verdana" w:cs="Arial"/>
              </w:rPr>
            </w:pPr>
            <w:r>
              <w:rPr>
                <w:rFonts w:ascii="Verdana" w:hAnsi="Verdana" w:cs="Arial"/>
              </w:rPr>
              <w:t>F</w:t>
            </w:r>
            <w:r w:rsidRPr="006B3934">
              <w:rPr>
                <w:rFonts w:ascii="Verdana" w:hAnsi="Verdana" w:cs="Arial"/>
              </w:rPr>
              <w:t>ull-service international marketing research firm headquartered in Milwaukee, Wisconsin</w:t>
            </w:r>
            <w:r w:rsidR="005A6B97" w:rsidRPr="006B3934">
              <w:rPr>
                <w:rFonts w:ascii="Verdana" w:hAnsi="Verdana" w:cs="Arial"/>
              </w:rPr>
              <w:t xml:space="preserve">. </w:t>
            </w:r>
            <w:r w:rsidRPr="006B3934">
              <w:rPr>
                <w:rFonts w:ascii="Verdana" w:hAnsi="Verdana" w:cs="Arial"/>
              </w:rPr>
              <w:t>For more than 20 years, Market Probe has been a leader in the performance analysis of customer satisfaction measurement data for Fortune 1000 corporations around the world.</w:t>
            </w:r>
          </w:p>
          <w:p w14:paraId="0807B5C1" w14:textId="77777777" w:rsidR="001B619A" w:rsidRPr="006B3934" w:rsidRDefault="001B619A" w:rsidP="000431DA">
            <w:pPr>
              <w:spacing w:before="120" w:after="120"/>
              <w:rPr>
                <w:rFonts w:ascii="Verdana" w:hAnsi="Verdana" w:cs="Arial"/>
              </w:rPr>
            </w:pPr>
          </w:p>
          <w:p w14:paraId="2AD450B5" w14:textId="00154025" w:rsidR="001B619A" w:rsidRDefault="001B619A" w:rsidP="000431DA">
            <w:pPr>
              <w:spacing w:before="120" w:after="120"/>
              <w:rPr>
                <w:rFonts w:ascii="Verdana" w:hAnsi="Verdana" w:cs="Arial"/>
              </w:rPr>
            </w:pPr>
            <w:r w:rsidRPr="006B3934">
              <w:rPr>
                <w:rFonts w:ascii="Verdana" w:hAnsi="Verdana" w:cs="Arial"/>
              </w:rPr>
              <w:t>Market Probe’s services encompass many facets of customer satisfaction measurement, including advanced loyalty modeling, profitability analysis, market segmentation, competitive benchmarking, and more</w:t>
            </w:r>
            <w:r w:rsidR="005A6B97" w:rsidRPr="006B3934">
              <w:rPr>
                <w:rFonts w:ascii="Verdana" w:hAnsi="Verdana" w:cs="Arial"/>
              </w:rPr>
              <w:t xml:space="preserve">. </w:t>
            </w:r>
            <w:r w:rsidRPr="006B3934">
              <w:rPr>
                <w:rFonts w:ascii="Verdana" w:hAnsi="Verdana" w:cs="Arial"/>
              </w:rPr>
              <w:t>Account Executives specialize by industry; Market Probe maintains a full staff of statisticians, programmers, and marketing professionals.</w:t>
            </w:r>
          </w:p>
          <w:p w14:paraId="2E28EDF2" w14:textId="77777777" w:rsidR="001B619A" w:rsidRDefault="001B619A" w:rsidP="000431DA">
            <w:pPr>
              <w:spacing w:before="120" w:after="120"/>
              <w:rPr>
                <w:rFonts w:ascii="Verdana" w:hAnsi="Verdana" w:cs="Arial"/>
              </w:rPr>
            </w:pPr>
          </w:p>
          <w:p w14:paraId="0D0BAB91" w14:textId="6DB2B92D" w:rsidR="001B619A" w:rsidRPr="004E00B6" w:rsidRDefault="001B619A" w:rsidP="000431DA">
            <w:pPr>
              <w:spacing w:before="120" w:after="120"/>
              <w:rPr>
                <w:rFonts w:ascii="Verdana" w:hAnsi="Verdana" w:cs="Arial"/>
              </w:rPr>
            </w:pPr>
            <w:r w:rsidRPr="006B3934">
              <w:rPr>
                <w:rFonts w:ascii="Verdana" w:hAnsi="Verdana" w:cs="Arial"/>
              </w:rPr>
              <w:t>Market Probe’s client base includes telecommunications, financial services, healthcare, insurance, associations, utilities, and manufacturing industries.</w:t>
            </w:r>
          </w:p>
        </w:tc>
      </w:tr>
      <w:tr w:rsidR="001B619A" w:rsidRPr="004E00B6" w14:paraId="37C4EE38" w14:textId="77777777" w:rsidTr="008338FB">
        <w:tc>
          <w:tcPr>
            <w:tcW w:w="1441" w:type="pct"/>
          </w:tcPr>
          <w:p w14:paraId="59908878" w14:textId="77777777" w:rsidR="001B619A" w:rsidRPr="00F55FA3" w:rsidRDefault="001B619A" w:rsidP="000431DA">
            <w:pPr>
              <w:spacing w:before="120" w:after="120"/>
              <w:rPr>
                <w:rFonts w:ascii="Verdana" w:hAnsi="Verdana" w:cs="Arial"/>
              </w:rPr>
            </w:pPr>
            <w:r w:rsidRPr="00F55FA3">
              <w:rPr>
                <w:rFonts w:ascii="Verdana" w:hAnsi="Verdana"/>
                <w:color w:val="000000"/>
              </w:rPr>
              <w:t>Match Eligibility</w:t>
            </w:r>
          </w:p>
        </w:tc>
        <w:tc>
          <w:tcPr>
            <w:tcW w:w="3559" w:type="pct"/>
          </w:tcPr>
          <w:p w14:paraId="18D036EB" w14:textId="292735B3" w:rsidR="001B619A" w:rsidRPr="00F55FA3" w:rsidRDefault="001B619A" w:rsidP="000431DA">
            <w:pPr>
              <w:spacing w:before="120" w:after="120"/>
              <w:rPr>
                <w:rFonts w:ascii="Verdana" w:hAnsi="Verdana" w:cs="Arial"/>
              </w:rPr>
            </w:pPr>
            <w:r w:rsidRPr="00F55FA3">
              <w:rPr>
                <w:rFonts w:ascii="Verdana" w:hAnsi="Verdana" w:cs="Arial"/>
              </w:rPr>
              <w:t>RECAP-specific systematic method for validating a member’s eligibility for claim payment</w:t>
            </w:r>
            <w:r w:rsidR="005A6B97" w:rsidRPr="00F55FA3">
              <w:rPr>
                <w:rFonts w:ascii="Verdana" w:hAnsi="Verdana" w:cs="Arial"/>
              </w:rPr>
              <w:t xml:space="preserve">. </w:t>
            </w:r>
            <w:r w:rsidRPr="00F55FA3">
              <w:rPr>
                <w:rFonts w:ascii="Verdana" w:hAnsi="Verdana" w:cs="Arial"/>
              </w:rPr>
              <w:t>The identification number, birth date and gender submitted by the pharmacy for claim reimbursement must match the corresponding information on file within the RECAP system</w:t>
            </w:r>
            <w:r w:rsidR="005A6B97" w:rsidRPr="00F55FA3">
              <w:rPr>
                <w:rFonts w:ascii="Verdana" w:hAnsi="Verdana" w:cs="Arial"/>
              </w:rPr>
              <w:t xml:space="preserve">. </w:t>
            </w:r>
            <w:r w:rsidRPr="00F55FA3">
              <w:rPr>
                <w:rFonts w:ascii="Verdana" w:hAnsi="Verdana" w:cs="Arial"/>
              </w:rPr>
              <w:t>Match Eligibility characteristics include:</w:t>
            </w:r>
          </w:p>
          <w:p w14:paraId="06D78840" w14:textId="77777777" w:rsidR="001B619A" w:rsidRPr="00F55FA3" w:rsidRDefault="001B619A" w:rsidP="000431DA">
            <w:pPr>
              <w:numPr>
                <w:ilvl w:val="0"/>
                <w:numId w:val="31"/>
              </w:numPr>
              <w:spacing w:before="120" w:after="120"/>
              <w:rPr>
                <w:rFonts w:ascii="Verdana" w:hAnsi="Verdana" w:cs="Arial"/>
              </w:rPr>
            </w:pPr>
            <w:r w:rsidRPr="00F55FA3">
              <w:rPr>
                <w:rFonts w:ascii="Verdana" w:hAnsi="Verdana" w:cs="Arial"/>
              </w:rPr>
              <w:t>9-digit cardholder ID number printed on the member’s prescription benefit identification card</w:t>
            </w:r>
          </w:p>
          <w:p w14:paraId="39CAE521" w14:textId="3B5CEB1E" w:rsidR="001B619A" w:rsidRPr="007D6EB9" w:rsidRDefault="001B619A" w:rsidP="000431DA">
            <w:pPr>
              <w:numPr>
                <w:ilvl w:val="0"/>
                <w:numId w:val="31"/>
              </w:numPr>
              <w:spacing w:before="120" w:after="120"/>
              <w:rPr>
                <w:rFonts w:ascii="Verdana" w:hAnsi="Verdana" w:cs="Arial"/>
              </w:rPr>
            </w:pPr>
            <w:r w:rsidRPr="00F55FA3">
              <w:rPr>
                <w:rFonts w:ascii="Verdana" w:hAnsi="Verdana" w:cs="Arial"/>
              </w:rPr>
              <w:t>11-digit plan member ID number on file within the RECAP system</w:t>
            </w:r>
          </w:p>
        </w:tc>
      </w:tr>
      <w:tr w:rsidR="009133FC" w:rsidRPr="004E00B6" w14:paraId="5A1D1263" w14:textId="77777777" w:rsidTr="008338FB">
        <w:tc>
          <w:tcPr>
            <w:tcW w:w="1441" w:type="pct"/>
          </w:tcPr>
          <w:p w14:paraId="1DEFE145" w14:textId="3C12E691" w:rsidR="009133FC" w:rsidRPr="00F55FA3" w:rsidRDefault="009133FC" w:rsidP="000431DA">
            <w:pPr>
              <w:spacing w:before="120" w:after="120"/>
              <w:rPr>
                <w:rFonts w:ascii="Verdana" w:hAnsi="Verdana"/>
                <w:color w:val="000000"/>
              </w:rPr>
            </w:pPr>
            <w:r>
              <w:rPr>
                <w:rFonts w:ascii="Verdana" w:hAnsi="Verdana"/>
                <w:color w:val="000000"/>
              </w:rPr>
              <w:t>Maximizer</w:t>
            </w:r>
          </w:p>
        </w:tc>
        <w:tc>
          <w:tcPr>
            <w:tcW w:w="3559" w:type="pct"/>
          </w:tcPr>
          <w:p w14:paraId="18A04C5A" w14:textId="64EFAD82" w:rsidR="00F11954" w:rsidRDefault="00561059" w:rsidP="00F11954">
            <w:pPr>
              <w:spacing w:before="120" w:after="120"/>
              <w:rPr>
                <w:rFonts w:ascii="Verdana" w:hAnsi="Verdana" w:cs="Arial"/>
              </w:rPr>
            </w:pPr>
            <w:r w:rsidRPr="00561059">
              <w:rPr>
                <w:rFonts w:ascii="Verdana" w:hAnsi="Verdana" w:cs="Arial"/>
              </w:rPr>
              <w:t xml:space="preserve">A maximizer program </w:t>
            </w:r>
            <w:r w:rsidR="008C3F7C">
              <w:rPr>
                <w:rFonts w:ascii="Verdana" w:hAnsi="Verdana" w:cs="Arial"/>
              </w:rPr>
              <w:t>is designed to</w:t>
            </w:r>
            <w:r w:rsidR="008C3F7C" w:rsidRPr="008C3F7C">
              <w:rPr>
                <w:rFonts w:ascii="Verdana" w:hAnsi="Verdana" w:cs="Arial"/>
              </w:rPr>
              <w:t xml:space="preserve"> obtain the maximum amount of copay assistance as early as possible </w:t>
            </w:r>
            <w:r w:rsidR="008C3F7C">
              <w:rPr>
                <w:rFonts w:ascii="Verdana" w:hAnsi="Verdana" w:cs="Arial"/>
              </w:rPr>
              <w:t xml:space="preserve">by </w:t>
            </w:r>
            <w:r w:rsidRPr="00561059">
              <w:rPr>
                <w:rFonts w:ascii="Verdana" w:hAnsi="Verdana" w:cs="Arial"/>
              </w:rPr>
              <w:t>set</w:t>
            </w:r>
            <w:r w:rsidR="008C3F7C">
              <w:rPr>
                <w:rFonts w:ascii="Verdana" w:hAnsi="Verdana" w:cs="Arial"/>
              </w:rPr>
              <w:t>ting</w:t>
            </w:r>
            <w:r w:rsidRPr="00561059">
              <w:rPr>
                <w:rFonts w:ascii="Verdana" w:hAnsi="Verdana" w:cs="Arial"/>
              </w:rPr>
              <w:t xml:space="preserve"> an individual's cost-sharing amount to be the maximum value of the manufacturer's copay assistance, applied either in even intervals throughout the year, or front-loaded in the early months.</w:t>
            </w:r>
            <w:r>
              <w:rPr>
                <w:rFonts w:ascii="Verdana" w:hAnsi="Verdana" w:cs="Arial"/>
              </w:rPr>
              <w:t xml:space="preserve"> </w:t>
            </w:r>
          </w:p>
          <w:p w14:paraId="16A1D961" w14:textId="7C90EBCC" w:rsidR="00666505" w:rsidRPr="00F55FA3" w:rsidRDefault="00F11954" w:rsidP="00F11954">
            <w:pPr>
              <w:spacing w:before="120" w:after="120"/>
              <w:rPr>
                <w:rFonts w:ascii="Verdana" w:hAnsi="Verdana" w:cs="Arial"/>
              </w:rPr>
            </w:pPr>
            <w:r>
              <w:rPr>
                <w:noProof/>
              </w:rPr>
              <w:drawing>
                <wp:inline distT="0" distB="0" distL="0" distR="0" wp14:anchorId="5EB2EB77" wp14:editId="110025E6">
                  <wp:extent cx="304762" cy="304762"/>
                  <wp:effectExtent l="0" t="0" r="635" b="635"/>
                  <wp:docPr id="1181722466" name="Picture 118172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762" cy="304762"/>
                          </a:xfrm>
                          <a:prstGeom prst="rect">
                            <a:avLst/>
                          </a:prstGeom>
                        </pic:spPr>
                      </pic:pic>
                    </a:graphicData>
                  </a:graphic>
                </wp:inline>
              </w:drawing>
            </w:r>
            <w:r w:rsidR="00666505" w:rsidRPr="00A47CB7">
              <w:rPr>
                <w:rFonts w:ascii="Verdana" w:hAnsi="Verdana" w:cs="Arial"/>
                <w:b/>
                <w:bCs/>
              </w:rPr>
              <w:t>Example:</w:t>
            </w:r>
            <w:r w:rsidR="00666505" w:rsidRPr="00666505">
              <w:rPr>
                <w:rFonts w:ascii="Verdana" w:hAnsi="Verdana" w:cs="Arial"/>
              </w:rPr>
              <w:t xml:space="preserve"> PrudentRx </w:t>
            </w:r>
            <w:r w:rsidR="00DB4BC6">
              <w:rPr>
                <w:rFonts w:ascii="Verdana" w:hAnsi="Verdana" w:cs="Arial"/>
              </w:rPr>
              <w:t xml:space="preserve">is </w:t>
            </w:r>
            <w:r w:rsidR="00666505" w:rsidRPr="00666505">
              <w:rPr>
                <w:rFonts w:ascii="Verdana" w:hAnsi="Verdana" w:cs="Arial"/>
              </w:rPr>
              <w:t>a copay maximizer program that partners with CVS Caremark. It works by enrolling eligible patients in manufacturer copay assistance programs and applying those funds to cover the full cost of specialty medications. Patients typically pay $0 for covered drugs, while the plan avoids applying these costs to the deductible or out-of-pocket maximum.</w:t>
            </w:r>
          </w:p>
        </w:tc>
      </w:tr>
      <w:tr w:rsidR="001B619A" w:rsidRPr="004E00B6" w14:paraId="41DBF6D2" w14:textId="77777777" w:rsidTr="008338FB">
        <w:tc>
          <w:tcPr>
            <w:tcW w:w="1441" w:type="pct"/>
            <w:shd w:val="clear" w:color="auto" w:fill="auto"/>
          </w:tcPr>
          <w:p w14:paraId="54B0EAA6" w14:textId="77777777" w:rsidR="001B619A" w:rsidRPr="00F55FA3" w:rsidRDefault="001B619A" w:rsidP="000431DA">
            <w:pPr>
              <w:spacing w:before="120" w:after="120"/>
              <w:rPr>
                <w:rFonts w:ascii="Verdana" w:hAnsi="Verdana"/>
                <w:color w:val="000000"/>
              </w:rPr>
            </w:pPr>
            <w:r w:rsidRPr="00F55FA3">
              <w:rPr>
                <w:rFonts w:ascii="Verdana" w:hAnsi="Verdana"/>
              </w:rPr>
              <w:t>Maximus</w:t>
            </w:r>
          </w:p>
        </w:tc>
        <w:tc>
          <w:tcPr>
            <w:tcW w:w="3559" w:type="pct"/>
            <w:shd w:val="clear" w:color="auto" w:fill="auto"/>
          </w:tcPr>
          <w:p w14:paraId="6B6385AA" w14:textId="7084E351" w:rsidR="001B619A" w:rsidRDefault="005C4DA2" w:rsidP="000431DA">
            <w:pPr>
              <w:spacing w:before="120" w:after="120"/>
              <w:rPr>
                <w:rFonts w:ascii="Verdana" w:hAnsi="Verdana"/>
              </w:rPr>
            </w:pPr>
            <w:r>
              <w:rPr>
                <w:rFonts w:ascii="Verdana" w:hAnsi="Verdana"/>
                <w:bCs/>
              </w:rPr>
              <w:t xml:space="preserve">Formerly the </w:t>
            </w:r>
            <w:r w:rsidR="001B619A" w:rsidRPr="00F55FA3">
              <w:rPr>
                <w:rFonts w:ascii="Verdana" w:hAnsi="Verdana"/>
                <w:bCs/>
              </w:rPr>
              <w:t xml:space="preserve">Qualified Independent Contractor (QIC) for the Centers for Medicare and Medicaid Services (CMS) to process late enrollment penalty disputes between Part D plans and beneficiaries. It </w:t>
            </w:r>
            <w:r>
              <w:rPr>
                <w:rFonts w:ascii="Verdana" w:hAnsi="Verdana"/>
                <w:bCs/>
              </w:rPr>
              <w:t>wa</w:t>
            </w:r>
            <w:r w:rsidR="001B619A" w:rsidRPr="00F55FA3">
              <w:rPr>
                <w:rFonts w:ascii="Verdana" w:hAnsi="Verdana"/>
                <w:bCs/>
              </w:rPr>
              <w:t xml:space="preserve">s also the </w:t>
            </w:r>
            <w:r w:rsidR="001B619A" w:rsidRPr="00F55FA3">
              <w:rPr>
                <w:rFonts w:ascii="Verdana" w:hAnsi="Verdana"/>
              </w:rPr>
              <w:t>Independent Review Entity (IRE) for reconsiderations (2</w:t>
            </w:r>
            <w:r w:rsidR="001B619A" w:rsidRPr="00F55FA3">
              <w:rPr>
                <w:rFonts w:ascii="Verdana" w:hAnsi="Verdana"/>
                <w:vertAlign w:val="superscript"/>
              </w:rPr>
              <w:t>nd</w:t>
            </w:r>
            <w:r w:rsidR="001B619A" w:rsidRPr="00F55FA3">
              <w:rPr>
                <w:rFonts w:ascii="Verdana" w:hAnsi="Verdana"/>
              </w:rPr>
              <w:t xml:space="preserve"> level appeal).</w:t>
            </w:r>
            <w:r>
              <w:rPr>
                <w:rFonts w:ascii="Verdana" w:hAnsi="Verdana"/>
              </w:rPr>
              <w:t xml:space="preserve"> </w:t>
            </w:r>
          </w:p>
          <w:p w14:paraId="467A7176" w14:textId="77777777" w:rsidR="005C4DA2" w:rsidRDefault="005C4DA2" w:rsidP="000431DA">
            <w:pPr>
              <w:spacing w:before="120" w:after="120"/>
              <w:rPr>
                <w:rFonts w:ascii="Verdana" w:hAnsi="Verdana"/>
              </w:rPr>
            </w:pPr>
          </w:p>
          <w:p w14:paraId="2226B434" w14:textId="3C5B3292" w:rsidR="005C4DA2" w:rsidRPr="00F55FA3" w:rsidRDefault="005C4DA2" w:rsidP="000431DA">
            <w:pPr>
              <w:spacing w:before="120" w:after="120"/>
              <w:rPr>
                <w:rFonts w:ascii="Verdana" w:hAnsi="Verdana" w:cs="Arial"/>
              </w:rPr>
            </w:pPr>
            <w:r w:rsidRPr="006F6CD3">
              <w:rPr>
                <w:rFonts w:ascii="Verdana" w:hAnsi="Verdana" w:cs="Arial"/>
                <w:b/>
                <w:bCs/>
              </w:rPr>
              <w:t>N</w:t>
            </w:r>
            <w:r w:rsidR="004A7EF9">
              <w:rPr>
                <w:rFonts w:ascii="Verdana" w:hAnsi="Verdana" w:cs="Arial"/>
                <w:b/>
                <w:bCs/>
              </w:rPr>
              <w:t>ote</w:t>
            </w:r>
            <w:r w:rsidRPr="006F6CD3">
              <w:rPr>
                <w:rFonts w:ascii="Verdana" w:hAnsi="Verdana" w:cs="Arial"/>
                <w:b/>
                <w:bCs/>
              </w:rPr>
              <w:t>:</w:t>
            </w:r>
            <w:r w:rsidR="007D6EB9">
              <w:rPr>
                <w:rFonts w:ascii="Verdana" w:hAnsi="Verdana" w:cs="Arial"/>
              </w:rPr>
              <w:t xml:space="preserve"> </w:t>
            </w:r>
            <w:r>
              <w:rPr>
                <w:rFonts w:ascii="Verdana" w:hAnsi="Verdana" w:cs="Arial"/>
              </w:rPr>
              <w:t xml:space="preserve">As of 02/01/2021, the new QIC/IRE for appeals is C2C Innovative Solutions, Inc. (C2C). </w:t>
            </w:r>
          </w:p>
        </w:tc>
      </w:tr>
      <w:tr w:rsidR="001B619A" w:rsidRPr="004E00B6" w14:paraId="3055DFEC" w14:textId="77777777" w:rsidTr="008338FB">
        <w:tc>
          <w:tcPr>
            <w:tcW w:w="1441" w:type="pct"/>
          </w:tcPr>
          <w:p w14:paraId="4272D55B" w14:textId="77777777" w:rsidR="001B619A" w:rsidRPr="00F55FA3" w:rsidRDefault="001B619A" w:rsidP="000431DA">
            <w:pPr>
              <w:spacing w:before="120" w:after="120"/>
              <w:rPr>
                <w:rFonts w:ascii="Verdana" w:hAnsi="Verdana" w:cs="Arial"/>
              </w:rPr>
            </w:pPr>
            <w:r w:rsidRPr="00F55FA3">
              <w:rPr>
                <w:rFonts w:ascii="Verdana" w:hAnsi="Verdana"/>
                <w:color w:val="000000"/>
              </w:rPr>
              <w:t>Medicaid</w:t>
            </w:r>
            <w:r w:rsidRPr="00F55FA3" w:rsidDel="00636078">
              <w:rPr>
                <w:rFonts w:ascii="Verdana" w:hAnsi="Verdana" w:cs="Arial"/>
              </w:rPr>
              <w:t xml:space="preserve"> </w:t>
            </w:r>
          </w:p>
        </w:tc>
        <w:tc>
          <w:tcPr>
            <w:tcW w:w="3559" w:type="pct"/>
          </w:tcPr>
          <w:p w14:paraId="4A6FCC4A" w14:textId="0ECE4722" w:rsidR="001B619A" w:rsidRPr="00F55FA3" w:rsidRDefault="001B619A" w:rsidP="000431DA">
            <w:pPr>
              <w:spacing w:before="120" w:after="120"/>
              <w:rPr>
                <w:rFonts w:ascii="Verdana" w:hAnsi="Verdana" w:cs="Arial"/>
              </w:rPr>
            </w:pPr>
            <w:r w:rsidRPr="00F55FA3">
              <w:rPr>
                <w:rFonts w:ascii="Verdana" w:hAnsi="Verdana" w:cs="Arial"/>
              </w:rPr>
              <w:t>State funded program which provides medical care financing for the poor and medically needy in the United States</w:t>
            </w:r>
            <w:r w:rsidR="005A6B97" w:rsidRPr="00F55FA3">
              <w:rPr>
                <w:rFonts w:ascii="Verdana" w:hAnsi="Verdana" w:cs="Arial"/>
              </w:rPr>
              <w:t xml:space="preserve">. </w:t>
            </w:r>
            <w:r w:rsidRPr="00F55FA3">
              <w:rPr>
                <w:rFonts w:ascii="Verdana" w:hAnsi="Verdana" w:cs="Arial"/>
              </w:rPr>
              <w:t xml:space="preserve">Medicaid covers basic health </w:t>
            </w:r>
            <w:r w:rsidR="00F97FE5" w:rsidRPr="00F55FA3">
              <w:rPr>
                <w:rFonts w:ascii="Verdana" w:hAnsi="Verdana" w:cs="Arial"/>
              </w:rPr>
              <w:t>services,</w:t>
            </w:r>
            <w:r w:rsidRPr="00F55FA3">
              <w:rPr>
                <w:rFonts w:ascii="Verdana" w:hAnsi="Verdana" w:cs="Arial"/>
              </w:rPr>
              <w:t xml:space="preserve"> and in most states, member prescription drug benefits.</w:t>
            </w:r>
          </w:p>
          <w:p w14:paraId="3DFD109E" w14:textId="77777777" w:rsidR="001B619A" w:rsidRPr="00F55FA3" w:rsidRDefault="001B619A" w:rsidP="000431DA">
            <w:pPr>
              <w:spacing w:before="120" w:after="120"/>
              <w:rPr>
                <w:rFonts w:ascii="Verdana" w:hAnsi="Verdana"/>
              </w:rPr>
            </w:pPr>
          </w:p>
          <w:p w14:paraId="120A4DC3" w14:textId="195CD8DB" w:rsidR="001B619A" w:rsidRPr="00F55FA3" w:rsidRDefault="001B619A" w:rsidP="000431DA">
            <w:pPr>
              <w:spacing w:before="120" w:after="120"/>
              <w:rPr>
                <w:rFonts w:ascii="Verdana" w:hAnsi="Verdana"/>
              </w:rPr>
            </w:pPr>
            <w:r w:rsidRPr="00F55FA3">
              <w:rPr>
                <w:rFonts w:ascii="Verdana" w:hAnsi="Verdana"/>
              </w:rPr>
              <w:t>A joint federal and state medical insurance program administered by the states to provide payment for health care services, including long-term care, for people with low incomes.</w:t>
            </w:r>
          </w:p>
        </w:tc>
      </w:tr>
      <w:tr w:rsidR="001B619A" w:rsidRPr="004E00B6" w14:paraId="4293EBBB" w14:textId="77777777" w:rsidTr="008338FB">
        <w:tc>
          <w:tcPr>
            <w:tcW w:w="1441" w:type="pct"/>
          </w:tcPr>
          <w:p w14:paraId="5C339E58" w14:textId="77777777" w:rsidR="001B619A" w:rsidRPr="00F55FA3" w:rsidRDefault="001B619A" w:rsidP="000431DA">
            <w:pPr>
              <w:spacing w:before="120" w:after="120"/>
              <w:rPr>
                <w:rFonts w:ascii="Verdana" w:hAnsi="Verdana" w:cs="Arial"/>
              </w:rPr>
            </w:pPr>
            <w:r w:rsidRPr="00F55FA3">
              <w:rPr>
                <w:rFonts w:ascii="Verdana" w:hAnsi="Verdana"/>
                <w:color w:val="000000"/>
              </w:rPr>
              <w:t>Medical Necessity</w:t>
            </w:r>
          </w:p>
        </w:tc>
        <w:tc>
          <w:tcPr>
            <w:tcW w:w="3559" w:type="pct"/>
          </w:tcPr>
          <w:p w14:paraId="331B8A43" w14:textId="4B874FEB" w:rsidR="001B619A" w:rsidRPr="00F55FA3" w:rsidRDefault="001B619A" w:rsidP="000431DA">
            <w:pPr>
              <w:spacing w:before="120" w:after="120"/>
              <w:rPr>
                <w:rFonts w:ascii="Verdana" w:hAnsi="Verdana"/>
              </w:rPr>
            </w:pPr>
            <w:r w:rsidRPr="00F55FA3">
              <w:rPr>
                <w:rFonts w:ascii="Verdana" w:hAnsi="Verdana" w:cs="Arial"/>
              </w:rPr>
              <w:t>Medical information justifying that the service rendered was reasonable and appropriate for the diagnoses or treatment of a medical condition or illness.</w:t>
            </w:r>
          </w:p>
        </w:tc>
      </w:tr>
      <w:tr w:rsidR="001B619A" w:rsidRPr="004E00B6" w14:paraId="4EEC431B" w14:textId="77777777" w:rsidTr="008338FB">
        <w:tc>
          <w:tcPr>
            <w:tcW w:w="1441" w:type="pct"/>
          </w:tcPr>
          <w:p w14:paraId="57D75996" w14:textId="77777777" w:rsidR="001B619A" w:rsidRPr="00F55FA3" w:rsidRDefault="001B619A" w:rsidP="000431DA">
            <w:pPr>
              <w:spacing w:before="120" w:after="120"/>
              <w:rPr>
                <w:rFonts w:ascii="Verdana" w:hAnsi="Verdana" w:cs="Arial"/>
              </w:rPr>
            </w:pPr>
            <w:r w:rsidRPr="00F55FA3">
              <w:rPr>
                <w:rFonts w:ascii="Verdana" w:hAnsi="Verdana"/>
                <w:color w:val="000000"/>
              </w:rPr>
              <w:t>Medicare</w:t>
            </w:r>
            <w:r w:rsidRPr="00F55FA3" w:rsidDel="00636078">
              <w:rPr>
                <w:rFonts w:ascii="Verdana" w:hAnsi="Verdana" w:cs="Arial"/>
              </w:rPr>
              <w:t xml:space="preserve"> </w:t>
            </w:r>
          </w:p>
        </w:tc>
        <w:tc>
          <w:tcPr>
            <w:tcW w:w="3559" w:type="pct"/>
          </w:tcPr>
          <w:p w14:paraId="7B94B2EB" w14:textId="77777777" w:rsidR="001B619A" w:rsidRPr="00F55FA3" w:rsidRDefault="001B619A" w:rsidP="000431DA">
            <w:pPr>
              <w:spacing w:before="120" w:after="120"/>
              <w:rPr>
                <w:rFonts w:ascii="Verdana" w:hAnsi="Verdana"/>
              </w:rPr>
            </w:pPr>
            <w:r w:rsidRPr="00F55FA3">
              <w:rPr>
                <w:rFonts w:ascii="Verdana" w:hAnsi="Verdana"/>
              </w:rPr>
              <w:t>Health insurance for people who are 65 and older, receive Social Security Disability Benefits and/or have End Stage Renal Disease (ESRD). Medicare offers Part A (Hospital Insurance), Part B (Medical Insurance), Part C (Managed Care Health Plans) and Part D (Prescription Drug Coverage) plans.</w:t>
            </w:r>
          </w:p>
          <w:p w14:paraId="12A0E300" w14:textId="77777777" w:rsidR="001B619A" w:rsidRPr="00F55FA3" w:rsidRDefault="001B619A" w:rsidP="000431DA">
            <w:pPr>
              <w:spacing w:before="120" w:after="120"/>
              <w:rPr>
                <w:rFonts w:ascii="Verdana" w:hAnsi="Verdana"/>
              </w:rPr>
            </w:pPr>
          </w:p>
          <w:p w14:paraId="179BCBF5" w14:textId="11AFDFB6" w:rsidR="001B619A" w:rsidRPr="00F55FA3" w:rsidRDefault="001B619A" w:rsidP="000431DA">
            <w:pPr>
              <w:spacing w:before="120" w:after="120"/>
              <w:rPr>
                <w:rFonts w:ascii="Verdana" w:hAnsi="Verdana"/>
              </w:rPr>
            </w:pPr>
            <w:r w:rsidRPr="00F55FA3">
              <w:rPr>
                <w:rFonts w:ascii="Verdana" w:hAnsi="Verdana"/>
                <w:b/>
              </w:rPr>
              <w:t>Note:</w:t>
            </w:r>
            <w:r w:rsidR="007D6EB9">
              <w:rPr>
                <w:rFonts w:ascii="Verdana" w:hAnsi="Verdana"/>
              </w:rPr>
              <w:t xml:space="preserve"> </w:t>
            </w:r>
            <w:r w:rsidRPr="00F55FA3">
              <w:rPr>
                <w:rFonts w:ascii="Verdana" w:hAnsi="Verdana"/>
              </w:rPr>
              <w:t xml:space="preserve">People under 65 that have disabilities and/or kidney transplant or ESRD are also covered. </w:t>
            </w:r>
          </w:p>
        </w:tc>
      </w:tr>
      <w:tr w:rsidR="001B619A" w:rsidRPr="004E00B6" w14:paraId="01AC11E2" w14:textId="77777777" w:rsidTr="008338FB">
        <w:tc>
          <w:tcPr>
            <w:tcW w:w="1441" w:type="pct"/>
            <w:shd w:val="clear" w:color="auto" w:fill="auto"/>
          </w:tcPr>
          <w:p w14:paraId="53B7640E" w14:textId="20AE909D" w:rsidR="001B619A" w:rsidRPr="00F55FA3" w:rsidRDefault="001B619A" w:rsidP="000431DA">
            <w:pPr>
              <w:spacing w:before="120" w:after="120"/>
              <w:rPr>
                <w:rFonts w:ascii="Verdana" w:hAnsi="Verdana"/>
                <w:color w:val="000000"/>
              </w:rPr>
            </w:pPr>
            <w:r w:rsidRPr="00F55FA3">
              <w:rPr>
                <w:rFonts w:ascii="Verdana" w:hAnsi="Verdana"/>
              </w:rPr>
              <w:t>Med B Real</w:t>
            </w:r>
            <w:r w:rsidR="007E2F4A" w:rsidRPr="00F55FA3">
              <w:rPr>
                <w:rFonts w:ascii="Verdana" w:hAnsi="Verdana"/>
              </w:rPr>
              <w:t xml:space="preserve"> </w:t>
            </w:r>
            <w:r w:rsidRPr="00F55FA3">
              <w:rPr>
                <w:rFonts w:ascii="Verdana" w:hAnsi="Verdana"/>
              </w:rPr>
              <w:t>Time</w:t>
            </w:r>
          </w:p>
        </w:tc>
        <w:tc>
          <w:tcPr>
            <w:tcW w:w="3559" w:type="pct"/>
            <w:shd w:val="clear" w:color="auto" w:fill="auto"/>
          </w:tcPr>
          <w:p w14:paraId="6392614F" w14:textId="35FF22F8" w:rsidR="001B619A" w:rsidRPr="00F55FA3" w:rsidRDefault="001B619A" w:rsidP="000431DA">
            <w:pPr>
              <w:spacing w:before="120" w:after="120"/>
              <w:rPr>
                <w:rFonts w:ascii="Verdana" w:hAnsi="Verdana" w:cs="Arial"/>
              </w:rPr>
            </w:pPr>
            <w:r w:rsidRPr="00F55FA3">
              <w:rPr>
                <w:rFonts w:ascii="Verdana" w:hAnsi="Verdana"/>
              </w:rPr>
              <w:t>Refers to the process where our pharmacy handles COB between Med B and the commercial client in “real time”; Applies to some EGWP and commercial clients.</w:t>
            </w:r>
          </w:p>
        </w:tc>
      </w:tr>
      <w:tr w:rsidR="001B619A" w:rsidRPr="004E00B6" w14:paraId="0A2393E3" w14:textId="77777777" w:rsidTr="008338FB">
        <w:tc>
          <w:tcPr>
            <w:tcW w:w="1441" w:type="pct"/>
            <w:shd w:val="clear" w:color="auto" w:fill="auto"/>
          </w:tcPr>
          <w:p w14:paraId="6B8D8D32" w14:textId="77777777" w:rsidR="001B619A" w:rsidRPr="00F55FA3" w:rsidRDefault="001B619A" w:rsidP="000431DA">
            <w:pPr>
              <w:spacing w:before="120" w:after="120"/>
              <w:rPr>
                <w:rFonts w:ascii="Verdana" w:hAnsi="Verdana"/>
                <w:noProof/>
              </w:rPr>
            </w:pPr>
            <w:r w:rsidRPr="00F55FA3">
              <w:rPr>
                <w:rFonts w:ascii="Verdana" w:hAnsi="Verdana"/>
              </w:rPr>
              <w:t>Medicare Part A or B Premiums</w:t>
            </w:r>
          </w:p>
        </w:tc>
        <w:tc>
          <w:tcPr>
            <w:tcW w:w="3559" w:type="pct"/>
            <w:shd w:val="clear" w:color="auto" w:fill="auto"/>
          </w:tcPr>
          <w:p w14:paraId="306EB8A4" w14:textId="77777777" w:rsidR="001B619A" w:rsidRPr="00F55FA3" w:rsidRDefault="001B619A" w:rsidP="000431DA">
            <w:pPr>
              <w:spacing w:before="120" w:after="120"/>
              <w:rPr>
                <w:rFonts w:ascii="Verdana" w:hAnsi="Verdana"/>
              </w:rPr>
            </w:pPr>
            <w:r w:rsidRPr="00F55FA3">
              <w:rPr>
                <w:rFonts w:ascii="Verdana" w:hAnsi="Verdana"/>
              </w:rPr>
              <w:t>Monthly premium payments required by SSA/RRB in order to maintain coverage of Medicare Part A and Medicare Part B coverage.</w:t>
            </w:r>
          </w:p>
          <w:p w14:paraId="11F1F3D3" w14:textId="640A2FB3" w:rsidR="001B619A" w:rsidRPr="00F55FA3" w:rsidRDefault="001B619A" w:rsidP="000431DA">
            <w:pPr>
              <w:spacing w:before="120" w:after="120"/>
              <w:rPr>
                <w:rFonts w:ascii="Verdana" w:hAnsi="Verdana"/>
                <w:noProof/>
              </w:rPr>
            </w:pPr>
            <w:r w:rsidRPr="00F55FA3">
              <w:rPr>
                <w:rFonts w:ascii="Verdana" w:hAnsi="Verdana"/>
              </w:rPr>
              <w:t xml:space="preserve">If both Medicare Part A </w:t>
            </w:r>
            <w:r w:rsidR="00922127" w:rsidRPr="00F55FA3">
              <w:rPr>
                <w:rFonts w:ascii="Verdana" w:hAnsi="Verdana"/>
              </w:rPr>
              <w:t>and</w:t>
            </w:r>
            <w:r w:rsidRPr="00F55FA3">
              <w:rPr>
                <w:rFonts w:ascii="Verdana" w:hAnsi="Verdana"/>
              </w:rPr>
              <w:t xml:space="preserve"> B coverage are lost, the beneficiary could become ineligible for Medicare Part D coverage.</w:t>
            </w:r>
          </w:p>
        </w:tc>
      </w:tr>
      <w:tr w:rsidR="001B619A" w:rsidRPr="004E00B6" w14:paraId="0A0E05CE" w14:textId="77777777" w:rsidTr="008338FB">
        <w:tc>
          <w:tcPr>
            <w:tcW w:w="1441" w:type="pct"/>
            <w:shd w:val="clear" w:color="auto" w:fill="auto"/>
          </w:tcPr>
          <w:p w14:paraId="69B41454" w14:textId="77777777" w:rsidR="001B619A" w:rsidRPr="00F55FA3" w:rsidRDefault="001B619A" w:rsidP="000431DA">
            <w:pPr>
              <w:spacing w:before="120" w:after="120"/>
              <w:rPr>
                <w:rFonts w:ascii="Verdana" w:hAnsi="Verdana"/>
                <w:noProof/>
              </w:rPr>
            </w:pPr>
            <w:r w:rsidRPr="00F55FA3">
              <w:rPr>
                <w:rFonts w:ascii="Verdana" w:hAnsi="Verdana"/>
              </w:rPr>
              <w:t>Medicare Part D Prescription Claim Form</w:t>
            </w:r>
          </w:p>
        </w:tc>
        <w:tc>
          <w:tcPr>
            <w:tcW w:w="3559" w:type="pct"/>
            <w:shd w:val="clear" w:color="auto" w:fill="auto"/>
          </w:tcPr>
          <w:p w14:paraId="1A27F5D1" w14:textId="526D1D84" w:rsidR="001B619A" w:rsidRPr="00F55FA3" w:rsidRDefault="001B619A" w:rsidP="000431DA">
            <w:pPr>
              <w:spacing w:before="120" w:after="120"/>
              <w:rPr>
                <w:rFonts w:ascii="Verdana" w:hAnsi="Verdana"/>
                <w:noProof/>
              </w:rPr>
            </w:pPr>
            <w:r w:rsidRPr="00F55FA3">
              <w:rPr>
                <w:rFonts w:ascii="Verdana" w:hAnsi="Verdana"/>
              </w:rPr>
              <w:t xml:space="preserve">Form used when a beneficiary is requesting reimbursement for </w:t>
            </w:r>
            <w:r w:rsidR="00532D42" w:rsidRPr="00F55FA3">
              <w:rPr>
                <w:rFonts w:ascii="Verdana" w:hAnsi="Verdana"/>
              </w:rPr>
              <w:t>out-of-pocket</w:t>
            </w:r>
            <w:r w:rsidRPr="00F55FA3">
              <w:rPr>
                <w:rFonts w:ascii="Verdana" w:hAnsi="Verdana"/>
              </w:rPr>
              <w:t xml:space="preserve"> prescription claims.</w:t>
            </w:r>
          </w:p>
        </w:tc>
      </w:tr>
      <w:tr w:rsidR="001B619A" w:rsidRPr="004E00B6" w14:paraId="36DB6F2F" w14:textId="77777777" w:rsidTr="008338FB">
        <w:trPr>
          <w:trHeight w:val="20"/>
        </w:trPr>
        <w:tc>
          <w:tcPr>
            <w:tcW w:w="1441" w:type="pct"/>
            <w:shd w:val="clear" w:color="auto" w:fill="auto"/>
          </w:tcPr>
          <w:p w14:paraId="6D374F9E" w14:textId="77777777" w:rsidR="001B619A" w:rsidRPr="00F55FA3" w:rsidRDefault="001B619A" w:rsidP="000431DA">
            <w:pPr>
              <w:spacing w:before="120" w:after="120"/>
              <w:rPr>
                <w:rFonts w:ascii="Verdana" w:hAnsi="Verdana"/>
                <w:noProof/>
              </w:rPr>
            </w:pPr>
            <w:r w:rsidRPr="00F55FA3">
              <w:rPr>
                <w:rFonts w:ascii="Verdana" w:hAnsi="Verdana"/>
              </w:rPr>
              <w:t>MED D Coverage Determination and Appeals (CD&amp;A) Department</w:t>
            </w:r>
          </w:p>
        </w:tc>
        <w:tc>
          <w:tcPr>
            <w:tcW w:w="3559" w:type="pct"/>
            <w:shd w:val="clear" w:color="auto" w:fill="auto"/>
          </w:tcPr>
          <w:p w14:paraId="6DB43ED5" w14:textId="1A8B98A1" w:rsidR="001B619A" w:rsidRPr="00F55FA3" w:rsidRDefault="001B619A" w:rsidP="000431DA">
            <w:pPr>
              <w:spacing w:before="120" w:after="120"/>
              <w:rPr>
                <w:rFonts w:ascii="Verdana" w:hAnsi="Verdana"/>
                <w:noProof/>
              </w:rPr>
            </w:pPr>
            <w:r w:rsidRPr="00F55FA3">
              <w:rPr>
                <w:rFonts w:ascii="Verdana" w:hAnsi="Verdana"/>
              </w:rPr>
              <w:t>The department that processes all Medicare Part D Coverage Determination and Appeal requests</w:t>
            </w:r>
            <w:r w:rsidR="00D24249" w:rsidRPr="00F55FA3">
              <w:rPr>
                <w:rFonts w:ascii="Verdana" w:hAnsi="Verdana"/>
              </w:rPr>
              <w:t xml:space="preserve">. </w:t>
            </w:r>
            <w:r w:rsidRPr="00F55FA3">
              <w:rPr>
                <w:rFonts w:ascii="Verdana" w:hAnsi="Verdana"/>
              </w:rPr>
              <w:t>Paper Claims are processed by the Paper Claims department.</w:t>
            </w:r>
          </w:p>
        </w:tc>
      </w:tr>
      <w:tr w:rsidR="001B619A" w:rsidRPr="004E00B6" w14:paraId="500C024F" w14:textId="77777777" w:rsidTr="008338FB">
        <w:tc>
          <w:tcPr>
            <w:tcW w:w="1441" w:type="pct"/>
            <w:shd w:val="clear" w:color="auto" w:fill="auto"/>
          </w:tcPr>
          <w:p w14:paraId="495C5F3B" w14:textId="77777777" w:rsidR="001B619A" w:rsidRPr="00F55FA3" w:rsidRDefault="001B619A" w:rsidP="000431DA">
            <w:pPr>
              <w:spacing w:before="120" w:after="120"/>
              <w:rPr>
                <w:rFonts w:ascii="Verdana" w:hAnsi="Verdana"/>
                <w:noProof/>
              </w:rPr>
            </w:pPr>
            <w:r w:rsidRPr="00F55FA3">
              <w:rPr>
                <w:rFonts w:ascii="Verdana" w:hAnsi="Verdana"/>
              </w:rPr>
              <w:t>MedHOK</w:t>
            </w:r>
          </w:p>
        </w:tc>
        <w:tc>
          <w:tcPr>
            <w:tcW w:w="3559" w:type="pct"/>
            <w:shd w:val="clear" w:color="auto" w:fill="auto"/>
          </w:tcPr>
          <w:p w14:paraId="588060BC" w14:textId="300325D9" w:rsidR="001B619A" w:rsidRPr="00F55FA3" w:rsidRDefault="001B619A" w:rsidP="000431DA">
            <w:pPr>
              <w:spacing w:before="120" w:after="120"/>
              <w:rPr>
                <w:rFonts w:ascii="Verdana" w:hAnsi="Verdana"/>
                <w:noProof/>
              </w:rPr>
            </w:pPr>
            <w:r w:rsidRPr="00F55FA3">
              <w:rPr>
                <w:rFonts w:ascii="Verdana" w:hAnsi="Verdana"/>
              </w:rPr>
              <w:t>Medical House of Knowledge. System to process Grievance and Coverage Determination and Appeal cases.</w:t>
            </w:r>
          </w:p>
        </w:tc>
      </w:tr>
      <w:tr w:rsidR="001B619A" w:rsidRPr="004E00B6" w14:paraId="48A4661F" w14:textId="77777777" w:rsidTr="008338FB">
        <w:tc>
          <w:tcPr>
            <w:tcW w:w="1441" w:type="pct"/>
          </w:tcPr>
          <w:p w14:paraId="529C9C3E" w14:textId="77777777" w:rsidR="001B619A" w:rsidRPr="00F55FA3" w:rsidRDefault="001B619A" w:rsidP="000431DA">
            <w:pPr>
              <w:spacing w:before="120" w:after="120"/>
              <w:rPr>
                <w:rFonts w:ascii="Verdana" w:hAnsi="Verdana" w:cs="Arial"/>
              </w:rPr>
            </w:pPr>
            <w:r w:rsidRPr="00F55FA3">
              <w:rPr>
                <w:rFonts w:ascii="Verdana" w:hAnsi="Verdana"/>
                <w:color w:val="000000"/>
              </w:rPr>
              <w:t>Medigap</w:t>
            </w:r>
            <w:r w:rsidRPr="00F55FA3" w:rsidDel="00636078">
              <w:rPr>
                <w:rFonts w:ascii="Verdana" w:hAnsi="Verdana" w:cs="Arial"/>
              </w:rPr>
              <w:t xml:space="preserve"> </w:t>
            </w:r>
          </w:p>
        </w:tc>
        <w:tc>
          <w:tcPr>
            <w:tcW w:w="3559" w:type="pct"/>
          </w:tcPr>
          <w:p w14:paraId="1DC278E3" w14:textId="786B1195" w:rsidR="001B619A" w:rsidRPr="00F55FA3" w:rsidRDefault="001B619A" w:rsidP="000431DA">
            <w:pPr>
              <w:spacing w:before="120" w:after="120"/>
              <w:rPr>
                <w:rFonts w:ascii="Verdana" w:hAnsi="Verdana"/>
              </w:rPr>
            </w:pPr>
            <w:r w:rsidRPr="00F55FA3">
              <w:rPr>
                <w:rFonts w:ascii="Verdana" w:hAnsi="Verdana" w:cs="Arial"/>
              </w:rPr>
              <w:t>Medicare or Medigap supplement is designed to fill the gaps in Medicare payments</w:t>
            </w:r>
            <w:r w:rsidR="00D24249" w:rsidRPr="00F55FA3">
              <w:rPr>
                <w:rFonts w:ascii="Verdana" w:hAnsi="Verdana" w:cs="Arial"/>
              </w:rPr>
              <w:t xml:space="preserve">. </w:t>
            </w:r>
            <w:r w:rsidRPr="00F55FA3">
              <w:rPr>
                <w:rFonts w:ascii="Verdana" w:hAnsi="Verdana" w:cs="Arial"/>
              </w:rPr>
              <w:t>The policies provide coverage of part a hospitalization gaps, or pay toward Part B expenses, such as the annual $100 medical benefits deductible and the 20% of what Medicare approves but does not pay.</w:t>
            </w:r>
          </w:p>
        </w:tc>
      </w:tr>
      <w:tr w:rsidR="001B619A" w:rsidRPr="004E00B6" w14:paraId="053A4F6E" w14:textId="77777777" w:rsidTr="008338FB">
        <w:tc>
          <w:tcPr>
            <w:tcW w:w="1441" w:type="pct"/>
          </w:tcPr>
          <w:p w14:paraId="0915ADBD" w14:textId="77777777" w:rsidR="001B619A" w:rsidRPr="00F55FA3" w:rsidRDefault="001B619A" w:rsidP="000431DA">
            <w:pPr>
              <w:spacing w:before="120" w:after="120"/>
              <w:rPr>
                <w:rFonts w:ascii="Verdana" w:hAnsi="Verdana"/>
              </w:rPr>
            </w:pPr>
            <w:r w:rsidRPr="00F55FA3">
              <w:rPr>
                <w:rFonts w:ascii="Verdana" w:hAnsi="Verdana"/>
                <w:color w:val="000000"/>
              </w:rPr>
              <w:t>Medispan</w:t>
            </w:r>
            <w:r w:rsidRPr="00F55FA3" w:rsidDel="00636078">
              <w:rPr>
                <w:rFonts w:ascii="Verdana" w:hAnsi="Verdana" w:cs="Arial"/>
              </w:rPr>
              <w:t xml:space="preserve"> </w:t>
            </w:r>
          </w:p>
        </w:tc>
        <w:tc>
          <w:tcPr>
            <w:tcW w:w="3559" w:type="pct"/>
          </w:tcPr>
          <w:p w14:paraId="433C8EAD" w14:textId="78A052AE" w:rsidR="001B619A" w:rsidRPr="00F55FA3" w:rsidRDefault="001B619A" w:rsidP="000431DA">
            <w:pPr>
              <w:spacing w:before="120" w:after="120"/>
              <w:rPr>
                <w:rFonts w:ascii="Verdana" w:hAnsi="Verdana"/>
              </w:rPr>
            </w:pPr>
            <w:r w:rsidRPr="00F55FA3">
              <w:rPr>
                <w:rFonts w:ascii="Verdana" w:hAnsi="Verdana" w:cs="Arial"/>
              </w:rPr>
              <w:t>Publisher of Master Drug Data Base</w:t>
            </w:r>
            <w:r w:rsidR="00D24249" w:rsidRPr="00F55FA3">
              <w:rPr>
                <w:rFonts w:ascii="Verdana" w:hAnsi="Verdana" w:cs="Arial"/>
              </w:rPr>
              <w:t xml:space="preserve">. </w:t>
            </w:r>
            <w:r w:rsidRPr="00F55FA3">
              <w:rPr>
                <w:rFonts w:ascii="Verdana" w:hAnsi="Verdana" w:cs="Arial"/>
              </w:rPr>
              <w:t>Drug Product Files include Master Drug Database (MDDB®)</w:t>
            </w:r>
            <w:r w:rsidR="00D24249" w:rsidRPr="00F55FA3">
              <w:rPr>
                <w:rFonts w:ascii="Verdana" w:hAnsi="Verdana" w:cs="Arial"/>
              </w:rPr>
              <w:t xml:space="preserve">. </w:t>
            </w:r>
            <w:r w:rsidRPr="00F55FA3">
              <w:rPr>
                <w:rFonts w:ascii="Verdana" w:hAnsi="Verdana" w:cs="Arial"/>
              </w:rPr>
              <w:t>This is a comprehensive database which provides comprehensive product and pricing information.</w:t>
            </w:r>
          </w:p>
        </w:tc>
      </w:tr>
      <w:tr w:rsidR="001B619A" w:rsidRPr="004E00B6" w14:paraId="3160C181" w14:textId="77777777" w:rsidTr="008338FB">
        <w:tc>
          <w:tcPr>
            <w:tcW w:w="1441" w:type="pct"/>
          </w:tcPr>
          <w:p w14:paraId="5FB60C6A" w14:textId="77777777" w:rsidR="001B619A" w:rsidRPr="00F55FA3" w:rsidRDefault="001B619A" w:rsidP="000431DA">
            <w:pPr>
              <w:spacing w:before="120" w:after="120"/>
              <w:rPr>
                <w:rFonts w:ascii="Verdana" w:hAnsi="Verdana" w:cs="Arial"/>
              </w:rPr>
            </w:pPr>
            <w:r w:rsidRPr="00F55FA3">
              <w:rPr>
                <w:rFonts w:ascii="Verdana" w:hAnsi="Verdana"/>
                <w:color w:val="000000"/>
              </w:rPr>
              <w:t>Member Pharmacy</w:t>
            </w:r>
          </w:p>
        </w:tc>
        <w:tc>
          <w:tcPr>
            <w:tcW w:w="3559" w:type="pct"/>
          </w:tcPr>
          <w:p w14:paraId="390FE213" w14:textId="4363FF14" w:rsidR="001B619A" w:rsidRPr="00F55FA3" w:rsidRDefault="001B619A" w:rsidP="000431DA">
            <w:pPr>
              <w:spacing w:before="120" w:after="120"/>
              <w:rPr>
                <w:rFonts w:ascii="Verdana" w:hAnsi="Verdana" w:cs="Arial"/>
              </w:rPr>
            </w:pPr>
            <w:r w:rsidRPr="00F55FA3">
              <w:rPr>
                <w:rFonts w:ascii="Verdana" w:hAnsi="Verdana" w:cs="Arial"/>
              </w:rPr>
              <w:t>Pharmacy that has contracted with us to participate in one or more of our plans</w:t>
            </w:r>
            <w:r w:rsidR="006A41A6">
              <w:rPr>
                <w:rFonts w:ascii="Verdana" w:hAnsi="Verdana" w:cs="Arial"/>
              </w:rPr>
              <w:t>.</w:t>
            </w:r>
          </w:p>
        </w:tc>
      </w:tr>
      <w:tr w:rsidR="001B619A" w:rsidRPr="004E00B6" w14:paraId="6092F827" w14:textId="77777777" w:rsidTr="008338FB">
        <w:tc>
          <w:tcPr>
            <w:tcW w:w="1441" w:type="pct"/>
          </w:tcPr>
          <w:p w14:paraId="1E78E8EF" w14:textId="77777777" w:rsidR="001B619A" w:rsidRPr="00F55FA3" w:rsidRDefault="001B619A" w:rsidP="000431DA">
            <w:pPr>
              <w:spacing w:before="120" w:after="120"/>
              <w:rPr>
                <w:rFonts w:ascii="Verdana" w:hAnsi="Verdana" w:cs="Arial"/>
              </w:rPr>
            </w:pPr>
            <w:r w:rsidRPr="00F55FA3">
              <w:rPr>
                <w:rFonts w:ascii="Verdana" w:hAnsi="Verdana"/>
                <w:color w:val="000000"/>
              </w:rPr>
              <w:t>Metered</w:t>
            </w:r>
            <w:r w:rsidRPr="00F55FA3" w:rsidDel="00636078">
              <w:rPr>
                <w:rFonts w:ascii="Verdana" w:hAnsi="Verdana" w:cs="Arial"/>
                <w:color w:val="000000"/>
              </w:rPr>
              <w:t xml:space="preserve"> </w:t>
            </w:r>
          </w:p>
        </w:tc>
        <w:tc>
          <w:tcPr>
            <w:tcW w:w="3559" w:type="pct"/>
          </w:tcPr>
          <w:p w14:paraId="7A9FD3F3" w14:textId="3990CE81" w:rsidR="001B619A" w:rsidRPr="00F55FA3" w:rsidRDefault="001B619A" w:rsidP="000431DA">
            <w:pPr>
              <w:spacing w:before="120" w:after="120"/>
              <w:rPr>
                <w:rFonts w:ascii="Verdana" w:hAnsi="Verdana" w:cs="Arial"/>
              </w:rPr>
            </w:pPr>
            <w:r w:rsidRPr="00F55FA3">
              <w:rPr>
                <w:rFonts w:ascii="Verdana" w:hAnsi="Verdana" w:cs="Arial"/>
                <w:color w:val="000000"/>
              </w:rPr>
              <w:t>Home Delivery term, meaning the order has been prepared for shipping</w:t>
            </w:r>
            <w:r w:rsidR="00D24249" w:rsidRPr="00F55FA3">
              <w:rPr>
                <w:rFonts w:ascii="Verdana" w:hAnsi="Verdana" w:cs="Arial"/>
                <w:color w:val="000000"/>
              </w:rPr>
              <w:t xml:space="preserve">. </w:t>
            </w:r>
            <w:r w:rsidRPr="00F55FA3">
              <w:rPr>
                <w:rFonts w:ascii="Verdana" w:hAnsi="Verdana" w:cs="Arial"/>
                <w:color w:val="000000"/>
              </w:rPr>
              <w:t>The order has been weighed, ship method has been confirmed (Carrier label is placed on the package), sorted for appropriate carrier, and is one step away from being closed as shipped.</w:t>
            </w:r>
          </w:p>
        </w:tc>
      </w:tr>
      <w:tr w:rsidR="001B619A" w:rsidRPr="004E00B6" w14:paraId="544934FA" w14:textId="77777777" w:rsidTr="008338FB">
        <w:trPr>
          <w:trHeight w:val="288"/>
        </w:trPr>
        <w:tc>
          <w:tcPr>
            <w:tcW w:w="1441" w:type="pct"/>
          </w:tcPr>
          <w:p w14:paraId="16052647" w14:textId="77777777" w:rsidR="001B619A" w:rsidRPr="00F55FA3" w:rsidRDefault="001B619A" w:rsidP="000431DA">
            <w:pPr>
              <w:spacing w:before="120" w:after="120"/>
              <w:rPr>
                <w:rFonts w:ascii="Verdana" w:hAnsi="Verdana" w:cs="Arial"/>
              </w:rPr>
            </w:pPr>
            <w:r w:rsidRPr="00F55FA3">
              <w:rPr>
                <w:rFonts w:ascii="Verdana" w:hAnsi="Verdana"/>
                <w:color w:val="000000"/>
              </w:rPr>
              <w:t>Metric Quantity</w:t>
            </w:r>
          </w:p>
        </w:tc>
        <w:tc>
          <w:tcPr>
            <w:tcW w:w="3559" w:type="pct"/>
          </w:tcPr>
          <w:p w14:paraId="5C3E1219" w14:textId="21960322" w:rsidR="001B619A" w:rsidRPr="00F55FA3" w:rsidRDefault="001B619A" w:rsidP="000431DA">
            <w:pPr>
              <w:spacing w:before="120" w:after="120"/>
              <w:rPr>
                <w:rFonts w:ascii="Verdana" w:hAnsi="Verdana" w:cs="Arial"/>
              </w:rPr>
            </w:pPr>
            <w:r w:rsidRPr="00F55FA3">
              <w:rPr>
                <w:rFonts w:ascii="Verdana" w:hAnsi="Verdana" w:cs="Arial"/>
              </w:rPr>
              <w:t>Maximum quantity of units of a drug allowed per prescription (</w:t>
            </w:r>
            <w:r w:rsidR="00881C97">
              <w:rPr>
                <w:rFonts w:ascii="Verdana" w:hAnsi="Verdana" w:cs="Arial"/>
                <w:b/>
                <w:bCs/>
              </w:rPr>
              <w:t>Example:</w:t>
            </w:r>
            <w:r w:rsidR="00881C97">
              <w:rPr>
                <w:rFonts w:ascii="Verdana" w:hAnsi="Verdana" w:cs="Arial"/>
              </w:rPr>
              <w:t xml:space="preserve"> </w:t>
            </w:r>
            <w:r w:rsidRPr="00F55FA3">
              <w:rPr>
                <w:rFonts w:ascii="Verdana" w:hAnsi="Verdana" w:cs="Arial"/>
              </w:rPr>
              <w:t>3 tablets per day for 30 days equals a quantity of 90 tablets).</w:t>
            </w:r>
          </w:p>
        </w:tc>
      </w:tr>
      <w:tr w:rsidR="001B619A" w:rsidRPr="004E00B6" w14:paraId="6B6675CF" w14:textId="77777777" w:rsidTr="008338FB">
        <w:tc>
          <w:tcPr>
            <w:tcW w:w="1441" w:type="pct"/>
          </w:tcPr>
          <w:p w14:paraId="7C66E3D1" w14:textId="77777777" w:rsidR="001B619A" w:rsidRPr="00F55FA3" w:rsidRDefault="001B619A" w:rsidP="000431DA">
            <w:pPr>
              <w:spacing w:before="120" w:after="120"/>
              <w:rPr>
                <w:rFonts w:ascii="Verdana" w:hAnsi="Verdana" w:cs="Arial"/>
              </w:rPr>
            </w:pPr>
            <w:r w:rsidRPr="00F55FA3">
              <w:rPr>
                <w:rFonts w:ascii="Verdana" w:hAnsi="Verdana"/>
                <w:color w:val="000000"/>
              </w:rPr>
              <w:t>Me-Too Drugs</w:t>
            </w:r>
          </w:p>
        </w:tc>
        <w:tc>
          <w:tcPr>
            <w:tcW w:w="3559" w:type="pct"/>
          </w:tcPr>
          <w:p w14:paraId="0E018560" w14:textId="0682F02E" w:rsidR="001B619A" w:rsidRPr="00F55FA3" w:rsidRDefault="001B619A" w:rsidP="000431DA">
            <w:pPr>
              <w:spacing w:before="120" w:after="120"/>
              <w:rPr>
                <w:rFonts w:ascii="Verdana" w:hAnsi="Verdana" w:cs="Arial"/>
              </w:rPr>
            </w:pPr>
            <w:r w:rsidRPr="00F55FA3">
              <w:rPr>
                <w:rFonts w:ascii="Verdana" w:hAnsi="Verdana" w:cs="Arial"/>
              </w:rPr>
              <w:t>Medications are no better therapeutically than their predecessors in the same drug class</w:t>
            </w:r>
          </w:p>
        </w:tc>
      </w:tr>
      <w:tr w:rsidR="00884036" w:rsidRPr="004E00B6" w14:paraId="7E870B52" w14:textId="77777777" w:rsidTr="008338FB">
        <w:tc>
          <w:tcPr>
            <w:tcW w:w="1441" w:type="pct"/>
          </w:tcPr>
          <w:p w14:paraId="0B019A41" w14:textId="1302E4EE" w:rsidR="00884036" w:rsidRPr="00F55FA3" w:rsidRDefault="009133FC" w:rsidP="000431DA">
            <w:pPr>
              <w:spacing w:before="120" w:after="120"/>
              <w:rPr>
                <w:rFonts w:ascii="Verdana" w:hAnsi="Verdana"/>
                <w:color w:val="000000"/>
              </w:rPr>
            </w:pPr>
            <w:r>
              <w:rPr>
                <w:rFonts w:ascii="Verdana" w:hAnsi="Verdana"/>
                <w:color w:val="000000"/>
              </w:rPr>
              <w:t>Minut</w:t>
            </w:r>
            <w:r w:rsidR="00E109A4">
              <w:rPr>
                <w:rFonts w:ascii="Verdana" w:hAnsi="Verdana"/>
                <w:color w:val="000000"/>
              </w:rPr>
              <w:t>e</w:t>
            </w:r>
            <w:r>
              <w:rPr>
                <w:rFonts w:ascii="Verdana" w:hAnsi="Verdana"/>
                <w:color w:val="000000"/>
              </w:rPr>
              <w:t>Clinic</w:t>
            </w:r>
          </w:p>
        </w:tc>
        <w:tc>
          <w:tcPr>
            <w:tcW w:w="3559" w:type="pct"/>
          </w:tcPr>
          <w:p w14:paraId="578759A6" w14:textId="38BB3223" w:rsidR="00884036" w:rsidRPr="00F55FA3" w:rsidRDefault="00CA1C87" w:rsidP="000431DA">
            <w:pPr>
              <w:spacing w:before="120" w:after="120"/>
              <w:rPr>
                <w:rFonts w:ascii="Verdana" w:hAnsi="Verdana" w:cs="Arial"/>
              </w:rPr>
            </w:pPr>
            <w:r>
              <w:rPr>
                <w:rFonts w:ascii="Verdana" w:hAnsi="Verdana" w:cs="Arial"/>
              </w:rPr>
              <w:t>T</w:t>
            </w:r>
            <w:r w:rsidR="00D06F37" w:rsidRPr="00D06F37">
              <w:rPr>
                <w:rFonts w:ascii="Verdana" w:hAnsi="Verdana" w:cs="Arial"/>
              </w:rPr>
              <w:t>he medical clinic inside select CVS/pharmacy® stores</w:t>
            </w:r>
            <w:r w:rsidR="00A63C49">
              <w:rPr>
                <w:rFonts w:ascii="Verdana" w:hAnsi="Verdana" w:cs="Arial"/>
              </w:rPr>
              <w:t xml:space="preserve"> and</w:t>
            </w:r>
            <w:r w:rsidR="00D06F37" w:rsidRPr="00D06F37">
              <w:rPr>
                <w:rFonts w:ascii="Verdana" w:hAnsi="Verdana" w:cs="Arial"/>
              </w:rPr>
              <w:t xml:space="preserve"> is the largest provider of retail health care in the United States.</w:t>
            </w:r>
            <w:r w:rsidR="0091266A">
              <w:rPr>
                <w:rFonts w:ascii="Verdana" w:hAnsi="Verdana" w:cs="Arial"/>
              </w:rPr>
              <w:t xml:space="preserve"> </w:t>
            </w:r>
          </w:p>
        </w:tc>
      </w:tr>
      <w:tr w:rsidR="001B619A" w:rsidRPr="004E00B6" w14:paraId="0EAEF383" w14:textId="77777777" w:rsidTr="008338FB">
        <w:tc>
          <w:tcPr>
            <w:tcW w:w="1441" w:type="pct"/>
          </w:tcPr>
          <w:p w14:paraId="124B1AF6" w14:textId="77777777" w:rsidR="001B619A" w:rsidRPr="00F55FA3" w:rsidRDefault="001B619A" w:rsidP="000431DA">
            <w:pPr>
              <w:spacing w:before="120" w:after="120"/>
              <w:rPr>
                <w:rFonts w:ascii="Verdana" w:hAnsi="Verdana" w:cs="Arial"/>
              </w:rPr>
            </w:pPr>
            <w:r w:rsidRPr="00F55FA3">
              <w:rPr>
                <w:rFonts w:ascii="Verdana" w:hAnsi="Verdana" w:cs="Arial"/>
              </w:rPr>
              <w:t xml:space="preserve">Misdirected mail code list </w:t>
            </w:r>
          </w:p>
        </w:tc>
        <w:tc>
          <w:tcPr>
            <w:tcW w:w="3559" w:type="pct"/>
          </w:tcPr>
          <w:p w14:paraId="66560FF4" w14:textId="77777777" w:rsidR="001B619A" w:rsidRPr="00F55FA3" w:rsidRDefault="001B619A" w:rsidP="000431DA">
            <w:pPr>
              <w:spacing w:before="120" w:after="120"/>
              <w:rPr>
                <w:rFonts w:ascii="Verdana" w:hAnsi="Verdana" w:cs="Arial"/>
              </w:rPr>
            </w:pPr>
            <w:r w:rsidRPr="00F55FA3">
              <w:rPr>
                <w:rFonts w:ascii="Verdana" w:hAnsi="Verdana" w:cs="Arial"/>
                <w:bCs/>
              </w:rPr>
              <w:t xml:space="preserve">This will help identify where all documents should go, how they should be sent and what their mail code or PO Box is. </w:t>
            </w:r>
          </w:p>
        </w:tc>
      </w:tr>
      <w:tr w:rsidR="001B619A" w:rsidRPr="004E00B6" w14:paraId="09CAF39B" w14:textId="77777777" w:rsidTr="008338FB">
        <w:tc>
          <w:tcPr>
            <w:tcW w:w="1441" w:type="pct"/>
          </w:tcPr>
          <w:p w14:paraId="4146DD4E" w14:textId="77777777" w:rsidR="001B619A" w:rsidRPr="00F55FA3" w:rsidRDefault="001B619A" w:rsidP="000431DA">
            <w:pPr>
              <w:spacing w:before="120" w:after="120"/>
              <w:rPr>
                <w:rFonts w:ascii="Verdana" w:hAnsi="Verdana" w:cs="Arial"/>
              </w:rPr>
            </w:pPr>
            <w:r w:rsidRPr="00F55FA3">
              <w:rPr>
                <w:rFonts w:ascii="Verdana" w:hAnsi="Verdana" w:cs="Arial"/>
              </w:rPr>
              <w:t xml:space="preserve">Mismatched Eligibility </w:t>
            </w:r>
          </w:p>
        </w:tc>
        <w:tc>
          <w:tcPr>
            <w:tcW w:w="3559" w:type="pct"/>
          </w:tcPr>
          <w:p w14:paraId="56A4C29D" w14:textId="77777777" w:rsidR="001B619A" w:rsidRPr="00F55FA3" w:rsidRDefault="001B619A" w:rsidP="000431DA">
            <w:pPr>
              <w:spacing w:before="120" w:after="120"/>
              <w:rPr>
                <w:rFonts w:ascii="Verdana" w:hAnsi="Verdana" w:cs="Arial"/>
              </w:rPr>
            </w:pPr>
            <w:r w:rsidRPr="00F55FA3">
              <w:rPr>
                <w:rFonts w:ascii="Verdana" w:hAnsi="Verdana" w:cs="Arial"/>
              </w:rPr>
              <w:t xml:space="preserve">A member’s eligibility dates are incorrect or coverage timeframe has expired, in one or more systems </w:t>
            </w:r>
          </w:p>
        </w:tc>
      </w:tr>
      <w:tr w:rsidR="001B619A" w:rsidRPr="004E00B6" w14:paraId="0BCA6CBE" w14:textId="77777777" w:rsidTr="008338FB">
        <w:trPr>
          <w:trHeight w:val="20"/>
        </w:trPr>
        <w:tc>
          <w:tcPr>
            <w:tcW w:w="1441" w:type="pct"/>
          </w:tcPr>
          <w:p w14:paraId="5EEBA495" w14:textId="7E84D0F3" w:rsidR="001B619A" w:rsidRPr="00F55FA3" w:rsidRDefault="001B619A" w:rsidP="000431DA">
            <w:pPr>
              <w:spacing w:before="120" w:after="120"/>
              <w:rPr>
                <w:rFonts w:ascii="Verdana" w:hAnsi="Verdana" w:cs="Arial"/>
              </w:rPr>
            </w:pPr>
            <w:r w:rsidRPr="00F55FA3">
              <w:rPr>
                <w:rFonts w:ascii="Verdana" w:hAnsi="Verdana"/>
                <w:color w:val="000000"/>
              </w:rPr>
              <w:t>Missing Prescription in Order</w:t>
            </w:r>
          </w:p>
        </w:tc>
        <w:tc>
          <w:tcPr>
            <w:tcW w:w="3559" w:type="pct"/>
          </w:tcPr>
          <w:p w14:paraId="1115C8F0" w14:textId="570829FF" w:rsidR="001B619A" w:rsidRPr="00F55FA3" w:rsidRDefault="001B619A" w:rsidP="000431DA">
            <w:pPr>
              <w:spacing w:before="120" w:after="120"/>
              <w:rPr>
                <w:rFonts w:ascii="Verdana" w:hAnsi="Verdana" w:cs="Arial"/>
              </w:rPr>
            </w:pPr>
            <w:r w:rsidRPr="00F55FA3">
              <w:rPr>
                <w:rFonts w:ascii="Verdana" w:hAnsi="Verdana"/>
              </w:rPr>
              <w:t xml:space="preserve">Member received </w:t>
            </w:r>
            <w:r w:rsidR="005F7037" w:rsidRPr="00F55FA3">
              <w:rPr>
                <w:rFonts w:ascii="Verdana" w:hAnsi="Verdana"/>
              </w:rPr>
              <w:t>order but</w:t>
            </w:r>
            <w:r w:rsidRPr="00F55FA3">
              <w:rPr>
                <w:rFonts w:ascii="Verdana" w:hAnsi="Verdana"/>
              </w:rPr>
              <w:t xml:space="preserve"> was missing a medication.</w:t>
            </w:r>
          </w:p>
        </w:tc>
      </w:tr>
      <w:tr w:rsidR="001B619A" w:rsidRPr="004E00B6" w14:paraId="5E5D042A" w14:textId="77777777" w:rsidTr="008338FB">
        <w:tc>
          <w:tcPr>
            <w:tcW w:w="1441" w:type="pct"/>
          </w:tcPr>
          <w:p w14:paraId="0FFD75AA" w14:textId="4850FB3B" w:rsidR="001B619A" w:rsidRPr="00F55FA3" w:rsidRDefault="001B619A" w:rsidP="000431DA">
            <w:pPr>
              <w:spacing w:before="120" w:after="120"/>
              <w:rPr>
                <w:rFonts w:ascii="Verdana" w:hAnsi="Verdana" w:cs="Arial"/>
              </w:rPr>
            </w:pPr>
            <w:r w:rsidRPr="00F55FA3">
              <w:rPr>
                <w:rFonts w:ascii="Verdana" w:hAnsi="Verdana"/>
                <w:color w:val="000000"/>
              </w:rPr>
              <w:t>Mobile Web  Site</w:t>
            </w:r>
          </w:p>
        </w:tc>
        <w:tc>
          <w:tcPr>
            <w:tcW w:w="3559" w:type="pct"/>
          </w:tcPr>
          <w:p w14:paraId="1E487FD6" w14:textId="148283C6" w:rsidR="001B619A" w:rsidRPr="00F55FA3" w:rsidRDefault="00FB12D3" w:rsidP="000431DA">
            <w:pPr>
              <w:spacing w:before="120" w:after="120"/>
              <w:rPr>
                <w:rFonts w:ascii="Verdana" w:hAnsi="Verdana" w:cs="Arial"/>
              </w:rPr>
            </w:pPr>
            <w:r w:rsidRPr="00F55FA3">
              <w:rPr>
                <w:rFonts w:ascii="Verdana" w:hAnsi="Verdana" w:cs="Arial"/>
              </w:rPr>
              <w:t>Refers to access to the World Wide Web thru the use of a browser-based Internet service from a handheld mobile device such as a Smartphone or feature phone, connected to a mobile network or other wireless network</w:t>
            </w:r>
            <w:r w:rsidR="00D24249" w:rsidRPr="00F55FA3">
              <w:rPr>
                <w:rFonts w:ascii="Verdana" w:hAnsi="Verdana" w:cs="Arial"/>
              </w:rPr>
              <w:t xml:space="preserve">. </w:t>
            </w:r>
            <w:r w:rsidRPr="00F55FA3">
              <w:rPr>
                <w:rFonts w:ascii="Verdana" w:hAnsi="Verdana" w:cs="Arial"/>
              </w:rPr>
              <w:t xml:space="preserve">To access  Mobile Site, the member can type in the CVS Caremark.com mobile website address, http://www.CVS Caremark.com, </w:t>
            </w:r>
            <w:r w:rsidR="00F97FE5" w:rsidRPr="00F55FA3">
              <w:rPr>
                <w:rFonts w:ascii="Verdana" w:hAnsi="Verdana" w:cs="Arial"/>
              </w:rPr>
              <w:t>into</w:t>
            </w:r>
            <w:r w:rsidRPr="00F55FA3">
              <w:rPr>
                <w:rFonts w:ascii="Verdana" w:hAnsi="Verdana" w:cs="Arial"/>
              </w:rPr>
              <w:t xml:space="preserve"> the address bar of his or her desired internet browser</w:t>
            </w:r>
            <w:r w:rsidR="00D24249" w:rsidRPr="00F55FA3">
              <w:rPr>
                <w:rFonts w:ascii="Verdana" w:hAnsi="Verdana" w:cs="Arial"/>
              </w:rPr>
              <w:t xml:space="preserve">. </w:t>
            </w:r>
            <w:r w:rsidRPr="00F55FA3">
              <w:rPr>
                <w:rFonts w:ascii="Verdana" w:hAnsi="Verdana" w:cs="Arial"/>
              </w:rPr>
              <w:t>Tablet computers  automatically displays the desktop site and not the Mobile site.</w:t>
            </w:r>
          </w:p>
        </w:tc>
      </w:tr>
      <w:tr w:rsidR="007C2A53" w:rsidRPr="004E00B6" w14:paraId="72DF50D4" w14:textId="77777777" w:rsidTr="008338FB">
        <w:tc>
          <w:tcPr>
            <w:tcW w:w="1441" w:type="pct"/>
          </w:tcPr>
          <w:p w14:paraId="6F4B4ADB" w14:textId="14D54627" w:rsidR="007C2A53" w:rsidRPr="00F55FA3" w:rsidRDefault="007C2A53" w:rsidP="000431DA">
            <w:pPr>
              <w:spacing w:before="120" w:after="120"/>
              <w:rPr>
                <w:rFonts w:ascii="Verdana" w:hAnsi="Verdana" w:cs="Arial"/>
              </w:rPr>
            </w:pPr>
            <w:bookmarkStart w:id="8" w:name="_Hlk126848877"/>
            <w:r w:rsidRPr="00F55FA3">
              <w:rPr>
                <w:rFonts w:ascii="Verdana" w:hAnsi="Verdana" w:cs="Arial"/>
              </w:rPr>
              <w:t xml:space="preserve">MPD </w:t>
            </w:r>
            <w:r w:rsidR="0020170C">
              <w:rPr>
                <w:rFonts w:ascii="Verdana" w:hAnsi="Verdana" w:cs="Arial"/>
              </w:rPr>
              <w:t xml:space="preserve">cost difference </w:t>
            </w:r>
            <w:r w:rsidR="0020170C" w:rsidRPr="00F55FA3">
              <w:rPr>
                <w:rFonts w:ascii="Verdana" w:hAnsi="Verdana" w:cs="Arial"/>
              </w:rPr>
              <w:t>Exception</w:t>
            </w:r>
            <w:r w:rsidRPr="00F55FA3">
              <w:rPr>
                <w:rFonts w:ascii="Verdana" w:hAnsi="Verdana" w:cs="Arial"/>
              </w:rPr>
              <w:t xml:space="preserve"> </w:t>
            </w:r>
          </w:p>
        </w:tc>
        <w:tc>
          <w:tcPr>
            <w:tcW w:w="3559" w:type="pct"/>
          </w:tcPr>
          <w:p w14:paraId="3683A1B4" w14:textId="54F0F0CD" w:rsidR="007C2A53" w:rsidRPr="00F55FA3" w:rsidRDefault="007C2A53" w:rsidP="000431DA">
            <w:pPr>
              <w:spacing w:before="120" w:after="120"/>
              <w:rPr>
                <w:rFonts w:ascii="Verdana" w:hAnsi="Verdana" w:cs="Arial"/>
              </w:rPr>
            </w:pPr>
            <w:r w:rsidRPr="00F55FA3">
              <w:rPr>
                <w:rFonts w:ascii="Verdana" w:hAnsi="Verdana" w:cs="Arial"/>
              </w:rPr>
              <w:t xml:space="preserve">When a member or physician requests to waive a brand </w:t>
            </w:r>
            <w:r w:rsidR="0020170C">
              <w:rPr>
                <w:rFonts w:ascii="Verdana" w:hAnsi="Verdana" w:cs="Arial"/>
              </w:rPr>
              <w:t>cost difference</w:t>
            </w:r>
            <w:r w:rsidRPr="00F55FA3">
              <w:rPr>
                <w:rFonts w:ascii="Verdana" w:hAnsi="Verdana" w:cs="Arial"/>
              </w:rPr>
              <w:t xml:space="preserve">. </w:t>
            </w:r>
          </w:p>
        </w:tc>
      </w:tr>
      <w:bookmarkEnd w:id="8"/>
      <w:tr w:rsidR="007C2A53" w:rsidRPr="004E00B6" w14:paraId="702FB12C" w14:textId="77777777" w:rsidTr="008338FB">
        <w:tc>
          <w:tcPr>
            <w:tcW w:w="1441" w:type="pct"/>
          </w:tcPr>
          <w:p w14:paraId="5A9E6979" w14:textId="77777777" w:rsidR="007C2A53" w:rsidRPr="00F55FA3" w:rsidRDefault="007C2A53" w:rsidP="000431DA">
            <w:pPr>
              <w:spacing w:before="120" w:after="120"/>
              <w:rPr>
                <w:rFonts w:ascii="Verdana" w:hAnsi="Verdana"/>
              </w:rPr>
            </w:pPr>
            <w:r w:rsidRPr="00F55FA3">
              <w:rPr>
                <w:rFonts w:ascii="Verdana" w:hAnsi="Verdana"/>
                <w:color w:val="000000"/>
              </w:rPr>
              <w:t>Multi-Source Medication</w:t>
            </w:r>
          </w:p>
        </w:tc>
        <w:tc>
          <w:tcPr>
            <w:tcW w:w="3559" w:type="pct"/>
          </w:tcPr>
          <w:p w14:paraId="0062FA79" w14:textId="7B64920C" w:rsidR="007C2A53" w:rsidRPr="00F55FA3" w:rsidRDefault="007C2A53" w:rsidP="000431DA">
            <w:pPr>
              <w:spacing w:before="120" w:after="120"/>
              <w:rPr>
                <w:rFonts w:ascii="Verdana" w:hAnsi="Verdana"/>
              </w:rPr>
            </w:pPr>
            <w:r w:rsidRPr="00F55FA3">
              <w:rPr>
                <w:rFonts w:ascii="Verdana" w:hAnsi="Verdana" w:cs="Arial"/>
              </w:rPr>
              <w:t>Drug sold/marketed by two or more manufacturers or labelers.</w:t>
            </w:r>
          </w:p>
        </w:tc>
      </w:tr>
      <w:tr w:rsidR="007C2A53" w:rsidRPr="004E00B6" w14:paraId="6052056C" w14:textId="77777777" w:rsidTr="008338FB">
        <w:tc>
          <w:tcPr>
            <w:tcW w:w="1441" w:type="pct"/>
          </w:tcPr>
          <w:p w14:paraId="306ECA33" w14:textId="77777777" w:rsidR="007C2A53" w:rsidRPr="00F55FA3" w:rsidRDefault="007C2A53" w:rsidP="000431DA">
            <w:pPr>
              <w:spacing w:before="120" w:after="120"/>
              <w:rPr>
                <w:rFonts w:ascii="Verdana" w:hAnsi="Verdana" w:cs="Arial"/>
              </w:rPr>
            </w:pPr>
            <w:r w:rsidRPr="00F55FA3">
              <w:rPr>
                <w:rFonts w:ascii="Verdana" w:hAnsi="Verdana"/>
                <w:color w:val="000000"/>
              </w:rPr>
              <w:t>Mute</w:t>
            </w:r>
            <w:r w:rsidRPr="00F55FA3" w:rsidDel="0048347A">
              <w:rPr>
                <w:rFonts w:ascii="Verdana" w:hAnsi="Verdana"/>
              </w:rPr>
              <w:t xml:space="preserve"> </w:t>
            </w:r>
          </w:p>
        </w:tc>
        <w:tc>
          <w:tcPr>
            <w:tcW w:w="3559" w:type="pct"/>
          </w:tcPr>
          <w:p w14:paraId="0379522C" w14:textId="6E05F3B5" w:rsidR="007C2A53" w:rsidRPr="00F55FA3" w:rsidRDefault="007C2A53" w:rsidP="000431DA">
            <w:pPr>
              <w:spacing w:before="120" w:after="120"/>
              <w:rPr>
                <w:rFonts w:ascii="Verdana" w:hAnsi="Verdana" w:cs="Arial"/>
              </w:rPr>
            </w:pPr>
            <w:r w:rsidRPr="00F55FA3">
              <w:rPr>
                <w:rFonts w:ascii="Verdana" w:hAnsi="Verdana"/>
              </w:rPr>
              <w:t xml:space="preserve">Press the Mute button briefly to avoid caller hearing interruptions such as cough, sneeze, </w:t>
            </w:r>
            <w:r w:rsidR="00464358" w:rsidRPr="00464358">
              <w:rPr>
                <w:rFonts w:ascii="Verdana" w:hAnsi="Verdana"/>
              </w:rPr>
              <w:t>etcetera</w:t>
            </w:r>
            <w:r w:rsidR="00464358">
              <w:rPr>
                <w:rFonts w:ascii="Verdana" w:hAnsi="Verdana"/>
              </w:rPr>
              <w:t>.</w:t>
            </w:r>
          </w:p>
        </w:tc>
      </w:tr>
      <w:tr w:rsidR="007C2A53" w:rsidRPr="004E00B6" w14:paraId="57D48D44" w14:textId="77777777" w:rsidTr="008338FB">
        <w:tc>
          <w:tcPr>
            <w:tcW w:w="1441" w:type="pct"/>
          </w:tcPr>
          <w:p w14:paraId="324CFFEC" w14:textId="77777777" w:rsidR="007C2A53" w:rsidRPr="002C36C7" w:rsidRDefault="007C2A53" w:rsidP="000431DA">
            <w:pPr>
              <w:spacing w:before="120" w:after="120"/>
              <w:rPr>
                <w:rFonts w:ascii="Verdana" w:hAnsi="Verdana" w:cs="Arial"/>
              </w:rPr>
            </w:pPr>
            <w:r w:rsidRPr="002C36C7">
              <w:rPr>
                <w:rFonts w:ascii="Verdana" w:hAnsi="Verdana"/>
                <w:color w:val="000000"/>
              </w:rPr>
              <w:t>Multi-Tier Benefit</w:t>
            </w:r>
          </w:p>
        </w:tc>
        <w:tc>
          <w:tcPr>
            <w:tcW w:w="3559" w:type="pct"/>
          </w:tcPr>
          <w:p w14:paraId="39464512" w14:textId="23260656" w:rsidR="007C2A53" w:rsidRPr="004E00B6" w:rsidRDefault="007C2A53" w:rsidP="000431DA">
            <w:pPr>
              <w:spacing w:before="120" w:after="120"/>
              <w:rPr>
                <w:rFonts w:ascii="Verdana" w:hAnsi="Verdana" w:cs="Arial"/>
              </w:rPr>
            </w:pPr>
            <w:r w:rsidRPr="006B3934">
              <w:rPr>
                <w:rFonts w:ascii="Verdana" w:hAnsi="Verdana" w:cs="Arial"/>
              </w:rPr>
              <w:t>Medication formulary reimbursement system that allows for multiple levels or tiers of co-payments required to be paid at the time a medication is dispensed in the pharmacy</w:t>
            </w:r>
            <w:r w:rsidR="00D24249" w:rsidRPr="006B3934">
              <w:rPr>
                <w:rFonts w:ascii="Verdana" w:hAnsi="Verdana" w:cs="Arial"/>
              </w:rPr>
              <w:t xml:space="preserve">. </w:t>
            </w:r>
            <w:r w:rsidRPr="00193711">
              <w:rPr>
                <w:rFonts w:ascii="Verdana" w:hAnsi="Verdana" w:cs="Arial"/>
                <w:b/>
              </w:rPr>
              <w:t>Example:</w:t>
            </w:r>
            <w:r>
              <w:rPr>
                <w:rFonts w:ascii="Verdana" w:hAnsi="Verdana" w:cs="Arial"/>
              </w:rPr>
              <w:t xml:space="preserve"> A</w:t>
            </w:r>
            <w:r w:rsidRPr="006B3934">
              <w:rPr>
                <w:rFonts w:ascii="Verdana" w:hAnsi="Verdana" w:cs="Arial"/>
              </w:rPr>
              <w:t xml:space="preserve"> generic drug in level or tier one would require a $5 co-payment, while a brand in tier two would require $15 and so on.</w:t>
            </w:r>
          </w:p>
        </w:tc>
      </w:tr>
    </w:tbl>
    <w:p w14:paraId="0BC7EA76" w14:textId="77777777" w:rsidR="00CB65FF" w:rsidRPr="004E00B6" w:rsidRDefault="00CB65FF" w:rsidP="00F15AAE">
      <w:pPr>
        <w:rPr>
          <w:rFonts w:ascii="Verdana" w:hAnsi="Verdana"/>
          <w:sz w:val="20"/>
          <w:szCs w:val="20"/>
        </w:rPr>
      </w:pPr>
    </w:p>
    <w:p w14:paraId="15C4F5FB" w14:textId="77777777" w:rsidR="00E55B3A" w:rsidRPr="004E00B6" w:rsidRDefault="00E55B3A" w:rsidP="00F15AAE">
      <w:pPr>
        <w:rPr>
          <w:rFonts w:ascii="Verdana" w:hAnsi="Verdana"/>
          <w:sz w:val="20"/>
          <w:szCs w:val="20"/>
        </w:rPr>
      </w:pPr>
    </w:p>
    <w:p w14:paraId="7BF25923" w14:textId="77777777" w:rsidR="00D87929" w:rsidRPr="004E00B6" w:rsidRDefault="00D87929" w:rsidP="00F15AAE">
      <w:pPr>
        <w:jc w:val="right"/>
        <w:rPr>
          <w:rFonts w:ascii="Verdana" w:hAnsi="Verdana"/>
          <w:sz w:val="20"/>
          <w:szCs w:val="20"/>
        </w:rPr>
      </w:pPr>
    </w:p>
    <w:p w14:paraId="1B528B74" w14:textId="45463DBC" w:rsidR="00675566" w:rsidRPr="00F82DC5" w:rsidRDefault="00BB2A69" w:rsidP="00F15AAE">
      <w:pPr>
        <w:jc w:val="right"/>
        <w:rPr>
          <w:rFonts w:ascii="Verdana" w:hAnsi="Verdana"/>
          <w:color w:val="FF0000"/>
        </w:rPr>
      </w:pPr>
      <w:hyperlink w:anchor="_top" w:history="1">
        <w:r w:rsidRPr="006C7C2C">
          <w:rPr>
            <w:rStyle w:val="Hyperlink"/>
            <w:rFonts w:ascii="Verdana" w:hAnsi="Verdana"/>
          </w:rPr>
          <w:t>Top of the Document</w:t>
        </w:r>
      </w:hyperlink>
    </w:p>
    <w:p w14:paraId="48BC9ECE" w14:textId="77777777" w:rsidR="00ED4CFD" w:rsidRPr="004E00B6" w:rsidRDefault="00ED4CFD" w:rsidP="00F15AAE">
      <w:pPr>
        <w:jc w:val="center"/>
        <w:rPr>
          <w:rFonts w:ascii="Verdana" w:hAnsi="Verdana"/>
          <w:sz w:val="16"/>
          <w:szCs w:val="16"/>
        </w:rPr>
      </w:pPr>
    </w:p>
    <w:p w14:paraId="0725317C" w14:textId="77777777" w:rsidR="00ED4CFD" w:rsidRPr="004E00B6" w:rsidRDefault="00ED4CFD" w:rsidP="00F15AAE">
      <w:pPr>
        <w:jc w:val="center"/>
        <w:rPr>
          <w:rFonts w:ascii="Verdana" w:hAnsi="Verdana"/>
          <w:sz w:val="16"/>
          <w:szCs w:val="16"/>
        </w:rPr>
      </w:pPr>
      <w:r w:rsidRPr="004E00B6">
        <w:rPr>
          <w:rFonts w:ascii="Verdana" w:hAnsi="Verdana"/>
          <w:sz w:val="16"/>
          <w:szCs w:val="16"/>
        </w:rPr>
        <w:t>Not To Be Reproduced Or Disclosed to Others Without Prior Written Approval</w:t>
      </w:r>
    </w:p>
    <w:p w14:paraId="38E8240F" w14:textId="77777777" w:rsidR="00ED4CFD" w:rsidRPr="00C247CB" w:rsidRDefault="00ED4CFD" w:rsidP="00F15AAE">
      <w:pPr>
        <w:jc w:val="center"/>
        <w:rPr>
          <w:rFonts w:ascii="Verdana" w:hAnsi="Verdana"/>
          <w:b/>
          <w:color w:val="000000"/>
          <w:sz w:val="16"/>
          <w:szCs w:val="16"/>
        </w:rPr>
      </w:pPr>
      <w:r w:rsidRPr="004E00B6">
        <w:rPr>
          <w:rFonts w:ascii="Verdana" w:hAnsi="Verdana"/>
          <w:b/>
          <w:color w:val="000000"/>
          <w:sz w:val="16"/>
          <w:szCs w:val="16"/>
        </w:rPr>
        <w:t>ELECTRONIC DATA = OFFICIAL VERSION – PAPER COPY – INFORMATIONAL ONLY</w:t>
      </w:r>
    </w:p>
    <w:p w14:paraId="3CBC2E43" w14:textId="2321B678" w:rsidR="00ED4CFD" w:rsidRPr="00A47CB1" w:rsidRDefault="00ED4CFD" w:rsidP="00F15AAE">
      <w:pPr>
        <w:jc w:val="right"/>
        <w:rPr>
          <w:rFonts w:ascii="Verdana" w:hAnsi="Verdana"/>
          <w:sz w:val="20"/>
          <w:szCs w:val="20"/>
        </w:rPr>
      </w:pPr>
    </w:p>
    <w:sectPr w:rsidR="00ED4CFD" w:rsidRPr="00A47CB1" w:rsidSect="00303F88">
      <w:headerReference w:type="default" r:id="rId16"/>
      <w:footerReference w:type="default" r:id="rId1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3A87C" w14:textId="77777777" w:rsidR="00DF6526" w:rsidRDefault="00DF6526">
      <w:r>
        <w:separator/>
      </w:r>
    </w:p>
  </w:endnote>
  <w:endnote w:type="continuationSeparator" w:id="0">
    <w:p w14:paraId="633304D6" w14:textId="77777777" w:rsidR="00DF6526" w:rsidRDefault="00DF6526">
      <w:r>
        <w:continuationSeparator/>
      </w:r>
    </w:p>
  </w:endnote>
  <w:endnote w:type="continuationNotice" w:id="1">
    <w:p w14:paraId="2E756782" w14:textId="77777777" w:rsidR="00DF6526" w:rsidRDefault="00DF6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ED9FF" w14:textId="77777777" w:rsidR="008C71BE" w:rsidRDefault="008C7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66ABA" w14:textId="77777777" w:rsidR="00DF6526" w:rsidRDefault="00DF6526">
      <w:r>
        <w:separator/>
      </w:r>
    </w:p>
  </w:footnote>
  <w:footnote w:type="continuationSeparator" w:id="0">
    <w:p w14:paraId="24F1E2E6" w14:textId="77777777" w:rsidR="00DF6526" w:rsidRDefault="00DF6526">
      <w:r>
        <w:continuationSeparator/>
      </w:r>
    </w:p>
  </w:footnote>
  <w:footnote w:type="continuationNotice" w:id="1">
    <w:p w14:paraId="2F8DB31F" w14:textId="77777777" w:rsidR="00DF6526" w:rsidRDefault="00DF65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BFBCB" w14:textId="77777777" w:rsidR="008C71BE" w:rsidRDefault="008C7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6AD569A"/>
    <w:multiLevelType w:val="hybridMultilevel"/>
    <w:tmpl w:val="2BB8A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5"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1683DD5"/>
    <w:multiLevelType w:val="multilevel"/>
    <w:tmpl w:val="5670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0"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2"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36B5A64"/>
    <w:multiLevelType w:val="hybridMultilevel"/>
    <w:tmpl w:val="20EC733A"/>
    <w:lvl w:ilvl="0" w:tplc="F02C69A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1"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5491CEA"/>
    <w:multiLevelType w:val="hybridMultilevel"/>
    <w:tmpl w:val="93328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57127A9"/>
    <w:multiLevelType w:val="hybridMultilevel"/>
    <w:tmpl w:val="5DB8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8"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1"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9"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8"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23"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4"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9"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2"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3"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5"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15:restartNumberingAfterBreak="0">
    <w:nsid w:val="7BA40A33"/>
    <w:multiLevelType w:val="hybridMultilevel"/>
    <w:tmpl w:val="926E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77435793">
    <w:abstractNumId w:val="72"/>
  </w:num>
  <w:num w:numId="2" w16cid:durableId="1564102465">
    <w:abstractNumId w:val="108"/>
  </w:num>
  <w:num w:numId="3" w16cid:durableId="488057494">
    <w:abstractNumId w:val="85"/>
  </w:num>
  <w:num w:numId="4" w16cid:durableId="58872563">
    <w:abstractNumId w:val="8"/>
  </w:num>
  <w:num w:numId="5" w16cid:durableId="853764832">
    <w:abstractNumId w:val="45"/>
  </w:num>
  <w:num w:numId="6" w16cid:durableId="989098729">
    <w:abstractNumId w:val="109"/>
  </w:num>
  <w:num w:numId="7" w16cid:durableId="2056157593">
    <w:abstractNumId w:val="79"/>
  </w:num>
  <w:num w:numId="8" w16cid:durableId="668796014">
    <w:abstractNumId w:val="91"/>
  </w:num>
  <w:num w:numId="9" w16cid:durableId="144591394">
    <w:abstractNumId w:val="89"/>
  </w:num>
  <w:num w:numId="10" w16cid:durableId="1596787446">
    <w:abstractNumId w:val="30"/>
  </w:num>
  <w:num w:numId="11" w16cid:durableId="281346936">
    <w:abstractNumId w:val="110"/>
  </w:num>
  <w:num w:numId="12" w16cid:durableId="1903909532">
    <w:abstractNumId w:val="111"/>
  </w:num>
  <w:num w:numId="13" w16cid:durableId="1042678289">
    <w:abstractNumId w:val="140"/>
  </w:num>
  <w:num w:numId="14" w16cid:durableId="846210532">
    <w:abstractNumId w:val="144"/>
  </w:num>
  <w:num w:numId="15" w16cid:durableId="997808612">
    <w:abstractNumId w:val="1"/>
  </w:num>
  <w:num w:numId="16" w16cid:durableId="561452504">
    <w:abstractNumId w:val="55"/>
  </w:num>
  <w:num w:numId="17" w16cid:durableId="119225665">
    <w:abstractNumId w:val="135"/>
  </w:num>
  <w:num w:numId="18" w16cid:durableId="1187862248">
    <w:abstractNumId w:val="98"/>
  </w:num>
  <w:num w:numId="19" w16cid:durableId="1849323602">
    <w:abstractNumId w:val="137"/>
  </w:num>
  <w:num w:numId="20" w16cid:durableId="1896312255">
    <w:abstractNumId w:val="57"/>
  </w:num>
  <w:num w:numId="21" w16cid:durableId="1053194465">
    <w:abstractNumId w:val="23"/>
  </w:num>
  <w:num w:numId="22" w16cid:durableId="596788528">
    <w:abstractNumId w:val="49"/>
  </w:num>
  <w:num w:numId="23" w16cid:durableId="1340962715">
    <w:abstractNumId w:val="38"/>
  </w:num>
  <w:num w:numId="24" w16cid:durableId="89470877">
    <w:abstractNumId w:val="105"/>
  </w:num>
  <w:num w:numId="25" w16cid:durableId="335427662">
    <w:abstractNumId w:val="82"/>
  </w:num>
  <w:num w:numId="26" w16cid:durableId="1711757335">
    <w:abstractNumId w:val="69"/>
  </w:num>
  <w:num w:numId="27" w16cid:durableId="1554344194">
    <w:abstractNumId w:val="11"/>
  </w:num>
  <w:num w:numId="28" w16cid:durableId="1292327536">
    <w:abstractNumId w:val="33"/>
  </w:num>
  <w:num w:numId="29" w16cid:durableId="801189737">
    <w:abstractNumId w:val="101"/>
  </w:num>
  <w:num w:numId="30" w16cid:durableId="743339852">
    <w:abstractNumId w:val="0"/>
  </w:num>
  <w:num w:numId="31" w16cid:durableId="1020938960">
    <w:abstractNumId w:val="27"/>
  </w:num>
  <w:num w:numId="32" w16cid:durableId="445197142">
    <w:abstractNumId w:val="121"/>
  </w:num>
  <w:num w:numId="33" w16cid:durableId="1238633569">
    <w:abstractNumId w:val="122"/>
  </w:num>
  <w:num w:numId="34" w16cid:durableId="935672790">
    <w:abstractNumId w:val="46"/>
  </w:num>
  <w:num w:numId="35" w16cid:durableId="2052727813">
    <w:abstractNumId w:val="20"/>
  </w:num>
  <w:num w:numId="36" w16cid:durableId="1271857787">
    <w:abstractNumId w:val="17"/>
  </w:num>
  <w:num w:numId="37" w16cid:durableId="1295017486">
    <w:abstractNumId w:val="100"/>
  </w:num>
  <w:num w:numId="38" w16cid:durableId="253441981">
    <w:abstractNumId w:val="10"/>
  </w:num>
  <w:num w:numId="39" w16cid:durableId="628366289">
    <w:abstractNumId w:val="131"/>
  </w:num>
  <w:num w:numId="40" w16cid:durableId="1653832415">
    <w:abstractNumId w:val="130"/>
  </w:num>
  <w:num w:numId="41" w16cid:durableId="138037487">
    <w:abstractNumId w:val="117"/>
  </w:num>
  <w:num w:numId="42" w16cid:durableId="1218317925">
    <w:abstractNumId w:val="21"/>
  </w:num>
  <w:num w:numId="43" w16cid:durableId="547648569">
    <w:abstractNumId w:val="14"/>
  </w:num>
  <w:num w:numId="44" w16cid:durableId="912811543">
    <w:abstractNumId w:val="52"/>
  </w:num>
  <w:num w:numId="45" w16cid:durableId="28603235">
    <w:abstractNumId w:val="26"/>
  </w:num>
  <w:num w:numId="46" w16cid:durableId="2118088733">
    <w:abstractNumId w:val="28"/>
  </w:num>
  <w:num w:numId="47" w16cid:durableId="780565708">
    <w:abstractNumId w:val="96"/>
  </w:num>
  <w:num w:numId="48" w16cid:durableId="10106254">
    <w:abstractNumId w:val="132"/>
  </w:num>
  <w:num w:numId="49" w16cid:durableId="1402018459">
    <w:abstractNumId w:val="126"/>
  </w:num>
  <w:num w:numId="50" w16cid:durableId="230432483">
    <w:abstractNumId w:val="29"/>
  </w:num>
  <w:num w:numId="51" w16cid:durableId="1796288981">
    <w:abstractNumId w:val="36"/>
  </w:num>
  <w:num w:numId="52" w16cid:durableId="918641172">
    <w:abstractNumId w:val="139"/>
  </w:num>
  <w:num w:numId="53" w16cid:durableId="967473904">
    <w:abstractNumId w:val="15"/>
  </w:num>
  <w:num w:numId="54" w16cid:durableId="2094009556">
    <w:abstractNumId w:val="50"/>
  </w:num>
  <w:num w:numId="55" w16cid:durableId="504177222">
    <w:abstractNumId w:val="86"/>
  </w:num>
  <w:num w:numId="56" w16cid:durableId="703605134">
    <w:abstractNumId w:val="70"/>
  </w:num>
  <w:num w:numId="57" w16cid:durableId="1281450617">
    <w:abstractNumId w:val="4"/>
  </w:num>
  <w:num w:numId="58" w16cid:durableId="685407368">
    <w:abstractNumId w:val="53"/>
  </w:num>
  <w:num w:numId="59" w16cid:durableId="714620446">
    <w:abstractNumId w:val="88"/>
  </w:num>
  <w:num w:numId="60" w16cid:durableId="1931767625">
    <w:abstractNumId w:val="115"/>
  </w:num>
  <w:num w:numId="61" w16cid:durableId="881140074">
    <w:abstractNumId w:val="68"/>
  </w:num>
  <w:num w:numId="62" w16cid:durableId="290211482">
    <w:abstractNumId w:val="64"/>
  </w:num>
  <w:num w:numId="63" w16cid:durableId="1572690121">
    <w:abstractNumId w:val="103"/>
  </w:num>
  <w:num w:numId="64" w16cid:durableId="876041350">
    <w:abstractNumId w:val="65"/>
  </w:num>
  <w:num w:numId="65" w16cid:durableId="1242762673">
    <w:abstractNumId w:val="63"/>
  </w:num>
  <w:num w:numId="66" w16cid:durableId="2141874756">
    <w:abstractNumId w:val="112"/>
  </w:num>
  <w:num w:numId="67" w16cid:durableId="1266113836">
    <w:abstractNumId w:val="116"/>
  </w:num>
  <w:num w:numId="68" w16cid:durableId="634289946">
    <w:abstractNumId w:val="34"/>
  </w:num>
  <w:num w:numId="69" w16cid:durableId="632104935">
    <w:abstractNumId w:val="7"/>
  </w:num>
  <w:num w:numId="70" w16cid:durableId="678777675">
    <w:abstractNumId w:val="114"/>
  </w:num>
  <w:num w:numId="71" w16cid:durableId="587616324">
    <w:abstractNumId w:val="41"/>
  </w:num>
  <w:num w:numId="72" w16cid:durableId="94180802">
    <w:abstractNumId w:val="141"/>
  </w:num>
  <w:num w:numId="73" w16cid:durableId="375738813">
    <w:abstractNumId w:val="84"/>
  </w:num>
  <w:num w:numId="74" w16cid:durableId="73211012">
    <w:abstractNumId w:val="59"/>
  </w:num>
  <w:num w:numId="75" w16cid:durableId="112865088">
    <w:abstractNumId w:val="42"/>
  </w:num>
  <w:num w:numId="76" w16cid:durableId="128329560">
    <w:abstractNumId w:val="9"/>
  </w:num>
  <w:num w:numId="77" w16cid:durableId="639113124">
    <w:abstractNumId w:val="61"/>
  </w:num>
  <w:num w:numId="78" w16cid:durableId="195432383">
    <w:abstractNumId w:val="19"/>
  </w:num>
  <w:num w:numId="79" w16cid:durableId="993266597">
    <w:abstractNumId w:val="80"/>
  </w:num>
  <w:num w:numId="80" w16cid:durableId="1975089397">
    <w:abstractNumId w:val="87"/>
  </w:num>
  <w:num w:numId="81" w16cid:durableId="1113790313">
    <w:abstractNumId w:val="138"/>
  </w:num>
  <w:num w:numId="82" w16cid:durableId="94054957">
    <w:abstractNumId w:val="24"/>
  </w:num>
  <w:num w:numId="83" w16cid:durableId="275791297">
    <w:abstractNumId w:val="51"/>
  </w:num>
  <w:num w:numId="84" w16cid:durableId="1374381455">
    <w:abstractNumId w:val="75"/>
  </w:num>
  <w:num w:numId="85" w16cid:durableId="1365406623">
    <w:abstractNumId w:val="5"/>
  </w:num>
  <w:num w:numId="86" w16cid:durableId="1660231552">
    <w:abstractNumId w:val="71"/>
  </w:num>
  <w:num w:numId="87" w16cid:durableId="551619299">
    <w:abstractNumId w:val="12"/>
  </w:num>
  <w:num w:numId="88" w16cid:durableId="1919704692">
    <w:abstractNumId w:val="47"/>
  </w:num>
  <w:num w:numId="89" w16cid:durableId="51926460">
    <w:abstractNumId w:val="48"/>
  </w:num>
  <w:num w:numId="90" w16cid:durableId="379937613">
    <w:abstractNumId w:val="143"/>
  </w:num>
  <w:num w:numId="91" w16cid:durableId="730688122">
    <w:abstractNumId w:val="77"/>
  </w:num>
  <w:num w:numId="92" w16cid:durableId="1896306371">
    <w:abstractNumId w:val="2"/>
  </w:num>
  <w:num w:numId="93" w16cid:durableId="637802230">
    <w:abstractNumId w:val="66"/>
  </w:num>
  <w:num w:numId="94" w16cid:durableId="1836140294">
    <w:abstractNumId w:val="56"/>
  </w:num>
  <w:num w:numId="95" w16cid:durableId="416484241">
    <w:abstractNumId w:val="93"/>
  </w:num>
  <w:num w:numId="96" w16cid:durableId="2030567504">
    <w:abstractNumId w:val="40"/>
  </w:num>
  <w:num w:numId="97" w16cid:durableId="1824661888">
    <w:abstractNumId w:val="123"/>
  </w:num>
  <w:num w:numId="98" w16cid:durableId="37440323">
    <w:abstractNumId w:val="78"/>
  </w:num>
  <w:num w:numId="99" w16cid:durableId="1516185490">
    <w:abstractNumId w:val="102"/>
  </w:num>
  <w:num w:numId="100" w16cid:durableId="731775150">
    <w:abstractNumId w:val="32"/>
  </w:num>
  <w:num w:numId="101" w16cid:durableId="576398982">
    <w:abstractNumId w:val="142"/>
  </w:num>
  <w:num w:numId="102" w16cid:durableId="1539390705">
    <w:abstractNumId w:val="134"/>
  </w:num>
  <w:num w:numId="103" w16cid:durableId="56557928">
    <w:abstractNumId w:val="74"/>
  </w:num>
  <w:num w:numId="104" w16cid:durableId="814839211">
    <w:abstractNumId w:val="3"/>
  </w:num>
  <w:num w:numId="105" w16cid:durableId="816727259">
    <w:abstractNumId w:val="83"/>
  </w:num>
  <w:num w:numId="106" w16cid:durableId="2080051193">
    <w:abstractNumId w:val="99"/>
  </w:num>
  <w:num w:numId="107" w16cid:durableId="1534340570">
    <w:abstractNumId w:val="106"/>
  </w:num>
  <w:num w:numId="108" w16cid:durableId="412971007">
    <w:abstractNumId w:val="62"/>
  </w:num>
  <w:num w:numId="109" w16cid:durableId="865292822">
    <w:abstractNumId w:val="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639801383">
    <w:abstractNumId w:val="118"/>
  </w:num>
  <w:num w:numId="111" w16cid:durableId="1227031405">
    <w:abstractNumId w:val="16"/>
  </w:num>
  <w:num w:numId="112" w16cid:durableId="1138955964">
    <w:abstractNumId w:val="113"/>
  </w:num>
  <w:num w:numId="113" w16cid:durableId="191770779">
    <w:abstractNumId w:val="43"/>
  </w:num>
  <w:num w:numId="114" w16cid:durableId="1229340087">
    <w:abstractNumId w:val="104"/>
  </w:num>
  <w:num w:numId="115" w16cid:durableId="1803380982">
    <w:abstractNumId w:val="76"/>
  </w:num>
  <w:num w:numId="116" w16cid:durableId="11222244">
    <w:abstractNumId w:val="67"/>
  </w:num>
  <w:num w:numId="117" w16cid:durableId="1099136965">
    <w:abstractNumId w:val="92"/>
  </w:num>
  <w:num w:numId="118" w16cid:durableId="390999445">
    <w:abstractNumId w:val="133"/>
  </w:num>
  <w:num w:numId="119" w16cid:durableId="1450855682">
    <w:abstractNumId w:val="73"/>
  </w:num>
  <w:num w:numId="120" w16cid:durableId="403455835">
    <w:abstractNumId w:val="129"/>
  </w:num>
  <w:num w:numId="121" w16cid:durableId="788233782">
    <w:abstractNumId w:val="44"/>
  </w:num>
  <w:num w:numId="122" w16cid:durableId="1581017654">
    <w:abstractNumId w:val="136"/>
  </w:num>
  <w:num w:numId="123" w16cid:durableId="602416876">
    <w:abstractNumId w:val="119"/>
  </w:num>
  <w:num w:numId="124" w16cid:durableId="526602375">
    <w:abstractNumId w:val="90"/>
  </w:num>
  <w:num w:numId="125" w16cid:durableId="46149983">
    <w:abstractNumId w:val="137"/>
  </w:num>
  <w:num w:numId="126" w16cid:durableId="9568623">
    <w:abstractNumId w:val="22"/>
  </w:num>
  <w:num w:numId="127" w16cid:durableId="470710604">
    <w:abstractNumId w:val="107"/>
  </w:num>
  <w:num w:numId="128" w16cid:durableId="345911982">
    <w:abstractNumId w:val="31"/>
  </w:num>
  <w:num w:numId="129" w16cid:durableId="270598699">
    <w:abstractNumId w:val="37"/>
  </w:num>
  <w:num w:numId="130" w16cid:durableId="646084345">
    <w:abstractNumId w:val="35"/>
  </w:num>
  <w:num w:numId="131" w16cid:durableId="380902927">
    <w:abstractNumId w:val="125"/>
  </w:num>
  <w:num w:numId="132" w16cid:durableId="658076946">
    <w:abstractNumId w:val="120"/>
  </w:num>
  <w:num w:numId="133" w16cid:durableId="88819671">
    <w:abstractNumId w:val="127"/>
  </w:num>
  <w:num w:numId="134" w16cid:durableId="1160655897">
    <w:abstractNumId w:val="124"/>
  </w:num>
  <w:num w:numId="135" w16cid:durableId="1295982812">
    <w:abstractNumId w:val="54"/>
  </w:num>
  <w:num w:numId="136" w16cid:durableId="819535681">
    <w:abstractNumId w:val="60"/>
  </w:num>
  <w:num w:numId="137" w16cid:durableId="480925528">
    <w:abstractNumId w:val="25"/>
  </w:num>
  <w:num w:numId="138" w16cid:durableId="591359827">
    <w:abstractNumId w:val="13"/>
  </w:num>
  <w:num w:numId="139" w16cid:durableId="1314916096">
    <w:abstractNumId w:val="81"/>
  </w:num>
  <w:num w:numId="140" w16cid:durableId="1295477510">
    <w:abstractNumId w:val="141"/>
  </w:num>
  <w:num w:numId="141" w16cid:durableId="80226553">
    <w:abstractNumId w:val="84"/>
  </w:num>
  <w:num w:numId="142" w16cid:durableId="950280506">
    <w:abstractNumId w:val="18"/>
  </w:num>
  <w:num w:numId="143" w16cid:durableId="669991597">
    <w:abstractNumId w:val="128"/>
  </w:num>
  <w:num w:numId="144" w16cid:durableId="1542474601">
    <w:abstractNumId w:val="94"/>
  </w:num>
  <w:num w:numId="145" w16cid:durableId="1729647791">
    <w:abstractNumId w:val="39"/>
  </w:num>
  <w:num w:numId="146" w16cid:durableId="118845355">
    <w:abstractNumId w:val="6"/>
  </w:num>
  <w:num w:numId="147" w16cid:durableId="254442355">
    <w:abstractNumId w:val="58"/>
  </w:num>
  <w:num w:numId="148" w16cid:durableId="1670791450">
    <w:abstractNumId w:val="95"/>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92"/>
    <w:rsid w:val="00003364"/>
    <w:rsid w:val="00004B28"/>
    <w:rsid w:val="0000515D"/>
    <w:rsid w:val="000054CE"/>
    <w:rsid w:val="00005B44"/>
    <w:rsid w:val="000075B1"/>
    <w:rsid w:val="00007C9C"/>
    <w:rsid w:val="00010611"/>
    <w:rsid w:val="00010681"/>
    <w:rsid w:val="00010C12"/>
    <w:rsid w:val="00010F77"/>
    <w:rsid w:val="00010FA6"/>
    <w:rsid w:val="000134AA"/>
    <w:rsid w:val="00014C17"/>
    <w:rsid w:val="00014D88"/>
    <w:rsid w:val="00015A2E"/>
    <w:rsid w:val="00017369"/>
    <w:rsid w:val="000201A8"/>
    <w:rsid w:val="000227E2"/>
    <w:rsid w:val="00023194"/>
    <w:rsid w:val="00025EFD"/>
    <w:rsid w:val="00026BC9"/>
    <w:rsid w:val="00027DA6"/>
    <w:rsid w:val="000310EF"/>
    <w:rsid w:val="00031DC2"/>
    <w:rsid w:val="00032032"/>
    <w:rsid w:val="00032400"/>
    <w:rsid w:val="000335D9"/>
    <w:rsid w:val="000338DC"/>
    <w:rsid w:val="00034ACB"/>
    <w:rsid w:val="00036C9D"/>
    <w:rsid w:val="00037A58"/>
    <w:rsid w:val="00041AA8"/>
    <w:rsid w:val="00041E0B"/>
    <w:rsid w:val="00042AC2"/>
    <w:rsid w:val="00042CF8"/>
    <w:rsid w:val="000431DA"/>
    <w:rsid w:val="00044858"/>
    <w:rsid w:val="00045031"/>
    <w:rsid w:val="00045F69"/>
    <w:rsid w:val="00047C8F"/>
    <w:rsid w:val="00050572"/>
    <w:rsid w:val="00051400"/>
    <w:rsid w:val="0005167B"/>
    <w:rsid w:val="0005195C"/>
    <w:rsid w:val="00052241"/>
    <w:rsid w:val="00052BBC"/>
    <w:rsid w:val="000547CA"/>
    <w:rsid w:val="00055791"/>
    <w:rsid w:val="00056815"/>
    <w:rsid w:val="00056CD2"/>
    <w:rsid w:val="00056CE4"/>
    <w:rsid w:val="000622A5"/>
    <w:rsid w:val="00062302"/>
    <w:rsid w:val="0006245D"/>
    <w:rsid w:val="000625BD"/>
    <w:rsid w:val="0006270F"/>
    <w:rsid w:val="00064602"/>
    <w:rsid w:val="0006474D"/>
    <w:rsid w:val="00064FF2"/>
    <w:rsid w:val="000650AC"/>
    <w:rsid w:val="00066050"/>
    <w:rsid w:val="00071D07"/>
    <w:rsid w:val="00072569"/>
    <w:rsid w:val="00073BC9"/>
    <w:rsid w:val="000749B2"/>
    <w:rsid w:val="00074FA4"/>
    <w:rsid w:val="00076B01"/>
    <w:rsid w:val="000774D3"/>
    <w:rsid w:val="00077C9F"/>
    <w:rsid w:val="00080725"/>
    <w:rsid w:val="00082396"/>
    <w:rsid w:val="0008247E"/>
    <w:rsid w:val="000825E5"/>
    <w:rsid w:val="00084342"/>
    <w:rsid w:val="0008497F"/>
    <w:rsid w:val="00084B4D"/>
    <w:rsid w:val="000865DE"/>
    <w:rsid w:val="0008665F"/>
    <w:rsid w:val="00086C24"/>
    <w:rsid w:val="00086F6D"/>
    <w:rsid w:val="000871CA"/>
    <w:rsid w:val="000871E4"/>
    <w:rsid w:val="00087D16"/>
    <w:rsid w:val="00087F0B"/>
    <w:rsid w:val="00090296"/>
    <w:rsid w:val="00090565"/>
    <w:rsid w:val="00090879"/>
    <w:rsid w:val="00090B98"/>
    <w:rsid w:val="00090BC9"/>
    <w:rsid w:val="0009241D"/>
    <w:rsid w:val="00093AB8"/>
    <w:rsid w:val="000941B9"/>
    <w:rsid w:val="0009696D"/>
    <w:rsid w:val="00096E75"/>
    <w:rsid w:val="000A05D9"/>
    <w:rsid w:val="000A2255"/>
    <w:rsid w:val="000A2518"/>
    <w:rsid w:val="000A2DB0"/>
    <w:rsid w:val="000A7970"/>
    <w:rsid w:val="000B03DF"/>
    <w:rsid w:val="000B0EE5"/>
    <w:rsid w:val="000B1E6F"/>
    <w:rsid w:val="000B2078"/>
    <w:rsid w:val="000B39C8"/>
    <w:rsid w:val="000B3A78"/>
    <w:rsid w:val="000B3C4C"/>
    <w:rsid w:val="000B5AAA"/>
    <w:rsid w:val="000B5D64"/>
    <w:rsid w:val="000B5EC3"/>
    <w:rsid w:val="000B7FC0"/>
    <w:rsid w:val="000C0E7B"/>
    <w:rsid w:val="000C1DDD"/>
    <w:rsid w:val="000C2425"/>
    <w:rsid w:val="000C311D"/>
    <w:rsid w:val="000C370B"/>
    <w:rsid w:val="000C480B"/>
    <w:rsid w:val="000C49C7"/>
    <w:rsid w:val="000C53B6"/>
    <w:rsid w:val="000C70B2"/>
    <w:rsid w:val="000D0365"/>
    <w:rsid w:val="000D0DA5"/>
    <w:rsid w:val="000D13D0"/>
    <w:rsid w:val="000D5BB6"/>
    <w:rsid w:val="000D6714"/>
    <w:rsid w:val="000D79EF"/>
    <w:rsid w:val="000D7E33"/>
    <w:rsid w:val="000E055D"/>
    <w:rsid w:val="000E0A62"/>
    <w:rsid w:val="000E1315"/>
    <w:rsid w:val="000E26C9"/>
    <w:rsid w:val="000E381B"/>
    <w:rsid w:val="000E3AF3"/>
    <w:rsid w:val="000E3FA8"/>
    <w:rsid w:val="000E476B"/>
    <w:rsid w:val="000E6AF5"/>
    <w:rsid w:val="000E6C31"/>
    <w:rsid w:val="000E6FCB"/>
    <w:rsid w:val="000E7B23"/>
    <w:rsid w:val="000F07CA"/>
    <w:rsid w:val="000F2056"/>
    <w:rsid w:val="000F23E8"/>
    <w:rsid w:val="000F3BC0"/>
    <w:rsid w:val="000F4AA7"/>
    <w:rsid w:val="000F710F"/>
    <w:rsid w:val="001017A0"/>
    <w:rsid w:val="00102D43"/>
    <w:rsid w:val="001033BC"/>
    <w:rsid w:val="00104A7D"/>
    <w:rsid w:val="001069EB"/>
    <w:rsid w:val="00111035"/>
    <w:rsid w:val="00111C18"/>
    <w:rsid w:val="0011275E"/>
    <w:rsid w:val="001128CA"/>
    <w:rsid w:val="00112EA0"/>
    <w:rsid w:val="0011383B"/>
    <w:rsid w:val="0011577D"/>
    <w:rsid w:val="00115EF2"/>
    <w:rsid w:val="00120945"/>
    <w:rsid w:val="001217AF"/>
    <w:rsid w:val="0012224D"/>
    <w:rsid w:val="00122AB1"/>
    <w:rsid w:val="00122B8F"/>
    <w:rsid w:val="00122D90"/>
    <w:rsid w:val="00122E3C"/>
    <w:rsid w:val="001234F8"/>
    <w:rsid w:val="0012402D"/>
    <w:rsid w:val="00124EA6"/>
    <w:rsid w:val="001251F8"/>
    <w:rsid w:val="0012528A"/>
    <w:rsid w:val="00126CD1"/>
    <w:rsid w:val="00127F40"/>
    <w:rsid w:val="0013059A"/>
    <w:rsid w:val="00130E21"/>
    <w:rsid w:val="0013188F"/>
    <w:rsid w:val="00134716"/>
    <w:rsid w:val="00134D7C"/>
    <w:rsid w:val="001357BD"/>
    <w:rsid w:val="001358DD"/>
    <w:rsid w:val="00137140"/>
    <w:rsid w:val="001371BC"/>
    <w:rsid w:val="0014205C"/>
    <w:rsid w:val="001421BD"/>
    <w:rsid w:val="0014248E"/>
    <w:rsid w:val="0014311F"/>
    <w:rsid w:val="00144859"/>
    <w:rsid w:val="00145ED7"/>
    <w:rsid w:val="0014616D"/>
    <w:rsid w:val="001463FF"/>
    <w:rsid w:val="00147B42"/>
    <w:rsid w:val="00150036"/>
    <w:rsid w:val="001540E4"/>
    <w:rsid w:val="001541C7"/>
    <w:rsid w:val="00155DEB"/>
    <w:rsid w:val="00157785"/>
    <w:rsid w:val="001602C6"/>
    <w:rsid w:val="00161DAC"/>
    <w:rsid w:val="0016221B"/>
    <w:rsid w:val="0016273A"/>
    <w:rsid w:val="00162F57"/>
    <w:rsid w:val="00163116"/>
    <w:rsid w:val="00164EF7"/>
    <w:rsid w:val="00166B84"/>
    <w:rsid w:val="00167B21"/>
    <w:rsid w:val="00167CED"/>
    <w:rsid w:val="001708BA"/>
    <w:rsid w:val="001736D9"/>
    <w:rsid w:val="00173A9A"/>
    <w:rsid w:val="00173D8A"/>
    <w:rsid w:val="00174371"/>
    <w:rsid w:val="0017769E"/>
    <w:rsid w:val="0018058A"/>
    <w:rsid w:val="00180D96"/>
    <w:rsid w:val="0018240D"/>
    <w:rsid w:val="0018433E"/>
    <w:rsid w:val="00184490"/>
    <w:rsid w:val="00185337"/>
    <w:rsid w:val="00185AB3"/>
    <w:rsid w:val="00185D44"/>
    <w:rsid w:val="001874F5"/>
    <w:rsid w:val="001902FC"/>
    <w:rsid w:val="00190387"/>
    <w:rsid w:val="00190D89"/>
    <w:rsid w:val="00191082"/>
    <w:rsid w:val="001914F7"/>
    <w:rsid w:val="00191C57"/>
    <w:rsid w:val="00191D97"/>
    <w:rsid w:val="001923C2"/>
    <w:rsid w:val="0019353A"/>
    <w:rsid w:val="00194687"/>
    <w:rsid w:val="00197F3D"/>
    <w:rsid w:val="001A0C09"/>
    <w:rsid w:val="001A2FB4"/>
    <w:rsid w:val="001A36CF"/>
    <w:rsid w:val="001A386D"/>
    <w:rsid w:val="001A3FCC"/>
    <w:rsid w:val="001A446E"/>
    <w:rsid w:val="001A5527"/>
    <w:rsid w:val="001A561F"/>
    <w:rsid w:val="001A60A3"/>
    <w:rsid w:val="001A7ABE"/>
    <w:rsid w:val="001B08F6"/>
    <w:rsid w:val="001B0AEC"/>
    <w:rsid w:val="001B12F6"/>
    <w:rsid w:val="001B1CA3"/>
    <w:rsid w:val="001B1F6F"/>
    <w:rsid w:val="001B29ED"/>
    <w:rsid w:val="001B32B4"/>
    <w:rsid w:val="001B356C"/>
    <w:rsid w:val="001B4115"/>
    <w:rsid w:val="001B5172"/>
    <w:rsid w:val="001B5416"/>
    <w:rsid w:val="001B619A"/>
    <w:rsid w:val="001B7AB7"/>
    <w:rsid w:val="001C0AEB"/>
    <w:rsid w:val="001C0E63"/>
    <w:rsid w:val="001C1A36"/>
    <w:rsid w:val="001C342D"/>
    <w:rsid w:val="001C358C"/>
    <w:rsid w:val="001C430A"/>
    <w:rsid w:val="001D0CC9"/>
    <w:rsid w:val="001D180A"/>
    <w:rsid w:val="001D3359"/>
    <w:rsid w:val="001D3364"/>
    <w:rsid w:val="001D354C"/>
    <w:rsid w:val="001D38AA"/>
    <w:rsid w:val="001D480E"/>
    <w:rsid w:val="001D586C"/>
    <w:rsid w:val="001D5F7C"/>
    <w:rsid w:val="001D75FC"/>
    <w:rsid w:val="001D76F9"/>
    <w:rsid w:val="001D7BC2"/>
    <w:rsid w:val="001D7DE5"/>
    <w:rsid w:val="001D7FE7"/>
    <w:rsid w:val="001E1F63"/>
    <w:rsid w:val="001E263F"/>
    <w:rsid w:val="001E3A21"/>
    <w:rsid w:val="001E6DEC"/>
    <w:rsid w:val="001E7357"/>
    <w:rsid w:val="001F06D2"/>
    <w:rsid w:val="001F30D9"/>
    <w:rsid w:val="001F37C3"/>
    <w:rsid w:val="001F4265"/>
    <w:rsid w:val="001F4A1D"/>
    <w:rsid w:val="001F4D98"/>
    <w:rsid w:val="001F4EAD"/>
    <w:rsid w:val="001F70A8"/>
    <w:rsid w:val="001F76B7"/>
    <w:rsid w:val="00200BF9"/>
    <w:rsid w:val="002016B4"/>
    <w:rsid w:val="0020170C"/>
    <w:rsid w:val="002026D3"/>
    <w:rsid w:val="0020323F"/>
    <w:rsid w:val="00203474"/>
    <w:rsid w:val="00204294"/>
    <w:rsid w:val="002052E9"/>
    <w:rsid w:val="00205A1D"/>
    <w:rsid w:val="00205AFA"/>
    <w:rsid w:val="00206165"/>
    <w:rsid w:val="00207C7B"/>
    <w:rsid w:val="00210090"/>
    <w:rsid w:val="00210A1A"/>
    <w:rsid w:val="00210B00"/>
    <w:rsid w:val="00210D2C"/>
    <w:rsid w:val="00210F5C"/>
    <w:rsid w:val="00211238"/>
    <w:rsid w:val="00211E25"/>
    <w:rsid w:val="0021213A"/>
    <w:rsid w:val="00212401"/>
    <w:rsid w:val="0021326B"/>
    <w:rsid w:val="00213500"/>
    <w:rsid w:val="00213A73"/>
    <w:rsid w:val="002142D2"/>
    <w:rsid w:val="00214464"/>
    <w:rsid w:val="00214AB9"/>
    <w:rsid w:val="00215763"/>
    <w:rsid w:val="00215AC2"/>
    <w:rsid w:val="002160AF"/>
    <w:rsid w:val="00216B1A"/>
    <w:rsid w:val="002204DA"/>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10B0"/>
    <w:rsid w:val="00231F03"/>
    <w:rsid w:val="00232BCC"/>
    <w:rsid w:val="00233067"/>
    <w:rsid w:val="00233B04"/>
    <w:rsid w:val="00234586"/>
    <w:rsid w:val="002366F5"/>
    <w:rsid w:val="0024083A"/>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78E8"/>
    <w:rsid w:val="0025798A"/>
    <w:rsid w:val="002609A1"/>
    <w:rsid w:val="00260AAA"/>
    <w:rsid w:val="002619B4"/>
    <w:rsid w:val="002619E3"/>
    <w:rsid w:val="002636CD"/>
    <w:rsid w:val="00263706"/>
    <w:rsid w:val="00263A89"/>
    <w:rsid w:val="00263F14"/>
    <w:rsid w:val="00264F0F"/>
    <w:rsid w:val="002659B3"/>
    <w:rsid w:val="002659D1"/>
    <w:rsid w:val="00266CC3"/>
    <w:rsid w:val="00266D53"/>
    <w:rsid w:val="00267133"/>
    <w:rsid w:val="00270370"/>
    <w:rsid w:val="002708A6"/>
    <w:rsid w:val="0027147F"/>
    <w:rsid w:val="00271E64"/>
    <w:rsid w:val="00275183"/>
    <w:rsid w:val="00275CAA"/>
    <w:rsid w:val="002762C2"/>
    <w:rsid w:val="00276698"/>
    <w:rsid w:val="002806A4"/>
    <w:rsid w:val="00284992"/>
    <w:rsid w:val="00284AA7"/>
    <w:rsid w:val="00285062"/>
    <w:rsid w:val="00287EB6"/>
    <w:rsid w:val="002905FA"/>
    <w:rsid w:val="00292101"/>
    <w:rsid w:val="00292EB4"/>
    <w:rsid w:val="00293A8B"/>
    <w:rsid w:val="00294613"/>
    <w:rsid w:val="00294EED"/>
    <w:rsid w:val="00296D87"/>
    <w:rsid w:val="002971C0"/>
    <w:rsid w:val="0029786C"/>
    <w:rsid w:val="002A08D6"/>
    <w:rsid w:val="002A180D"/>
    <w:rsid w:val="002A318E"/>
    <w:rsid w:val="002A3B83"/>
    <w:rsid w:val="002A4437"/>
    <w:rsid w:val="002A5D8E"/>
    <w:rsid w:val="002A683B"/>
    <w:rsid w:val="002A6883"/>
    <w:rsid w:val="002B07E8"/>
    <w:rsid w:val="002B0827"/>
    <w:rsid w:val="002B0BF7"/>
    <w:rsid w:val="002B1ECF"/>
    <w:rsid w:val="002B2BB0"/>
    <w:rsid w:val="002B3DDB"/>
    <w:rsid w:val="002B593E"/>
    <w:rsid w:val="002B5DF9"/>
    <w:rsid w:val="002B7102"/>
    <w:rsid w:val="002B7629"/>
    <w:rsid w:val="002C0572"/>
    <w:rsid w:val="002C1868"/>
    <w:rsid w:val="002C18D1"/>
    <w:rsid w:val="002C228F"/>
    <w:rsid w:val="002C2849"/>
    <w:rsid w:val="002C29DE"/>
    <w:rsid w:val="002C36C7"/>
    <w:rsid w:val="002C4B07"/>
    <w:rsid w:val="002C4F40"/>
    <w:rsid w:val="002C54EA"/>
    <w:rsid w:val="002C6D10"/>
    <w:rsid w:val="002C7767"/>
    <w:rsid w:val="002D06CE"/>
    <w:rsid w:val="002D0E33"/>
    <w:rsid w:val="002D0F23"/>
    <w:rsid w:val="002D1D3C"/>
    <w:rsid w:val="002D210E"/>
    <w:rsid w:val="002D2D8D"/>
    <w:rsid w:val="002D36A1"/>
    <w:rsid w:val="002D3B34"/>
    <w:rsid w:val="002D4B52"/>
    <w:rsid w:val="002D5C8D"/>
    <w:rsid w:val="002D5D79"/>
    <w:rsid w:val="002D6437"/>
    <w:rsid w:val="002D65B1"/>
    <w:rsid w:val="002D76F6"/>
    <w:rsid w:val="002D7736"/>
    <w:rsid w:val="002D79EF"/>
    <w:rsid w:val="002E021C"/>
    <w:rsid w:val="002E1608"/>
    <w:rsid w:val="002E25BB"/>
    <w:rsid w:val="002E28ED"/>
    <w:rsid w:val="002E4276"/>
    <w:rsid w:val="002E4290"/>
    <w:rsid w:val="002E42B3"/>
    <w:rsid w:val="002E55E2"/>
    <w:rsid w:val="002E5C47"/>
    <w:rsid w:val="002E6108"/>
    <w:rsid w:val="002F01C7"/>
    <w:rsid w:val="002F06C9"/>
    <w:rsid w:val="002F0A9A"/>
    <w:rsid w:val="002F0B3F"/>
    <w:rsid w:val="002F1216"/>
    <w:rsid w:val="002F2CD6"/>
    <w:rsid w:val="002F30A0"/>
    <w:rsid w:val="002F4ACC"/>
    <w:rsid w:val="002F4C62"/>
    <w:rsid w:val="002F544B"/>
    <w:rsid w:val="002F62CD"/>
    <w:rsid w:val="002F69F2"/>
    <w:rsid w:val="002F784B"/>
    <w:rsid w:val="002F7FC8"/>
    <w:rsid w:val="00302C87"/>
    <w:rsid w:val="00303797"/>
    <w:rsid w:val="00303F88"/>
    <w:rsid w:val="003041D8"/>
    <w:rsid w:val="00305B05"/>
    <w:rsid w:val="00306638"/>
    <w:rsid w:val="003075E7"/>
    <w:rsid w:val="0031097D"/>
    <w:rsid w:val="00311F4B"/>
    <w:rsid w:val="003131B8"/>
    <w:rsid w:val="003131F7"/>
    <w:rsid w:val="0031372D"/>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37B0"/>
    <w:rsid w:val="00325394"/>
    <w:rsid w:val="00325A0D"/>
    <w:rsid w:val="003270B3"/>
    <w:rsid w:val="00327435"/>
    <w:rsid w:val="0033007A"/>
    <w:rsid w:val="0033062C"/>
    <w:rsid w:val="00330FD0"/>
    <w:rsid w:val="003324B9"/>
    <w:rsid w:val="003325F5"/>
    <w:rsid w:val="00332961"/>
    <w:rsid w:val="003353BD"/>
    <w:rsid w:val="00336C60"/>
    <w:rsid w:val="0033787B"/>
    <w:rsid w:val="00337E37"/>
    <w:rsid w:val="003405F9"/>
    <w:rsid w:val="00341A97"/>
    <w:rsid w:val="00342A8A"/>
    <w:rsid w:val="003437C2"/>
    <w:rsid w:val="00344E15"/>
    <w:rsid w:val="00345335"/>
    <w:rsid w:val="00345A43"/>
    <w:rsid w:val="003461AA"/>
    <w:rsid w:val="00346385"/>
    <w:rsid w:val="00346731"/>
    <w:rsid w:val="00346AAA"/>
    <w:rsid w:val="00346AD1"/>
    <w:rsid w:val="003472E6"/>
    <w:rsid w:val="003473BA"/>
    <w:rsid w:val="00347AB2"/>
    <w:rsid w:val="003527E0"/>
    <w:rsid w:val="0035474B"/>
    <w:rsid w:val="00354E8E"/>
    <w:rsid w:val="00357199"/>
    <w:rsid w:val="003622D7"/>
    <w:rsid w:val="00362466"/>
    <w:rsid w:val="00363086"/>
    <w:rsid w:val="00364357"/>
    <w:rsid w:val="00364913"/>
    <w:rsid w:val="00364DD8"/>
    <w:rsid w:val="0036511D"/>
    <w:rsid w:val="00365C0D"/>
    <w:rsid w:val="00367A2B"/>
    <w:rsid w:val="00367A49"/>
    <w:rsid w:val="00371C11"/>
    <w:rsid w:val="00373AD8"/>
    <w:rsid w:val="003740E3"/>
    <w:rsid w:val="00374494"/>
    <w:rsid w:val="003746C3"/>
    <w:rsid w:val="00375E2C"/>
    <w:rsid w:val="0037627E"/>
    <w:rsid w:val="00376810"/>
    <w:rsid w:val="003801EA"/>
    <w:rsid w:val="0038087E"/>
    <w:rsid w:val="0038169E"/>
    <w:rsid w:val="00383D85"/>
    <w:rsid w:val="0038596E"/>
    <w:rsid w:val="00387D5D"/>
    <w:rsid w:val="00390AAA"/>
    <w:rsid w:val="00391191"/>
    <w:rsid w:val="00392867"/>
    <w:rsid w:val="00393FB2"/>
    <w:rsid w:val="00394B2D"/>
    <w:rsid w:val="00396146"/>
    <w:rsid w:val="00397229"/>
    <w:rsid w:val="00397BE0"/>
    <w:rsid w:val="003A0007"/>
    <w:rsid w:val="003A027D"/>
    <w:rsid w:val="003A063F"/>
    <w:rsid w:val="003A116B"/>
    <w:rsid w:val="003A11FC"/>
    <w:rsid w:val="003A18AC"/>
    <w:rsid w:val="003A28F2"/>
    <w:rsid w:val="003A2BEC"/>
    <w:rsid w:val="003A4F2D"/>
    <w:rsid w:val="003A4F2E"/>
    <w:rsid w:val="003A63EC"/>
    <w:rsid w:val="003B031C"/>
    <w:rsid w:val="003B0652"/>
    <w:rsid w:val="003B16FB"/>
    <w:rsid w:val="003B3337"/>
    <w:rsid w:val="003B4BF5"/>
    <w:rsid w:val="003B4DAA"/>
    <w:rsid w:val="003B5AF7"/>
    <w:rsid w:val="003B6AB1"/>
    <w:rsid w:val="003B7189"/>
    <w:rsid w:val="003B7947"/>
    <w:rsid w:val="003C003A"/>
    <w:rsid w:val="003C04D7"/>
    <w:rsid w:val="003C06CF"/>
    <w:rsid w:val="003C3A53"/>
    <w:rsid w:val="003C46C8"/>
    <w:rsid w:val="003C5063"/>
    <w:rsid w:val="003C5837"/>
    <w:rsid w:val="003C66D9"/>
    <w:rsid w:val="003C67D7"/>
    <w:rsid w:val="003C69B6"/>
    <w:rsid w:val="003C75ED"/>
    <w:rsid w:val="003D1354"/>
    <w:rsid w:val="003D15F3"/>
    <w:rsid w:val="003D1D39"/>
    <w:rsid w:val="003D1F31"/>
    <w:rsid w:val="003D4683"/>
    <w:rsid w:val="003D4CF4"/>
    <w:rsid w:val="003D4FF7"/>
    <w:rsid w:val="003E09FD"/>
    <w:rsid w:val="003E0D0B"/>
    <w:rsid w:val="003E1A4B"/>
    <w:rsid w:val="003E2B88"/>
    <w:rsid w:val="003E3504"/>
    <w:rsid w:val="003E3D95"/>
    <w:rsid w:val="003E4A18"/>
    <w:rsid w:val="003E4CAB"/>
    <w:rsid w:val="003E6CFE"/>
    <w:rsid w:val="003E7859"/>
    <w:rsid w:val="003E7B74"/>
    <w:rsid w:val="003E7D51"/>
    <w:rsid w:val="003F03BE"/>
    <w:rsid w:val="003F0922"/>
    <w:rsid w:val="003F2BCC"/>
    <w:rsid w:val="003F4F51"/>
    <w:rsid w:val="003F5DFD"/>
    <w:rsid w:val="003F5E35"/>
    <w:rsid w:val="003F72DB"/>
    <w:rsid w:val="00401B50"/>
    <w:rsid w:val="00404816"/>
    <w:rsid w:val="00405C60"/>
    <w:rsid w:val="00405CC9"/>
    <w:rsid w:val="00406DB5"/>
    <w:rsid w:val="00410D46"/>
    <w:rsid w:val="004121A5"/>
    <w:rsid w:val="004142F4"/>
    <w:rsid w:val="00417019"/>
    <w:rsid w:val="0041743C"/>
    <w:rsid w:val="00422168"/>
    <w:rsid w:val="00422E2B"/>
    <w:rsid w:val="0042344D"/>
    <w:rsid w:val="004236AA"/>
    <w:rsid w:val="00423E87"/>
    <w:rsid w:val="00425288"/>
    <w:rsid w:val="00425AD9"/>
    <w:rsid w:val="00426062"/>
    <w:rsid w:val="004300BA"/>
    <w:rsid w:val="00430E41"/>
    <w:rsid w:val="004318E4"/>
    <w:rsid w:val="00431BF4"/>
    <w:rsid w:val="00432844"/>
    <w:rsid w:val="00433B1A"/>
    <w:rsid w:val="00433F25"/>
    <w:rsid w:val="0043478C"/>
    <w:rsid w:val="0043497C"/>
    <w:rsid w:val="00435D4B"/>
    <w:rsid w:val="00441873"/>
    <w:rsid w:val="00441956"/>
    <w:rsid w:val="00442614"/>
    <w:rsid w:val="004429A0"/>
    <w:rsid w:val="00442D5D"/>
    <w:rsid w:val="0044457D"/>
    <w:rsid w:val="004448F6"/>
    <w:rsid w:val="004454B4"/>
    <w:rsid w:val="00445E06"/>
    <w:rsid w:val="00446282"/>
    <w:rsid w:val="0044739F"/>
    <w:rsid w:val="00450646"/>
    <w:rsid w:val="004511D4"/>
    <w:rsid w:val="004512A1"/>
    <w:rsid w:val="004517A6"/>
    <w:rsid w:val="00451F73"/>
    <w:rsid w:val="00453F34"/>
    <w:rsid w:val="00456C4E"/>
    <w:rsid w:val="00456F41"/>
    <w:rsid w:val="0045711B"/>
    <w:rsid w:val="0045780A"/>
    <w:rsid w:val="00457EAE"/>
    <w:rsid w:val="00460203"/>
    <w:rsid w:val="00460722"/>
    <w:rsid w:val="004612D8"/>
    <w:rsid w:val="00461A82"/>
    <w:rsid w:val="00462E23"/>
    <w:rsid w:val="00462E9D"/>
    <w:rsid w:val="00464358"/>
    <w:rsid w:val="0046461C"/>
    <w:rsid w:val="00466D24"/>
    <w:rsid w:val="004674BD"/>
    <w:rsid w:val="00471F16"/>
    <w:rsid w:val="00473750"/>
    <w:rsid w:val="00473C32"/>
    <w:rsid w:val="00473C5E"/>
    <w:rsid w:val="00474E7C"/>
    <w:rsid w:val="0047549A"/>
    <w:rsid w:val="004764BB"/>
    <w:rsid w:val="004767EC"/>
    <w:rsid w:val="00477426"/>
    <w:rsid w:val="00477ADA"/>
    <w:rsid w:val="00477F32"/>
    <w:rsid w:val="0048102F"/>
    <w:rsid w:val="0048118C"/>
    <w:rsid w:val="00481677"/>
    <w:rsid w:val="00481AC5"/>
    <w:rsid w:val="0048347A"/>
    <w:rsid w:val="00485A27"/>
    <w:rsid w:val="00485B44"/>
    <w:rsid w:val="00490036"/>
    <w:rsid w:val="00490172"/>
    <w:rsid w:val="00490676"/>
    <w:rsid w:val="0049205C"/>
    <w:rsid w:val="00492890"/>
    <w:rsid w:val="004930C5"/>
    <w:rsid w:val="00493E6A"/>
    <w:rsid w:val="00493EFB"/>
    <w:rsid w:val="004946A2"/>
    <w:rsid w:val="00494AF4"/>
    <w:rsid w:val="00494C63"/>
    <w:rsid w:val="00496C7F"/>
    <w:rsid w:val="004A0083"/>
    <w:rsid w:val="004A1460"/>
    <w:rsid w:val="004A1764"/>
    <w:rsid w:val="004A1C82"/>
    <w:rsid w:val="004A1E8E"/>
    <w:rsid w:val="004A1ECB"/>
    <w:rsid w:val="004A2383"/>
    <w:rsid w:val="004A338A"/>
    <w:rsid w:val="004A3C48"/>
    <w:rsid w:val="004A409E"/>
    <w:rsid w:val="004A475B"/>
    <w:rsid w:val="004A5A08"/>
    <w:rsid w:val="004A7545"/>
    <w:rsid w:val="004A76F6"/>
    <w:rsid w:val="004A7E6D"/>
    <w:rsid w:val="004A7EF9"/>
    <w:rsid w:val="004B0652"/>
    <w:rsid w:val="004B0E32"/>
    <w:rsid w:val="004B198D"/>
    <w:rsid w:val="004B2626"/>
    <w:rsid w:val="004B37EC"/>
    <w:rsid w:val="004B37FD"/>
    <w:rsid w:val="004B3884"/>
    <w:rsid w:val="004B5249"/>
    <w:rsid w:val="004B6956"/>
    <w:rsid w:val="004C184C"/>
    <w:rsid w:val="004C229F"/>
    <w:rsid w:val="004C280B"/>
    <w:rsid w:val="004C31E0"/>
    <w:rsid w:val="004C647F"/>
    <w:rsid w:val="004C6E91"/>
    <w:rsid w:val="004C73F8"/>
    <w:rsid w:val="004C7705"/>
    <w:rsid w:val="004D05B6"/>
    <w:rsid w:val="004D09FC"/>
    <w:rsid w:val="004D1EC6"/>
    <w:rsid w:val="004D2D8D"/>
    <w:rsid w:val="004D2F12"/>
    <w:rsid w:val="004D3B8D"/>
    <w:rsid w:val="004D43CB"/>
    <w:rsid w:val="004D490C"/>
    <w:rsid w:val="004D4EA0"/>
    <w:rsid w:val="004D59ED"/>
    <w:rsid w:val="004D5C3B"/>
    <w:rsid w:val="004D64B1"/>
    <w:rsid w:val="004D732A"/>
    <w:rsid w:val="004E00B6"/>
    <w:rsid w:val="004E0273"/>
    <w:rsid w:val="004E0B1E"/>
    <w:rsid w:val="004E150A"/>
    <w:rsid w:val="004E1F93"/>
    <w:rsid w:val="004E2580"/>
    <w:rsid w:val="004E3EF1"/>
    <w:rsid w:val="004E440D"/>
    <w:rsid w:val="004E618E"/>
    <w:rsid w:val="004E6199"/>
    <w:rsid w:val="004E645B"/>
    <w:rsid w:val="004E6930"/>
    <w:rsid w:val="004F003E"/>
    <w:rsid w:val="004F7221"/>
    <w:rsid w:val="005006EA"/>
    <w:rsid w:val="005013F3"/>
    <w:rsid w:val="00502CA5"/>
    <w:rsid w:val="00503345"/>
    <w:rsid w:val="00505061"/>
    <w:rsid w:val="005051D3"/>
    <w:rsid w:val="0050535E"/>
    <w:rsid w:val="00505F78"/>
    <w:rsid w:val="00506F29"/>
    <w:rsid w:val="005108D7"/>
    <w:rsid w:val="005111E6"/>
    <w:rsid w:val="00511E85"/>
    <w:rsid w:val="00512C52"/>
    <w:rsid w:val="00512DA1"/>
    <w:rsid w:val="005132F6"/>
    <w:rsid w:val="00513A08"/>
    <w:rsid w:val="00514809"/>
    <w:rsid w:val="00515FDC"/>
    <w:rsid w:val="005171D1"/>
    <w:rsid w:val="005206FA"/>
    <w:rsid w:val="00520CC8"/>
    <w:rsid w:val="005212F0"/>
    <w:rsid w:val="0052170E"/>
    <w:rsid w:val="00522E77"/>
    <w:rsid w:val="00524CDD"/>
    <w:rsid w:val="00524FE7"/>
    <w:rsid w:val="005252CB"/>
    <w:rsid w:val="0052791A"/>
    <w:rsid w:val="00530089"/>
    <w:rsid w:val="00531298"/>
    <w:rsid w:val="00531786"/>
    <w:rsid w:val="005323C8"/>
    <w:rsid w:val="005328E8"/>
    <w:rsid w:val="00532D42"/>
    <w:rsid w:val="005333A8"/>
    <w:rsid w:val="00536752"/>
    <w:rsid w:val="00537581"/>
    <w:rsid w:val="0054227A"/>
    <w:rsid w:val="00543EAA"/>
    <w:rsid w:val="0054427D"/>
    <w:rsid w:val="005455EE"/>
    <w:rsid w:val="00545CFB"/>
    <w:rsid w:val="005507EC"/>
    <w:rsid w:val="005509DE"/>
    <w:rsid w:val="005533C5"/>
    <w:rsid w:val="005543ED"/>
    <w:rsid w:val="00554C3A"/>
    <w:rsid w:val="00554C54"/>
    <w:rsid w:val="00556139"/>
    <w:rsid w:val="00556A35"/>
    <w:rsid w:val="00560250"/>
    <w:rsid w:val="00560C74"/>
    <w:rsid w:val="00561059"/>
    <w:rsid w:val="00562B84"/>
    <w:rsid w:val="00564401"/>
    <w:rsid w:val="00564F39"/>
    <w:rsid w:val="0056649B"/>
    <w:rsid w:val="00566EBE"/>
    <w:rsid w:val="00570425"/>
    <w:rsid w:val="0057178A"/>
    <w:rsid w:val="00571EA9"/>
    <w:rsid w:val="0057253A"/>
    <w:rsid w:val="00573712"/>
    <w:rsid w:val="005744DC"/>
    <w:rsid w:val="0057499A"/>
    <w:rsid w:val="00575708"/>
    <w:rsid w:val="0057615C"/>
    <w:rsid w:val="0057737B"/>
    <w:rsid w:val="005779C6"/>
    <w:rsid w:val="00581225"/>
    <w:rsid w:val="00581A54"/>
    <w:rsid w:val="00581C8B"/>
    <w:rsid w:val="0058240F"/>
    <w:rsid w:val="00582439"/>
    <w:rsid w:val="0058658C"/>
    <w:rsid w:val="00586E42"/>
    <w:rsid w:val="00587960"/>
    <w:rsid w:val="00587AD5"/>
    <w:rsid w:val="0059034A"/>
    <w:rsid w:val="00590FF1"/>
    <w:rsid w:val="005910B5"/>
    <w:rsid w:val="00591B48"/>
    <w:rsid w:val="0059273D"/>
    <w:rsid w:val="005935B8"/>
    <w:rsid w:val="00593E04"/>
    <w:rsid w:val="00596803"/>
    <w:rsid w:val="00597205"/>
    <w:rsid w:val="005A1AE1"/>
    <w:rsid w:val="005A46A7"/>
    <w:rsid w:val="005A50FA"/>
    <w:rsid w:val="005A6B97"/>
    <w:rsid w:val="005A7377"/>
    <w:rsid w:val="005B0A9E"/>
    <w:rsid w:val="005B0C21"/>
    <w:rsid w:val="005B0CE8"/>
    <w:rsid w:val="005B1530"/>
    <w:rsid w:val="005B1A46"/>
    <w:rsid w:val="005B3CEE"/>
    <w:rsid w:val="005B4747"/>
    <w:rsid w:val="005B4AC6"/>
    <w:rsid w:val="005B7389"/>
    <w:rsid w:val="005B7E97"/>
    <w:rsid w:val="005C0386"/>
    <w:rsid w:val="005C0B03"/>
    <w:rsid w:val="005C13AB"/>
    <w:rsid w:val="005C31F9"/>
    <w:rsid w:val="005C3397"/>
    <w:rsid w:val="005C429C"/>
    <w:rsid w:val="005C431C"/>
    <w:rsid w:val="005C4DA2"/>
    <w:rsid w:val="005C7484"/>
    <w:rsid w:val="005C7D92"/>
    <w:rsid w:val="005D11F5"/>
    <w:rsid w:val="005D1A75"/>
    <w:rsid w:val="005D1BCC"/>
    <w:rsid w:val="005D2180"/>
    <w:rsid w:val="005D266A"/>
    <w:rsid w:val="005D26B0"/>
    <w:rsid w:val="005D41FB"/>
    <w:rsid w:val="005D5B64"/>
    <w:rsid w:val="005D5B6D"/>
    <w:rsid w:val="005D5BE6"/>
    <w:rsid w:val="005E0154"/>
    <w:rsid w:val="005E168F"/>
    <w:rsid w:val="005E2F78"/>
    <w:rsid w:val="005E3E70"/>
    <w:rsid w:val="005E6394"/>
    <w:rsid w:val="005E6AC9"/>
    <w:rsid w:val="005E76BF"/>
    <w:rsid w:val="005F13C5"/>
    <w:rsid w:val="005F1746"/>
    <w:rsid w:val="005F2010"/>
    <w:rsid w:val="005F301E"/>
    <w:rsid w:val="005F39BA"/>
    <w:rsid w:val="005F42B4"/>
    <w:rsid w:val="005F5B90"/>
    <w:rsid w:val="005F63B0"/>
    <w:rsid w:val="005F69C0"/>
    <w:rsid w:val="005F7037"/>
    <w:rsid w:val="0060150F"/>
    <w:rsid w:val="0060220C"/>
    <w:rsid w:val="0060252B"/>
    <w:rsid w:val="006027AA"/>
    <w:rsid w:val="00603F21"/>
    <w:rsid w:val="00605403"/>
    <w:rsid w:val="0060683E"/>
    <w:rsid w:val="00607515"/>
    <w:rsid w:val="00607DB2"/>
    <w:rsid w:val="00610646"/>
    <w:rsid w:val="00610CF8"/>
    <w:rsid w:val="00610D01"/>
    <w:rsid w:val="00611B1F"/>
    <w:rsid w:val="00612BB2"/>
    <w:rsid w:val="00612CA5"/>
    <w:rsid w:val="00612F34"/>
    <w:rsid w:val="0061352A"/>
    <w:rsid w:val="00613A94"/>
    <w:rsid w:val="00613CF7"/>
    <w:rsid w:val="00614114"/>
    <w:rsid w:val="006158B6"/>
    <w:rsid w:val="00616034"/>
    <w:rsid w:val="0061711B"/>
    <w:rsid w:val="006206BF"/>
    <w:rsid w:val="00622228"/>
    <w:rsid w:val="00622D77"/>
    <w:rsid w:val="00622EE7"/>
    <w:rsid w:val="00623818"/>
    <w:rsid w:val="0062432C"/>
    <w:rsid w:val="00624EB8"/>
    <w:rsid w:val="00625247"/>
    <w:rsid w:val="00626804"/>
    <w:rsid w:val="00626A6A"/>
    <w:rsid w:val="00627D1F"/>
    <w:rsid w:val="00627FF2"/>
    <w:rsid w:val="00630550"/>
    <w:rsid w:val="00631327"/>
    <w:rsid w:val="00631394"/>
    <w:rsid w:val="0063204E"/>
    <w:rsid w:val="006321EB"/>
    <w:rsid w:val="0063292F"/>
    <w:rsid w:val="006335A5"/>
    <w:rsid w:val="00633F48"/>
    <w:rsid w:val="00635ED9"/>
    <w:rsid w:val="00636078"/>
    <w:rsid w:val="00636B18"/>
    <w:rsid w:val="00637C21"/>
    <w:rsid w:val="00637CA1"/>
    <w:rsid w:val="0064290A"/>
    <w:rsid w:val="00642926"/>
    <w:rsid w:val="00643126"/>
    <w:rsid w:val="00644E7C"/>
    <w:rsid w:val="00645492"/>
    <w:rsid w:val="00645F68"/>
    <w:rsid w:val="006472E6"/>
    <w:rsid w:val="0064734C"/>
    <w:rsid w:val="00650634"/>
    <w:rsid w:val="00652F46"/>
    <w:rsid w:val="0065471A"/>
    <w:rsid w:val="00654A2D"/>
    <w:rsid w:val="006557FE"/>
    <w:rsid w:val="00656928"/>
    <w:rsid w:val="00656E7C"/>
    <w:rsid w:val="00656EAF"/>
    <w:rsid w:val="00661A43"/>
    <w:rsid w:val="00661CDC"/>
    <w:rsid w:val="006622F8"/>
    <w:rsid w:val="00663675"/>
    <w:rsid w:val="00663F2C"/>
    <w:rsid w:val="00664480"/>
    <w:rsid w:val="00666505"/>
    <w:rsid w:val="00666CFF"/>
    <w:rsid w:val="006723B0"/>
    <w:rsid w:val="00672E75"/>
    <w:rsid w:val="00674CF6"/>
    <w:rsid w:val="00675566"/>
    <w:rsid w:val="00675E53"/>
    <w:rsid w:val="006778B7"/>
    <w:rsid w:val="00680781"/>
    <w:rsid w:val="00680C5C"/>
    <w:rsid w:val="00680D12"/>
    <w:rsid w:val="0068162D"/>
    <w:rsid w:val="00681BAA"/>
    <w:rsid w:val="006824AE"/>
    <w:rsid w:val="00684A2A"/>
    <w:rsid w:val="00684B06"/>
    <w:rsid w:val="00686C7B"/>
    <w:rsid w:val="00691C74"/>
    <w:rsid w:val="00691C97"/>
    <w:rsid w:val="0069312A"/>
    <w:rsid w:val="006959BE"/>
    <w:rsid w:val="006A0076"/>
    <w:rsid w:val="006A0481"/>
    <w:rsid w:val="006A0A3D"/>
    <w:rsid w:val="006A26F0"/>
    <w:rsid w:val="006A2AF1"/>
    <w:rsid w:val="006A3D55"/>
    <w:rsid w:val="006A41A6"/>
    <w:rsid w:val="006A612D"/>
    <w:rsid w:val="006A76E4"/>
    <w:rsid w:val="006A7D08"/>
    <w:rsid w:val="006B1BEC"/>
    <w:rsid w:val="006B24E2"/>
    <w:rsid w:val="006B26F8"/>
    <w:rsid w:val="006B3418"/>
    <w:rsid w:val="006B3880"/>
    <w:rsid w:val="006B45F5"/>
    <w:rsid w:val="006B4FEC"/>
    <w:rsid w:val="006B5F05"/>
    <w:rsid w:val="006B60A6"/>
    <w:rsid w:val="006B619A"/>
    <w:rsid w:val="006B635B"/>
    <w:rsid w:val="006B6B6D"/>
    <w:rsid w:val="006B715B"/>
    <w:rsid w:val="006B7523"/>
    <w:rsid w:val="006C0C1F"/>
    <w:rsid w:val="006C3958"/>
    <w:rsid w:val="006C4483"/>
    <w:rsid w:val="006C5FF7"/>
    <w:rsid w:val="006C6FA8"/>
    <w:rsid w:val="006C7C2C"/>
    <w:rsid w:val="006D09FF"/>
    <w:rsid w:val="006D1552"/>
    <w:rsid w:val="006D15FC"/>
    <w:rsid w:val="006D3CFB"/>
    <w:rsid w:val="006D66A0"/>
    <w:rsid w:val="006D6DE2"/>
    <w:rsid w:val="006D73FF"/>
    <w:rsid w:val="006D7BD2"/>
    <w:rsid w:val="006E03E5"/>
    <w:rsid w:val="006E1C3B"/>
    <w:rsid w:val="006E2D78"/>
    <w:rsid w:val="006E3006"/>
    <w:rsid w:val="006E361F"/>
    <w:rsid w:val="006E4AC9"/>
    <w:rsid w:val="006E4C25"/>
    <w:rsid w:val="006E6B3F"/>
    <w:rsid w:val="006E70EB"/>
    <w:rsid w:val="006E716F"/>
    <w:rsid w:val="006E78D8"/>
    <w:rsid w:val="006F0949"/>
    <w:rsid w:val="006F1CC7"/>
    <w:rsid w:val="006F3332"/>
    <w:rsid w:val="006F37B4"/>
    <w:rsid w:val="006F4838"/>
    <w:rsid w:val="006F4912"/>
    <w:rsid w:val="006F49F1"/>
    <w:rsid w:val="006F4F32"/>
    <w:rsid w:val="006F581F"/>
    <w:rsid w:val="006F6CD3"/>
    <w:rsid w:val="006F7514"/>
    <w:rsid w:val="007009EF"/>
    <w:rsid w:val="0070204E"/>
    <w:rsid w:val="00704AF2"/>
    <w:rsid w:val="00705146"/>
    <w:rsid w:val="00705631"/>
    <w:rsid w:val="00706591"/>
    <w:rsid w:val="00707590"/>
    <w:rsid w:val="00707774"/>
    <w:rsid w:val="0071063A"/>
    <w:rsid w:val="007118FF"/>
    <w:rsid w:val="00711EDD"/>
    <w:rsid w:val="00712DD2"/>
    <w:rsid w:val="007140A6"/>
    <w:rsid w:val="00714B11"/>
    <w:rsid w:val="00714B8D"/>
    <w:rsid w:val="00714FC3"/>
    <w:rsid w:val="00716BC6"/>
    <w:rsid w:val="00720C9D"/>
    <w:rsid w:val="00720FC8"/>
    <w:rsid w:val="007210FC"/>
    <w:rsid w:val="00721303"/>
    <w:rsid w:val="00722B5B"/>
    <w:rsid w:val="00723D71"/>
    <w:rsid w:val="0072400D"/>
    <w:rsid w:val="00730C91"/>
    <w:rsid w:val="0073176B"/>
    <w:rsid w:val="00731D43"/>
    <w:rsid w:val="007323B4"/>
    <w:rsid w:val="0073294A"/>
    <w:rsid w:val="00733608"/>
    <w:rsid w:val="00733AE2"/>
    <w:rsid w:val="00733E54"/>
    <w:rsid w:val="00734DE6"/>
    <w:rsid w:val="007354ED"/>
    <w:rsid w:val="007370DF"/>
    <w:rsid w:val="007376B5"/>
    <w:rsid w:val="00737883"/>
    <w:rsid w:val="00742761"/>
    <w:rsid w:val="00742E85"/>
    <w:rsid w:val="00744053"/>
    <w:rsid w:val="0074494B"/>
    <w:rsid w:val="007456D0"/>
    <w:rsid w:val="00747494"/>
    <w:rsid w:val="00747E38"/>
    <w:rsid w:val="0075011F"/>
    <w:rsid w:val="00751453"/>
    <w:rsid w:val="00752019"/>
    <w:rsid w:val="007526AC"/>
    <w:rsid w:val="00752801"/>
    <w:rsid w:val="007531EB"/>
    <w:rsid w:val="007539BC"/>
    <w:rsid w:val="00753D67"/>
    <w:rsid w:val="00754123"/>
    <w:rsid w:val="00754728"/>
    <w:rsid w:val="007549C5"/>
    <w:rsid w:val="00754DBD"/>
    <w:rsid w:val="007558CB"/>
    <w:rsid w:val="00757DE6"/>
    <w:rsid w:val="00760EA9"/>
    <w:rsid w:val="0076110B"/>
    <w:rsid w:val="00761653"/>
    <w:rsid w:val="00761BC5"/>
    <w:rsid w:val="00762A47"/>
    <w:rsid w:val="00762C77"/>
    <w:rsid w:val="0076338B"/>
    <w:rsid w:val="0076344C"/>
    <w:rsid w:val="007657B9"/>
    <w:rsid w:val="007666DD"/>
    <w:rsid w:val="00767853"/>
    <w:rsid w:val="00767C80"/>
    <w:rsid w:val="0077073C"/>
    <w:rsid w:val="00770A8D"/>
    <w:rsid w:val="00770F0C"/>
    <w:rsid w:val="007711BA"/>
    <w:rsid w:val="007719B2"/>
    <w:rsid w:val="007724CB"/>
    <w:rsid w:val="00772E5E"/>
    <w:rsid w:val="00773117"/>
    <w:rsid w:val="00774A7F"/>
    <w:rsid w:val="007752BC"/>
    <w:rsid w:val="00775ACA"/>
    <w:rsid w:val="00775E8D"/>
    <w:rsid w:val="007762DF"/>
    <w:rsid w:val="007802B6"/>
    <w:rsid w:val="0078128E"/>
    <w:rsid w:val="00782FF7"/>
    <w:rsid w:val="00783B39"/>
    <w:rsid w:val="00785744"/>
    <w:rsid w:val="007858E7"/>
    <w:rsid w:val="00785C32"/>
    <w:rsid w:val="00786BEB"/>
    <w:rsid w:val="007910B5"/>
    <w:rsid w:val="00791858"/>
    <w:rsid w:val="0079353D"/>
    <w:rsid w:val="00793FAE"/>
    <w:rsid w:val="00794628"/>
    <w:rsid w:val="007948B6"/>
    <w:rsid w:val="00795509"/>
    <w:rsid w:val="00795C26"/>
    <w:rsid w:val="00795C2C"/>
    <w:rsid w:val="00796611"/>
    <w:rsid w:val="00797157"/>
    <w:rsid w:val="00797908"/>
    <w:rsid w:val="007A1578"/>
    <w:rsid w:val="007A2CA6"/>
    <w:rsid w:val="007A2F77"/>
    <w:rsid w:val="007A433E"/>
    <w:rsid w:val="007A4371"/>
    <w:rsid w:val="007A652B"/>
    <w:rsid w:val="007A7A36"/>
    <w:rsid w:val="007B024D"/>
    <w:rsid w:val="007B07F8"/>
    <w:rsid w:val="007B0FC0"/>
    <w:rsid w:val="007B1E8C"/>
    <w:rsid w:val="007B40D2"/>
    <w:rsid w:val="007B539E"/>
    <w:rsid w:val="007B5947"/>
    <w:rsid w:val="007B6023"/>
    <w:rsid w:val="007B6786"/>
    <w:rsid w:val="007B6E3F"/>
    <w:rsid w:val="007B79C8"/>
    <w:rsid w:val="007B7F27"/>
    <w:rsid w:val="007C094E"/>
    <w:rsid w:val="007C1015"/>
    <w:rsid w:val="007C2A53"/>
    <w:rsid w:val="007C31BC"/>
    <w:rsid w:val="007C3B51"/>
    <w:rsid w:val="007C5BD1"/>
    <w:rsid w:val="007C664F"/>
    <w:rsid w:val="007D0B22"/>
    <w:rsid w:val="007D1060"/>
    <w:rsid w:val="007D1823"/>
    <w:rsid w:val="007D1ACB"/>
    <w:rsid w:val="007D1E52"/>
    <w:rsid w:val="007D3A6C"/>
    <w:rsid w:val="007D561D"/>
    <w:rsid w:val="007D58C5"/>
    <w:rsid w:val="007D6EB9"/>
    <w:rsid w:val="007D7F69"/>
    <w:rsid w:val="007E1B33"/>
    <w:rsid w:val="007E1D22"/>
    <w:rsid w:val="007E2089"/>
    <w:rsid w:val="007E2467"/>
    <w:rsid w:val="007E28E3"/>
    <w:rsid w:val="007E2F4A"/>
    <w:rsid w:val="007E4BF6"/>
    <w:rsid w:val="007E5843"/>
    <w:rsid w:val="007E6730"/>
    <w:rsid w:val="007E6756"/>
    <w:rsid w:val="007E6C1A"/>
    <w:rsid w:val="007E73A8"/>
    <w:rsid w:val="007E7796"/>
    <w:rsid w:val="007F08D2"/>
    <w:rsid w:val="007F0C10"/>
    <w:rsid w:val="007F1CC2"/>
    <w:rsid w:val="007F2239"/>
    <w:rsid w:val="007F312D"/>
    <w:rsid w:val="007F37D4"/>
    <w:rsid w:val="007F451C"/>
    <w:rsid w:val="008007C6"/>
    <w:rsid w:val="00801B80"/>
    <w:rsid w:val="00801C88"/>
    <w:rsid w:val="00803C9D"/>
    <w:rsid w:val="008041F2"/>
    <w:rsid w:val="008066B6"/>
    <w:rsid w:val="00806B9D"/>
    <w:rsid w:val="00806E5B"/>
    <w:rsid w:val="0081050B"/>
    <w:rsid w:val="00812BF6"/>
    <w:rsid w:val="00813096"/>
    <w:rsid w:val="00815666"/>
    <w:rsid w:val="0081594A"/>
    <w:rsid w:val="00817AC4"/>
    <w:rsid w:val="008209A4"/>
    <w:rsid w:val="00821310"/>
    <w:rsid w:val="00821A52"/>
    <w:rsid w:val="00823E5F"/>
    <w:rsid w:val="0082504D"/>
    <w:rsid w:val="008266C3"/>
    <w:rsid w:val="00826CC2"/>
    <w:rsid w:val="0083175B"/>
    <w:rsid w:val="00832690"/>
    <w:rsid w:val="008326E5"/>
    <w:rsid w:val="008338FB"/>
    <w:rsid w:val="0083459A"/>
    <w:rsid w:val="00836201"/>
    <w:rsid w:val="008379A9"/>
    <w:rsid w:val="0084038B"/>
    <w:rsid w:val="0084226E"/>
    <w:rsid w:val="0084421F"/>
    <w:rsid w:val="00844A09"/>
    <w:rsid w:val="008468F7"/>
    <w:rsid w:val="008471A3"/>
    <w:rsid w:val="0085126F"/>
    <w:rsid w:val="008513A9"/>
    <w:rsid w:val="0085281C"/>
    <w:rsid w:val="0085320E"/>
    <w:rsid w:val="00854A9B"/>
    <w:rsid w:val="00854CE2"/>
    <w:rsid w:val="008562EC"/>
    <w:rsid w:val="00857E87"/>
    <w:rsid w:val="00857F47"/>
    <w:rsid w:val="00857FB7"/>
    <w:rsid w:val="00861027"/>
    <w:rsid w:val="0086148F"/>
    <w:rsid w:val="00861910"/>
    <w:rsid w:val="00861AE7"/>
    <w:rsid w:val="008630AE"/>
    <w:rsid w:val="0086318F"/>
    <w:rsid w:val="00863B6D"/>
    <w:rsid w:val="00863C41"/>
    <w:rsid w:val="00864785"/>
    <w:rsid w:val="00864F02"/>
    <w:rsid w:val="00866BB6"/>
    <w:rsid w:val="00866D9C"/>
    <w:rsid w:val="00870D28"/>
    <w:rsid w:val="008717D1"/>
    <w:rsid w:val="008726F0"/>
    <w:rsid w:val="00872C5D"/>
    <w:rsid w:val="00872E38"/>
    <w:rsid w:val="008739E5"/>
    <w:rsid w:val="00873C48"/>
    <w:rsid w:val="00874513"/>
    <w:rsid w:val="0087688E"/>
    <w:rsid w:val="00877414"/>
    <w:rsid w:val="00880264"/>
    <w:rsid w:val="00880B34"/>
    <w:rsid w:val="00880D3D"/>
    <w:rsid w:val="008818FD"/>
    <w:rsid w:val="00881AAB"/>
    <w:rsid w:val="00881C97"/>
    <w:rsid w:val="008823B8"/>
    <w:rsid w:val="00883078"/>
    <w:rsid w:val="00884036"/>
    <w:rsid w:val="008841A4"/>
    <w:rsid w:val="00885383"/>
    <w:rsid w:val="00885729"/>
    <w:rsid w:val="0088699A"/>
    <w:rsid w:val="00890E8C"/>
    <w:rsid w:val="0089269E"/>
    <w:rsid w:val="0089593C"/>
    <w:rsid w:val="00896159"/>
    <w:rsid w:val="00896182"/>
    <w:rsid w:val="008976F4"/>
    <w:rsid w:val="00897FE8"/>
    <w:rsid w:val="008A0A05"/>
    <w:rsid w:val="008A1E86"/>
    <w:rsid w:val="008A3CF7"/>
    <w:rsid w:val="008A3E3E"/>
    <w:rsid w:val="008A4081"/>
    <w:rsid w:val="008A42DB"/>
    <w:rsid w:val="008A519C"/>
    <w:rsid w:val="008A6BEF"/>
    <w:rsid w:val="008B158D"/>
    <w:rsid w:val="008B5686"/>
    <w:rsid w:val="008B5D87"/>
    <w:rsid w:val="008B6486"/>
    <w:rsid w:val="008B6773"/>
    <w:rsid w:val="008B6FAC"/>
    <w:rsid w:val="008B7300"/>
    <w:rsid w:val="008C0402"/>
    <w:rsid w:val="008C2197"/>
    <w:rsid w:val="008C28D5"/>
    <w:rsid w:val="008C3204"/>
    <w:rsid w:val="008C3493"/>
    <w:rsid w:val="008C3F7C"/>
    <w:rsid w:val="008C4E29"/>
    <w:rsid w:val="008C71BE"/>
    <w:rsid w:val="008C760D"/>
    <w:rsid w:val="008C7A67"/>
    <w:rsid w:val="008D11A6"/>
    <w:rsid w:val="008D1401"/>
    <w:rsid w:val="008D201F"/>
    <w:rsid w:val="008D2D64"/>
    <w:rsid w:val="008D415F"/>
    <w:rsid w:val="008D42C1"/>
    <w:rsid w:val="008D46DE"/>
    <w:rsid w:val="008D4C74"/>
    <w:rsid w:val="008D4CE0"/>
    <w:rsid w:val="008D5ADB"/>
    <w:rsid w:val="008D72A9"/>
    <w:rsid w:val="008D7599"/>
    <w:rsid w:val="008E02A7"/>
    <w:rsid w:val="008E0491"/>
    <w:rsid w:val="008E1D59"/>
    <w:rsid w:val="008E22E2"/>
    <w:rsid w:val="008E2938"/>
    <w:rsid w:val="008E347F"/>
    <w:rsid w:val="008E38D0"/>
    <w:rsid w:val="008E3F13"/>
    <w:rsid w:val="008E42C1"/>
    <w:rsid w:val="008E57B8"/>
    <w:rsid w:val="008E5D28"/>
    <w:rsid w:val="008E6952"/>
    <w:rsid w:val="008F0229"/>
    <w:rsid w:val="008F0434"/>
    <w:rsid w:val="008F0BBE"/>
    <w:rsid w:val="008F14B5"/>
    <w:rsid w:val="008F2025"/>
    <w:rsid w:val="008F32F4"/>
    <w:rsid w:val="008F4614"/>
    <w:rsid w:val="008F4EB8"/>
    <w:rsid w:val="008F585C"/>
    <w:rsid w:val="008F6B40"/>
    <w:rsid w:val="008F6B5A"/>
    <w:rsid w:val="009015B8"/>
    <w:rsid w:val="00902122"/>
    <w:rsid w:val="00902E07"/>
    <w:rsid w:val="00902EE9"/>
    <w:rsid w:val="0090383C"/>
    <w:rsid w:val="009044C2"/>
    <w:rsid w:val="0090482D"/>
    <w:rsid w:val="00904AD5"/>
    <w:rsid w:val="0090754C"/>
    <w:rsid w:val="0091173D"/>
    <w:rsid w:val="00911D78"/>
    <w:rsid w:val="0091266A"/>
    <w:rsid w:val="0091309E"/>
    <w:rsid w:val="00913308"/>
    <w:rsid w:val="009133FC"/>
    <w:rsid w:val="00914311"/>
    <w:rsid w:val="00914C1B"/>
    <w:rsid w:val="00915323"/>
    <w:rsid w:val="009158EA"/>
    <w:rsid w:val="00916AF1"/>
    <w:rsid w:val="009171F3"/>
    <w:rsid w:val="00917DED"/>
    <w:rsid w:val="0092006D"/>
    <w:rsid w:val="009210D2"/>
    <w:rsid w:val="00921453"/>
    <w:rsid w:val="00922127"/>
    <w:rsid w:val="0092225B"/>
    <w:rsid w:val="00923E67"/>
    <w:rsid w:val="009246BA"/>
    <w:rsid w:val="00924BED"/>
    <w:rsid w:val="009253B2"/>
    <w:rsid w:val="00925580"/>
    <w:rsid w:val="009266F9"/>
    <w:rsid w:val="00927694"/>
    <w:rsid w:val="00930A3C"/>
    <w:rsid w:val="00930ECB"/>
    <w:rsid w:val="00931D17"/>
    <w:rsid w:val="00931D2F"/>
    <w:rsid w:val="00932AD6"/>
    <w:rsid w:val="009339B8"/>
    <w:rsid w:val="009349ED"/>
    <w:rsid w:val="00934C9A"/>
    <w:rsid w:val="00934DD7"/>
    <w:rsid w:val="0093593A"/>
    <w:rsid w:val="0093667D"/>
    <w:rsid w:val="00937948"/>
    <w:rsid w:val="00940A2E"/>
    <w:rsid w:val="00940BB0"/>
    <w:rsid w:val="0094146F"/>
    <w:rsid w:val="009418C6"/>
    <w:rsid w:val="00941BB5"/>
    <w:rsid w:val="00942291"/>
    <w:rsid w:val="00942407"/>
    <w:rsid w:val="0094299E"/>
    <w:rsid w:val="00942D87"/>
    <w:rsid w:val="009441E4"/>
    <w:rsid w:val="0094531B"/>
    <w:rsid w:val="00945E5C"/>
    <w:rsid w:val="0094613C"/>
    <w:rsid w:val="00947C4B"/>
    <w:rsid w:val="00947CB0"/>
    <w:rsid w:val="009514B7"/>
    <w:rsid w:val="00951607"/>
    <w:rsid w:val="00951790"/>
    <w:rsid w:val="00951CD9"/>
    <w:rsid w:val="00955269"/>
    <w:rsid w:val="00955E87"/>
    <w:rsid w:val="00956016"/>
    <w:rsid w:val="00956E71"/>
    <w:rsid w:val="00957B4F"/>
    <w:rsid w:val="00957E3E"/>
    <w:rsid w:val="00957F20"/>
    <w:rsid w:val="0096036D"/>
    <w:rsid w:val="0096151A"/>
    <w:rsid w:val="009619DB"/>
    <w:rsid w:val="009622CF"/>
    <w:rsid w:val="009627DB"/>
    <w:rsid w:val="00962BB4"/>
    <w:rsid w:val="0096455F"/>
    <w:rsid w:val="00964D7A"/>
    <w:rsid w:val="00964E9D"/>
    <w:rsid w:val="00965884"/>
    <w:rsid w:val="0096590E"/>
    <w:rsid w:val="009659F2"/>
    <w:rsid w:val="00967195"/>
    <w:rsid w:val="00967F3C"/>
    <w:rsid w:val="00971A0E"/>
    <w:rsid w:val="00971D57"/>
    <w:rsid w:val="00974346"/>
    <w:rsid w:val="0097458D"/>
    <w:rsid w:val="0097481B"/>
    <w:rsid w:val="00975349"/>
    <w:rsid w:val="009755D4"/>
    <w:rsid w:val="00975C48"/>
    <w:rsid w:val="00975E1C"/>
    <w:rsid w:val="0097752B"/>
    <w:rsid w:val="00977ABE"/>
    <w:rsid w:val="009806B5"/>
    <w:rsid w:val="00980ECB"/>
    <w:rsid w:val="009812BA"/>
    <w:rsid w:val="00981736"/>
    <w:rsid w:val="00981A3D"/>
    <w:rsid w:val="009820F9"/>
    <w:rsid w:val="0098222A"/>
    <w:rsid w:val="0098373A"/>
    <w:rsid w:val="00983A80"/>
    <w:rsid w:val="0098541D"/>
    <w:rsid w:val="0098790F"/>
    <w:rsid w:val="009902FC"/>
    <w:rsid w:val="00990D16"/>
    <w:rsid w:val="00990E74"/>
    <w:rsid w:val="00991B81"/>
    <w:rsid w:val="00992E2D"/>
    <w:rsid w:val="00993B95"/>
    <w:rsid w:val="00993CF8"/>
    <w:rsid w:val="00993D2F"/>
    <w:rsid w:val="00995A54"/>
    <w:rsid w:val="00995B75"/>
    <w:rsid w:val="00996A7B"/>
    <w:rsid w:val="009A0EF7"/>
    <w:rsid w:val="009A2795"/>
    <w:rsid w:val="009A4F5E"/>
    <w:rsid w:val="009A66D7"/>
    <w:rsid w:val="009A688C"/>
    <w:rsid w:val="009A7882"/>
    <w:rsid w:val="009B1178"/>
    <w:rsid w:val="009B1C3D"/>
    <w:rsid w:val="009B28A2"/>
    <w:rsid w:val="009B36DD"/>
    <w:rsid w:val="009B3EDF"/>
    <w:rsid w:val="009B4010"/>
    <w:rsid w:val="009B691B"/>
    <w:rsid w:val="009B709C"/>
    <w:rsid w:val="009B7A24"/>
    <w:rsid w:val="009B7CC7"/>
    <w:rsid w:val="009C2AC6"/>
    <w:rsid w:val="009C2C76"/>
    <w:rsid w:val="009C33EF"/>
    <w:rsid w:val="009C3BF3"/>
    <w:rsid w:val="009C4190"/>
    <w:rsid w:val="009C55E4"/>
    <w:rsid w:val="009C638D"/>
    <w:rsid w:val="009C7202"/>
    <w:rsid w:val="009C75BE"/>
    <w:rsid w:val="009C7A0E"/>
    <w:rsid w:val="009C7C91"/>
    <w:rsid w:val="009D14C0"/>
    <w:rsid w:val="009D1561"/>
    <w:rsid w:val="009D2102"/>
    <w:rsid w:val="009D3E31"/>
    <w:rsid w:val="009D521B"/>
    <w:rsid w:val="009D6B35"/>
    <w:rsid w:val="009D6FD7"/>
    <w:rsid w:val="009D74C5"/>
    <w:rsid w:val="009D77AC"/>
    <w:rsid w:val="009E1512"/>
    <w:rsid w:val="009E23A4"/>
    <w:rsid w:val="009E24E9"/>
    <w:rsid w:val="009E2FD7"/>
    <w:rsid w:val="009E4D46"/>
    <w:rsid w:val="009E50DB"/>
    <w:rsid w:val="009E5657"/>
    <w:rsid w:val="009E56D8"/>
    <w:rsid w:val="009E5748"/>
    <w:rsid w:val="009E6055"/>
    <w:rsid w:val="009E61E9"/>
    <w:rsid w:val="009E646F"/>
    <w:rsid w:val="009E6F64"/>
    <w:rsid w:val="009E7815"/>
    <w:rsid w:val="009F2F81"/>
    <w:rsid w:val="009F3020"/>
    <w:rsid w:val="009F44C5"/>
    <w:rsid w:val="009F4540"/>
    <w:rsid w:val="009F4CD6"/>
    <w:rsid w:val="009F5D47"/>
    <w:rsid w:val="009F6B5A"/>
    <w:rsid w:val="009F705D"/>
    <w:rsid w:val="009F7199"/>
    <w:rsid w:val="009F7CF2"/>
    <w:rsid w:val="00A00BEB"/>
    <w:rsid w:val="00A020F5"/>
    <w:rsid w:val="00A0383D"/>
    <w:rsid w:val="00A03B9D"/>
    <w:rsid w:val="00A06145"/>
    <w:rsid w:val="00A06C42"/>
    <w:rsid w:val="00A07033"/>
    <w:rsid w:val="00A076B6"/>
    <w:rsid w:val="00A109F5"/>
    <w:rsid w:val="00A10F58"/>
    <w:rsid w:val="00A11658"/>
    <w:rsid w:val="00A135A9"/>
    <w:rsid w:val="00A141FD"/>
    <w:rsid w:val="00A16111"/>
    <w:rsid w:val="00A16A2F"/>
    <w:rsid w:val="00A207BF"/>
    <w:rsid w:val="00A215AF"/>
    <w:rsid w:val="00A2197A"/>
    <w:rsid w:val="00A21985"/>
    <w:rsid w:val="00A21F36"/>
    <w:rsid w:val="00A230D4"/>
    <w:rsid w:val="00A2364A"/>
    <w:rsid w:val="00A23FFC"/>
    <w:rsid w:val="00A242FD"/>
    <w:rsid w:val="00A24566"/>
    <w:rsid w:val="00A24ACA"/>
    <w:rsid w:val="00A26301"/>
    <w:rsid w:val="00A279D2"/>
    <w:rsid w:val="00A302CF"/>
    <w:rsid w:val="00A32031"/>
    <w:rsid w:val="00A32413"/>
    <w:rsid w:val="00A332A5"/>
    <w:rsid w:val="00A3399C"/>
    <w:rsid w:val="00A341C0"/>
    <w:rsid w:val="00A35756"/>
    <w:rsid w:val="00A357F1"/>
    <w:rsid w:val="00A35BA2"/>
    <w:rsid w:val="00A379E8"/>
    <w:rsid w:val="00A37FD9"/>
    <w:rsid w:val="00A40E31"/>
    <w:rsid w:val="00A418DE"/>
    <w:rsid w:val="00A419F4"/>
    <w:rsid w:val="00A421E1"/>
    <w:rsid w:val="00A431DD"/>
    <w:rsid w:val="00A46385"/>
    <w:rsid w:val="00A4687B"/>
    <w:rsid w:val="00A47393"/>
    <w:rsid w:val="00A47BD9"/>
    <w:rsid w:val="00A47CB1"/>
    <w:rsid w:val="00A47CB7"/>
    <w:rsid w:val="00A529B6"/>
    <w:rsid w:val="00A5389F"/>
    <w:rsid w:val="00A54108"/>
    <w:rsid w:val="00A54650"/>
    <w:rsid w:val="00A54B44"/>
    <w:rsid w:val="00A54EEF"/>
    <w:rsid w:val="00A5761B"/>
    <w:rsid w:val="00A57C54"/>
    <w:rsid w:val="00A57EE8"/>
    <w:rsid w:val="00A607FB"/>
    <w:rsid w:val="00A636B0"/>
    <w:rsid w:val="00A63889"/>
    <w:rsid w:val="00A63C49"/>
    <w:rsid w:val="00A64111"/>
    <w:rsid w:val="00A64541"/>
    <w:rsid w:val="00A6499F"/>
    <w:rsid w:val="00A6571A"/>
    <w:rsid w:val="00A66729"/>
    <w:rsid w:val="00A70518"/>
    <w:rsid w:val="00A7166B"/>
    <w:rsid w:val="00A72B7F"/>
    <w:rsid w:val="00A733A9"/>
    <w:rsid w:val="00A755F9"/>
    <w:rsid w:val="00A76FA7"/>
    <w:rsid w:val="00A77BC5"/>
    <w:rsid w:val="00A8067B"/>
    <w:rsid w:val="00A80816"/>
    <w:rsid w:val="00A813F7"/>
    <w:rsid w:val="00A8184A"/>
    <w:rsid w:val="00A825AC"/>
    <w:rsid w:val="00A8428E"/>
    <w:rsid w:val="00A85045"/>
    <w:rsid w:val="00A85582"/>
    <w:rsid w:val="00A856C3"/>
    <w:rsid w:val="00A85803"/>
    <w:rsid w:val="00A8689A"/>
    <w:rsid w:val="00A91637"/>
    <w:rsid w:val="00A9262E"/>
    <w:rsid w:val="00A92C20"/>
    <w:rsid w:val="00A93974"/>
    <w:rsid w:val="00A93BAA"/>
    <w:rsid w:val="00A94747"/>
    <w:rsid w:val="00A95AD8"/>
    <w:rsid w:val="00A964A6"/>
    <w:rsid w:val="00A97223"/>
    <w:rsid w:val="00A97B7D"/>
    <w:rsid w:val="00A97EED"/>
    <w:rsid w:val="00AA13C3"/>
    <w:rsid w:val="00AA14B5"/>
    <w:rsid w:val="00AA1EFD"/>
    <w:rsid w:val="00AA459F"/>
    <w:rsid w:val="00AA493C"/>
    <w:rsid w:val="00AA4F51"/>
    <w:rsid w:val="00AA6C8C"/>
    <w:rsid w:val="00AA72DA"/>
    <w:rsid w:val="00AA797E"/>
    <w:rsid w:val="00AB0EEA"/>
    <w:rsid w:val="00AB2634"/>
    <w:rsid w:val="00AB2645"/>
    <w:rsid w:val="00AB2790"/>
    <w:rsid w:val="00AB2929"/>
    <w:rsid w:val="00AB2A7E"/>
    <w:rsid w:val="00AB2F33"/>
    <w:rsid w:val="00AB33E1"/>
    <w:rsid w:val="00AB44D1"/>
    <w:rsid w:val="00AB4BB3"/>
    <w:rsid w:val="00AB50ED"/>
    <w:rsid w:val="00AB5149"/>
    <w:rsid w:val="00AB5E03"/>
    <w:rsid w:val="00AB692C"/>
    <w:rsid w:val="00AB6DFA"/>
    <w:rsid w:val="00AB7CF0"/>
    <w:rsid w:val="00AC0392"/>
    <w:rsid w:val="00AC0980"/>
    <w:rsid w:val="00AC1291"/>
    <w:rsid w:val="00AC2211"/>
    <w:rsid w:val="00AC24FB"/>
    <w:rsid w:val="00AC2505"/>
    <w:rsid w:val="00AC2A58"/>
    <w:rsid w:val="00AC40D4"/>
    <w:rsid w:val="00AC4CD7"/>
    <w:rsid w:val="00AC525F"/>
    <w:rsid w:val="00AD1646"/>
    <w:rsid w:val="00AD1A5E"/>
    <w:rsid w:val="00AD227F"/>
    <w:rsid w:val="00AD2DE2"/>
    <w:rsid w:val="00AD3043"/>
    <w:rsid w:val="00AD36B2"/>
    <w:rsid w:val="00AD4D8B"/>
    <w:rsid w:val="00AD6442"/>
    <w:rsid w:val="00AE0FC6"/>
    <w:rsid w:val="00AE12E3"/>
    <w:rsid w:val="00AE1B97"/>
    <w:rsid w:val="00AE2005"/>
    <w:rsid w:val="00AE6059"/>
    <w:rsid w:val="00AE672A"/>
    <w:rsid w:val="00AE7067"/>
    <w:rsid w:val="00AF0A29"/>
    <w:rsid w:val="00AF4C92"/>
    <w:rsid w:val="00AF61C9"/>
    <w:rsid w:val="00AF653D"/>
    <w:rsid w:val="00AF73B4"/>
    <w:rsid w:val="00B015E8"/>
    <w:rsid w:val="00B01917"/>
    <w:rsid w:val="00B0262B"/>
    <w:rsid w:val="00B0332E"/>
    <w:rsid w:val="00B04C53"/>
    <w:rsid w:val="00B04C7D"/>
    <w:rsid w:val="00B073A3"/>
    <w:rsid w:val="00B10176"/>
    <w:rsid w:val="00B10EC2"/>
    <w:rsid w:val="00B1137C"/>
    <w:rsid w:val="00B11DF8"/>
    <w:rsid w:val="00B12727"/>
    <w:rsid w:val="00B1305F"/>
    <w:rsid w:val="00B1476F"/>
    <w:rsid w:val="00B14F9B"/>
    <w:rsid w:val="00B15BC3"/>
    <w:rsid w:val="00B17352"/>
    <w:rsid w:val="00B20EBD"/>
    <w:rsid w:val="00B20ED3"/>
    <w:rsid w:val="00B2176D"/>
    <w:rsid w:val="00B224A0"/>
    <w:rsid w:val="00B225E3"/>
    <w:rsid w:val="00B2268E"/>
    <w:rsid w:val="00B22BF1"/>
    <w:rsid w:val="00B22CCE"/>
    <w:rsid w:val="00B24122"/>
    <w:rsid w:val="00B24544"/>
    <w:rsid w:val="00B246E4"/>
    <w:rsid w:val="00B248AC"/>
    <w:rsid w:val="00B24F52"/>
    <w:rsid w:val="00B26045"/>
    <w:rsid w:val="00B260BF"/>
    <w:rsid w:val="00B265B7"/>
    <w:rsid w:val="00B26E99"/>
    <w:rsid w:val="00B27A33"/>
    <w:rsid w:val="00B300AA"/>
    <w:rsid w:val="00B3071F"/>
    <w:rsid w:val="00B3251F"/>
    <w:rsid w:val="00B33A73"/>
    <w:rsid w:val="00B34F67"/>
    <w:rsid w:val="00B377CA"/>
    <w:rsid w:val="00B37A75"/>
    <w:rsid w:val="00B37C83"/>
    <w:rsid w:val="00B41D1C"/>
    <w:rsid w:val="00B43338"/>
    <w:rsid w:val="00B4339F"/>
    <w:rsid w:val="00B46A95"/>
    <w:rsid w:val="00B46DC7"/>
    <w:rsid w:val="00B50DC3"/>
    <w:rsid w:val="00B5152B"/>
    <w:rsid w:val="00B516F3"/>
    <w:rsid w:val="00B519EF"/>
    <w:rsid w:val="00B535CF"/>
    <w:rsid w:val="00B5441D"/>
    <w:rsid w:val="00B54492"/>
    <w:rsid w:val="00B548B1"/>
    <w:rsid w:val="00B54C9B"/>
    <w:rsid w:val="00B55993"/>
    <w:rsid w:val="00B56A3F"/>
    <w:rsid w:val="00B570A0"/>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4CA6"/>
    <w:rsid w:val="00B85B3D"/>
    <w:rsid w:val="00B85C63"/>
    <w:rsid w:val="00B8600E"/>
    <w:rsid w:val="00B8675C"/>
    <w:rsid w:val="00B86C8E"/>
    <w:rsid w:val="00B8739F"/>
    <w:rsid w:val="00B875DA"/>
    <w:rsid w:val="00B90103"/>
    <w:rsid w:val="00B91F5A"/>
    <w:rsid w:val="00B92265"/>
    <w:rsid w:val="00B92B4B"/>
    <w:rsid w:val="00B92FBD"/>
    <w:rsid w:val="00B93477"/>
    <w:rsid w:val="00B93CC9"/>
    <w:rsid w:val="00B956D9"/>
    <w:rsid w:val="00B97B33"/>
    <w:rsid w:val="00BA090E"/>
    <w:rsid w:val="00BA0993"/>
    <w:rsid w:val="00BA1D37"/>
    <w:rsid w:val="00BA31B0"/>
    <w:rsid w:val="00BA392E"/>
    <w:rsid w:val="00BA4A3A"/>
    <w:rsid w:val="00BA56C8"/>
    <w:rsid w:val="00BA582D"/>
    <w:rsid w:val="00BA7C48"/>
    <w:rsid w:val="00BA7FD1"/>
    <w:rsid w:val="00BB143A"/>
    <w:rsid w:val="00BB1AAB"/>
    <w:rsid w:val="00BB2A2A"/>
    <w:rsid w:val="00BB2A69"/>
    <w:rsid w:val="00BB371A"/>
    <w:rsid w:val="00BB42E7"/>
    <w:rsid w:val="00BB5486"/>
    <w:rsid w:val="00BB5D24"/>
    <w:rsid w:val="00BB5EBB"/>
    <w:rsid w:val="00BB6701"/>
    <w:rsid w:val="00BB7658"/>
    <w:rsid w:val="00BC0DB3"/>
    <w:rsid w:val="00BC42A9"/>
    <w:rsid w:val="00BC46DA"/>
    <w:rsid w:val="00BC5120"/>
    <w:rsid w:val="00BC5433"/>
    <w:rsid w:val="00BC54C8"/>
    <w:rsid w:val="00BD1220"/>
    <w:rsid w:val="00BD13FA"/>
    <w:rsid w:val="00BD350D"/>
    <w:rsid w:val="00BD445C"/>
    <w:rsid w:val="00BD481D"/>
    <w:rsid w:val="00BD4939"/>
    <w:rsid w:val="00BD5AF6"/>
    <w:rsid w:val="00BD6A37"/>
    <w:rsid w:val="00BE03DC"/>
    <w:rsid w:val="00BE1D79"/>
    <w:rsid w:val="00BE20B1"/>
    <w:rsid w:val="00BE31AE"/>
    <w:rsid w:val="00BE35CC"/>
    <w:rsid w:val="00BE4806"/>
    <w:rsid w:val="00BE7F3E"/>
    <w:rsid w:val="00BF0186"/>
    <w:rsid w:val="00BF1724"/>
    <w:rsid w:val="00BF39F0"/>
    <w:rsid w:val="00BF6455"/>
    <w:rsid w:val="00BF661E"/>
    <w:rsid w:val="00BF685D"/>
    <w:rsid w:val="00BF74E9"/>
    <w:rsid w:val="00BF7E49"/>
    <w:rsid w:val="00C00137"/>
    <w:rsid w:val="00C0133D"/>
    <w:rsid w:val="00C01392"/>
    <w:rsid w:val="00C016CD"/>
    <w:rsid w:val="00C03485"/>
    <w:rsid w:val="00C03C70"/>
    <w:rsid w:val="00C04531"/>
    <w:rsid w:val="00C04719"/>
    <w:rsid w:val="00C05498"/>
    <w:rsid w:val="00C066CB"/>
    <w:rsid w:val="00C067D3"/>
    <w:rsid w:val="00C07E61"/>
    <w:rsid w:val="00C12018"/>
    <w:rsid w:val="00C12046"/>
    <w:rsid w:val="00C12819"/>
    <w:rsid w:val="00C13E5C"/>
    <w:rsid w:val="00C1404F"/>
    <w:rsid w:val="00C140F0"/>
    <w:rsid w:val="00C15FCC"/>
    <w:rsid w:val="00C16CF3"/>
    <w:rsid w:val="00C1746C"/>
    <w:rsid w:val="00C17C58"/>
    <w:rsid w:val="00C200B1"/>
    <w:rsid w:val="00C20293"/>
    <w:rsid w:val="00C21C38"/>
    <w:rsid w:val="00C2210D"/>
    <w:rsid w:val="00C22B9F"/>
    <w:rsid w:val="00C23651"/>
    <w:rsid w:val="00C247EA"/>
    <w:rsid w:val="00C25AD6"/>
    <w:rsid w:val="00C26773"/>
    <w:rsid w:val="00C27530"/>
    <w:rsid w:val="00C2764F"/>
    <w:rsid w:val="00C30526"/>
    <w:rsid w:val="00C30B80"/>
    <w:rsid w:val="00C30C41"/>
    <w:rsid w:val="00C31094"/>
    <w:rsid w:val="00C31276"/>
    <w:rsid w:val="00C322E8"/>
    <w:rsid w:val="00C32ED7"/>
    <w:rsid w:val="00C33261"/>
    <w:rsid w:val="00C34314"/>
    <w:rsid w:val="00C3484F"/>
    <w:rsid w:val="00C3560A"/>
    <w:rsid w:val="00C360FD"/>
    <w:rsid w:val="00C36518"/>
    <w:rsid w:val="00C4043B"/>
    <w:rsid w:val="00C40AD8"/>
    <w:rsid w:val="00C42496"/>
    <w:rsid w:val="00C42C84"/>
    <w:rsid w:val="00C43B16"/>
    <w:rsid w:val="00C45D36"/>
    <w:rsid w:val="00C47962"/>
    <w:rsid w:val="00C51DBD"/>
    <w:rsid w:val="00C52F78"/>
    <w:rsid w:val="00C53542"/>
    <w:rsid w:val="00C53BF2"/>
    <w:rsid w:val="00C540AC"/>
    <w:rsid w:val="00C54BB2"/>
    <w:rsid w:val="00C55209"/>
    <w:rsid w:val="00C566B3"/>
    <w:rsid w:val="00C56CEF"/>
    <w:rsid w:val="00C57A62"/>
    <w:rsid w:val="00C57AD3"/>
    <w:rsid w:val="00C57C69"/>
    <w:rsid w:val="00C608EA"/>
    <w:rsid w:val="00C63086"/>
    <w:rsid w:val="00C63116"/>
    <w:rsid w:val="00C63F30"/>
    <w:rsid w:val="00C64B84"/>
    <w:rsid w:val="00C66D1C"/>
    <w:rsid w:val="00C678D3"/>
    <w:rsid w:val="00C67B0D"/>
    <w:rsid w:val="00C67B32"/>
    <w:rsid w:val="00C70265"/>
    <w:rsid w:val="00C70398"/>
    <w:rsid w:val="00C70622"/>
    <w:rsid w:val="00C70D67"/>
    <w:rsid w:val="00C716DA"/>
    <w:rsid w:val="00C72104"/>
    <w:rsid w:val="00C725A0"/>
    <w:rsid w:val="00C762A6"/>
    <w:rsid w:val="00C77063"/>
    <w:rsid w:val="00C80A3A"/>
    <w:rsid w:val="00C81823"/>
    <w:rsid w:val="00C81A21"/>
    <w:rsid w:val="00C821CD"/>
    <w:rsid w:val="00C833AC"/>
    <w:rsid w:val="00C8393B"/>
    <w:rsid w:val="00C87480"/>
    <w:rsid w:val="00C8772A"/>
    <w:rsid w:val="00C909FD"/>
    <w:rsid w:val="00C91884"/>
    <w:rsid w:val="00C920AE"/>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145F"/>
    <w:rsid w:val="00CA1C87"/>
    <w:rsid w:val="00CA1D0A"/>
    <w:rsid w:val="00CA1F1D"/>
    <w:rsid w:val="00CA3DCB"/>
    <w:rsid w:val="00CA4359"/>
    <w:rsid w:val="00CA5920"/>
    <w:rsid w:val="00CA5E25"/>
    <w:rsid w:val="00CA7409"/>
    <w:rsid w:val="00CB0765"/>
    <w:rsid w:val="00CB07AC"/>
    <w:rsid w:val="00CB0C1D"/>
    <w:rsid w:val="00CB1937"/>
    <w:rsid w:val="00CB25D1"/>
    <w:rsid w:val="00CB40BB"/>
    <w:rsid w:val="00CB4965"/>
    <w:rsid w:val="00CB4B07"/>
    <w:rsid w:val="00CB5B1D"/>
    <w:rsid w:val="00CB65FF"/>
    <w:rsid w:val="00CC1AE1"/>
    <w:rsid w:val="00CC2209"/>
    <w:rsid w:val="00CC28DA"/>
    <w:rsid w:val="00CC2958"/>
    <w:rsid w:val="00CC4504"/>
    <w:rsid w:val="00CC4BFE"/>
    <w:rsid w:val="00CC4C95"/>
    <w:rsid w:val="00CC4F3A"/>
    <w:rsid w:val="00CC5320"/>
    <w:rsid w:val="00CD0384"/>
    <w:rsid w:val="00CD17D5"/>
    <w:rsid w:val="00CD19A3"/>
    <w:rsid w:val="00CD2058"/>
    <w:rsid w:val="00CD225C"/>
    <w:rsid w:val="00CD27B9"/>
    <w:rsid w:val="00CD28E0"/>
    <w:rsid w:val="00CD2BA1"/>
    <w:rsid w:val="00CD331E"/>
    <w:rsid w:val="00CD384B"/>
    <w:rsid w:val="00CD44A0"/>
    <w:rsid w:val="00CD4EBB"/>
    <w:rsid w:val="00CD5868"/>
    <w:rsid w:val="00CD71A0"/>
    <w:rsid w:val="00CD79A8"/>
    <w:rsid w:val="00CD7A95"/>
    <w:rsid w:val="00CE02C8"/>
    <w:rsid w:val="00CE1DFE"/>
    <w:rsid w:val="00CE205A"/>
    <w:rsid w:val="00CE2D97"/>
    <w:rsid w:val="00CE37ED"/>
    <w:rsid w:val="00CE4237"/>
    <w:rsid w:val="00CE4669"/>
    <w:rsid w:val="00CE47D7"/>
    <w:rsid w:val="00CE6EAB"/>
    <w:rsid w:val="00CE75ED"/>
    <w:rsid w:val="00CE7845"/>
    <w:rsid w:val="00CF0337"/>
    <w:rsid w:val="00CF1FBA"/>
    <w:rsid w:val="00CF2B94"/>
    <w:rsid w:val="00CF3459"/>
    <w:rsid w:val="00CF3587"/>
    <w:rsid w:val="00CF4320"/>
    <w:rsid w:val="00CF5075"/>
    <w:rsid w:val="00CF74F1"/>
    <w:rsid w:val="00D00111"/>
    <w:rsid w:val="00D003E2"/>
    <w:rsid w:val="00D00690"/>
    <w:rsid w:val="00D00CF4"/>
    <w:rsid w:val="00D02312"/>
    <w:rsid w:val="00D02EBE"/>
    <w:rsid w:val="00D05247"/>
    <w:rsid w:val="00D06262"/>
    <w:rsid w:val="00D06F37"/>
    <w:rsid w:val="00D070EE"/>
    <w:rsid w:val="00D07B96"/>
    <w:rsid w:val="00D102FF"/>
    <w:rsid w:val="00D1062A"/>
    <w:rsid w:val="00D16686"/>
    <w:rsid w:val="00D17C56"/>
    <w:rsid w:val="00D17CE4"/>
    <w:rsid w:val="00D20E02"/>
    <w:rsid w:val="00D21E42"/>
    <w:rsid w:val="00D226FE"/>
    <w:rsid w:val="00D22D79"/>
    <w:rsid w:val="00D2338D"/>
    <w:rsid w:val="00D240B8"/>
    <w:rsid w:val="00D24249"/>
    <w:rsid w:val="00D2641E"/>
    <w:rsid w:val="00D2714D"/>
    <w:rsid w:val="00D2750A"/>
    <w:rsid w:val="00D27763"/>
    <w:rsid w:val="00D306A9"/>
    <w:rsid w:val="00D313E0"/>
    <w:rsid w:val="00D31731"/>
    <w:rsid w:val="00D319C9"/>
    <w:rsid w:val="00D33489"/>
    <w:rsid w:val="00D36733"/>
    <w:rsid w:val="00D378E9"/>
    <w:rsid w:val="00D37BD6"/>
    <w:rsid w:val="00D41508"/>
    <w:rsid w:val="00D43732"/>
    <w:rsid w:val="00D461A6"/>
    <w:rsid w:val="00D46C61"/>
    <w:rsid w:val="00D471B5"/>
    <w:rsid w:val="00D5253F"/>
    <w:rsid w:val="00D52D91"/>
    <w:rsid w:val="00D53948"/>
    <w:rsid w:val="00D53D0B"/>
    <w:rsid w:val="00D542AB"/>
    <w:rsid w:val="00D54846"/>
    <w:rsid w:val="00D55087"/>
    <w:rsid w:val="00D551C9"/>
    <w:rsid w:val="00D571DB"/>
    <w:rsid w:val="00D57A6B"/>
    <w:rsid w:val="00D57C54"/>
    <w:rsid w:val="00D60223"/>
    <w:rsid w:val="00D61F30"/>
    <w:rsid w:val="00D62FEE"/>
    <w:rsid w:val="00D64E81"/>
    <w:rsid w:val="00D64F21"/>
    <w:rsid w:val="00D669B8"/>
    <w:rsid w:val="00D67245"/>
    <w:rsid w:val="00D72B6E"/>
    <w:rsid w:val="00D73804"/>
    <w:rsid w:val="00D74426"/>
    <w:rsid w:val="00D74A26"/>
    <w:rsid w:val="00D75D82"/>
    <w:rsid w:val="00D760CA"/>
    <w:rsid w:val="00D762E4"/>
    <w:rsid w:val="00D77C1B"/>
    <w:rsid w:val="00D805E3"/>
    <w:rsid w:val="00D808A4"/>
    <w:rsid w:val="00D80EB9"/>
    <w:rsid w:val="00D82AA1"/>
    <w:rsid w:val="00D83530"/>
    <w:rsid w:val="00D83571"/>
    <w:rsid w:val="00D84489"/>
    <w:rsid w:val="00D84DF6"/>
    <w:rsid w:val="00D85254"/>
    <w:rsid w:val="00D8531B"/>
    <w:rsid w:val="00D858E1"/>
    <w:rsid w:val="00D87929"/>
    <w:rsid w:val="00D8794D"/>
    <w:rsid w:val="00D90BC0"/>
    <w:rsid w:val="00D92690"/>
    <w:rsid w:val="00D9300C"/>
    <w:rsid w:val="00D94A25"/>
    <w:rsid w:val="00D97A3C"/>
    <w:rsid w:val="00D97AD8"/>
    <w:rsid w:val="00D97E88"/>
    <w:rsid w:val="00DA0D0F"/>
    <w:rsid w:val="00DA1A50"/>
    <w:rsid w:val="00DA1E95"/>
    <w:rsid w:val="00DA1F95"/>
    <w:rsid w:val="00DA25D7"/>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3CEA"/>
    <w:rsid w:val="00DB48C7"/>
    <w:rsid w:val="00DB4BC6"/>
    <w:rsid w:val="00DB54F8"/>
    <w:rsid w:val="00DB596E"/>
    <w:rsid w:val="00DB64A9"/>
    <w:rsid w:val="00DB67E4"/>
    <w:rsid w:val="00DB6981"/>
    <w:rsid w:val="00DB7360"/>
    <w:rsid w:val="00DB7A5B"/>
    <w:rsid w:val="00DC03D3"/>
    <w:rsid w:val="00DC09BA"/>
    <w:rsid w:val="00DC11CF"/>
    <w:rsid w:val="00DC1B50"/>
    <w:rsid w:val="00DC2EB9"/>
    <w:rsid w:val="00DC2EC3"/>
    <w:rsid w:val="00DC3DB4"/>
    <w:rsid w:val="00DC481B"/>
    <w:rsid w:val="00DC57F9"/>
    <w:rsid w:val="00DC6D50"/>
    <w:rsid w:val="00DD0A19"/>
    <w:rsid w:val="00DD15CC"/>
    <w:rsid w:val="00DD1AFC"/>
    <w:rsid w:val="00DD2D02"/>
    <w:rsid w:val="00DD3455"/>
    <w:rsid w:val="00DD3AC9"/>
    <w:rsid w:val="00DD4774"/>
    <w:rsid w:val="00DE205F"/>
    <w:rsid w:val="00DE2D0E"/>
    <w:rsid w:val="00DE43F6"/>
    <w:rsid w:val="00DE4731"/>
    <w:rsid w:val="00DE4EF5"/>
    <w:rsid w:val="00DE5569"/>
    <w:rsid w:val="00DE5BB1"/>
    <w:rsid w:val="00DE606A"/>
    <w:rsid w:val="00DE675E"/>
    <w:rsid w:val="00DE6909"/>
    <w:rsid w:val="00DE6AE5"/>
    <w:rsid w:val="00DE713C"/>
    <w:rsid w:val="00DE7367"/>
    <w:rsid w:val="00DE7786"/>
    <w:rsid w:val="00DF0490"/>
    <w:rsid w:val="00DF1ACB"/>
    <w:rsid w:val="00DF261E"/>
    <w:rsid w:val="00DF2804"/>
    <w:rsid w:val="00DF2CD2"/>
    <w:rsid w:val="00DF3A98"/>
    <w:rsid w:val="00DF4400"/>
    <w:rsid w:val="00DF470B"/>
    <w:rsid w:val="00DF4D38"/>
    <w:rsid w:val="00DF4FFD"/>
    <w:rsid w:val="00DF555D"/>
    <w:rsid w:val="00DF5881"/>
    <w:rsid w:val="00DF5CE1"/>
    <w:rsid w:val="00DF6526"/>
    <w:rsid w:val="00DF6EA6"/>
    <w:rsid w:val="00DF7528"/>
    <w:rsid w:val="00DF7796"/>
    <w:rsid w:val="00DF7837"/>
    <w:rsid w:val="00DF7D6E"/>
    <w:rsid w:val="00E03031"/>
    <w:rsid w:val="00E041FD"/>
    <w:rsid w:val="00E04D7B"/>
    <w:rsid w:val="00E05BAE"/>
    <w:rsid w:val="00E075A6"/>
    <w:rsid w:val="00E10687"/>
    <w:rsid w:val="00E109A4"/>
    <w:rsid w:val="00E10AA5"/>
    <w:rsid w:val="00E12038"/>
    <w:rsid w:val="00E123A9"/>
    <w:rsid w:val="00E12AC3"/>
    <w:rsid w:val="00E1365B"/>
    <w:rsid w:val="00E2026D"/>
    <w:rsid w:val="00E214B3"/>
    <w:rsid w:val="00E232FE"/>
    <w:rsid w:val="00E242C2"/>
    <w:rsid w:val="00E256ED"/>
    <w:rsid w:val="00E25BEC"/>
    <w:rsid w:val="00E26006"/>
    <w:rsid w:val="00E277A5"/>
    <w:rsid w:val="00E27E40"/>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53CD"/>
    <w:rsid w:val="00E4587D"/>
    <w:rsid w:val="00E46115"/>
    <w:rsid w:val="00E47400"/>
    <w:rsid w:val="00E47690"/>
    <w:rsid w:val="00E50D46"/>
    <w:rsid w:val="00E51423"/>
    <w:rsid w:val="00E517E4"/>
    <w:rsid w:val="00E51A62"/>
    <w:rsid w:val="00E51D5A"/>
    <w:rsid w:val="00E520D8"/>
    <w:rsid w:val="00E52266"/>
    <w:rsid w:val="00E527C6"/>
    <w:rsid w:val="00E54A35"/>
    <w:rsid w:val="00E556CD"/>
    <w:rsid w:val="00E557DD"/>
    <w:rsid w:val="00E55B3A"/>
    <w:rsid w:val="00E568AB"/>
    <w:rsid w:val="00E56DAC"/>
    <w:rsid w:val="00E5752D"/>
    <w:rsid w:val="00E57C27"/>
    <w:rsid w:val="00E60315"/>
    <w:rsid w:val="00E60955"/>
    <w:rsid w:val="00E6235B"/>
    <w:rsid w:val="00E6283D"/>
    <w:rsid w:val="00E6456A"/>
    <w:rsid w:val="00E64FFD"/>
    <w:rsid w:val="00E64FFE"/>
    <w:rsid w:val="00E657E3"/>
    <w:rsid w:val="00E664D6"/>
    <w:rsid w:val="00E66DC6"/>
    <w:rsid w:val="00E7226C"/>
    <w:rsid w:val="00E744DF"/>
    <w:rsid w:val="00E74A33"/>
    <w:rsid w:val="00E74D07"/>
    <w:rsid w:val="00E755C8"/>
    <w:rsid w:val="00E76C94"/>
    <w:rsid w:val="00E773C4"/>
    <w:rsid w:val="00E804BE"/>
    <w:rsid w:val="00E809CA"/>
    <w:rsid w:val="00E80AEF"/>
    <w:rsid w:val="00E81024"/>
    <w:rsid w:val="00E81C67"/>
    <w:rsid w:val="00E82F93"/>
    <w:rsid w:val="00E83962"/>
    <w:rsid w:val="00E83A0A"/>
    <w:rsid w:val="00E84E23"/>
    <w:rsid w:val="00E87251"/>
    <w:rsid w:val="00E926E1"/>
    <w:rsid w:val="00E92999"/>
    <w:rsid w:val="00E9320E"/>
    <w:rsid w:val="00E94460"/>
    <w:rsid w:val="00E94C36"/>
    <w:rsid w:val="00E94C3E"/>
    <w:rsid w:val="00E95BCD"/>
    <w:rsid w:val="00E96BA9"/>
    <w:rsid w:val="00E97EC3"/>
    <w:rsid w:val="00EA00FA"/>
    <w:rsid w:val="00EA0B33"/>
    <w:rsid w:val="00EA160D"/>
    <w:rsid w:val="00EA2559"/>
    <w:rsid w:val="00EA39DB"/>
    <w:rsid w:val="00EA4A50"/>
    <w:rsid w:val="00EA754B"/>
    <w:rsid w:val="00EA7804"/>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C1D6B"/>
    <w:rsid w:val="00EC1F58"/>
    <w:rsid w:val="00EC7C86"/>
    <w:rsid w:val="00ED0A3A"/>
    <w:rsid w:val="00ED0B54"/>
    <w:rsid w:val="00ED2382"/>
    <w:rsid w:val="00ED24FE"/>
    <w:rsid w:val="00ED3257"/>
    <w:rsid w:val="00ED3899"/>
    <w:rsid w:val="00ED4CFD"/>
    <w:rsid w:val="00ED60C4"/>
    <w:rsid w:val="00ED776F"/>
    <w:rsid w:val="00EE21F3"/>
    <w:rsid w:val="00EE2419"/>
    <w:rsid w:val="00EE2561"/>
    <w:rsid w:val="00EE25B1"/>
    <w:rsid w:val="00EE4E0F"/>
    <w:rsid w:val="00EE54FC"/>
    <w:rsid w:val="00EE63A6"/>
    <w:rsid w:val="00EE70B5"/>
    <w:rsid w:val="00EE7554"/>
    <w:rsid w:val="00EE7935"/>
    <w:rsid w:val="00EF0B99"/>
    <w:rsid w:val="00EF1FBB"/>
    <w:rsid w:val="00EF2B24"/>
    <w:rsid w:val="00EF536B"/>
    <w:rsid w:val="00EF65FB"/>
    <w:rsid w:val="00EF69F3"/>
    <w:rsid w:val="00EF783C"/>
    <w:rsid w:val="00EF7B7B"/>
    <w:rsid w:val="00F00265"/>
    <w:rsid w:val="00F012BE"/>
    <w:rsid w:val="00F01B3A"/>
    <w:rsid w:val="00F02124"/>
    <w:rsid w:val="00F0581F"/>
    <w:rsid w:val="00F0702E"/>
    <w:rsid w:val="00F0736A"/>
    <w:rsid w:val="00F1064D"/>
    <w:rsid w:val="00F11954"/>
    <w:rsid w:val="00F11D4B"/>
    <w:rsid w:val="00F1283B"/>
    <w:rsid w:val="00F13693"/>
    <w:rsid w:val="00F15231"/>
    <w:rsid w:val="00F155A4"/>
    <w:rsid w:val="00F15AAE"/>
    <w:rsid w:val="00F1687F"/>
    <w:rsid w:val="00F170BE"/>
    <w:rsid w:val="00F2072D"/>
    <w:rsid w:val="00F207C6"/>
    <w:rsid w:val="00F21458"/>
    <w:rsid w:val="00F21DA8"/>
    <w:rsid w:val="00F24374"/>
    <w:rsid w:val="00F24CF0"/>
    <w:rsid w:val="00F25025"/>
    <w:rsid w:val="00F25590"/>
    <w:rsid w:val="00F25D74"/>
    <w:rsid w:val="00F26A72"/>
    <w:rsid w:val="00F31B4A"/>
    <w:rsid w:val="00F328D0"/>
    <w:rsid w:val="00F33DC0"/>
    <w:rsid w:val="00F3665A"/>
    <w:rsid w:val="00F373D9"/>
    <w:rsid w:val="00F37911"/>
    <w:rsid w:val="00F37FA0"/>
    <w:rsid w:val="00F40BB6"/>
    <w:rsid w:val="00F40DD8"/>
    <w:rsid w:val="00F41638"/>
    <w:rsid w:val="00F4232F"/>
    <w:rsid w:val="00F42B48"/>
    <w:rsid w:val="00F43E4B"/>
    <w:rsid w:val="00F4496C"/>
    <w:rsid w:val="00F44E3B"/>
    <w:rsid w:val="00F44F76"/>
    <w:rsid w:val="00F4531F"/>
    <w:rsid w:val="00F45562"/>
    <w:rsid w:val="00F51150"/>
    <w:rsid w:val="00F5172F"/>
    <w:rsid w:val="00F52014"/>
    <w:rsid w:val="00F522A8"/>
    <w:rsid w:val="00F548C3"/>
    <w:rsid w:val="00F552E2"/>
    <w:rsid w:val="00F55FA3"/>
    <w:rsid w:val="00F56005"/>
    <w:rsid w:val="00F56C1C"/>
    <w:rsid w:val="00F573B5"/>
    <w:rsid w:val="00F5780E"/>
    <w:rsid w:val="00F603E4"/>
    <w:rsid w:val="00F6085F"/>
    <w:rsid w:val="00F61B42"/>
    <w:rsid w:val="00F620EB"/>
    <w:rsid w:val="00F6292E"/>
    <w:rsid w:val="00F62A35"/>
    <w:rsid w:val="00F641E7"/>
    <w:rsid w:val="00F6427E"/>
    <w:rsid w:val="00F64286"/>
    <w:rsid w:val="00F64382"/>
    <w:rsid w:val="00F655F6"/>
    <w:rsid w:val="00F67BD0"/>
    <w:rsid w:val="00F70760"/>
    <w:rsid w:val="00F72B42"/>
    <w:rsid w:val="00F72D5D"/>
    <w:rsid w:val="00F72DBF"/>
    <w:rsid w:val="00F743F1"/>
    <w:rsid w:val="00F74BF4"/>
    <w:rsid w:val="00F754E2"/>
    <w:rsid w:val="00F755F1"/>
    <w:rsid w:val="00F75686"/>
    <w:rsid w:val="00F7570D"/>
    <w:rsid w:val="00F809AB"/>
    <w:rsid w:val="00F8114A"/>
    <w:rsid w:val="00F82C99"/>
    <w:rsid w:val="00F82DC5"/>
    <w:rsid w:val="00F83F71"/>
    <w:rsid w:val="00F84061"/>
    <w:rsid w:val="00F859B7"/>
    <w:rsid w:val="00F85B1A"/>
    <w:rsid w:val="00F864A9"/>
    <w:rsid w:val="00F86918"/>
    <w:rsid w:val="00F86A41"/>
    <w:rsid w:val="00F8785E"/>
    <w:rsid w:val="00F900EE"/>
    <w:rsid w:val="00F9146A"/>
    <w:rsid w:val="00F9340B"/>
    <w:rsid w:val="00F93455"/>
    <w:rsid w:val="00F93789"/>
    <w:rsid w:val="00F93A35"/>
    <w:rsid w:val="00F93B44"/>
    <w:rsid w:val="00F948A6"/>
    <w:rsid w:val="00F96254"/>
    <w:rsid w:val="00F96DBF"/>
    <w:rsid w:val="00F972E5"/>
    <w:rsid w:val="00F97EA5"/>
    <w:rsid w:val="00F97FE5"/>
    <w:rsid w:val="00FA0E70"/>
    <w:rsid w:val="00FA2127"/>
    <w:rsid w:val="00FA2412"/>
    <w:rsid w:val="00FA414B"/>
    <w:rsid w:val="00FA4651"/>
    <w:rsid w:val="00FA5767"/>
    <w:rsid w:val="00FA70A2"/>
    <w:rsid w:val="00FB12D3"/>
    <w:rsid w:val="00FB13A6"/>
    <w:rsid w:val="00FB2726"/>
    <w:rsid w:val="00FB4564"/>
    <w:rsid w:val="00FB500C"/>
    <w:rsid w:val="00FB7618"/>
    <w:rsid w:val="00FC0B06"/>
    <w:rsid w:val="00FC13AB"/>
    <w:rsid w:val="00FC1C44"/>
    <w:rsid w:val="00FC1DB3"/>
    <w:rsid w:val="00FC2647"/>
    <w:rsid w:val="00FC39A0"/>
    <w:rsid w:val="00FC49D1"/>
    <w:rsid w:val="00FC5F75"/>
    <w:rsid w:val="00FC774F"/>
    <w:rsid w:val="00FD0D61"/>
    <w:rsid w:val="00FD30E6"/>
    <w:rsid w:val="00FD5D31"/>
    <w:rsid w:val="00FD688F"/>
    <w:rsid w:val="00FD69E0"/>
    <w:rsid w:val="00FD70DE"/>
    <w:rsid w:val="00FD797E"/>
    <w:rsid w:val="00FD79CB"/>
    <w:rsid w:val="00FD7EB8"/>
    <w:rsid w:val="00FE05CF"/>
    <w:rsid w:val="00FE2BA3"/>
    <w:rsid w:val="00FE2F1D"/>
    <w:rsid w:val="00FE2FBC"/>
    <w:rsid w:val="00FE3108"/>
    <w:rsid w:val="00FE3B4A"/>
    <w:rsid w:val="00FE4F7F"/>
    <w:rsid w:val="00FE693F"/>
    <w:rsid w:val="00FE6DED"/>
    <w:rsid w:val="00FE7966"/>
    <w:rsid w:val="00FF0936"/>
    <w:rsid w:val="00FF1150"/>
    <w:rsid w:val="00FF2EF0"/>
    <w:rsid w:val="00FF5A0D"/>
    <w:rsid w:val="00FF5AE6"/>
    <w:rsid w:val="00FF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3913A"/>
  <w15:chartTrackingRefBased/>
  <w15:docId w15:val="{6C971237-E86D-400D-B665-308980C4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rFonts w:ascii="Verdana" w:hAnsi="Verdana"/>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81052958">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197350297">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4245200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go.cms.gov/mapdhelpdes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PDHelp@cms.hhs.gov"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7FEBCBE75F4B84393620F312955E8F3" ma:contentTypeVersion="2" ma:contentTypeDescription="Create a new document." ma:contentTypeScope="" ma:versionID="53dc523801e5c5ebd63be17199f6ad92">
  <xsd:schema xmlns:xsd="http://www.w3.org/2001/XMLSchema" xmlns:xs="http://www.w3.org/2001/XMLSchema" xmlns:p="http://schemas.microsoft.com/office/2006/metadata/properties" xmlns:ns3="af49b599-6b15-4762-aa21-76aeb0ef36d5" targetNamespace="http://schemas.microsoft.com/office/2006/metadata/properties" ma:root="true" ma:fieldsID="e05ff69e9cdceaedf3e5303fa17b19ad" ns3:_="">
    <xsd:import namespace="af49b599-6b15-4762-aa21-76aeb0ef36d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9b599-6b15-4762-aa21-76aeb0ef3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2.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customXml/itemProps3.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3D64E6-75AA-4C06-BDC0-7F621C632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9b599-6b15-4762-aa21-76aeb0ef3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14</TotalTime>
  <Pages>1</Pages>
  <Words>4917</Words>
  <Characters>28029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32881</CharactersWithSpaces>
  <SharedDoc>false</SharedDoc>
  <HLinks>
    <vt:vector size="24" baseType="variant">
      <vt:variant>
        <vt:i4>4325475</vt:i4>
      </vt:variant>
      <vt:variant>
        <vt:i4>9</vt:i4>
      </vt:variant>
      <vt:variant>
        <vt:i4>0</vt:i4>
      </vt:variant>
      <vt:variant>
        <vt:i4>5</vt:i4>
      </vt:variant>
      <vt:variant>
        <vt:lpwstr/>
      </vt:variant>
      <vt:variant>
        <vt:lpwstr>_OneSource_Glossary_of</vt:lpwstr>
      </vt:variant>
      <vt:variant>
        <vt:i4>458763</vt:i4>
      </vt:variant>
      <vt:variant>
        <vt:i4>6</vt:i4>
      </vt:variant>
      <vt:variant>
        <vt:i4>0</vt:i4>
      </vt:variant>
      <vt:variant>
        <vt:i4>5</vt:i4>
      </vt:variant>
      <vt:variant>
        <vt:lpwstr/>
      </vt:variant>
      <vt:variant>
        <vt:lpwstr>HICN</vt:lpwstr>
      </vt:variant>
      <vt:variant>
        <vt:i4>8323177</vt:i4>
      </vt:variant>
      <vt:variant>
        <vt:i4>3</vt:i4>
      </vt:variant>
      <vt:variant>
        <vt:i4>0</vt:i4>
      </vt:variant>
      <vt:variant>
        <vt:i4>5</vt:i4>
      </vt:variant>
      <vt:variant>
        <vt:lpwstr>http://go.cms.gov/mapdhelpdesk</vt:lpwstr>
      </vt:variant>
      <vt:variant>
        <vt:lpwstr/>
      </vt:variant>
      <vt:variant>
        <vt:i4>5308470</vt:i4>
      </vt:variant>
      <vt:variant>
        <vt:i4>0</vt:i4>
      </vt:variant>
      <vt:variant>
        <vt:i4>0</vt:i4>
      </vt:variant>
      <vt:variant>
        <vt:i4>5</vt:i4>
      </vt:variant>
      <vt:variant>
        <vt:lpwstr>mailto:MAPDHelp@cms.hhs.gov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Davis, David P.</cp:lastModifiedBy>
  <cp:revision>19</cp:revision>
  <dcterms:created xsi:type="dcterms:W3CDTF">2025-07-21T21:51:00Z</dcterms:created>
  <dcterms:modified xsi:type="dcterms:W3CDTF">2025-07-21T22:11:00Z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0x01010077FEBCBE75F4B84393620F312955E8F3</vt:lpwstr>
  </property>
  <property fmtid="{D5CDD505-2E9C-101B-9397-08002B2CF9AE}" pid="17" name="_ReviewingToolsShownOnce">
    <vt:lpwstr/>
  </property>
</Properties>
</file>