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0391B615" w:rsidR="00524CDD" w:rsidRPr="00CC4BFE" w:rsidRDefault="008976F4" w:rsidP="001874F5">
      <w:pPr>
        <w:pStyle w:val="Heading1"/>
        <w:rPr>
          <w:rFonts w:ascii="Verdana" w:hAnsi="Verdana"/>
          <w:bCs/>
          <w:color w:val="auto"/>
          <w:sz w:val="36"/>
          <w:szCs w:val="36"/>
        </w:rPr>
      </w:pPr>
      <w:bookmarkStart w:id="0" w:name="_OneSource_Glossary_of"/>
      <w:bookmarkStart w:id="1" w:name="_Customer_Care_Abbreviations,"/>
      <w:bookmarkStart w:id="2" w:name="_top"/>
      <w:bookmarkEnd w:id="0"/>
      <w:bookmarkEnd w:id="1"/>
      <w:bookmarkEnd w:id="2"/>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957C9C">
        <w:rPr>
          <w:rFonts w:ascii="Verdana" w:hAnsi="Verdana"/>
          <w:bCs/>
          <w:color w:val="auto"/>
          <w:sz w:val="36"/>
          <w:szCs w:val="36"/>
        </w:rPr>
        <w:t xml:space="preserve">– N </w:t>
      </w:r>
    </w:p>
    <w:p w14:paraId="018813C1" w14:textId="77777777" w:rsidR="00494AF4" w:rsidRPr="004E00B6" w:rsidRDefault="00494AF4" w:rsidP="00F15AAE">
      <w:pPr>
        <w:jc w:val="center"/>
        <w:rPr>
          <w:rFonts w:ascii="Verdana" w:hAnsi="Verdana"/>
          <w:color w:val="0000FF"/>
        </w:rPr>
      </w:pPr>
    </w:p>
    <w:p w14:paraId="7B9A967E" w14:textId="77777777" w:rsidR="003F331F" w:rsidRPr="003F331F" w:rsidRDefault="003F331F" w:rsidP="003F331F">
      <w:pPr>
        <w:jc w:val="both"/>
        <w:rPr>
          <w:rFonts w:ascii="Verdana" w:hAnsi="Verdana"/>
          <w:b/>
        </w:rPr>
      </w:pPr>
      <w:r w:rsidRPr="003F331F">
        <w:rPr>
          <w:rFonts w:ascii="Verdana" w:hAnsi="Verdana"/>
          <w:b/>
        </w:rPr>
        <w:t xml:space="preserve">Each Alpha section will have two separate tables:  </w:t>
      </w:r>
    </w:p>
    <w:p w14:paraId="748C5CD3" w14:textId="77777777" w:rsidR="003F331F" w:rsidRPr="003F331F" w:rsidRDefault="003F331F" w:rsidP="003F331F">
      <w:pPr>
        <w:jc w:val="both"/>
        <w:rPr>
          <w:rFonts w:ascii="Verdana" w:hAnsi="Verdana"/>
          <w:bCs/>
        </w:rPr>
      </w:pPr>
      <w:r w:rsidRPr="003F331F">
        <w:rPr>
          <w:rFonts w:ascii="Verdana" w:hAnsi="Verdana"/>
          <w:bCs/>
        </w:rPr>
        <w:t>1)</w:t>
      </w:r>
      <w:r w:rsidRPr="003F331F">
        <w:rPr>
          <w:rFonts w:ascii="Verdana" w:hAnsi="Verdana"/>
          <w:bCs/>
        </w:rPr>
        <w:tab/>
        <w:t xml:space="preserve"> Abbreviation, Term and Definition</w:t>
      </w:r>
    </w:p>
    <w:p w14:paraId="47D21100" w14:textId="77777777" w:rsidR="003F331F" w:rsidRPr="003F331F" w:rsidRDefault="003F331F" w:rsidP="003F331F">
      <w:pPr>
        <w:jc w:val="both"/>
        <w:rPr>
          <w:rFonts w:ascii="Verdana" w:hAnsi="Verdana"/>
          <w:bCs/>
        </w:rPr>
      </w:pPr>
      <w:r w:rsidRPr="003F331F">
        <w:rPr>
          <w:rFonts w:ascii="Verdana" w:hAnsi="Verdana"/>
          <w:bCs/>
        </w:rPr>
        <w:t>2)</w:t>
      </w:r>
      <w:r w:rsidRPr="003F331F">
        <w:rPr>
          <w:rFonts w:ascii="Verdana" w:hAnsi="Verdana"/>
          <w:bCs/>
        </w:rPr>
        <w:tab/>
        <w:t xml:space="preserve"> Term and Definition </w:t>
      </w:r>
    </w:p>
    <w:p w14:paraId="60E2FAB3" w14:textId="77777777" w:rsidR="003F331F" w:rsidRPr="003F331F" w:rsidRDefault="003F331F" w:rsidP="003F331F">
      <w:pPr>
        <w:jc w:val="both"/>
        <w:rPr>
          <w:rFonts w:ascii="Verdana" w:hAnsi="Verdana"/>
          <w:b/>
        </w:rPr>
      </w:pPr>
    </w:p>
    <w:p w14:paraId="7EB88CB9" w14:textId="77777777" w:rsidR="003F331F" w:rsidRPr="003F331F" w:rsidRDefault="003F331F" w:rsidP="003F331F">
      <w:pPr>
        <w:jc w:val="both"/>
        <w:rPr>
          <w:rFonts w:ascii="Verdana" w:hAnsi="Verdana"/>
          <w:b/>
        </w:rPr>
      </w:pPr>
      <w:r w:rsidRPr="003F331F">
        <w:rPr>
          <w:rFonts w:ascii="Verdana" w:hAnsi="Verdana"/>
          <w:b/>
        </w:rPr>
        <w:t xml:space="preserve">Note:  </w:t>
      </w:r>
      <w:r w:rsidRPr="003F331F">
        <w:rPr>
          <w:rFonts w:ascii="Verdana" w:hAnsi="Verdana"/>
          <w:bCs/>
        </w:rPr>
        <w:t>Terms are not duplicated in both lists.</w:t>
      </w:r>
    </w:p>
    <w:p w14:paraId="08FBA466" w14:textId="77777777" w:rsidR="003F331F" w:rsidRPr="003F331F" w:rsidRDefault="003F331F" w:rsidP="003F331F">
      <w:pPr>
        <w:jc w:val="both"/>
        <w:rPr>
          <w:rFonts w:ascii="Verdana" w:hAnsi="Verdana"/>
          <w:b/>
        </w:rPr>
      </w:pPr>
    </w:p>
    <w:p w14:paraId="5C6A83F7" w14:textId="3777CC6A" w:rsidR="0090482D" w:rsidRDefault="003F331F" w:rsidP="003F331F">
      <w:pPr>
        <w:jc w:val="both"/>
        <w:rPr>
          <w:rFonts w:ascii="Verdana" w:hAnsi="Verdana"/>
          <w:b/>
        </w:rPr>
      </w:pPr>
      <w:r w:rsidRPr="003F331F">
        <w:rPr>
          <w:rFonts w:ascii="Verdana" w:hAnsi="Verdana"/>
          <w:b/>
        </w:rPr>
        <w:t xml:space="preserve">Quicker Search Results: </w:t>
      </w:r>
      <w:r>
        <w:rPr>
          <w:rFonts w:ascii="Verdana" w:hAnsi="Verdana"/>
          <w:b/>
        </w:rPr>
        <w:t xml:space="preserve"> </w:t>
      </w:r>
      <w:r w:rsidRPr="003F331F">
        <w:rPr>
          <w:rFonts w:ascii="Verdana" w:hAnsi="Verdana"/>
          <w:bCs/>
        </w:rPr>
        <w:t xml:space="preserve">Depress </w:t>
      </w:r>
      <w:proofErr w:type="spellStart"/>
      <w:r w:rsidRPr="003F331F">
        <w:rPr>
          <w:rFonts w:ascii="Verdana" w:hAnsi="Verdana"/>
          <w:bCs/>
        </w:rPr>
        <w:t>Ctrl+F</w:t>
      </w:r>
      <w:proofErr w:type="spellEnd"/>
      <w:r w:rsidRPr="003F331F">
        <w:rPr>
          <w:rFonts w:ascii="Verdana" w:hAnsi="Verdana"/>
          <w:bCs/>
        </w:rPr>
        <w:t xml:space="preserve"> </w:t>
      </w:r>
      <w:r w:rsidRPr="003F331F">
        <w:rPr>
          <w:rFonts w:ascii="Arial" w:hAnsi="Arial" w:cs="Arial"/>
          <w:bCs/>
        </w:rPr>
        <w:t>→</w:t>
      </w:r>
      <w:r w:rsidRPr="003F331F">
        <w:rPr>
          <w:rFonts w:ascii="Verdana" w:hAnsi="Verdana"/>
          <w:bCs/>
        </w:rPr>
        <w:t xml:space="preserve"> Type in Keyword </w:t>
      </w:r>
      <w:r w:rsidRPr="003F331F">
        <w:rPr>
          <w:rFonts w:ascii="Arial" w:hAnsi="Arial" w:cs="Arial"/>
          <w:bCs/>
        </w:rPr>
        <w:t>→</w:t>
      </w:r>
      <w:r w:rsidRPr="003F331F">
        <w:rPr>
          <w:rFonts w:ascii="Verdana" w:hAnsi="Verdana"/>
          <w:bCs/>
        </w:rPr>
        <w:t xml:space="preserve"> Click Find Next</w:t>
      </w:r>
    </w:p>
    <w:p w14:paraId="7D55850D" w14:textId="77777777" w:rsidR="00F25025" w:rsidRDefault="00F25025" w:rsidP="00F15AAE">
      <w:pPr>
        <w:jc w:val="both"/>
        <w:rPr>
          <w:rFonts w:ascii="Verdana" w:hAnsi="Verdana"/>
          <w:b/>
        </w:rPr>
      </w:pPr>
    </w:p>
    <w:p w14:paraId="636ABA3A" w14:textId="5F85DB41" w:rsidR="00190D89" w:rsidRDefault="00190D89" w:rsidP="00F15AAE">
      <w:bookmarkStart w:id="3" w:name="_A_1"/>
      <w:bookmarkEnd w:id="3"/>
    </w:p>
    <w:tbl>
      <w:tblPr>
        <w:tblW w:w="5002" w:type="pct"/>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2845"/>
        <w:gridCol w:w="8087"/>
      </w:tblGrid>
      <w:tr w:rsidR="00FA148A" w:rsidRPr="004E00B6" w14:paraId="24EA15EC" w14:textId="77777777" w:rsidTr="00B61FF4">
        <w:tc>
          <w:tcPr>
            <w:tcW w:w="781" w:type="pct"/>
            <w:shd w:val="clear" w:color="auto" w:fill="BFBFBF" w:themeFill="background1" w:themeFillShade="BF"/>
          </w:tcPr>
          <w:p w14:paraId="3602D6C1" w14:textId="2EA57DAD" w:rsidR="00FA148A" w:rsidRPr="00FA148A" w:rsidRDefault="00FA148A" w:rsidP="00E8269D">
            <w:pPr>
              <w:spacing w:before="120" w:after="120"/>
              <w:jc w:val="center"/>
              <w:rPr>
                <w:rFonts w:ascii="Verdana" w:hAnsi="Verdana"/>
                <w:b/>
                <w:color w:val="000000"/>
              </w:rPr>
            </w:pPr>
            <w:r w:rsidRPr="00FA148A">
              <w:rPr>
                <w:rFonts w:ascii="Verdana" w:hAnsi="Verdana"/>
                <w:b/>
                <w:color w:val="000000"/>
              </w:rPr>
              <w:t>Abbreviation</w:t>
            </w:r>
          </w:p>
        </w:tc>
        <w:tc>
          <w:tcPr>
            <w:tcW w:w="1098" w:type="pct"/>
            <w:shd w:val="clear" w:color="auto" w:fill="BFBFBF" w:themeFill="background1" w:themeFillShade="BF"/>
          </w:tcPr>
          <w:p w14:paraId="25F58501" w14:textId="1DD32AAB" w:rsidR="00FA148A" w:rsidRPr="00FA148A" w:rsidRDefault="00FA148A" w:rsidP="00E8269D">
            <w:pPr>
              <w:spacing w:before="120" w:after="120"/>
              <w:jc w:val="center"/>
              <w:rPr>
                <w:rFonts w:ascii="Verdana" w:hAnsi="Verdana" w:cs="Arial"/>
                <w:b/>
              </w:rPr>
            </w:pPr>
            <w:r w:rsidRPr="00FA148A">
              <w:rPr>
                <w:rFonts w:ascii="Verdana" w:hAnsi="Verdana" w:cs="Arial"/>
                <w:b/>
              </w:rPr>
              <w:t>Term</w:t>
            </w:r>
          </w:p>
        </w:tc>
        <w:tc>
          <w:tcPr>
            <w:tcW w:w="3121" w:type="pct"/>
            <w:shd w:val="clear" w:color="auto" w:fill="BFBFBF" w:themeFill="background1" w:themeFillShade="BF"/>
          </w:tcPr>
          <w:p w14:paraId="56FC3780" w14:textId="4918AD46" w:rsidR="00FA148A" w:rsidRPr="00FA148A" w:rsidRDefault="00FA148A" w:rsidP="00E8269D">
            <w:pPr>
              <w:spacing w:before="120" w:after="120"/>
              <w:jc w:val="center"/>
              <w:rPr>
                <w:rFonts w:ascii="Verdana" w:hAnsi="Verdana" w:cs="Arial"/>
                <w:b/>
              </w:rPr>
            </w:pPr>
            <w:r w:rsidRPr="00FA148A">
              <w:rPr>
                <w:rFonts w:ascii="Verdana" w:hAnsi="Verdana" w:cs="Arial"/>
                <w:b/>
              </w:rPr>
              <w:t>Definition</w:t>
            </w:r>
          </w:p>
        </w:tc>
      </w:tr>
      <w:tr w:rsidR="001C342D" w:rsidRPr="004E00B6" w14:paraId="6215E0D2" w14:textId="77777777" w:rsidTr="00B61FF4">
        <w:tc>
          <w:tcPr>
            <w:tcW w:w="781" w:type="pct"/>
          </w:tcPr>
          <w:p w14:paraId="3A4C0BA3" w14:textId="77777777" w:rsidR="00571EA9" w:rsidRPr="00F4531F" w:rsidRDefault="00571EA9" w:rsidP="00E8269D">
            <w:pPr>
              <w:spacing w:before="120" w:after="120"/>
              <w:jc w:val="center"/>
              <w:rPr>
                <w:rFonts w:ascii="Verdana" w:hAnsi="Verdana"/>
                <w:b/>
                <w:color w:val="000000"/>
              </w:rPr>
            </w:pPr>
            <w:r>
              <w:rPr>
                <w:rFonts w:ascii="Verdana" w:hAnsi="Verdana"/>
                <w:b/>
                <w:color w:val="000000"/>
              </w:rPr>
              <w:t xml:space="preserve">N1 </w:t>
            </w:r>
          </w:p>
        </w:tc>
        <w:tc>
          <w:tcPr>
            <w:tcW w:w="1098" w:type="pct"/>
          </w:tcPr>
          <w:p w14:paraId="12674083" w14:textId="77777777" w:rsidR="00571EA9" w:rsidRPr="004E00B6" w:rsidRDefault="00571EA9" w:rsidP="00E8269D">
            <w:pPr>
              <w:spacing w:before="120" w:after="120"/>
              <w:rPr>
                <w:rFonts w:ascii="Verdana" w:hAnsi="Verdana" w:cs="Arial"/>
              </w:rPr>
            </w:pPr>
          </w:p>
        </w:tc>
        <w:tc>
          <w:tcPr>
            <w:tcW w:w="3121" w:type="pct"/>
          </w:tcPr>
          <w:p w14:paraId="1E22A255" w14:textId="3298B0C8" w:rsidR="00571EA9" w:rsidRPr="002A5D8E" w:rsidRDefault="00571EA9" w:rsidP="00E8269D">
            <w:pPr>
              <w:spacing w:before="120" w:after="120"/>
              <w:rPr>
                <w:rFonts w:ascii="Verdana" w:hAnsi="Verdana" w:cs="Arial"/>
              </w:rPr>
            </w:pPr>
            <w:r w:rsidRPr="002A5D8E">
              <w:rPr>
                <w:rFonts w:ascii="Verdana" w:hAnsi="Verdana" w:cs="Arial"/>
              </w:rPr>
              <w:t>Claims Adjudication Response Code generated when an existing beneficiary attempts to coordinate benefits for a prescription claim and SilverScript does not have Other Health Insurance/Information OHI on file</w:t>
            </w:r>
            <w:r w:rsidR="003F331F" w:rsidRPr="002A5D8E">
              <w:rPr>
                <w:rFonts w:ascii="Verdana" w:hAnsi="Verdana" w:cs="Arial"/>
              </w:rPr>
              <w:t xml:space="preserve">. </w:t>
            </w:r>
          </w:p>
          <w:p w14:paraId="31BA47F5" w14:textId="77777777" w:rsidR="00571EA9" w:rsidRPr="002A5D8E" w:rsidRDefault="00571EA9" w:rsidP="00E8269D">
            <w:pPr>
              <w:spacing w:before="120" w:after="120"/>
              <w:rPr>
                <w:rFonts w:ascii="Verdana" w:hAnsi="Verdana" w:cs="Arial"/>
              </w:rPr>
            </w:pPr>
          </w:p>
          <w:p w14:paraId="52675ADE" w14:textId="77777777" w:rsidR="00571EA9" w:rsidRPr="004E00B6" w:rsidRDefault="00571EA9" w:rsidP="00E8269D">
            <w:pPr>
              <w:spacing w:before="120" w:after="120"/>
              <w:rPr>
                <w:rFonts w:ascii="Verdana" w:hAnsi="Verdana" w:cs="Arial"/>
              </w:rPr>
            </w:pPr>
            <w:r w:rsidRPr="002A5D8E">
              <w:rPr>
                <w:rFonts w:ascii="Verdana" w:hAnsi="Verdana" w:cs="Arial"/>
              </w:rPr>
              <w:t>This result is a letter sent to the beneficiary to attempt to obtain the COB information currently not on file.</w:t>
            </w:r>
            <w:r>
              <w:rPr>
                <w:rFonts w:ascii="Verdana" w:hAnsi="Verdana" w:cs="Arial"/>
              </w:rPr>
              <w:t xml:space="preserve"> </w:t>
            </w:r>
          </w:p>
        </w:tc>
      </w:tr>
      <w:tr w:rsidR="001C342D" w:rsidRPr="004E00B6" w14:paraId="37FB2839" w14:textId="77777777" w:rsidTr="00B61FF4">
        <w:tc>
          <w:tcPr>
            <w:tcW w:w="781" w:type="pct"/>
          </w:tcPr>
          <w:p w14:paraId="7C5EC0E3" w14:textId="77777777" w:rsidR="00571EA9" w:rsidRPr="00F4531F" w:rsidRDefault="00571EA9" w:rsidP="00E8269D">
            <w:pPr>
              <w:spacing w:before="120" w:after="120"/>
              <w:jc w:val="center"/>
              <w:rPr>
                <w:rFonts w:ascii="Verdana" w:hAnsi="Verdana"/>
                <w:b/>
                <w:color w:val="000000"/>
              </w:rPr>
            </w:pPr>
            <w:r w:rsidRPr="00F4531F">
              <w:rPr>
                <w:rFonts w:ascii="Verdana" w:hAnsi="Verdana"/>
                <w:b/>
                <w:color w:val="000000"/>
              </w:rPr>
              <w:t>N/C</w:t>
            </w:r>
          </w:p>
        </w:tc>
        <w:tc>
          <w:tcPr>
            <w:tcW w:w="1098" w:type="pct"/>
          </w:tcPr>
          <w:p w14:paraId="5A1AB42F" w14:textId="77777777" w:rsidR="00571EA9" w:rsidRDefault="00571EA9" w:rsidP="00E8269D">
            <w:pPr>
              <w:spacing w:before="120" w:after="120"/>
              <w:rPr>
                <w:rFonts w:ascii="Verdana" w:hAnsi="Verdana" w:cs="Arial"/>
              </w:rPr>
            </w:pPr>
            <w:r w:rsidRPr="004E00B6">
              <w:rPr>
                <w:rFonts w:ascii="Verdana" w:hAnsi="Verdana" w:cs="Arial"/>
              </w:rPr>
              <w:t>No charge</w:t>
            </w:r>
          </w:p>
          <w:p w14:paraId="4D7F4252" w14:textId="77777777" w:rsidR="00571EA9" w:rsidRPr="004E00B6" w:rsidRDefault="00571EA9" w:rsidP="00E8269D">
            <w:pPr>
              <w:spacing w:before="120" w:after="120"/>
              <w:rPr>
                <w:rFonts w:ascii="Verdana" w:hAnsi="Verdana" w:cs="Arial"/>
              </w:rPr>
            </w:pPr>
          </w:p>
        </w:tc>
        <w:tc>
          <w:tcPr>
            <w:tcW w:w="3121" w:type="pct"/>
          </w:tcPr>
          <w:p w14:paraId="26201610" w14:textId="77777777" w:rsidR="00571EA9" w:rsidRPr="004E00B6" w:rsidRDefault="00571EA9" w:rsidP="00E8269D">
            <w:pPr>
              <w:spacing w:before="120" w:after="120"/>
              <w:rPr>
                <w:rFonts w:ascii="Verdana" w:hAnsi="Verdana" w:cs="Arial"/>
              </w:rPr>
            </w:pPr>
            <w:r w:rsidRPr="004E00B6">
              <w:rPr>
                <w:rFonts w:ascii="Verdana" w:hAnsi="Verdana" w:cs="Arial"/>
              </w:rPr>
              <w:t>No payment required</w:t>
            </w:r>
            <w:r>
              <w:rPr>
                <w:rFonts w:ascii="Verdana" w:hAnsi="Verdana" w:cs="Arial"/>
              </w:rPr>
              <w:t>.</w:t>
            </w:r>
          </w:p>
        </w:tc>
      </w:tr>
      <w:tr w:rsidR="001C342D" w:rsidRPr="004E00B6" w14:paraId="1E7DED5F" w14:textId="77777777" w:rsidTr="00B61FF4">
        <w:tc>
          <w:tcPr>
            <w:tcW w:w="781" w:type="pct"/>
          </w:tcPr>
          <w:p w14:paraId="3942E654" w14:textId="77777777" w:rsidR="00571EA9" w:rsidRPr="00F4531F" w:rsidRDefault="00571EA9" w:rsidP="00E8269D">
            <w:pPr>
              <w:spacing w:before="120" w:after="120"/>
              <w:jc w:val="center"/>
              <w:rPr>
                <w:rFonts w:ascii="Verdana" w:hAnsi="Verdana"/>
                <w:b/>
                <w:color w:val="000000"/>
              </w:rPr>
            </w:pPr>
            <w:r w:rsidRPr="00F4531F">
              <w:rPr>
                <w:rFonts w:ascii="Verdana" w:hAnsi="Verdana"/>
                <w:b/>
                <w:color w:val="000000"/>
              </w:rPr>
              <w:t>N/F</w:t>
            </w:r>
          </w:p>
        </w:tc>
        <w:tc>
          <w:tcPr>
            <w:tcW w:w="1098" w:type="pct"/>
          </w:tcPr>
          <w:p w14:paraId="568AF344" w14:textId="77777777" w:rsidR="00571EA9" w:rsidRDefault="00571EA9" w:rsidP="00E8269D">
            <w:pPr>
              <w:spacing w:before="120" w:after="120"/>
              <w:rPr>
                <w:rFonts w:ascii="Verdana" w:hAnsi="Verdana" w:cs="Arial"/>
              </w:rPr>
            </w:pPr>
            <w:r w:rsidRPr="004E00B6">
              <w:rPr>
                <w:rFonts w:ascii="Verdana" w:hAnsi="Verdana" w:cs="Arial"/>
              </w:rPr>
              <w:t>Non-formulary</w:t>
            </w:r>
          </w:p>
          <w:p w14:paraId="2BA34DDF" w14:textId="77777777" w:rsidR="00571EA9" w:rsidRPr="004E00B6" w:rsidRDefault="00571EA9" w:rsidP="00E8269D">
            <w:pPr>
              <w:spacing w:before="120" w:after="120"/>
              <w:rPr>
                <w:rFonts w:ascii="Verdana" w:hAnsi="Verdana" w:cs="Arial"/>
              </w:rPr>
            </w:pPr>
          </w:p>
        </w:tc>
        <w:tc>
          <w:tcPr>
            <w:tcW w:w="3121" w:type="pct"/>
          </w:tcPr>
          <w:p w14:paraId="32EF3982" w14:textId="77777777" w:rsidR="00571EA9" w:rsidRPr="004E00B6" w:rsidRDefault="00571EA9" w:rsidP="00E8269D">
            <w:pPr>
              <w:spacing w:before="120" w:after="120"/>
              <w:rPr>
                <w:rFonts w:ascii="Verdana" w:hAnsi="Verdana" w:cs="Arial"/>
              </w:rPr>
            </w:pPr>
            <w:r w:rsidRPr="004E00B6">
              <w:rPr>
                <w:rFonts w:ascii="Verdana" w:hAnsi="Verdana" w:cs="Arial"/>
              </w:rPr>
              <w:t>Drug not part of a formulary (list of preferred drugs)</w:t>
            </w:r>
            <w:r>
              <w:rPr>
                <w:rFonts w:ascii="Verdana" w:hAnsi="Verdana" w:cs="Arial"/>
              </w:rPr>
              <w:t>.</w:t>
            </w:r>
          </w:p>
        </w:tc>
      </w:tr>
      <w:tr w:rsidR="001C342D" w:rsidRPr="004E00B6" w14:paraId="7EFFA993" w14:textId="77777777" w:rsidTr="00B61FF4">
        <w:tc>
          <w:tcPr>
            <w:tcW w:w="781" w:type="pct"/>
          </w:tcPr>
          <w:p w14:paraId="60081161" w14:textId="7CA883CA" w:rsidR="00571EA9" w:rsidRPr="00F4531F" w:rsidRDefault="007B5947" w:rsidP="00E8269D">
            <w:pPr>
              <w:spacing w:before="120" w:after="120"/>
              <w:jc w:val="center"/>
              <w:rPr>
                <w:rFonts w:ascii="Verdana" w:hAnsi="Verdana"/>
                <w:b/>
                <w:color w:val="000000"/>
              </w:rPr>
            </w:pPr>
            <w:r>
              <w:rPr>
                <w:rFonts w:ascii="Verdana" w:hAnsi="Verdana"/>
                <w:b/>
                <w:color w:val="000000"/>
              </w:rPr>
              <w:t xml:space="preserve"> </w:t>
            </w:r>
            <w:r w:rsidR="00571EA9" w:rsidRPr="00F4531F">
              <w:rPr>
                <w:rFonts w:ascii="Verdana" w:hAnsi="Verdana"/>
                <w:b/>
                <w:color w:val="000000"/>
              </w:rPr>
              <w:t>N/A</w:t>
            </w:r>
          </w:p>
        </w:tc>
        <w:tc>
          <w:tcPr>
            <w:tcW w:w="1098" w:type="pct"/>
          </w:tcPr>
          <w:p w14:paraId="308F9519" w14:textId="77777777" w:rsidR="00571EA9" w:rsidRDefault="00571EA9" w:rsidP="00E8269D">
            <w:pPr>
              <w:spacing w:before="120" w:after="120"/>
              <w:rPr>
                <w:rFonts w:ascii="Verdana" w:hAnsi="Verdana" w:cs="Arial"/>
              </w:rPr>
            </w:pPr>
            <w:r w:rsidRPr="004E00B6">
              <w:rPr>
                <w:rFonts w:ascii="Verdana" w:hAnsi="Verdana" w:cs="Arial"/>
              </w:rPr>
              <w:t>Non applicable</w:t>
            </w:r>
          </w:p>
          <w:p w14:paraId="0F57B847" w14:textId="77777777" w:rsidR="00571EA9" w:rsidRPr="004E00B6" w:rsidRDefault="00571EA9" w:rsidP="00E8269D">
            <w:pPr>
              <w:spacing w:before="120" w:after="120"/>
              <w:rPr>
                <w:rFonts w:ascii="Verdana" w:hAnsi="Verdana" w:cs="Arial"/>
              </w:rPr>
            </w:pPr>
          </w:p>
        </w:tc>
        <w:tc>
          <w:tcPr>
            <w:tcW w:w="3121" w:type="pct"/>
          </w:tcPr>
          <w:p w14:paraId="33452741" w14:textId="798E47B7" w:rsidR="00571EA9" w:rsidRPr="004E00B6" w:rsidRDefault="00A207BF" w:rsidP="00E8269D">
            <w:pPr>
              <w:spacing w:before="120" w:after="120"/>
              <w:rPr>
                <w:rFonts w:ascii="Verdana" w:hAnsi="Verdana" w:cs="Arial"/>
              </w:rPr>
            </w:pPr>
            <w:r>
              <w:rPr>
                <w:rFonts w:ascii="Verdana" w:hAnsi="Verdana" w:cs="Arial"/>
              </w:rPr>
              <w:t>Not used for</w:t>
            </w:r>
            <w:r w:rsidR="007B5947">
              <w:rPr>
                <w:rFonts w:ascii="Verdana" w:hAnsi="Verdana" w:cs="Arial"/>
              </w:rPr>
              <w:t xml:space="preserve">. </w:t>
            </w:r>
          </w:p>
        </w:tc>
      </w:tr>
      <w:tr w:rsidR="001C342D" w:rsidRPr="004E00B6" w14:paraId="03C205DE" w14:textId="77777777" w:rsidTr="00B61FF4">
        <w:tc>
          <w:tcPr>
            <w:tcW w:w="781" w:type="pct"/>
            <w:vMerge w:val="restart"/>
          </w:tcPr>
          <w:p w14:paraId="311958C0" w14:textId="77777777" w:rsidR="00571EA9" w:rsidRPr="00F4531F" w:rsidRDefault="00571EA9" w:rsidP="00E8269D">
            <w:pPr>
              <w:spacing w:before="120" w:after="120"/>
              <w:jc w:val="center"/>
              <w:rPr>
                <w:rFonts w:ascii="Verdana" w:hAnsi="Verdana"/>
                <w:b/>
                <w:color w:val="000000"/>
              </w:rPr>
            </w:pPr>
            <w:r w:rsidRPr="00F4531F">
              <w:rPr>
                <w:rFonts w:ascii="Verdana" w:hAnsi="Verdana"/>
                <w:b/>
                <w:color w:val="000000"/>
              </w:rPr>
              <w:t>NA</w:t>
            </w:r>
          </w:p>
        </w:tc>
        <w:tc>
          <w:tcPr>
            <w:tcW w:w="1098" w:type="pct"/>
          </w:tcPr>
          <w:p w14:paraId="346E8A67" w14:textId="77777777" w:rsidR="00571EA9" w:rsidRDefault="00571EA9" w:rsidP="00E8269D">
            <w:pPr>
              <w:spacing w:before="120" w:after="120"/>
              <w:rPr>
                <w:rFonts w:ascii="Verdana" w:hAnsi="Verdana" w:cs="Arial"/>
              </w:rPr>
            </w:pPr>
            <w:r w:rsidRPr="004E00B6">
              <w:rPr>
                <w:rFonts w:ascii="Verdana" w:hAnsi="Verdana" w:cs="Arial"/>
              </w:rPr>
              <w:t>No Answer</w:t>
            </w:r>
          </w:p>
          <w:p w14:paraId="0FC0644B" w14:textId="77777777" w:rsidR="00571EA9" w:rsidRPr="004E00B6" w:rsidRDefault="00571EA9" w:rsidP="00E8269D">
            <w:pPr>
              <w:spacing w:before="120" w:after="120"/>
              <w:rPr>
                <w:rFonts w:ascii="Verdana" w:hAnsi="Verdana" w:cs="Arial"/>
              </w:rPr>
            </w:pPr>
          </w:p>
        </w:tc>
        <w:tc>
          <w:tcPr>
            <w:tcW w:w="3121" w:type="pct"/>
          </w:tcPr>
          <w:p w14:paraId="62D440AD" w14:textId="77777777" w:rsidR="00571EA9" w:rsidRPr="004E00B6" w:rsidRDefault="00571EA9" w:rsidP="00E8269D">
            <w:pPr>
              <w:spacing w:before="120" w:after="120"/>
              <w:rPr>
                <w:rFonts w:ascii="Verdana" w:hAnsi="Verdana" w:cs="Arial"/>
              </w:rPr>
            </w:pPr>
            <w:r w:rsidRPr="004E00B6">
              <w:rPr>
                <w:rFonts w:ascii="Verdana" w:hAnsi="Verdana" w:cs="Arial"/>
              </w:rPr>
              <w:t>No response from the prescriber/member</w:t>
            </w:r>
            <w:r>
              <w:rPr>
                <w:rFonts w:ascii="Verdana" w:hAnsi="Verdana" w:cs="Arial"/>
              </w:rPr>
              <w:t>.</w:t>
            </w:r>
          </w:p>
        </w:tc>
      </w:tr>
      <w:tr w:rsidR="001C342D" w:rsidRPr="004E00B6" w14:paraId="742085F8" w14:textId="77777777" w:rsidTr="00B61FF4">
        <w:tc>
          <w:tcPr>
            <w:tcW w:w="781" w:type="pct"/>
            <w:vMerge/>
          </w:tcPr>
          <w:p w14:paraId="4567C108" w14:textId="77777777" w:rsidR="00571EA9" w:rsidRPr="00F4531F" w:rsidRDefault="00571EA9" w:rsidP="00E8269D">
            <w:pPr>
              <w:spacing w:before="120" w:after="120"/>
              <w:jc w:val="center"/>
              <w:rPr>
                <w:rFonts w:ascii="Verdana" w:hAnsi="Verdana"/>
                <w:b/>
                <w:color w:val="000000"/>
              </w:rPr>
            </w:pPr>
          </w:p>
        </w:tc>
        <w:tc>
          <w:tcPr>
            <w:tcW w:w="1098" w:type="pct"/>
          </w:tcPr>
          <w:p w14:paraId="38653044" w14:textId="77777777" w:rsidR="00571EA9" w:rsidRPr="004E00B6" w:rsidRDefault="00571EA9" w:rsidP="00E8269D">
            <w:pPr>
              <w:spacing w:before="120" w:after="120"/>
              <w:rPr>
                <w:rFonts w:ascii="Verdana" w:hAnsi="Verdana" w:cs="Arial"/>
              </w:rPr>
            </w:pPr>
            <w:r>
              <w:rPr>
                <w:rFonts w:ascii="Verdana" w:hAnsi="Verdana" w:cs="Arial"/>
              </w:rPr>
              <w:t>National Account</w:t>
            </w:r>
          </w:p>
        </w:tc>
        <w:tc>
          <w:tcPr>
            <w:tcW w:w="3121" w:type="pct"/>
          </w:tcPr>
          <w:p w14:paraId="1CF96ACF" w14:textId="77777777" w:rsidR="00571EA9" w:rsidRDefault="00571EA9" w:rsidP="00E8269D">
            <w:pPr>
              <w:spacing w:before="120" w:after="120"/>
              <w:rPr>
                <w:rFonts w:ascii="Verdana" w:hAnsi="Verdana" w:cs="Arial"/>
              </w:rPr>
            </w:pPr>
            <w:r w:rsidRPr="006B3934">
              <w:rPr>
                <w:rFonts w:ascii="Verdana" w:hAnsi="Verdana" w:cs="Arial"/>
              </w:rPr>
              <w:t>Accounts that have an affiliation in more than one state, usually several states.</w:t>
            </w:r>
          </w:p>
          <w:p w14:paraId="27835354" w14:textId="77777777" w:rsidR="00571EA9" w:rsidRDefault="00571EA9" w:rsidP="00E8269D">
            <w:pPr>
              <w:spacing w:before="120" w:after="120"/>
              <w:rPr>
                <w:rFonts w:ascii="Verdana" w:hAnsi="Verdana" w:cs="Arial"/>
              </w:rPr>
            </w:pPr>
          </w:p>
        </w:tc>
      </w:tr>
      <w:tr w:rsidR="001C342D" w:rsidRPr="004E00B6" w14:paraId="26B64B0A" w14:textId="77777777" w:rsidTr="00B61FF4">
        <w:tc>
          <w:tcPr>
            <w:tcW w:w="781" w:type="pct"/>
          </w:tcPr>
          <w:p w14:paraId="1EC06DBD" w14:textId="77777777" w:rsidR="00571EA9" w:rsidRPr="00F4531F" w:rsidRDefault="00571EA9" w:rsidP="00E8269D">
            <w:pPr>
              <w:spacing w:before="120" w:after="120"/>
              <w:jc w:val="center"/>
              <w:rPr>
                <w:rFonts w:ascii="Verdana" w:hAnsi="Verdana"/>
                <w:b/>
                <w:color w:val="000000"/>
              </w:rPr>
            </w:pPr>
            <w:r w:rsidRPr="00F4531F">
              <w:rPr>
                <w:rFonts w:ascii="Verdana" w:hAnsi="Verdana"/>
                <w:b/>
                <w:color w:val="000000"/>
              </w:rPr>
              <w:t>NABP</w:t>
            </w:r>
          </w:p>
        </w:tc>
        <w:tc>
          <w:tcPr>
            <w:tcW w:w="1098" w:type="pct"/>
          </w:tcPr>
          <w:p w14:paraId="573E9BD7" w14:textId="77777777" w:rsidR="00571EA9" w:rsidRPr="00174371" w:rsidRDefault="00571EA9" w:rsidP="00E8269D">
            <w:pPr>
              <w:spacing w:before="120" w:after="120"/>
              <w:rPr>
                <w:rFonts w:ascii="Verdana" w:hAnsi="Verdana" w:cs="Arial"/>
              </w:rPr>
            </w:pPr>
            <w:r>
              <w:rPr>
                <w:rFonts w:ascii="Verdana" w:hAnsi="Verdana" w:cs="Arial"/>
              </w:rPr>
              <w:t>National Association Board of Pharmacies</w:t>
            </w:r>
          </w:p>
        </w:tc>
        <w:tc>
          <w:tcPr>
            <w:tcW w:w="3121" w:type="pct"/>
          </w:tcPr>
          <w:p w14:paraId="17ED5914" w14:textId="182AF9A2" w:rsidR="00571EA9" w:rsidRPr="006B3934" w:rsidRDefault="00571EA9" w:rsidP="00E8269D">
            <w:pPr>
              <w:spacing w:before="120" w:after="120"/>
              <w:rPr>
                <w:rFonts w:ascii="Verdana" w:hAnsi="Verdana" w:cs="Arial"/>
              </w:rPr>
            </w:pPr>
            <w:r>
              <w:rPr>
                <w:rFonts w:ascii="Verdana" w:hAnsi="Verdana" w:cs="Arial"/>
              </w:rPr>
              <w:t>A</w:t>
            </w:r>
            <w:r w:rsidRPr="006B3934">
              <w:rPr>
                <w:rFonts w:ascii="Verdana" w:hAnsi="Verdana" w:cs="Arial"/>
              </w:rPr>
              <w:t>ssigns all pharmacies a unique identification number</w:t>
            </w:r>
            <w:r w:rsidR="003F331F" w:rsidRPr="006B3934">
              <w:rPr>
                <w:rFonts w:ascii="Verdana" w:hAnsi="Verdana" w:cs="Arial"/>
              </w:rPr>
              <w:t xml:space="preserve">. </w:t>
            </w:r>
            <w:r>
              <w:rPr>
                <w:rFonts w:ascii="Verdana" w:hAnsi="Verdana" w:cs="Arial"/>
              </w:rPr>
              <w:t>We</w:t>
            </w:r>
            <w:r w:rsidRPr="006B3934">
              <w:rPr>
                <w:rFonts w:ascii="Verdana" w:hAnsi="Verdana" w:cs="Arial"/>
              </w:rPr>
              <w:t xml:space="preserve"> use this seven-digit number to identify a dispensing pharmacy, to recognize pharmacies that participate in </w:t>
            </w:r>
            <w:r>
              <w:rPr>
                <w:rFonts w:ascii="Verdana" w:hAnsi="Verdana" w:cs="Arial"/>
              </w:rPr>
              <w:t>our</w:t>
            </w:r>
            <w:r w:rsidRPr="006B3934">
              <w:rPr>
                <w:rFonts w:ascii="Verdana" w:hAnsi="Verdana" w:cs="Arial"/>
              </w:rPr>
              <w:t xml:space="preserve"> network of pharmacies, and to calculate reimbursement amounts for retail pharmacies.</w:t>
            </w:r>
          </w:p>
          <w:p w14:paraId="077F232B" w14:textId="77777777" w:rsidR="00571EA9" w:rsidRDefault="00571EA9" w:rsidP="00E8269D">
            <w:pPr>
              <w:spacing w:before="120" w:after="120"/>
              <w:rPr>
                <w:rFonts w:ascii="Verdana" w:hAnsi="Verdana" w:cs="Arial"/>
              </w:rPr>
            </w:pPr>
            <w:r w:rsidRPr="006B3934">
              <w:rPr>
                <w:rFonts w:ascii="Verdana" w:hAnsi="Verdana" w:cs="Arial"/>
              </w:rPr>
              <w:t>The first two digits of the NABP# correspond to the state code for the state in which the pharmacy is located.</w:t>
            </w:r>
          </w:p>
          <w:p w14:paraId="3374E65D" w14:textId="77777777" w:rsidR="00571EA9" w:rsidRPr="00174371" w:rsidRDefault="00571EA9" w:rsidP="00E8269D">
            <w:pPr>
              <w:spacing w:before="120" w:after="120"/>
              <w:rPr>
                <w:rFonts w:ascii="Verdana" w:hAnsi="Verdana" w:cs="Arial"/>
              </w:rPr>
            </w:pPr>
          </w:p>
        </w:tc>
      </w:tr>
      <w:tr w:rsidR="001C342D" w:rsidRPr="004E00B6" w14:paraId="4828ABD9" w14:textId="77777777" w:rsidTr="00B61FF4">
        <w:tc>
          <w:tcPr>
            <w:tcW w:w="781" w:type="pct"/>
          </w:tcPr>
          <w:p w14:paraId="3A697C86" w14:textId="77777777" w:rsidR="00571EA9" w:rsidRPr="00F4531F" w:rsidRDefault="00571EA9" w:rsidP="00E8269D">
            <w:pPr>
              <w:spacing w:before="120" w:after="120"/>
              <w:jc w:val="center"/>
              <w:rPr>
                <w:rFonts w:ascii="Verdana" w:hAnsi="Verdana"/>
                <w:b/>
                <w:color w:val="000000"/>
              </w:rPr>
            </w:pPr>
            <w:r w:rsidRPr="00F4531F">
              <w:rPr>
                <w:rFonts w:ascii="Verdana" w:hAnsi="Verdana"/>
                <w:b/>
                <w:color w:val="000000"/>
              </w:rPr>
              <w:t>NADEAN</w:t>
            </w:r>
          </w:p>
        </w:tc>
        <w:tc>
          <w:tcPr>
            <w:tcW w:w="1098" w:type="pct"/>
          </w:tcPr>
          <w:p w14:paraId="7BDAFBDD" w14:textId="77777777" w:rsidR="00571EA9" w:rsidRPr="00174371" w:rsidRDefault="00571EA9" w:rsidP="00E8269D">
            <w:pPr>
              <w:spacing w:before="120" w:after="120"/>
              <w:rPr>
                <w:rFonts w:ascii="Verdana" w:hAnsi="Verdana" w:cs="Arial"/>
              </w:rPr>
            </w:pPr>
            <w:r w:rsidRPr="00174371">
              <w:rPr>
                <w:rFonts w:ascii="Verdana" w:hAnsi="Verdana" w:cs="Arial"/>
              </w:rPr>
              <w:t>Narcotics Addiction DEA Number</w:t>
            </w:r>
          </w:p>
        </w:tc>
        <w:tc>
          <w:tcPr>
            <w:tcW w:w="3121" w:type="pct"/>
          </w:tcPr>
          <w:p w14:paraId="1AFD4FAA" w14:textId="77777777" w:rsidR="00571EA9" w:rsidRDefault="00571EA9" w:rsidP="00E8269D">
            <w:pPr>
              <w:spacing w:before="120" w:after="120"/>
              <w:rPr>
                <w:rFonts w:ascii="Verdana" w:hAnsi="Verdana" w:cs="Arial"/>
              </w:rPr>
            </w:pPr>
            <w:r w:rsidRPr="00174371">
              <w:rPr>
                <w:rFonts w:ascii="Verdana" w:hAnsi="Verdana" w:cs="Arial"/>
              </w:rPr>
              <w:t>Required for Drug abuse treatment identifier. The NADEAN number is also referred to as the Data 2000 and DEA X number.</w:t>
            </w:r>
          </w:p>
          <w:p w14:paraId="02E5E256" w14:textId="77777777" w:rsidR="00571EA9" w:rsidRPr="00174371" w:rsidRDefault="00571EA9" w:rsidP="00E8269D">
            <w:pPr>
              <w:spacing w:before="120" w:after="120"/>
              <w:rPr>
                <w:rFonts w:ascii="Verdana" w:hAnsi="Verdana" w:cs="Arial"/>
              </w:rPr>
            </w:pPr>
          </w:p>
        </w:tc>
      </w:tr>
      <w:tr w:rsidR="001C342D" w:rsidRPr="004E00B6" w14:paraId="7471A07E" w14:textId="77777777" w:rsidTr="00B61FF4">
        <w:tc>
          <w:tcPr>
            <w:tcW w:w="781" w:type="pct"/>
          </w:tcPr>
          <w:p w14:paraId="5B557CEC" w14:textId="77777777" w:rsidR="00571EA9" w:rsidRPr="00F4531F" w:rsidRDefault="00571EA9" w:rsidP="00E8269D">
            <w:pPr>
              <w:spacing w:before="120" w:after="120"/>
              <w:jc w:val="center"/>
              <w:rPr>
                <w:rFonts w:ascii="Verdana" w:hAnsi="Verdana"/>
                <w:b/>
                <w:color w:val="000000"/>
              </w:rPr>
            </w:pPr>
            <w:r w:rsidRPr="00F4531F">
              <w:rPr>
                <w:rFonts w:ascii="Verdana" w:hAnsi="Verdana"/>
                <w:b/>
                <w:color w:val="000000"/>
              </w:rPr>
              <w:t>NAW</w:t>
            </w:r>
          </w:p>
        </w:tc>
        <w:tc>
          <w:tcPr>
            <w:tcW w:w="1098" w:type="pct"/>
          </w:tcPr>
          <w:p w14:paraId="79A65973" w14:textId="77777777" w:rsidR="00571EA9" w:rsidRPr="002C36C7" w:rsidRDefault="00571EA9" w:rsidP="00E8269D">
            <w:pPr>
              <w:spacing w:before="120" w:after="120"/>
              <w:rPr>
                <w:rFonts w:ascii="Verdana" w:hAnsi="Verdana" w:cs="Arial"/>
                <w:bCs/>
              </w:rPr>
            </w:pPr>
            <w:r w:rsidRPr="002C36C7">
              <w:rPr>
                <w:rFonts w:ascii="Verdana" w:hAnsi="Verdana" w:cs="Arial"/>
                <w:bCs/>
              </w:rPr>
              <w:t>Not As Written</w:t>
            </w:r>
          </w:p>
        </w:tc>
        <w:tc>
          <w:tcPr>
            <w:tcW w:w="3121" w:type="pct"/>
          </w:tcPr>
          <w:p w14:paraId="7DC28A4F" w14:textId="77777777" w:rsidR="00571EA9" w:rsidRDefault="00571EA9" w:rsidP="00E8269D">
            <w:pPr>
              <w:spacing w:before="120" w:after="120"/>
              <w:rPr>
                <w:rFonts w:ascii="Verdana" w:hAnsi="Verdana" w:cs="Arial"/>
              </w:rPr>
            </w:pPr>
            <w:r w:rsidRPr="004E00B6">
              <w:rPr>
                <w:rFonts w:ascii="Verdana" w:hAnsi="Verdana" w:cs="Arial"/>
              </w:rPr>
              <w:t>Used in the documentation when a change is made to an Rx and the original image is on file.</w:t>
            </w:r>
          </w:p>
          <w:p w14:paraId="2B40EA84" w14:textId="77777777" w:rsidR="00571EA9" w:rsidRPr="004E00B6" w:rsidRDefault="00571EA9" w:rsidP="00E8269D">
            <w:pPr>
              <w:spacing w:before="120" w:after="120"/>
              <w:rPr>
                <w:rFonts w:ascii="Verdana" w:hAnsi="Verdana" w:cs="Arial"/>
              </w:rPr>
            </w:pPr>
          </w:p>
        </w:tc>
      </w:tr>
      <w:tr w:rsidR="003619AC" w:rsidRPr="004E00B6" w14:paraId="38A78C23" w14:textId="77777777" w:rsidTr="00B61FF4">
        <w:tc>
          <w:tcPr>
            <w:tcW w:w="781" w:type="pct"/>
          </w:tcPr>
          <w:p w14:paraId="0814B702" w14:textId="1853C03F" w:rsidR="003619AC" w:rsidRPr="00F4531F" w:rsidRDefault="003619AC" w:rsidP="003619AC">
            <w:pPr>
              <w:spacing w:before="120" w:after="120"/>
              <w:jc w:val="center"/>
              <w:rPr>
                <w:rFonts w:ascii="Verdana" w:hAnsi="Verdana"/>
                <w:b/>
                <w:color w:val="000000"/>
              </w:rPr>
            </w:pPr>
            <w:r w:rsidRPr="00F4531F">
              <w:rPr>
                <w:rFonts w:ascii="Verdana" w:hAnsi="Verdana"/>
                <w:b/>
                <w:color w:val="000000"/>
              </w:rPr>
              <w:t>NBT</w:t>
            </w:r>
          </w:p>
        </w:tc>
        <w:tc>
          <w:tcPr>
            <w:tcW w:w="1098" w:type="pct"/>
          </w:tcPr>
          <w:p w14:paraId="1DBD761C" w14:textId="20DC174D" w:rsidR="003619AC" w:rsidRPr="002C36C7" w:rsidRDefault="003619AC" w:rsidP="003619AC">
            <w:pPr>
              <w:spacing w:before="120" w:after="120"/>
              <w:rPr>
                <w:rFonts w:ascii="Verdana" w:hAnsi="Verdana" w:cs="Arial"/>
                <w:bCs/>
              </w:rPr>
            </w:pPr>
            <w:r w:rsidRPr="002C36C7">
              <w:rPr>
                <w:rFonts w:ascii="Verdana" w:hAnsi="Verdana" w:cs="Arial"/>
                <w:bCs/>
              </w:rPr>
              <w:t>Northbrook, IL corporate offices</w:t>
            </w:r>
          </w:p>
        </w:tc>
        <w:tc>
          <w:tcPr>
            <w:tcW w:w="3121" w:type="pct"/>
          </w:tcPr>
          <w:p w14:paraId="0868D45C" w14:textId="6BC2E127" w:rsidR="003619AC" w:rsidRPr="006B3934" w:rsidRDefault="003619AC" w:rsidP="003619AC">
            <w:pPr>
              <w:spacing w:before="120" w:after="120"/>
              <w:rPr>
                <w:rFonts w:ascii="Verdana" w:hAnsi="Verdana" w:cs="Arial"/>
              </w:rPr>
            </w:pPr>
            <w:r>
              <w:rPr>
                <w:rFonts w:ascii="Verdana" w:hAnsi="Verdana" w:cs="Arial"/>
              </w:rPr>
              <w:t xml:space="preserve">Our </w:t>
            </w:r>
            <w:r w:rsidRPr="004E00B6">
              <w:rPr>
                <w:rFonts w:ascii="Verdana" w:hAnsi="Verdana" w:cs="Arial"/>
              </w:rPr>
              <w:t>corporate office in Northbrook, IL</w:t>
            </w:r>
            <w:r>
              <w:rPr>
                <w:rFonts w:ascii="Verdana" w:hAnsi="Verdana" w:cs="Arial"/>
              </w:rPr>
              <w:t>.</w:t>
            </w:r>
          </w:p>
        </w:tc>
      </w:tr>
      <w:tr w:rsidR="00B61FF4" w:rsidRPr="004E00B6" w14:paraId="4B053D33" w14:textId="77777777" w:rsidTr="00B61FF4">
        <w:tc>
          <w:tcPr>
            <w:tcW w:w="781" w:type="pct"/>
          </w:tcPr>
          <w:p w14:paraId="7EED8648" w14:textId="1532C782"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NC</w:t>
            </w:r>
          </w:p>
        </w:tc>
        <w:tc>
          <w:tcPr>
            <w:tcW w:w="1098" w:type="pct"/>
          </w:tcPr>
          <w:p w14:paraId="79456254" w14:textId="581C7B33" w:rsidR="00B61FF4" w:rsidRPr="002C36C7" w:rsidRDefault="00B61FF4" w:rsidP="00B61FF4">
            <w:pPr>
              <w:spacing w:before="120" w:after="120"/>
              <w:rPr>
                <w:rFonts w:ascii="Verdana" w:hAnsi="Verdana" w:cs="Arial"/>
                <w:bCs/>
              </w:rPr>
            </w:pPr>
            <w:r w:rsidRPr="002C36C7">
              <w:rPr>
                <w:rFonts w:ascii="Verdana" w:hAnsi="Verdana" w:cs="Arial"/>
                <w:bCs/>
              </w:rPr>
              <w:t>Noncompliant</w:t>
            </w:r>
          </w:p>
        </w:tc>
        <w:tc>
          <w:tcPr>
            <w:tcW w:w="3121" w:type="pct"/>
          </w:tcPr>
          <w:p w14:paraId="75DA1930" w14:textId="00BC4ECB" w:rsidR="00B61FF4" w:rsidRDefault="00B61FF4" w:rsidP="00B61FF4">
            <w:pPr>
              <w:spacing w:before="120" w:after="120"/>
              <w:rPr>
                <w:rFonts w:ascii="Verdana" w:hAnsi="Verdana" w:cs="Arial"/>
              </w:rPr>
            </w:pPr>
            <w:r w:rsidRPr="004E00B6">
              <w:rPr>
                <w:rFonts w:ascii="Verdana" w:hAnsi="Verdana" w:cs="Arial"/>
              </w:rPr>
              <w:t>Drugs not taken according to prescribed directions; doses are skipped by the member</w:t>
            </w:r>
            <w:r>
              <w:rPr>
                <w:rFonts w:ascii="Verdana" w:hAnsi="Verdana" w:cs="Arial"/>
              </w:rPr>
              <w:t>.</w:t>
            </w:r>
          </w:p>
        </w:tc>
      </w:tr>
      <w:tr w:rsidR="00B61FF4" w:rsidRPr="004E00B6" w14:paraId="0C15DAF9" w14:textId="77777777" w:rsidTr="00B61FF4">
        <w:tc>
          <w:tcPr>
            <w:tcW w:w="781" w:type="pct"/>
          </w:tcPr>
          <w:p w14:paraId="2A2D00CC" w14:textId="0EADABCC" w:rsidR="00B61FF4" w:rsidRPr="00F4531F" w:rsidRDefault="00B61FF4" w:rsidP="00B61FF4">
            <w:pPr>
              <w:spacing w:before="120" w:after="120"/>
              <w:jc w:val="center"/>
              <w:rPr>
                <w:rFonts w:ascii="Verdana" w:hAnsi="Verdana"/>
                <w:b/>
                <w:color w:val="000000"/>
              </w:rPr>
            </w:pPr>
            <w:r>
              <w:rPr>
                <w:rFonts w:ascii="Verdana" w:hAnsi="Verdana"/>
                <w:b/>
                <w:color w:val="000000"/>
              </w:rPr>
              <w:t>NCOA</w:t>
            </w:r>
          </w:p>
        </w:tc>
        <w:tc>
          <w:tcPr>
            <w:tcW w:w="1098" w:type="pct"/>
          </w:tcPr>
          <w:p w14:paraId="1B8457DF" w14:textId="036DF838" w:rsidR="00B61FF4" w:rsidRPr="002C36C7" w:rsidRDefault="00B61FF4" w:rsidP="00B61FF4">
            <w:pPr>
              <w:spacing w:before="120" w:after="120"/>
              <w:rPr>
                <w:rFonts w:ascii="Verdana" w:hAnsi="Verdana" w:cs="Arial"/>
                <w:bCs/>
              </w:rPr>
            </w:pPr>
            <w:r>
              <w:rPr>
                <w:rFonts w:ascii="Verdana" w:hAnsi="Verdana" w:cs="Arial"/>
                <w:bCs/>
              </w:rPr>
              <w:t>National Change of Address</w:t>
            </w:r>
          </w:p>
        </w:tc>
        <w:tc>
          <w:tcPr>
            <w:tcW w:w="3121" w:type="pct"/>
          </w:tcPr>
          <w:p w14:paraId="2CD82B7A" w14:textId="77777777" w:rsidR="00B61FF4" w:rsidRDefault="00B61FF4" w:rsidP="00B61FF4">
            <w:pPr>
              <w:spacing w:before="120" w:after="120"/>
              <w:rPr>
                <w:rFonts w:ascii="Verdana" w:hAnsi="Verdana"/>
              </w:rPr>
            </w:pPr>
            <w:r>
              <w:rPr>
                <w:rFonts w:ascii="Verdana" w:hAnsi="Verdana"/>
              </w:rPr>
              <w:t xml:space="preserve">A service that reduces undeliverable packages by verifying member's addresses before the package ships out. Addressing errors are identified and corrected before mail enters the </w:t>
            </w:r>
            <w:proofErr w:type="spellStart"/>
            <w:r>
              <w:rPr>
                <w:rFonts w:ascii="Verdana" w:hAnsi="Verdana"/>
              </w:rPr>
              <w:t>mailstream</w:t>
            </w:r>
            <w:proofErr w:type="spellEnd"/>
            <w:r>
              <w:rPr>
                <w:rFonts w:ascii="Verdana" w:hAnsi="Verdana"/>
              </w:rPr>
              <w:t>.</w:t>
            </w:r>
          </w:p>
          <w:p w14:paraId="3F2BBD9C" w14:textId="77777777" w:rsidR="00B61FF4" w:rsidRDefault="00B61FF4" w:rsidP="00B61FF4">
            <w:pPr>
              <w:spacing w:before="120" w:after="120"/>
              <w:rPr>
                <w:rFonts w:ascii="Verdana" w:hAnsi="Verdana" w:cs="Arial"/>
              </w:rPr>
            </w:pPr>
          </w:p>
        </w:tc>
      </w:tr>
      <w:tr w:rsidR="00B61FF4" w:rsidRPr="004E00B6" w14:paraId="410884EC" w14:textId="77777777" w:rsidTr="00B61FF4">
        <w:tc>
          <w:tcPr>
            <w:tcW w:w="781" w:type="pct"/>
          </w:tcPr>
          <w:p w14:paraId="22289F04"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NCPDP</w:t>
            </w:r>
          </w:p>
        </w:tc>
        <w:tc>
          <w:tcPr>
            <w:tcW w:w="1098" w:type="pct"/>
          </w:tcPr>
          <w:p w14:paraId="0B690F42" w14:textId="77777777" w:rsidR="00B61FF4" w:rsidRPr="002C36C7" w:rsidRDefault="00B61FF4" w:rsidP="00B61FF4">
            <w:pPr>
              <w:spacing w:before="120" w:after="120"/>
              <w:rPr>
                <w:rFonts w:ascii="Verdana" w:hAnsi="Verdana" w:cs="Arial"/>
                <w:bCs/>
              </w:rPr>
            </w:pPr>
            <w:r w:rsidRPr="002C36C7">
              <w:rPr>
                <w:rFonts w:ascii="Verdana" w:hAnsi="Verdana" w:cs="Arial"/>
                <w:bCs/>
              </w:rPr>
              <w:t>National Council for Prescription Drug Programs</w:t>
            </w:r>
          </w:p>
        </w:tc>
        <w:tc>
          <w:tcPr>
            <w:tcW w:w="3121" w:type="pct"/>
          </w:tcPr>
          <w:p w14:paraId="587B104C" w14:textId="77777777" w:rsidR="00B61FF4" w:rsidRPr="006B3934" w:rsidRDefault="00B61FF4" w:rsidP="00B61FF4">
            <w:pPr>
              <w:spacing w:before="120" w:after="120"/>
              <w:rPr>
                <w:rFonts w:ascii="Verdana" w:hAnsi="Verdana" w:cs="Arial"/>
              </w:rPr>
            </w:pPr>
            <w:r w:rsidRPr="006B3934">
              <w:rPr>
                <w:rFonts w:ascii="Verdana" w:hAnsi="Verdana" w:cs="Arial"/>
              </w:rPr>
              <w:t>The National Council for Prescription Drug Programs association:</w:t>
            </w:r>
          </w:p>
          <w:p w14:paraId="042D0BBB" w14:textId="77777777" w:rsidR="00B61FF4" w:rsidRPr="006B3934" w:rsidRDefault="00B61FF4" w:rsidP="00B61FF4">
            <w:pPr>
              <w:numPr>
                <w:ilvl w:val="0"/>
                <w:numId w:val="33"/>
              </w:numPr>
              <w:spacing w:before="120" w:after="120"/>
              <w:rPr>
                <w:rFonts w:ascii="Verdana" w:hAnsi="Verdana" w:cs="Arial"/>
              </w:rPr>
            </w:pPr>
            <w:r w:rsidRPr="006B3934">
              <w:rPr>
                <w:rFonts w:ascii="Verdana" w:hAnsi="Verdana" w:cs="Arial"/>
              </w:rPr>
              <w:t>Regulates on-line prescription drug programs</w:t>
            </w:r>
          </w:p>
          <w:p w14:paraId="4F27A96C" w14:textId="77777777" w:rsidR="00B61FF4" w:rsidRPr="006B3934" w:rsidRDefault="00B61FF4" w:rsidP="00B61FF4">
            <w:pPr>
              <w:numPr>
                <w:ilvl w:val="0"/>
                <w:numId w:val="33"/>
              </w:numPr>
              <w:spacing w:before="120" w:after="120"/>
              <w:rPr>
                <w:rFonts w:ascii="Verdana" w:hAnsi="Verdana" w:cs="Arial"/>
              </w:rPr>
            </w:pPr>
            <w:r w:rsidRPr="006B3934">
              <w:rPr>
                <w:rFonts w:ascii="Verdana" w:hAnsi="Verdana" w:cs="Arial"/>
              </w:rPr>
              <w:t>Promotes standardization and efficiency within the third-party prescription drug program industry</w:t>
            </w:r>
          </w:p>
          <w:p w14:paraId="3F9B7FAF" w14:textId="77777777" w:rsidR="00B61FF4" w:rsidRPr="006B3934" w:rsidRDefault="00B61FF4" w:rsidP="00B61FF4">
            <w:pPr>
              <w:numPr>
                <w:ilvl w:val="0"/>
                <w:numId w:val="33"/>
              </w:numPr>
              <w:spacing w:before="120" w:after="120"/>
              <w:rPr>
                <w:rFonts w:ascii="Verdana" w:hAnsi="Verdana" w:cs="Arial"/>
              </w:rPr>
            </w:pPr>
            <w:r w:rsidRPr="006B3934">
              <w:rPr>
                <w:rFonts w:ascii="Verdana" w:hAnsi="Verdana" w:cs="Arial"/>
              </w:rPr>
              <w:t>Establishes electronic claim standards utilized in pharmacy benefit management and transmission among providers and payers</w:t>
            </w:r>
          </w:p>
          <w:p w14:paraId="4B7E222F" w14:textId="77777777" w:rsidR="00B61FF4" w:rsidRPr="006B3934" w:rsidRDefault="00B61FF4" w:rsidP="00B61FF4">
            <w:pPr>
              <w:numPr>
                <w:ilvl w:val="0"/>
                <w:numId w:val="33"/>
              </w:numPr>
              <w:spacing w:before="120" w:after="120"/>
              <w:rPr>
                <w:rFonts w:ascii="Verdana" w:hAnsi="Verdana" w:cs="Arial"/>
              </w:rPr>
            </w:pPr>
            <w:r w:rsidRPr="006B3934">
              <w:rPr>
                <w:rFonts w:ascii="Verdana" w:hAnsi="Verdana" w:cs="Arial"/>
              </w:rPr>
              <w:t>Assigns all pharmacies a unique NCPDP identification number</w:t>
            </w:r>
          </w:p>
          <w:p w14:paraId="40F23519" w14:textId="77777777" w:rsidR="00B61FF4" w:rsidRDefault="00B61FF4" w:rsidP="00B61FF4">
            <w:pPr>
              <w:spacing w:before="120" w:after="120"/>
              <w:rPr>
                <w:rFonts w:ascii="Verdana" w:hAnsi="Verdana" w:cs="Arial"/>
              </w:rPr>
            </w:pPr>
            <w:r>
              <w:rPr>
                <w:rFonts w:ascii="Verdana" w:hAnsi="Verdana" w:cs="Arial"/>
              </w:rPr>
              <w:t>We</w:t>
            </w:r>
            <w:r w:rsidRPr="006B3934">
              <w:rPr>
                <w:rFonts w:ascii="Verdana" w:hAnsi="Verdana" w:cs="Arial"/>
              </w:rPr>
              <w:t xml:space="preserve"> use the NCPDP# to identify a dispensing pharmacy, to recognize pharmacies that participate in </w:t>
            </w:r>
            <w:r>
              <w:rPr>
                <w:rFonts w:ascii="Verdana" w:hAnsi="Verdana" w:cs="Arial"/>
              </w:rPr>
              <w:t>our</w:t>
            </w:r>
            <w:r w:rsidRPr="006B3934">
              <w:rPr>
                <w:rFonts w:ascii="Verdana" w:hAnsi="Verdana" w:cs="Arial"/>
              </w:rPr>
              <w:t xml:space="preserve"> network of pharmacies, and to calculate reimbursement amounts for retail pharmacies.</w:t>
            </w:r>
          </w:p>
          <w:p w14:paraId="26EBD9A0" w14:textId="77777777" w:rsidR="00B61FF4" w:rsidRPr="004E00B6" w:rsidRDefault="00B61FF4" w:rsidP="00B61FF4">
            <w:pPr>
              <w:spacing w:before="120" w:after="120"/>
              <w:rPr>
                <w:rFonts w:ascii="Verdana" w:hAnsi="Verdana" w:cs="Arial"/>
              </w:rPr>
            </w:pPr>
          </w:p>
        </w:tc>
      </w:tr>
      <w:tr w:rsidR="00B61FF4" w:rsidRPr="004E00B6" w14:paraId="7536EF8B" w14:textId="77777777" w:rsidTr="00B61FF4">
        <w:trPr>
          <w:trHeight w:val="350"/>
        </w:trPr>
        <w:tc>
          <w:tcPr>
            <w:tcW w:w="781" w:type="pct"/>
          </w:tcPr>
          <w:p w14:paraId="7EE03B9B" w14:textId="485A3E09" w:rsidR="00B61FF4" w:rsidRPr="00F4531F" w:rsidRDefault="00B61FF4" w:rsidP="00B61FF4">
            <w:pPr>
              <w:spacing w:before="120" w:after="120"/>
              <w:jc w:val="center"/>
              <w:rPr>
                <w:rFonts w:ascii="Verdana" w:hAnsi="Verdana"/>
                <w:b/>
                <w:color w:val="000000"/>
              </w:rPr>
            </w:pPr>
            <w:r>
              <w:rPr>
                <w:rFonts w:ascii="Verdana" w:hAnsi="Verdana"/>
                <w:b/>
                <w:color w:val="000000"/>
              </w:rPr>
              <w:t xml:space="preserve"> </w:t>
            </w:r>
            <w:r w:rsidRPr="00F4531F">
              <w:rPr>
                <w:rFonts w:ascii="Verdana" w:hAnsi="Verdana"/>
                <w:b/>
                <w:color w:val="000000"/>
              </w:rPr>
              <w:t xml:space="preserve">NCT </w:t>
            </w:r>
          </w:p>
        </w:tc>
        <w:tc>
          <w:tcPr>
            <w:tcW w:w="1098" w:type="pct"/>
          </w:tcPr>
          <w:p w14:paraId="7B5B9C65" w14:textId="77777777" w:rsidR="00B61FF4" w:rsidRPr="002C36C7" w:rsidRDefault="00B61FF4" w:rsidP="00B61FF4">
            <w:pPr>
              <w:spacing w:before="120" w:after="120"/>
              <w:rPr>
                <w:rFonts w:ascii="Verdana" w:hAnsi="Verdana" w:cs="Arial"/>
                <w:bCs/>
              </w:rPr>
            </w:pPr>
            <w:bookmarkStart w:id="4" w:name="OLE_LINK12"/>
            <w:proofErr w:type="gramStart"/>
            <w:r w:rsidRPr="002C36C7">
              <w:rPr>
                <w:rFonts w:ascii="Verdana" w:hAnsi="Verdana" w:cs="Arial"/>
                <w:bCs/>
              </w:rPr>
              <w:t>Non CVS Caremark</w:t>
            </w:r>
            <w:proofErr w:type="gramEnd"/>
            <w:r w:rsidRPr="002C36C7">
              <w:rPr>
                <w:rFonts w:ascii="Verdana" w:hAnsi="Verdana" w:cs="Arial"/>
                <w:bCs/>
              </w:rPr>
              <w:t xml:space="preserve"> Therapeutic Intervention Program</w:t>
            </w:r>
          </w:p>
          <w:bookmarkEnd w:id="4"/>
          <w:p w14:paraId="048BCEE6" w14:textId="77777777" w:rsidR="00B61FF4" w:rsidRPr="002C36C7" w:rsidRDefault="00B61FF4" w:rsidP="00B61FF4">
            <w:pPr>
              <w:spacing w:before="120" w:after="120"/>
              <w:rPr>
                <w:rFonts w:ascii="Verdana" w:hAnsi="Verdana" w:cs="Arial"/>
                <w:bCs/>
              </w:rPr>
            </w:pPr>
          </w:p>
        </w:tc>
        <w:tc>
          <w:tcPr>
            <w:tcW w:w="3121" w:type="pct"/>
          </w:tcPr>
          <w:p w14:paraId="028CF8F1" w14:textId="6E945054" w:rsidR="00B61FF4" w:rsidRPr="007B5947" w:rsidRDefault="00B61FF4" w:rsidP="00B61FF4">
            <w:pPr>
              <w:spacing w:before="120" w:after="120"/>
              <w:rPr>
                <w:rFonts w:ascii="Verdana" w:hAnsi="Verdana" w:cs="Arial"/>
              </w:rPr>
            </w:pPr>
            <w:r w:rsidRPr="002A683B">
              <w:rPr>
                <w:rFonts w:ascii="Verdana" w:hAnsi="Verdana"/>
                <w:color w:val="202124"/>
                <w:shd w:val="clear" w:color="auto" w:fill="FFFFFF"/>
              </w:rPr>
              <w:t>The therapeutic intervention consists of the strategies and actions most likely to </w:t>
            </w:r>
            <w:r w:rsidRPr="002A683B">
              <w:rPr>
                <w:rFonts w:ascii="Verdana" w:hAnsi="Verdana"/>
                <w:b/>
                <w:bCs/>
                <w:color w:val="202124"/>
                <w:shd w:val="clear" w:color="auto" w:fill="FFFFFF"/>
              </w:rPr>
              <w:t>promote healing, strength, and lasting change</w:t>
            </w:r>
            <w:r w:rsidRPr="002A683B">
              <w:rPr>
                <w:rFonts w:ascii="Verdana" w:hAnsi="Verdana"/>
                <w:color w:val="202124"/>
                <w:shd w:val="clear" w:color="auto" w:fill="FFFFFF"/>
              </w:rPr>
              <w:t>. Therapeutic intervention is a live process of discovering what works with a specific youth and family in their own context not related to CVS Caremark.</w:t>
            </w:r>
          </w:p>
        </w:tc>
      </w:tr>
      <w:tr w:rsidR="00B61FF4" w:rsidRPr="004E00B6" w14:paraId="60D074A4" w14:textId="77777777" w:rsidTr="00B61FF4">
        <w:tc>
          <w:tcPr>
            <w:tcW w:w="781" w:type="pct"/>
          </w:tcPr>
          <w:p w14:paraId="579097F7" w14:textId="77777777" w:rsidR="00B61FF4" w:rsidRPr="00F4531F" w:rsidRDefault="00B61FF4" w:rsidP="00B61FF4">
            <w:pPr>
              <w:spacing w:before="120" w:after="120"/>
              <w:jc w:val="center"/>
              <w:rPr>
                <w:rFonts w:ascii="Verdana" w:hAnsi="Verdana"/>
                <w:b/>
                <w:color w:val="000000"/>
              </w:rPr>
            </w:pPr>
            <w:r w:rsidRPr="002A444A">
              <w:rPr>
                <w:rFonts w:ascii="Verdana" w:hAnsi="Verdana"/>
                <w:b/>
              </w:rPr>
              <w:t>NDA</w:t>
            </w:r>
          </w:p>
        </w:tc>
        <w:tc>
          <w:tcPr>
            <w:tcW w:w="1098" w:type="pct"/>
          </w:tcPr>
          <w:p w14:paraId="6122C1DC" w14:textId="77777777" w:rsidR="00B61FF4" w:rsidRPr="002C36C7" w:rsidRDefault="00B61FF4" w:rsidP="00B61FF4">
            <w:pPr>
              <w:spacing w:before="120" w:after="120"/>
              <w:rPr>
                <w:rFonts w:ascii="Verdana" w:hAnsi="Verdana" w:cs="Arial"/>
                <w:bCs/>
              </w:rPr>
            </w:pPr>
            <w:r w:rsidRPr="002C36C7">
              <w:rPr>
                <w:rFonts w:ascii="Verdana" w:hAnsi="Verdana"/>
                <w:bCs/>
              </w:rPr>
              <w:t>New Drug Application</w:t>
            </w:r>
          </w:p>
        </w:tc>
        <w:tc>
          <w:tcPr>
            <w:tcW w:w="3121" w:type="pct"/>
          </w:tcPr>
          <w:p w14:paraId="0D73FAAE" w14:textId="77777777" w:rsidR="00B61FF4" w:rsidRPr="000F184C" w:rsidRDefault="00B61FF4" w:rsidP="00B61FF4">
            <w:pPr>
              <w:spacing w:before="120" w:after="120"/>
              <w:rPr>
                <w:rFonts w:ascii="Verdana" w:hAnsi="Verdana"/>
              </w:rPr>
            </w:pPr>
            <w:r w:rsidRPr="000F184C">
              <w:rPr>
                <w:rFonts w:ascii="Verdana" w:hAnsi="Verdana"/>
              </w:rPr>
              <w:t>Formal steps a drug sponsor (manufacturer) takes to ask that the FDA consider approving a new drug for marketing in the United States.</w:t>
            </w:r>
          </w:p>
          <w:p w14:paraId="35648BF3" w14:textId="77777777" w:rsidR="00B61FF4" w:rsidRPr="000F184C" w:rsidRDefault="00B61FF4" w:rsidP="00B61FF4">
            <w:pPr>
              <w:tabs>
                <w:tab w:val="num" w:pos="720"/>
              </w:tabs>
              <w:spacing w:before="120" w:after="120"/>
              <w:rPr>
                <w:rFonts w:ascii="Verdana" w:hAnsi="Verdana"/>
              </w:rPr>
            </w:pPr>
          </w:p>
          <w:p w14:paraId="6D59BF98" w14:textId="77777777" w:rsidR="00B61FF4" w:rsidRPr="000F184C" w:rsidRDefault="00B61FF4" w:rsidP="00B61FF4">
            <w:pPr>
              <w:tabs>
                <w:tab w:val="num" w:pos="720"/>
              </w:tabs>
              <w:spacing w:before="120" w:after="120"/>
              <w:rPr>
                <w:rFonts w:ascii="Verdana" w:hAnsi="Verdana"/>
                <w:b/>
              </w:rPr>
            </w:pPr>
            <w:r w:rsidRPr="000F184C">
              <w:rPr>
                <w:rFonts w:ascii="Verdana" w:hAnsi="Verdana"/>
              </w:rPr>
              <w:t>NORMALLY Brand name drugs</w:t>
            </w:r>
          </w:p>
          <w:p w14:paraId="27180DA7" w14:textId="77777777" w:rsidR="00B61FF4" w:rsidRPr="004E00B6" w:rsidRDefault="00B61FF4" w:rsidP="00B61FF4">
            <w:pPr>
              <w:spacing w:before="120" w:after="120"/>
              <w:rPr>
                <w:rFonts w:ascii="Verdana" w:hAnsi="Verdana" w:cs="Arial"/>
              </w:rPr>
            </w:pPr>
          </w:p>
        </w:tc>
      </w:tr>
      <w:tr w:rsidR="00B61FF4" w:rsidRPr="004E00B6" w14:paraId="6308F476" w14:textId="77777777" w:rsidTr="00B61FF4">
        <w:tc>
          <w:tcPr>
            <w:tcW w:w="781" w:type="pct"/>
            <w:vMerge w:val="restart"/>
          </w:tcPr>
          <w:p w14:paraId="3817A187"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NDC</w:t>
            </w:r>
          </w:p>
        </w:tc>
        <w:tc>
          <w:tcPr>
            <w:tcW w:w="1098" w:type="pct"/>
          </w:tcPr>
          <w:p w14:paraId="7D9C8BBC" w14:textId="77777777" w:rsidR="00B61FF4" w:rsidRPr="002C36C7" w:rsidRDefault="00B61FF4" w:rsidP="00B61FF4">
            <w:pPr>
              <w:spacing w:before="120" w:after="120"/>
              <w:rPr>
                <w:rFonts w:ascii="Verdana" w:hAnsi="Verdana" w:cs="Arial"/>
                <w:bCs/>
              </w:rPr>
            </w:pPr>
            <w:r w:rsidRPr="002C36C7">
              <w:rPr>
                <w:rFonts w:ascii="Verdana" w:hAnsi="Verdana" w:cs="Arial"/>
                <w:bCs/>
              </w:rPr>
              <w:t>National Drug Code</w:t>
            </w:r>
          </w:p>
        </w:tc>
        <w:tc>
          <w:tcPr>
            <w:tcW w:w="3121" w:type="pct"/>
          </w:tcPr>
          <w:p w14:paraId="79A9A760" w14:textId="5A41A8C5" w:rsidR="00B61FF4" w:rsidRDefault="00B61FF4" w:rsidP="00B61FF4">
            <w:pPr>
              <w:spacing w:before="120" w:after="120"/>
              <w:rPr>
                <w:rFonts w:ascii="Verdana" w:hAnsi="Verdana" w:cs="Arial"/>
              </w:rPr>
            </w:pPr>
            <w:r w:rsidRPr="004E00B6">
              <w:rPr>
                <w:rFonts w:ascii="Verdana" w:hAnsi="Verdana" w:cs="Arial"/>
              </w:rPr>
              <w:t>Unique identification number for drugs</w:t>
            </w:r>
            <w:r>
              <w:rPr>
                <w:rFonts w:ascii="Verdana" w:hAnsi="Verdana" w:cs="Arial"/>
              </w:rPr>
              <w:t xml:space="preserve"> </w:t>
            </w:r>
            <w:r w:rsidRPr="007B0FC0">
              <w:rPr>
                <w:rFonts w:ascii="Verdana" w:hAnsi="Verdana" w:cs="Arial"/>
              </w:rPr>
              <w:t xml:space="preserve">used in the United States for human drugs and biologics. </w:t>
            </w:r>
            <w:proofErr w:type="spellStart"/>
            <w:r w:rsidRPr="007B0FC0">
              <w:rPr>
                <w:rFonts w:ascii="Verdana" w:hAnsi="Verdana" w:cs="Arial"/>
              </w:rPr>
              <w:t>Sure</w:t>
            </w:r>
            <w:r>
              <w:rPr>
                <w:rFonts w:ascii="Verdana" w:hAnsi="Verdana" w:cs="Arial"/>
              </w:rPr>
              <w:t>S</w:t>
            </w:r>
            <w:r w:rsidRPr="007B0FC0">
              <w:rPr>
                <w:rFonts w:ascii="Verdana" w:hAnsi="Verdana" w:cs="Arial"/>
              </w:rPr>
              <w:t>cripts</w:t>
            </w:r>
            <w:proofErr w:type="spellEnd"/>
            <w:r w:rsidRPr="007B0FC0">
              <w:rPr>
                <w:rFonts w:ascii="Verdana" w:hAnsi="Verdana" w:cs="Arial"/>
              </w:rPr>
              <w:t xml:space="preserve"> will check the NDC number for controls. </w:t>
            </w:r>
            <w:r>
              <w:rPr>
                <w:rFonts w:ascii="Verdana" w:hAnsi="Verdana" w:cs="Arial"/>
              </w:rPr>
              <w:t>I</w:t>
            </w:r>
            <w:r w:rsidRPr="007B0FC0">
              <w:rPr>
                <w:rFonts w:ascii="Verdana" w:hAnsi="Verdana" w:cs="Arial"/>
              </w:rPr>
              <w:t>f</w:t>
            </w:r>
            <w:r>
              <w:rPr>
                <w:rFonts w:ascii="Verdana" w:hAnsi="Verdana" w:cs="Arial"/>
              </w:rPr>
              <w:t xml:space="preserve"> there is</w:t>
            </w:r>
            <w:r w:rsidRPr="007B0FC0">
              <w:rPr>
                <w:rFonts w:ascii="Verdana" w:hAnsi="Verdana" w:cs="Arial"/>
              </w:rPr>
              <w:t xml:space="preserve"> no NDC, they will check for Compound Flag or Supplies Flag</w:t>
            </w:r>
            <w:r>
              <w:rPr>
                <w:rFonts w:ascii="Verdana" w:hAnsi="Verdana" w:cs="Arial"/>
              </w:rPr>
              <w:t xml:space="preserve">. The NDC is an 11-digit number. </w:t>
            </w:r>
          </w:p>
          <w:p w14:paraId="7C870648" w14:textId="77777777" w:rsidR="00B61FF4" w:rsidRPr="004E00B6" w:rsidRDefault="00B61FF4" w:rsidP="00B61FF4">
            <w:pPr>
              <w:spacing w:before="120" w:after="120"/>
              <w:rPr>
                <w:rFonts w:ascii="Verdana" w:hAnsi="Verdana" w:cs="Arial"/>
              </w:rPr>
            </w:pPr>
          </w:p>
        </w:tc>
      </w:tr>
      <w:tr w:rsidR="00B61FF4" w:rsidRPr="004E00B6" w14:paraId="1F70B26A" w14:textId="77777777" w:rsidTr="00B61FF4">
        <w:trPr>
          <w:trHeight w:val="497"/>
        </w:trPr>
        <w:tc>
          <w:tcPr>
            <w:tcW w:w="781" w:type="pct"/>
            <w:vMerge/>
          </w:tcPr>
          <w:p w14:paraId="699739E4" w14:textId="77777777" w:rsidR="00B61FF4" w:rsidRPr="00F4531F" w:rsidRDefault="00B61FF4" w:rsidP="00B61FF4">
            <w:pPr>
              <w:spacing w:before="120" w:after="120"/>
              <w:jc w:val="center"/>
              <w:rPr>
                <w:rFonts w:ascii="Verdana" w:hAnsi="Verdana"/>
                <w:b/>
                <w:color w:val="000000"/>
              </w:rPr>
            </w:pPr>
          </w:p>
        </w:tc>
        <w:tc>
          <w:tcPr>
            <w:tcW w:w="1098" w:type="pct"/>
          </w:tcPr>
          <w:p w14:paraId="6994D6AA" w14:textId="77777777" w:rsidR="00B61FF4" w:rsidRPr="002C36C7" w:rsidRDefault="00B61FF4" w:rsidP="00B61FF4">
            <w:pPr>
              <w:spacing w:before="120" w:after="120"/>
              <w:rPr>
                <w:rFonts w:ascii="Verdana" w:hAnsi="Verdana" w:cs="Arial"/>
                <w:bCs/>
              </w:rPr>
            </w:pPr>
            <w:r w:rsidRPr="002C36C7">
              <w:rPr>
                <w:rFonts w:ascii="Verdana" w:hAnsi="Verdana" w:cs="Arial"/>
                <w:bCs/>
              </w:rPr>
              <w:t>National Data Corp</w:t>
            </w:r>
          </w:p>
        </w:tc>
        <w:tc>
          <w:tcPr>
            <w:tcW w:w="3121" w:type="pct"/>
          </w:tcPr>
          <w:p w14:paraId="0DFC14BF" w14:textId="77777777" w:rsidR="00B61FF4" w:rsidRDefault="00B61FF4" w:rsidP="00B61FF4">
            <w:pPr>
              <w:spacing w:before="120" w:after="120"/>
              <w:rPr>
                <w:rFonts w:ascii="Verdana" w:hAnsi="Verdana" w:cs="Arial"/>
              </w:rPr>
            </w:pPr>
            <w:r>
              <w:rPr>
                <w:rFonts w:ascii="Verdana" w:hAnsi="Verdana" w:cs="Arial"/>
              </w:rPr>
              <w:t>S</w:t>
            </w:r>
            <w:r w:rsidRPr="006B3934">
              <w:rPr>
                <w:rFonts w:ascii="Verdana" w:hAnsi="Verdana" w:cs="Arial"/>
              </w:rPr>
              <w:t>witching company that transmits the claim from the pharmacy to appropriate PBM vendor.</w:t>
            </w:r>
          </w:p>
          <w:p w14:paraId="1AB4A6D3" w14:textId="77777777" w:rsidR="00B61FF4" w:rsidRDefault="00B61FF4" w:rsidP="00B61FF4">
            <w:pPr>
              <w:spacing w:before="120" w:after="120"/>
              <w:rPr>
                <w:rFonts w:ascii="Verdana" w:hAnsi="Verdana" w:cs="Arial"/>
              </w:rPr>
            </w:pPr>
          </w:p>
        </w:tc>
      </w:tr>
      <w:tr w:rsidR="00B61FF4" w:rsidRPr="004E00B6" w14:paraId="671E34BA" w14:textId="77777777" w:rsidTr="00B61FF4">
        <w:trPr>
          <w:trHeight w:val="497"/>
        </w:trPr>
        <w:tc>
          <w:tcPr>
            <w:tcW w:w="781" w:type="pct"/>
            <w:vMerge/>
          </w:tcPr>
          <w:p w14:paraId="4179441B" w14:textId="77777777" w:rsidR="00B61FF4" w:rsidRPr="00F4531F" w:rsidRDefault="00B61FF4" w:rsidP="00B61FF4">
            <w:pPr>
              <w:spacing w:before="120" w:after="120"/>
              <w:jc w:val="center"/>
              <w:rPr>
                <w:rFonts w:ascii="Verdana" w:hAnsi="Verdana"/>
                <w:b/>
                <w:color w:val="000000"/>
              </w:rPr>
            </w:pPr>
          </w:p>
        </w:tc>
        <w:tc>
          <w:tcPr>
            <w:tcW w:w="1098" w:type="pct"/>
          </w:tcPr>
          <w:p w14:paraId="6436911B" w14:textId="77777777" w:rsidR="00B61FF4" w:rsidRPr="002C36C7" w:rsidRDefault="00B61FF4" w:rsidP="00B61FF4">
            <w:pPr>
              <w:spacing w:before="120" w:after="120"/>
              <w:rPr>
                <w:rFonts w:ascii="Verdana" w:hAnsi="Verdana" w:cs="Arial"/>
                <w:bCs/>
              </w:rPr>
            </w:pPr>
            <w:r w:rsidRPr="002C36C7">
              <w:rPr>
                <w:rFonts w:ascii="Verdana" w:hAnsi="Verdana"/>
                <w:bCs/>
                <w:color w:val="000000"/>
              </w:rPr>
              <w:t>NDC Master</w:t>
            </w:r>
          </w:p>
        </w:tc>
        <w:tc>
          <w:tcPr>
            <w:tcW w:w="3121" w:type="pct"/>
          </w:tcPr>
          <w:p w14:paraId="1C6995B9" w14:textId="77777777" w:rsidR="00B61FF4" w:rsidRDefault="00B61FF4" w:rsidP="00B61FF4">
            <w:pPr>
              <w:spacing w:before="120" w:after="120"/>
              <w:rPr>
                <w:rFonts w:ascii="Verdana" w:hAnsi="Verdana" w:cs="Arial"/>
              </w:rPr>
            </w:pPr>
            <w:r>
              <w:rPr>
                <w:rFonts w:ascii="Verdana" w:hAnsi="Verdana" w:cs="Arial"/>
              </w:rPr>
              <w:t>D</w:t>
            </w:r>
            <w:r w:rsidRPr="006B3934">
              <w:rPr>
                <w:rFonts w:ascii="Verdana" w:hAnsi="Verdana" w:cs="Arial"/>
              </w:rPr>
              <w:t>atabase in the RECAP system containing information pertaining to each NDC number (i.e., price, strength, form code, USC class, legal status, drug name, etc.).</w:t>
            </w:r>
          </w:p>
          <w:p w14:paraId="19A196AD" w14:textId="77777777" w:rsidR="00B61FF4" w:rsidRDefault="00B61FF4" w:rsidP="00B61FF4">
            <w:pPr>
              <w:spacing w:before="120" w:after="120"/>
              <w:rPr>
                <w:rFonts w:ascii="Verdana" w:hAnsi="Verdana" w:cs="Arial"/>
              </w:rPr>
            </w:pPr>
          </w:p>
        </w:tc>
      </w:tr>
      <w:tr w:rsidR="00B61FF4" w:rsidRPr="004E00B6" w14:paraId="117F8EEA" w14:textId="77777777" w:rsidTr="00B61FF4">
        <w:tc>
          <w:tcPr>
            <w:tcW w:w="781" w:type="pct"/>
          </w:tcPr>
          <w:p w14:paraId="25BCF7F7" w14:textId="52BC3763" w:rsidR="00B61FF4" w:rsidRPr="00B3251F" w:rsidRDefault="00B61FF4" w:rsidP="00B61FF4">
            <w:pPr>
              <w:spacing w:before="120" w:after="120"/>
              <w:jc w:val="center"/>
              <w:rPr>
                <w:rFonts w:ascii="Verdana" w:hAnsi="Verdana"/>
                <w:b/>
              </w:rPr>
            </w:pPr>
            <w:r>
              <w:rPr>
                <w:rFonts w:ascii="Verdana" w:hAnsi="Verdana"/>
                <w:b/>
              </w:rPr>
              <w:t xml:space="preserve"> </w:t>
            </w:r>
            <w:r w:rsidRPr="00B3251F">
              <w:rPr>
                <w:rFonts w:ascii="Verdana" w:hAnsi="Verdana"/>
                <w:b/>
              </w:rPr>
              <w:t>NDS</w:t>
            </w:r>
          </w:p>
        </w:tc>
        <w:tc>
          <w:tcPr>
            <w:tcW w:w="1098" w:type="pct"/>
          </w:tcPr>
          <w:p w14:paraId="5D819220" w14:textId="17417323" w:rsidR="00B61FF4" w:rsidRPr="00BA392E" w:rsidRDefault="00B61FF4" w:rsidP="00B61FF4">
            <w:pPr>
              <w:spacing w:before="120" w:after="120"/>
              <w:rPr>
                <w:rFonts w:ascii="Verdana" w:hAnsi="Verdana" w:cs="Arial"/>
                <w:bCs/>
              </w:rPr>
            </w:pPr>
            <w:r w:rsidRPr="00B3251F">
              <w:rPr>
                <w:rFonts w:ascii="Verdana" w:hAnsi="Verdana"/>
                <w:bCs/>
                <w:shd w:val="clear" w:color="auto" w:fill="FFFFFF"/>
              </w:rPr>
              <w:t> Non-Extended Days' Supply</w:t>
            </w:r>
          </w:p>
        </w:tc>
        <w:tc>
          <w:tcPr>
            <w:tcW w:w="3121" w:type="pct"/>
          </w:tcPr>
          <w:p w14:paraId="4ECFB5D5" w14:textId="34ADE81D" w:rsidR="00B61FF4" w:rsidRPr="00BA392E" w:rsidRDefault="00B61FF4" w:rsidP="00B61FF4">
            <w:pPr>
              <w:spacing w:before="120" w:after="120"/>
              <w:rPr>
                <w:rFonts w:ascii="Verdana" w:hAnsi="Verdana" w:cs="Arial"/>
                <w:bCs/>
              </w:rPr>
            </w:pPr>
            <w:r w:rsidRPr="00B3251F">
              <w:rPr>
                <w:rFonts w:ascii="Verdana" w:hAnsi="Verdana"/>
                <w:bCs/>
                <w:shd w:val="clear" w:color="auto" w:fill="FFFFFF"/>
              </w:rPr>
              <w:t xml:space="preserve">This drug can only be obtained for a one-month supply or less. You cannot </w:t>
            </w:r>
            <w:proofErr w:type="gramStart"/>
            <w:r w:rsidRPr="00B3251F">
              <w:rPr>
                <w:rFonts w:ascii="Verdana" w:hAnsi="Verdana"/>
                <w:bCs/>
                <w:shd w:val="clear" w:color="auto" w:fill="FFFFFF"/>
              </w:rPr>
              <w:t>fill</w:t>
            </w:r>
            <w:proofErr w:type="gramEnd"/>
            <w:r w:rsidRPr="00B3251F">
              <w:rPr>
                <w:rFonts w:ascii="Verdana" w:hAnsi="Verdana"/>
                <w:bCs/>
                <w:shd w:val="clear" w:color="auto" w:fill="FFFFFF"/>
              </w:rPr>
              <w:t xml:space="preserve"> a prescription for more than a one-month supply.</w:t>
            </w:r>
          </w:p>
        </w:tc>
      </w:tr>
      <w:tr w:rsidR="006F2DDD" w:rsidRPr="004E00B6" w14:paraId="59AAF9C3" w14:textId="77777777" w:rsidTr="00B61FF4">
        <w:tc>
          <w:tcPr>
            <w:tcW w:w="781" w:type="pct"/>
          </w:tcPr>
          <w:p w14:paraId="43A888A6" w14:textId="649078CB" w:rsidR="006F2DDD" w:rsidRDefault="006F2DDD" w:rsidP="00B61FF4">
            <w:pPr>
              <w:spacing w:before="120" w:after="120"/>
              <w:jc w:val="center"/>
              <w:rPr>
                <w:rFonts w:ascii="Verdana" w:hAnsi="Verdana"/>
                <w:b/>
              </w:rPr>
            </w:pPr>
            <w:r>
              <w:rPr>
                <w:rFonts w:ascii="Verdana" w:hAnsi="Verdana"/>
                <w:b/>
              </w:rPr>
              <w:t>NEG</w:t>
            </w:r>
          </w:p>
        </w:tc>
        <w:tc>
          <w:tcPr>
            <w:tcW w:w="1098" w:type="pct"/>
          </w:tcPr>
          <w:p w14:paraId="338F169B" w14:textId="442070BB" w:rsidR="006F2DDD" w:rsidRPr="00B3251F" w:rsidRDefault="006F2DDD" w:rsidP="00B61FF4">
            <w:pPr>
              <w:spacing w:before="120" w:after="120"/>
              <w:rPr>
                <w:rFonts w:ascii="Verdana" w:hAnsi="Verdana"/>
                <w:bCs/>
                <w:shd w:val="clear" w:color="auto" w:fill="FFFFFF"/>
              </w:rPr>
            </w:pPr>
            <w:r>
              <w:rPr>
                <w:rFonts w:ascii="Verdana" w:hAnsi="Verdana"/>
                <w:bCs/>
                <w:shd w:val="clear" w:color="auto" w:fill="FFFFFF"/>
              </w:rPr>
              <w:t>Negative</w:t>
            </w:r>
            <w:r w:rsidR="00BC48F1">
              <w:rPr>
                <w:rFonts w:ascii="Verdana" w:hAnsi="Verdana"/>
                <w:bCs/>
                <w:shd w:val="clear" w:color="auto" w:fill="FFFFFF"/>
              </w:rPr>
              <w:t xml:space="preserve"> coverage</w:t>
            </w:r>
          </w:p>
        </w:tc>
        <w:tc>
          <w:tcPr>
            <w:tcW w:w="3121" w:type="pct"/>
          </w:tcPr>
          <w:p w14:paraId="13630B08" w14:textId="3A6DF578" w:rsidR="006F2DDD" w:rsidRPr="00B3251F" w:rsidRDefault="00094C4A" w:rsidP="00B61FF4">
            <w:pPr>
              <w:spacing w:before="120" w:after="120"/>
              <w:rPr>
                <w:rFonts w:ascii="Verdana" w:hAnsi="Verdana"/>
                <w:bCs/>
                <w:shd w:val="clear" w:color="auto" w:fill="FFFFFF"/>
              </w:rPr>
            </w:pPr>
            <w:r>
              <w:rPr>
                <w:rFonts w:ascii="Verdana" w:hAnsi="Verdana"/>
                <w:bCs/>
                <w:shd w:val="clear" w:color="auto" w:fill="FFFFFF"/>
              </w:rPr>
              <w:t>NEG status</w:t>
            </w:r>
            <w:r w:rsidR="00BC48F1">
              <w:rPr>
                <w:rFonts w:ascii="Verdana" w:hAnsi="Verdana"/>
                <w:bCs/>
                <w:shd w:val="clear" w:color="auto" w:fill="FFFFFF"/>
              </w:rPr>
              <w:t xml:space="preserve"> indicates member is not covered. </w:t>
            </w:r>
          </w:p>
        </w:tc>
      </w:tr>
      <w:tr w:rsidR="00B61FF4" w:rsidRPr="003A027D" w14:paraId="6F02434E" w14:textId="77777777" w:rsidTr="00B61FF4">
        <w:tc>
          <w:tcPr>
            <w:tcW w:w="781" w:type="pct"/>
          </w:tcPr>
          <w:p w14:paraId="27B9DA5A" w14:textId="77777777" w:rsidR="00B61FF4" w:rsidRPr="00F4531F" w:rsidRDefault="00B61FF4" w:rsidP="00B61FF4">
            <w:pPr>
              <w:spacing w:before="120" w:after="120"/>
              <w:jc w:val="center"/>
              <w:rPr>
                <w:rFonts w:ascii="Verdana" w:hAnsi="Verdana"/>
                <w:b/>
                <w:color w:val="000000"/>
              </w:rPr>
            </w:pPr>
            <w:r w:rsidRPr="002A444A">
              <w:rPr>
                <w:rFonts w:ascii="Verdana" w:hAnsi="Verdana"/>
                <w:b/>
                <w:bCs/>
              </w:rPr>
              <w:t>NEJE</w:t>
            </w:r>
          </w:p>
        </w:tc>
        <w:tc>
          <w:tcPr>
            <w:tcW w:w="1098" w:type="pct"/>
          </w:tcPr>
          <w:p w14:paraId="1FFA7E92" w14:textId="77777777" w:rsidR="00B61FF4" w:rsidRPr="002C36C7" w:rsidRDefault="00B61FF4" w:rsidP="00B61FF4">
            <w:pPr>
              <w:spacing w:before="120" w:after="120"/>
              <w:rPr>
                <w:rFonts w:ascii="Verdana" w:hAnsi="Verdana"/>
                <w:bCs/>
                <w:color w:val="000000"/>
              </w:rPr>
            </w:pPr>
            <w:r w:rsidRPr="002C36C7">
              <w:rPr>
                <w:rFonts w:ascii="Verdana" w:hAnsi="Verdana"/>
                <w:bCs/>
                <w:color w:val="000000"/>
              </w:rPr>
              <w:t>New England Joint Enterprise</w:t>
            </w:r>
          </w:p>
        </w:tc>
        <w:tc>
          <w:tcPr>
            <w:tcW w:w="3121" w:type="pct"/>
          </w:tcPr>
          <w:p w14:paraId="67D672A4" w14:textId="77777777" w:rsidR="00B61FF4" w:rsidRDefault="00B61FF4" w:rsidP="00B61FF4">
            <w:pPr>
              <w:spacing w:before="120" w:after="120"/>
              <w:rPr>
                <w:rFonts w:ascii="Verdana" w:hAnsi="Verdana"/>
              </w:rPr>
            </w:pPr>
            <w:r>
              <w:rPr>
                <w:rFonts w:ascii="Verdana" w:hAnsi="Verdana"/>
              </w:rPr>
              <w:t xml:space="preserve">Blue </w:t>
            </w:r>
            <w:proofErr w:type="spellStart"/>
            <w:r>
              <w:rPr>
                <w:rFonts w:ascii="Verdana" w:hAnsi="Verdana"/>
              </w:rPr>
              <w:t>MedicareRx</w:t>
            </w:r>
            <w:proofErr w:type="spellEnd"/>
            <w:r>
              <w:rPr>
                <w:rFonts w:ascii="Verdana" w:hAnsi="Verdana"/>
              </w:rPr>
              <w:t xml:space="preserve">. </w:t>
            </w:r>
            <w:r w:rsidRPr="000F184C">
              <w:rPr>
                <w:rFonts w:ascii="Verdana" w:hAnsi="Verdana"/>
              </w:rPr>
              <w:t>A Medicare Part D plan sponsor who has a contract with the Centers for Medicare and Medicaid Services (CMS).</w:t>
            </w:r>
          </w:p>
          <w:p w14:paraId="28F8E1FC" w14:textId="77777777" w:rsidR="00B61FF4" w:rsidRPr="003A027D" w:rsidRDefault="00B61FF4" w:rsidP="00B61FF4">
            <w:pPr>
              <w:spacing w:before="120" w:after="120"/>
              <w:rPr>
                <w:rFonts w:ascii="Verdana" w:hAnsi="Verdana"/>
              </w:rPr>
            </w:pPr>
          </w:p>
        </w:tc>
      </w:tr>
      <w:tr w:rsidR="00B61FF4" w:rsidRPr="003A027D" w14:paraId="1AC49EDD" w14:textId="77777777" w:rsidTr="00B61FF4">
        <w:tc>
          <w:tcPr>
            <w:tcW w:w="781" w:type="pct"/>
          </w:tcPr>
          <w:p w14:paraId="44DD0178" w14:textId="77777777" w:rsidR="00B61FF4" w:rsidRDefault="00B61FF4" w:rsidP="00B61FF4">
            <w:pPr>
              <w:spacing w:before="120" w:after="120"/>
              <w:jc w:val="center"/>
              <w:rPr>
                <w:rFonts w:ascii="Verdana" w:hAnsi="Verdana"/>
                <w:b/>
                <w:color w:val="000000"/>
              </w:rPr>
            </w:pPr>
            <w:r>
              <w:rPr>
                <w:rFonts w:ascii="Verdana" w:hAnsi="Verdana"/>
                <w:b/>
                <w:color w:val="000000"/>
              </w:rPr>
              <w:t>Next Year</w:t>
            </w:r>
          </w:p>
          <w:p w14:paraId="6D8E356D" w14:textId="77777777" w:rsidR="00B61FF4" w:rsidRPr="00663675" w:rsidRDefault="00B61FF4" w:rsidP="00B61FF4">
            <w:pPr>
              <w:spacing w:before="120" w:after="120"/>
              <w:jc w:val="center"/>
              <w:rPr>
                <w:rFonts w:ascii="Verdana" w:hAnsi="Verdana"/>
                <w:color w:val="000000"/>
              </w:rPr>
            </w:pPr>
            <w:r>
              <w:rPr>
                <w:noProof/>
              </w:rPr>
              <w:t xml:space="preserve"> </w:t>
            </w:r>
          </w:p>
        </w:tc>
        <w:tc>
          <w:tcPr>
            <w:tcW w:w="1098" w:type="pct"/>
          </w:tcPr>
          <w:p w14:paraId="03A498D4" w14:textId="77777777" w:rsidR="00B61FF4" w:rsidRPr="002C36C7" w:rsidRDefault="00B61FF4" w:rsidP="00B61FF4">
            <w:pPr>
              <w:spacing w:before="120" w:after="120"/>
              <w:rPr>
                <w:rFonts w:ascii="Verdana" w:hAnsi="Verdana"/>
                <w:bCs/>
                <w:color w:val="000000"/>
              </w:rPr>
            </w:pPr>
            <w:proofErr w:type="gramStart"/>
            <w:r w:rsidRPr="002C36C7">
              <w:rPr>
                <w:rFonts w:ascii="Verdana" w:hAnsi="Verdana"/>
                <w:bCs/>
                <w:color w:val="000000"/>
              </w:rPr>
              <w:t>Refers</w:t>
            </w:r>
            <w:proofErr w:type="gramEnd"/>
            <w:r w:rsidRPr="002C36C7">
              <w:rPr>
                <w:rFonts w:ascii="Verdana" w:hAnsi="Verdana"/>
                <w:bCs/>
                <w:color w:val="000000"/>
              </w:rPr>
              <w:t xml:space="preserve"> to the year following the current calendar year. </w:t>
            </w:r>
          </w:p>
        </w:tc>
        <w:tc>
          <w:tcPr>
            <w:tcW w:w="3121" w:type="pct"/>
          </w:tcPr>
          <w:p w14:paraId="5C87A4CD" w14:textId="77777777" w:rsidR="00B61FF4" w:rsidRDefault="00B61FF4" w:rsidP="00B61FF4">
            <w:pPr>
              <w:spacing w:before="120" w:after="120"/>
              <w:rPr>
                <w:rFonts w:ascii="Verdana" w:hAnsi="Verdana"/>
              </w:rPr>
            </w:pPr>
            <w:r w:rsidRPr="00ED50C9">
              <w:rPr>
                <w:rFonts w:ascii="Verdana" w:hAnsi="Verdana"/>
                <w:b/>
                <w:color w:val="000000"/>
              </w:rPr>
              <w:t>Example</w:t>
            </w:r>
            <w:r w:rsidRPr="00E72D21">
              <w:rPr>
                <w:rFonts w:ascii="Verdana" w:hAnsi="Verdana"/>
                <w:b/>
                <w:bCs/>
                <w:color w:val="000000"/>
              </w:rPr>
              <w:t>:</w:t>
            </w:r>
            <w:r>
              <w:rPr>
                <w:rFonts w:ascii="Verdana" w:hAnsi="Verdana"/>
                <w:color w:val="000000"/>
              </w:rPr>
              <w:t xml:space="preserve">  I</w:t>
            </w:r>
            <w:r w:rsidRPr="00951114">
              <w:rPr>
                <w:rFonts w:ascii="Verdana" w:hAnsi="Verdana"/>
                <w:color w:val="000000"/>
              </w:rPr>
              <w:t xml:space="preserve">f it is currently </w:t>
            </w:r>
            <w:r>
              <w:rPr>
                <w:rFonts w:ascii="Verdana" w:hAnsi="Verdana"/>
              </w:rPr>
              <w:t>2015</w:t>
            </w:r>
            <w:r w:rsidRPr="00F2264E">
              <w:rPr>
                <w:rFonts w:ascii="Verdana" w:hAnsi="Verdana"/>
              </w:rPr>
              <w:t>, “next year” would be 201</w:t>
            </w:r>
            <w:r>
              <w:rPr>
                <w:rFonts w:ascii="Verdana" w:hAnsi="Verdana"/>
              </w:rPr>
              <w:t>6</w:t>
            </w:r>
            <w:r w:rsidRPr="00F2264E">
              <w:rPr>
                <w:rFonts w:ascii="Verdana" w:hAnsi="Verdana"/>
              </w:rPr>
              <w:t>.</w:t>
            </w:r>
          </w:p>
          <w:p w14:paraId="5ACA379E" w14:textId="77777777" w:rsidR="00B61FF4" w:rsidRPr="003A027D" w:rsidRDefault="00B61FF4" w:rsidP="00B61FF4">
            <w:pPr>
              <w:spacing w:before="120" w:after="120"/>
              <w:rPr>
                <w:rFonts w:ascii="Verdana" w:hAnsi="Verdana"/>
              </w:rPr>
            </w:pPr>
          </w:p>
        </w:tc>
      </w:tr>
      <w:tr w:rsidR="00B61FF4" w:rsidRPr="004E00B6" w14:paraId="7FFB29BD" w14:textId="77777777" w:rsidTr="00B61FF4">
        <w:tc>
          <w:tcPr>
            <w:tcW w:w="781" w:type="pct"/>
          </w:tcPr>
          <w:p w14:paraId="040F3E6F" w14:textId="66853F99"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 xml:space="preserve">NFA </w:t>
            </w:r>
          </w:p>
        </w:tc>
        <w:tc>
          <w:tcPr>
            <w:tcW w:w="1098" w:type="pct"/>
          </w:tcPr>
          <w:p w14:paraId="57DADA00" w14:textId="77777777" w:rsidR="00B61FF4" w:rsidRPr="002C36C7" w:rsidRDefault="00B61FF4" w:rsidP="00B61FF4">
            <w:pPr>
              <w:spacing w:before="120" w:after="120"/>
              <w:rPr>
                <w:rFonts w:ascii="Verdana" w:hAnsi="Verdana"/>
                <w:bCs/>
              </w:rPr>
            </w:pPr>
            <w:r w:rsidRPr="002C36C7">
              <w:rPr>
                <w:rFonts w:ascii="Verdana" w:hAnsi="Verdana"/>
                <w:bCs/>
              </w:rPr>
              <w:t>No Further Action</w:t>
            </w:r>
          </w:p>
          <w:p w14:paraId="01EA1C41" w14:textId="77777777" w:rsidR="00B61FF4" w:rsidRPr="002C36C7" w:rsidRDefault="00B61FF4" w:rsidP="00B61FF4">
            <w:pPr>
              <w:spacing w:before="120" w:after="120"/>
              <w:rPr>
                <w:rFonts w:ascii="Verdana" w:hAnsi="Verdana" w:cs="Arial"/>
                <w:bCs/>
              </w:rPr>
            </w:pPr>
          </w:p>
        </w:tc>
        <w:tc>
          <w:tcPr>
            <w:tcW w:w="3121" w:type="pct"/>
          </w:tcPr>
          <w:p w14:paraId="0D4A8C75" w14:textId="3B078E8D" w:rsidR="00B61FF4" w:rsidRPr="004E00B6" w:rsidRDefault="00B61FF4" w:rsidP="00B61FF4">
            <w:pPr>
              <w:spacing w:before="120" w:after="120"/>
              <w:rPr>
                <w:rFonts w:ascii="Verdana" w:hAnsi="Verdana" w:cs="Arial"/>
              </w:rPr>
            </w:pPr>
            <w:r>
              <w:rPr>
                <w:rFonts w:ascii="Verdana" w:hAnsi="Verdana" w:cs="Arial"/>
              </w:rPr>
              <w:t>When no additional action can or needs to be taken.</w:t>
            </w:r>
          </w:p>
        </w:tc>
      </w:tr>
      <w:tr w:rsidR="00B61FF4" w:rsidRPr="004E00B6" w14:paraId="08173903" w14:textId="77777777" w:rsidTr="00B61FF4">
        <w:tc>
          <w:tcPr>
            <w:tcW w:w="781" w:type="pct"/>
          </w:tcPr>
          <w:p w14:paraId="741D9AE4"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NI</w:t>
            </w:r>
          </w:p>
        </w:tc>
        <w:tc>
          <w:tcPr>
            <w:tcW w:w="1098" w:type="pct"/>
          </w:tcPr>
          <w:p w14:paraId="2ECC0641" w14:textId="7A193CA6" w:rsidR="00B61FF4" w:rsidRPr="002C36C7" w:rsidRDefault="00B61FF4" w:rsidP="00B61FF4">
            <w:pPr>
              <w:spacing w:before="120" w:after="120"/>
              <w:rPr>
                <w:rFonts w:ascii="Verdana" w:hAnsi="Verdana" w:cs="Arial"/>
                <w:bCs/>
              </w:rPr>
            </w:pPr>
            <w:r w:rsidRPr="002C36C7">
              <w:rPr>
                <w:rFonts w:ascii="Verdana" w:hAnsi="Verdana" w:cs="Arial"/>
                <w:bCs/>
              </w:rPr>
              <w:t>Non-Interaction</w:t>
            </w:r>
          </w:p>
        </w:tc>
        <w:tc>
          <w:tcPr>
            <w:tcW w:w="3121" w:type="pct"/>
          </w:tcPr>
          <w:p w14:paraId="6418B4F7" w14:textId="6E3126F4" w:rsidR="00B61FF4" w:rsidRDefault="00B61FF4" w:rsidP="00B61FF4">
            <w:pPr>
              <w:spacing w:before="120" w:after="120"/>
              <w:rPr>
                <w:rFonts w:ascii="Verdana" w:hAnsi="Verdana"/>
              </w:rPr>
            </w:pPr>
            <w:r w:rsidRPr="00EA19DA">
              <w:rPr>
                <w:rFonts w:ascii="Verdana" w:hAnsi="Verdana"/>
              </w:rPr>
              <w:t>Time frame in which there is no interaction with the caller and the CCR has not explained the silence. Also known as silence or dead air</w:t>
            </w:r>
            <w:r>
              <w:rPr>
                <w:rFonts w:ascii="Verdana" w:hAnsi="Verdana"/>
              </w:rPr>
              <w:t>.</w:t>
            </w:r>
          </w:p>
          <w:p w14:paraId="22E36144" w14:textId="77777777" w:rsidR="00B61FF4" w:rsidRPr="004E00B6" w:rsidRDefault="00B61FF4" w:rsidP="00B61FF4">
            <w:pPr>
              <w:spacing w:before="120" w:after="120"/>
              <w:rPr>
                <w:rFonts w:ascii="Verdana" w:hAnsi="Verdana" w:cs="Arial"/>
              </w:rPr>
            </w:pPr>
          </w:p>
        </w:tc>
      </w:tr>
      <w:tr w:rsidR="00B61FF4" w:rsidRPr="004E00B6" w14:paraId="6FB4FABA" w14:textId="77777777" w:rsidTr="00B61FF4">
        <w:tc>
          <w:tcPr>
            <w:tcW w:w="781" w:type="pct"/>
          </w:tcPr>
          <w:p w14:paraId="7DF2CA41" w14:textId="45D284CC"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NIC</w:t>
            </w:r>
          </w:p>
        </w:tc>
        <w:tc>
          <w:tcPr>
            <w:tcW w:w="1098" w:type="pct"/>
          </w:tcPr>
          <w:p w14:paraId="66461938" w14:textId="77777777" w:rsidR="00B61FF4" w:rsidRPr="002C36C7" w:rsidRDefault="00B61FF4" w:rsidP="00B61FF4">
            <w:pPr>
              <w:spacing w:before="120" w:after="120"/>
              <w:rPr>
                <w:rFonts w:ascii="Verdana" w:hAnsi="Verdana" w:cs="Arial"/>
                <w:bCs/>
              </w:rPr>
            </w:pPr>
            <w:r w:rsidRPr="002C36C7">
              <w:rPr>
                <w:rFonts w:ascii="Verdana" w:hAnsi="Verdana" w:cs="Arial"/>
                <w:bCs/>
              </w:rPr>
              <w:t>Not in Clinical  (PA Dept)</w:t>
            </w:r>
          </w:p>
          <w:p w14:paraId="2A42720E" w14:textId="77777777" w:rsidR="00B61FF4" w:rsidRPr="002C36C7" w:rsidRDefault="00B61FF4" w:rsidP="00B61FF4">
            <w:pPr>
              <w:spacing w:before="120" w:after="120"/>
              <w:rPr>
                <w:rFonts w:ascii="Verdana" w:hAnsi="Verdana" w:cs="Tahoma"/>
                <w:bCs/>
              </w:rPr>
            </w:pPr>
          </w:p>
        </w:tc>
        <w:tc>
          <w:tcPr>
            <w:tcW w:w="3121" w:type="pct"/>
          </w:tcPr>
          <w:p w14:paraId="521E4E77" w14:textId="7DA05F74" w:rsidR="00B61FF4" w:rsidRPr="004E00B6" w:rsidRDefault="00B61FF4" w:rsidP="00B61FF4">
            <w:pPr>
              <w:spacing w:before="120" w:after="120"/>
              <w:rPr>
                <w:rFonts w:ascii="Verdana" w:hAnsi="Verdana" w:cs="Tahoma"/>
              </w:rPr>
            </w:pPr>
            <w:r>
              <w:rPr>
                <w:rFonts w:ascii="Verdana" w:hAnsi="Verdana" w:cs="Tahoma"/>
              </w:rPr>
              <w:t>This does not apply to Clinical.</w:t>
            </w:r>
          </w:p>
        </w:tc>
      </w:tr>
      <w:tr w:rsidR="00B61FF4" w:rsidRPr="004E00B6" w14:paraId="674E44DB" w14:textId="77777777" w:rsidTr="00B61FF4">
        <w:tc>
          <w:tcPr>
            <w:tcW w:w="781" w:type="pct"/>
          </w:tcPr>
          <w:p w14:paraId="34C6CD95"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NIS</w:t>
            </w:r>
          </w:p>
        </w:tc>
        <w:tc>
          <w:tcPr>
            <w:tcW w:w="1098" w:type="pct"/>
          </w:tcPr>
          <w:p w14:paraId="49C991B0" w14:textId="77777777" w:rsidR="00B61FF4" w:rsidRPr="002C36C7" w:rsidRDefault="00B61FF4" w:rsidP="00B61FF4">
            <w:pPr>
              <w:spacing w:before="120" w:after="120"/>
              <w:rPr>
                <w:rFonts w:ascii="Verdana" w:hAnsi="Verdana" w:cs="Arial"/>
                <w:bCs/>
              </w:rPr>
            </w:pPr>
            <w:r w:rsidRPr="002C36C7">
              <w:rPr>
                <w:rFonts w:ascii="Verdana" w:hAnsi="Verdana" w:cs="Arial"/>
                <w:bCs/>
              </w:rPr>
              <w:t>Not In System / Not in Stock</w:t>
            </w:r>
          </w:p>
        </w:tc>
        <w:tc>
          <w:tcPr>
            <w:tcW w:w="3121" w:type="pct"/>
          </w:tcPr>
          <w:p w14:paraId="54E6EE7E" w14:textId="68E24A33" w:rsidR="00B61FF4" w:rsidRDefault="00B61FF4" w:rsidP="00B61FF4">
            <w:pPr>
              <w:spacing w:before="120" w:after="120"/>
              <w:rPr>
                <w:noProof/>
              </w:rPr>
            </w:pPr>
            <w:r w:rsidRPr="004E00B6">
              <w:rPr>
                <w:rFonts w:ascii="Verdana" w:hAnsi="Verdana" w:cs="Tahoma"/>
              </w:rPr>
              <w:t>A queue where a prescription can be routed for multiple reasons, including manufacturer backorder, discontinued product, package size changes, not in the system, and various other reasons that may or may not result in prescriber and/or member contact.</w:t>
            </w:r>
            <w:r>
              <w:rPr>
                <w:noProof/>
              </w:rPr>
              <w:t xml:space="preserve"> </w:t>
            </w:r>
          </w:p>
          <w:p w14:paraId="3A5844A5" w14:textId="77777777" w:rsidR="00B61FF4" w:rsidRPr="004E00B6" w:rsidRDefault="00B61FF4" w:rsidP="00B61FF4">
            <w:pPr>
              <w:spacing w:before="120" w:after="120"/>
              <w:rPr>
                <w:rFonts w:ascii="Verdana" w:hAnsi="Verdana" w:cs="Arial"/>
              </w:rPr>
            </w:pPr>
          </w:p>
        </w:tc>
      </w:tr>
      <w:tr w:rsidR="00B61FF4" w:rsidRPr="004E00B6" w14:paraId="07E717D0" w14:textId="77777777" w:rsidTr="00B61FF4">
        <w:trPr>
          <w:trHeight w:val="683"/>
        </w:trPr>
        <w:tc>
          <w:tcPr>
            <w:tcW w:w="781" w:type="pct"/>
          </w:tcPr>
          <w:p w14:paraId="40B47A5F"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NM</w:t>
            </w:r>
          </w:p>
        </w:tc>
        <w:tc>
          <w:tcPr>
            <w:tcW w:w="1098" w:type="pct"/>
          </w:tcPr>
          <w:p w14:paraId="66C76F2B" w14:textId="77777777" w:rsidR="00B61FF4" w:rsidRPr="002C36C7" w:rsidRDefault="00B61FF4" w:rsidP="00B61FF4">
            <w:pPr>
              <w:spacing w:before="120" w:after="120"/>
              <w:rPr>
                <w:rFonts w:ascii="Verdana" w:hAnsi="Verdana" w:cs="Arial"/>
                <w:bCs/>
              </w:rPr>
            </w:pPr>
            <w:proofErr w:type="gramStart"/>
            <w:r w:rsidRPr="002C36C7">
              <w:rPr>
                <w:rFonts w:ascii="Verdana" w:hAnsi="Verdana" w:cs="Arial"/>
                <w:bCs/>
              </w:rPr>
              <w:t>Non Matching</w:t>
            </w:r>
            <w:proofErr w:type="gramEnd"/>
          </w:p>
          <w:p w14:paraId="0C00AA9A" w14:textId="77777777" w:rsidR="00B61FF4" w:rsidRPr="002C36C7" w:rsidRDefault="00B61FF4" w:rsidP="00B61FF4">
            <w:pPr>
              <w:spacing w:before="120" w:after="120"/>
              <w:rPr>
                <w:rFonts w:ascii="Verdana" w:hAnsi="Verdana" w:cs="Arial"/>
                <w:bCs/>
              </w:rPr>
            </w:pPr>
          </w:p>
        </w:tc>
        <w:tc>
          <w:tcPr>
            <w:tcW w:w="3121" w:type="pct"/>
          </w:tcPr>
          <w:p w14:paraId="109D9197" w14:textId="77777777" w:rsidR="00B61FF4" w:rsidRPr="004E00B6" w:rsidRDefault="00B61FF4" w:rsidP="00B61FF4">
            <w:pPr>
              <w:spacing w:before="120" w:after="120"/>
              <w:rPr>
                <w:rFonts w:ascii="Verdana" w:hAnsi="Verdana" w:cs="Arial"/>
              </w:rPr>
            </w:pPr>
            <w:r w:rsidRPr="004E00B6">
              <w:rPr>
                <w:rFonts w:ascii="Verdana" w:hAnsi="Verdana" w:cs="Arial"/>
              </w:rPr>
              <w:t xml:space="preserve">Not equal to or </w:t>
            </w:r>
            <w:proofErr w:type="gramStart"/>
            <w:r w:rsidRPr="004E00B6">
              <w:rPr>
                <w:rFonts w:ascii="Verdana" w:hAnsi="Verdana" w:cs="Arial"/>
              </w:rPr>
              <w:t>similar to</w:t>
            </w:r>
            <w:proofErr w:type="gramEnd"/>
            <w:r w:rsidRPr="004E00B6">
              <w:rPr>
                <w:rFonts w:ascii="Verdana" w:hAnsi="Verdana" w:cs="Arial"/>
              </w:rPr>
              <w:t>. May refer to eligibility issues</w:t>
            </w:r>
            <w:r>
              <w:rPr>
                <w:rFonts w:ascii="Verdana" w:hAnsi="Verdana" w:cs="Arial"/>
              </w:rPr>
              <w:t>.</w:t>
            </w:r>
          </w:p>
        </w:tc>
      </w:tr>
      <w:tr w:rsidR="00B61FF4" w:rsidRPr="004E00B6" w14:paraId="27CF04A1" w14:textId="77777777" w:rsidTr="00B61FF4">
        <w:tc>
          <w:tcPr>
            <w:tcW w:w="781" w:type="pct"/>
          </w:tcPr>
          <w:p w14:paraId="478944C1" w14:textId="77777777" w:rsidR="00B61FF4" w:rsidRPr="00F4531F" w:rsidRDefault="00B61FF4" w:rsidP="00B61FF4">
            <w:pPr>
              <w:spacing w:before="120" w:after="120"/>
              <w:jc w:val="center"/>
              <w:rPr>
                <w:rFonts w:ascii="Verdana" w:hAnsi="Verdana"/>
                <w:b/>
                <w:color w:val="000000"/>
              </w:rPr>
            </w:pPr>
            <w:r>
              <w:rPr>
                <w:rFonts w:ascii="Verdana" w:hAnsi="Verdana"/>
                <w:b/>
                <w:color w:val="000000"/>
              </w:rPr>
              <w:t>Non-EGWP</w:t>
            </w:r>
          </w:p>
        </w:tc>
        <w:tc>
          <w:tcPr>
            <w:tcW w:w="1098" w:type="pct"/>
          </w:tcPr>
          <w:p w14:paraId="781F70CF" w14:textId="77777777" w:rsidR="00B61FF4" w:rsidRPr="002C36C7" w:rsidRDefault="00B61FF4" w:rsidP="00B61FF4">
            <w:pPr>
              <w:spacing w:before="120" w:after="120"/>
              <w:rPr>
                <w:rFonts w:ascii="Verdana" w:hAnsi="Verdana" w:cs="Arial"/>
                <w:bCs/>
              </w:rPr>
            </w:pPr>
            <w:proofErr w:type="gramStart"/>
            <w:r>
              <w:rPr>
                <w:rFonts w:ascii="Verdana" w:hAnsi="Verdana"/>
                <w:bCs/>
              </w:rPr>
              <w:t>None</w:t>
            </w:r>
            <w:proofErr w:type="gramEnd"/>
            <w:r>
              <w:rPr>
                <w:rFonts w:ascii="Verdana" w:hAnsi="Verdana"/>
                <w:bCs/>
              </w:rPr>
              <w:t xml:space="preserve"> Employer Group Waiver Plan</w:t>
            </w:r>
          </w:p>
        </w:tc>
        <w:tc>
          <w:tcPr>
            <w:tcW w:w="3121" w:type="pct"/>
          </w:tcPr>
          <w:p w14:paraId="6937A717" w14:textId="77777777" w:rsidR="00B61FF4" w:rsidRDefault="00B61FF4" w:rsidP="00B61FF4">
            <w:pPr>
              <w:spacing w:before="120" w:after="120"/>
              <w:rPr>
                <w:rFonts w:ascii="Verdana" w:hAnsi="Verdana"/>
              </w:rPr>
            </w:pPr>
            <w:r w:rsidRPr="000F184C">
              <w:rPr>
                <w:rFonts w:ascii="Verdana" w:hAnsi="Verdana"/>
              </w:rPr>
              <w:t>Stand-alone Plan, not associated with an employer</w:t>
            </w:r>
            <w:r w:rsidRPr="000F184C" w:rsidDel="00FE4FD3">
              <w:rPr>
                <w:rFonts w:ascii="Verdana" w:hAnsi="Verdana"/>
              </w:rPr>
              <w:t xml:space="preserve"> </w:t>
            </w:r>
          </w:p>
          <w:p w14:paraId="1711FACB" w14:textId="77777777" w:rsidR="00B61FF4" w:rsidRPr="004E00B6" w:rsidRDefault="00B61FF4" w:rsidP="00B61FF4">
            <w:pPr>
              <w:spacing w:before="120" w:after="120"/>
              <w:rPr>
                <w:rFonts w:ascii="Verdana" w:hAnsi="Verdana" w:cs="Arial"/>
              </w:rPr>
            </w:pPr>
          </w:p>
        </w:tc>
      </w:tr>
      <w:tr w:rsidR="00B61FF4" w:rsidRPr="004E00B6" w14:paraId="5E4AD38A" w14:textId="77777777" w:rsidTr="00B61FF4">
        <w:tc>
          <w:tcPr>
            <w:tcW w:w="781" w:type="pct"/>
          </w:tcPr>
          <w:p w14:paraId="4BF167E2"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NO HX</w:t>
            </w:r>
          </w:p>
        </w:tc>
        <w:tc>
          <w:tcPr>
            <w:tcW w:w="1098" w:type="pct"/>
          </w:tcPr>
          <w:p w14:paraId="072B2950" w14:textId="77777777" w:rsidR="00B61FF4" w:rsidRPr="002C36C7" w:rsidRDefault="00B61FF4" w:rsidP="00B61FF4">
            <w:pPr>
              <w:spacing w:before="120" w:after="120"/>
              <w:rPr>
                <w:rFonts w:ascii="Verdana" w:hAnsi="Verdana" w:cs="Arial"/>
                <w:bCs/>
              </w:rPr>
            </w:pPr>
            <w:r w:rsidRPr="002C36C7">
              <w:rPr>
                <w:rFonts w:ascii="Verdana" w:hAnsi="Verdana" w:cs="Arial"/>
                <w:bCs/>
              </w:rPr>
              <w:t>No History</w:t>
            </w:r>
          </w:p>
        </w:tc>
        <w:tc>
          <w:tcPr>
            <w:tcW w:w="3121" w:type="pct"/>
          </w:tcPr>
          <w:p w14:paraId="1DDC9E3B" w14:textId="77777777" w:rsidR="00B61FF4" w:rsidRDefault="00B61FF4" w:rsidP="00B61FF4">
            <w:pPr>
              <w:spacing w:before="120" w:after="120"/>
              <w:rPr>
                <w:rFonts w:ascii="Verdana" w:hAnsi="Verdana" w:cs="Arial"/>
              </w:rPr>
            </w:pPr>
            <w:r w:rsidRPr="004E00B6">
              <w:rPr>
                <w:rFonts w:ascii="Verdana" w:hAnsi="Verdana" w:cs="Arial"/>
              </w:rPr>
              <w:t>The medication in question has not been previously used</w:t>
            </w:r>
            <w:r>
              <w:rPr>
                <w:rFonts w:ascii="Verdana" w:hAnsi="Verdana" w:cs="Arial"/>
              </w:rPr>
              <w:t>.</w:t>
            </w:r>
          </w:p>
          <w:p w14:paraId="33AF11CE" w14:textId="77777777" w:rsidR="00B61FF4" w:rsidRPr="004E00B6" w:rsidRDefault="00B61FF4" w:rsidP="00B61FF4">
            <w:pPr>
              <w:spacing w:before="120" w:after="120"/>
              <w:rPr>
                <w:rFonts w:ascii="Verdana" w:hAnsi="Verdana" w:cs="Arial"/>
              </w:rPr>
            </w:pPr>
          </w:p>
        </w:tc>
      </w:tr>
      <w:tr w:rsidR="00B61FF4" w:rsidRPr="004E00B6" w14:paraId="3DF9B483" w14:textId="77777777" w:rsidTr="00B61FF4">
        <w:tc>
          <w:tcPr>
            <w:tcW w:w="781" w:type="pct"/>
          </w:tcPr>
          <w:p w14:paraId="77A24ED0" w14:textId="77777777" w:rsidR="00B61FF4" w:rsidRPr="00F4531F" w:rsidRDefault="00B61FF4" w:rsidP="00B61FF4">
            <w:pPr>
              <w:spacing w:before="120" w:after="120"/>
              <w:jc w:val="center"/>
              <w:rPr>
                <w:rFonts w:ascii="Verdana" w:hAnsi="Verdana"/>
                <w:b/>
                <w:color w:val="000000"/>
              </w:rPr>
            </w:pPr>
            <w:r>
              <w:rPr>
                <w:rFonts w:ascii="Verdana" w:hAnsi="Verdana"/>
                <w:b/>
                <w:color w:val="000000"/>
              </w:rPr>
              <w:t>Non-LIS</w:t>
            </w:r>
          </w:p>
        </w:tc>
        <w:tc>
          <w:tcPr>
            <w:tcW w:w="1098" w:type="pct"/>
          </w:tcPr>
          <w:p w14:paraId="28B6812B" w14:textId="77777777" w:rsidR="00B61FF4" w:rsidRPr="002C36C7" w:rsidRDefault="00B61FF4" w:rsidP="00B61FF4">
            <w:pPr>
              <w:spacing w:before="120" w:after="120"/>
              <w:rPr>
                <w:rFonts w:ascii="Verdana" w:hAnsi="Verdana" w:cs="Arial"/>
                <w:bCs/>
              </w:rPr>
            </w:pPr>
            <w:proofErr w:type="gramStart"/>
            <w:r>
              <w:rPr>
                <w:rFonts w:ascii="Verdana" w:hAnsi="Verdana" w:cs="Arial"/>
                <w:bCs/>
              </w:rPr>
              <w:t>None Low</w:t>
            </w:r>
            <w:proofErr w:type="gramEnd"/>
            <w:r>
              <w:rPr>
                <w:rFonts w:ascii="Verdana" w:hAnsi="Verdana" w:cs="Arial"/>
                <w:bCs/>
              </w:rPr>
              <w:t xml:space="preserve"> Income Subsidy</w:t>
            </w:r>
          </w:p>
        </w:tc>
        <w:tc>
          <w:tcPr>
            <w:tcW w:w="3121" w:type="pct"/>
          </w:tcPr>
          <w:p w14:paraId="7C860EFB" w14:textId="77777777" w:rsidR="00B61FF4" w:rsidRPr="004E00B6" w:rsidRDefault="00B61FF4" w:rsidP="00B61FF4">
            <w:pPr>
              <w:spacing w:before="120" w:after="120"/>
              <w:rPr>
                <w:rFonts w:ascii="Verdana" w:hAnsi="Verdana" w:cs="Arial"/>
              </w:rPr>
            </w:pPr>
            <w:r w:rsidRPr="002A5D8E">
              <w:rPr>
                <w:rFonts w:ascii="Verdana" w:hAnsi="Verdana" w:cs="Arial"/>
              </w:rPr>
              <w:t xml:space="preserve">Beneficiary who does not have Low Income Subsidy. See </w:t>
            </w:r>
            <w:proofErr w:type="gramStart"/>
            <w:r w:rsidRPr="002A5D8E">
              <w:rPr>
                <w:rFonts w:ascii="Verdana" w:hAnsi="Verdana" w:cs="Arial"/>
              </w:rPr>
              <w:t>LIS</w:t>
            </w:r>
            <w:proofErr w:type="gramEnd"/>
            <w:r w:rsidRPr="002A5D8E">
              <w:rPr>
                <w:rFonts w:ascii="Verdana" w:hAnsi="Verdana" w:cs="Arial"/>
              </w:rPr>
              <w:t xml:space="preserve"> definition for more information.</w:t>
            </w:r>
            <w:r>
              <w:rPr>
                <w:rFonts w:ascii="Verdana" w:hAnsi="Verdana" w:cs="Arial"/>
              </w:rPr>
              <w:t xml:space="preserve"> </w:t>
            </w:r>
          </w:p>
        </w:tc>
      </w:tr>
      <w:tr w:rsidR="00B61FF4" w:rsidRPr="004E00B6" w14:paraId="0041D677" w14:textId="77777777" w:rsidTr="00B61FF4">
        <w:tc>
          <w:tcPr>
            <w:tcW w:w="781" w:type="pct"/>
          </w:tcPr>
          <w:p w14:paraId="2F8ECCD9" w14:textId="6CBCBC44" w:rsidR="00B61FF4" w:rsidRPr="00F4531F" w:rsidRDefault="00B61FF4" w:rsidP="00B61FF4">
            <w:pPr>
              <w:spacing w:before="120" w:after="120"/>
              <w:jc w:val="center"/>
              <w:rPr>
                <w:rFonts w:ascii="Verdana" w:hAnsi="Verdana"/>
                <w:b/>
                <w:color w:val="000000"/>
              </w:rPr>
            </w:pPr>
            <w:r>
              <w:rPr>
                <w:rFonts w:ascii="Verdana" w:hAnsi="Verdana"/>
                <w:b/>
                <w:color w:val="000000"/>
              </w:rPr>
              <w:t xml:space="preserve"> </w:t>
            </w:r>
            <w:r w:rsidRPr="00052BBC">
              <w:rPr>
                <w:rFonts w:ascii="Verdana" w:hAnsi="Verdana"/>
                <w:b/>
                <w:color w:val="000000"/>
              </w:rPr>
              <w:t>Non-RDC</w:t>
            </w:r>
            <w:r>
              <w:rPr>
                <w:rFonts w:ascii="Verdana" w:hAnsi="Verdana"/>
                <w:b/>
                <w:color w:val="000000"/>
              </w:rPr>
              <w:t xml:space="preserve"> </w:t>
            </w:r>
          </w:p>
        </w:tc>
        <w:tc>
          <w:tcPr>
            <w:tcW w:w="1098" w:type="pct"/>
          </w:tcPr>
          <w:p w14:paraId="145570B5" w14:textId="77777777" w:rsidR="00B61FF4" w:rsidRPr="002C36C7" w:rsidRDefault="00B61FF4" w:rsidP="00B61FF4">
            <w:pPr>
              <w:spacing w:before="120" w:after="120"/>
              <w:rPr>
                <w:rFonts w:ascii="Verdana" w:hAnsi="Verdana" w:cs="Arial"/>
                <w:bCs/>
              </w:rPr>
            </w:pPr>
            <w:r w:rsidRPr="002C36C7">
              <w:rPr>
                <w:rFonts w:ascii="Verdana" w:hAnsi="Verdana" w:cs="Arial"/>
                <w:bCs/>
              </w:rPr>
              <w:t xml:space="preserve">Non restricted data client </w:t>
            </w:r>
          </w:p>
        </w:tc>
        <w:tc>
          <w:tcPr>
            <w:tcW w:w="3121" w:type="pct"/>
          </w:tcPr>
          <w:p w14:paraId="2CD19B5C" w14:textId="4501C213" w:rsidR="00B61FF4" w:rsidRPr="004E00B6" w:rsidRDefault="00B61FF4" w:rsidP="00B61FF4">
            <w:pPr>
              <w:spacing w:before="120" w:after="120"/>
              <w:rPr>
                <w:rFonts w:ascii="Verdana" w:hAnsi="Verdana" w:cs="Arial"/>
              </w:rPr>
            </w:pPr>
            <w:r>
              <w:rPr>
                <w:rFonts w:ascii="Verdana" w:hAnsi="Verdana" w:cs="Arial"/>
              </w:rPr>
              <w:t>Information that  is not restricted.</w:t>
            </w:r>
          </w:p>
        </w:tc>
      </w:tr>
      <w:tr w:rsidR="00B61FF4" w:rsidRPr="004E00B6" w14:paraId="7D7BC59E" w14:textId="77777777" w:rsidTr="00B61FF4">
        <w:tc>
          <w:tcPr>
            <w:tcW w:w="781" w:type="pct"/>
          </w:tcPr>
          <w:p w14:paraId="78CD55FD" w14:textId="210D2BD9" w:rsidR="00B61FF4" w:rsidRPr="00F4531F" w:rsidRDefault="00B61FF4" w:rsidP="00B61FF4">
            <w:pPr>
              <w:spacing w:before="120" w:after="120"/>
              <w:jc w:val="center"/>
              <w:rPr>
                <w:rFonts w:ascii="Verdana" w:hAnsi="Verdana"/>
                <w:b/>
                <w:color w:val="000000"/>
              </w:rPr>
            </w:pPr>
            <w:r>
              <w:rPr>
                <w:rFonts w:ascii="Verdana" w:hAnsi="Verdana"/>
                <w:b/>
                <w:color w:val="000000"/>
              </w:rPr>
              <w:t xml:space="preserve"> </w:t>
            </w:r>
            <w:r w:rsidRPr="00F4531F">
              <w:rPr>
                <w:rFonts w:ascii="Verdana" w:hAnsi="Verdana"/>
                <w:b/>
                <w:color w:val="000000"/>
              </w:rPr>
              <w:t>NPC</w:t>
            </w:r>
          </w:p>
        </w:tc>
        <w:tc>
          <w:tcPr>
            <w:tcW w:w="1098" w:type="pct"/>
          </w:tcPr>
          <w:p w14:paraId="7868C50B" w14:textId="77777777" w:rsidR="00B61FF4" w:rsidRPr="002C36C7" w:rsidRDefault="00B61FF4" w:rsidP="00B61FF4">
            <w:pPr>
              <w:spacing w:before="120" w:after="120"/>
              <w:rPr>
                <w:rFonts w:ascii="Verdana" w:hAnsi="Verdana" w:cs="Arial"/>
                <w:bCs/>
              </w:rPr>
            </w:pPr>
            <w:r w:rsidRPr="002C36C7">
              <w:rPr>
                <w:rFonts w:ascii="Verdana" w:hAnsi="Verdana" w:cs="Arial"/>
                <w:bCs/>
              </w:rPr>
              <w:t xml:space="preserve">No Patient Comment </w:t>
            </w:r>
          </w:p>
          <w:p w14:paraId="665C2211" w14:textId="77777777" w:rsidR="00B61FF4" w:rsidRPr="002C36C7" w:rsidRDefault="00B61FF4" w:rsidP="00B61FF4">
            <w:pPr>
              <w:spacing w:before="120" w:after="120"/>
              <w:rPr>
                <w:rFonts w:ascii="Verdana" w:hAnsi="Verdana" w:cs="Arial"/>
                <w:bCs/>
              </w:rPr>
            </w:pPr>
          </w:p>
        </w:tc>
        <w:tc>
          <w:tcPr>
            <w:tcW w:w="3121" w:type="pct"/>
          </w:tcPr>
          <w:p w14:paraId="7793D5BE" w14:textId="6F7F21CD" w:rsidR="00B61FF4" w:rsidRPr="004E00B6" w:rsidRDefault="00B61FF4" w:rsidP="00B61FF4">
            <w:pPr>
              <w:spacing w:before="120" w:after="120"/>
              <w:rPr>
                <w:rFonts w:ascii="Verdana" w:hAnsi="Verdana" w:cs="Arial"/>
              </w:rPr>
            </w:pPr>
            <w:proofErr w:type="gramStart"/>
            <w:r>
              <w:rPr>
                <w:rFonts w:ascii="Verdana" w:hAnsi="Verdana" w:cs="Arial"/>
              </w:rPr>
              <w:t>Patient has</w:t>
            </w:r>
            <w:proofErr w:type="gramEnd"/>
            <w:r>
              <w:rPr>
                <w:rFonts w:ascii="Verdana" w:hAnsi="Verdana" w:cs="Arial"/>
              </w:rPr>
              <w:t xml:space="preserve"> not provided information or comments.</w:t>
            </w:r>
          </w:p>
        </w:tc>
      </w:tr>
      <w:tr w:rsidR="00B61FF4" w:rsidRPr="004E00B6" w14:paraId="482605A2" w14:textId="77777777" w:rsidTr="00B61FF4">
        <w:tc>
          <w:tcPr>
            <w:tcW w:w="781" w:type="pct"/>
          </w:tcPr>
          <w:p w14:paraId="1059384F" w14:textId="476D8EA2"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NPOR</w:t>
            </w:r>
          </w:p>
        </w:tc>
        <w:tc>
          <w:tcPr>
            <w:tcW w:w="1098" w:type="pct"/>
          </w:tcPr>
          <w:p w14:paraId="49D1F68E" w14:textId="77777777" w:rsidR="00B61FF4" w:rsidRPr="002C36C7" w:rsidRDefault="00B61FF4" w:rsidP="00B61FF4">
            <w:pPr>
              <w:spacing w:before="120" w:after="120"/>
              <w:rPr>
                <w:rFonts w:ascii="Verdana" w:hAnsi="Verdana" w:cs="Arial"/>
                <w:bCs/>
              </w:rPr>
            </w:pPr>
            <w:r w:rsidRPr="002C36C7">
              <w:rPr>
                <w:rFonts w:ascii="Verdana" w:hAnsi="Verdana" w:cs="Arial"/>
                <w:bCs/>
              </w:rPr>
              <w:t>No Prescriber/ Office response</w:t>
            </w:r>
          </w:p>
          <w:p w14:paraId="16EC86D8" w14:textId="77777777" w:rsidR="00B61FF4" w:rsidRPr="002C36C7" w:rsidRDefault="00B61FF4" w:rsidP="00B61FF4">
            <w:pPr>
              <w:spacing w:before="120" w:after="120"/>
              <w:rPr>
                <w:rFonts w:ascii="Verdana" w:hAnsi="Verdana" w:cs="Arial"/>
                <w:bCs/>
              </w:rPr>
            </w:pPr>
          </w:p>
        </w:tc>
        <w:tc>
          <w:tcPr>
            <w:tcW w:w="3121" w:type="pct"/>
          </w:tcPr>
          <w:p w14:paraId="0AFDDD78" w14:textId="1EFE265E" w:rsidR="00B61FF4" w:rsidRPr="004E00B6" w:rsidRDefault="00B61FF4" w:rsidP="00B61FF4">
            <w:pPr>
              <w:spacing w:before="120" w:after="120"/>
              <w:rPr>
                <w:rFonts w:ascii="Verdana" w:hAnsi="Verdana" w:cs="Arial"/>
              </w:rPr>
            </w:pPr>
            <w:r>
              <w:rPr>
                <w:rFonts w:ascii="Verdana" w:hAnsi="Verdana" w:cs="Arial"/>
              </w:rPr>
              <w:t>When an Rx request or communication has  not been returned by the doctor’s office.</w:t>
            </w:r>
          </w:p>
        </w:tc>
      </w:tr>
      <w:tr w:rsidR="00B61FF4" w:rsidRPr="004E00B6" w14:paraId="45C8D763" w14:textId="77777777" w:rsidTr="00B61FF4">
        <w:tc>
          <w:tcPr>
            <w:tcW w:w="781" w:type="pct"/>
          </w:tcPr>
          <w:p w14:paraId="75B2E4CD"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NPI</w:t>
            </w:r>
          </w:p>
        </w:tc>
        <w:tc>
          <w:tcPr>
            <w:tcW w:w="1098" w:type="pct"/>
          </w:tcPr>
          <w:p w14:paraId="6B007B37" w14:textId="77777777" w:rsidR="00B61FF4" w:rsidRPr="002C36C7" w:rsidRDefault="00B61FF4" w:rsidP="00B61FF4">
            <w:pPr>
              <w:spacing w:before="120" w:after="120"/>
              <w:rPr>
                <w:rFonts w:ascii="Verdana" w:hAnsi="Verdana" w:cs="Arial"/>
                <w:bCs/>
              </w:rPr>
            </w:pPr>
            <w:r w:rsidRPr="002C36C7">
              <w:rPr>
                <w:rFonts w:ascii="Verdana" w:hAnsi="Verdana" w:cs="Arial"/>
                <w:bCs/>
              </w:rPr>
              <w:t>National Provider Identifier</w:t>
            </w:r>
          </w:p>
        </w:tc>
        <w:tc>
          <w:tcPr>
            <w:tcW w:w="3121" w:type="pct"/>
          </w:tcPr>
          <w:p w14:paraId="0C83D8CE" w14:textId="77777777" w:rsidR="00B61FF4" w:rsidRDefault="00B61FF4" w:rsidP="00B61FF4">
            <w:pPr>
              <w:spacing w:before="120" w:after="120"/>
              <w:rPr>
                <w:rFonts w:ascii="Verdana" w:hAnsi="Verdana" w:cs="Arial"/>
              </w:rPr>
            </w:pPr>
            <w:r w:rsidRPr="004E00B6">
              <w:rPr>
                <w:rFonts w:ascii="Verdana" w:hAnsi="Verdana" w:cs="Arial"/>
              </w:rPr>
              <w:t>Unique identifying number assigned to health care providers</w:t>
            </w:r>
            <w:r>
              <w:rPr>
                <w:rFonts w:ascii="Verdana" w:hAnsi="Verdana" w:cs="Arial"/>
              </w:rPr>
              <w:t>.</w:t>
            </w:r>
          </w:p>
          <w:p w14:paraId="39211900" w14:textId="77777777" w:rsidR="00B61FF4" w:rsidRPr="004E00B6" w:rsidRDefault="00B61FF4" w:rsidP="00B61FF4">
            <w:pPr>
              <w:spacing w:before="120" w:after="120"/>
              <w:rPr>
                <w:rFonts w:ascii="Verdana" w:hAnsi="Verdana" w:cs="Arial"/>
              </w:rPr>
            </w:pPr>
          </w:p>
        </w:tc>
      </w:tr>
      <w:tr w:rsidR="00B61FF4" w:rsidRPr="004E00B6" w14:paraId="7055F18C" w14:textId="77777777" w:rsidTr="00B61FF4">
        <w:tc>
          <w:tcPr>
            <w:tcW w:w="781" w:type="pct"/>
          </w:tcPr>
          <w:p w14:paraId="2D397E71" w14:textId="77777777" w:rsidR="00B61FF4" w:rsidRDefault="00B61FF4" w:rsidP="00B61FF4">
            <w:pPr>
              <w:spacing w:before="120" w:after="120"/>
              <w:jc w:val="center"/>
              <w:rPr>
                <w:rFonts w:ascii="Verdana" w:hAnsi="Verdana"/>
                <w:b/>
                <w:color w:val="000000"/>
              </w:rPr>
            </w:pPr>
            <w:r>
              <w:rPr>
                <w:rFonts w:ascii="Verdana" w:hAnsi="Verdana"/>
                <w:b/>
                <w:color w:val="000000"/>
              </w:rPr>
              <w:t>NPPES</w:t>
            </w:r>
          </w:p>
          <w:p w14:paraId="11F9E78D" w14:textId="7477A673" w:rsidR="00B61FF4" w:rsidRPr="00F4531F" w:rsidRDefault="00B61FF4" w:rsidP="00B61FF4">
            <w:pPr>
              <w:spacing w:before="120" w:after="120"/>
              <w:jc w:val="center"/>
              <w:rPr>
                <w:rFonts w:ascii="Verdana" w:hAnsi="Verdana"/>
                <w:b/>
                <w:color w:val="000000"/>
              </w:rPr>
            </w:pPr>
          </w:p>
        </w:tc>
        <w:tc>
          <w:tcPr>
            <w:tcW w:w="1098" w:type="pct"/>
          </w:tcPr>
          <w:p w14:paraId="3B34CEAF" w14:textId="5A1A5382" w:rsidR="00B61FF4" w:rsidRPr="002C36C7" w:rsidRDefault="00B61FF4" w:rsidP="00B61FF4">
            <w:pPr>
              <w:spacing w:before="120" w:after="120"/>
              <w:rPr>
                <w:rFonts w:ascii="Verdana" w:hAnsi="Verdana" w:cs="Arial"/>
                <w:bCs/>
              </w:rPr>
            </w:pPr>
            <w:r w:rsidRPr="003D0B99">
              <w:rPr>
                <w:rFonts w:ascii="Verdana" w:hAnsi="Verdana" w:cs="Arial"/>
                <w:bCs/>
              </w:rPr>
              <w:t>National Plan and Provider Enumeration System</w:t>
            </w:r>
          </w:p>
        </w:tc>
        <w:tc>
          <w:tcPr>
            <w:tcW w:w="3121" w:type="pct"/>
          </w:tcPr>
          <w:p w14:paraId="73E9EDD5" w14:textId="2EE2E003" w:rsidR="00B61FF4" w:rsidRPr="004E00B6" w:rsidRDefault="00B61FF4" w:rsidP="00B61FF4">
            <w:pPr>
              <w:spacing w:before="120" w:after="120"/>
              <w:rPr>
                <w:rFonts w:ascii="Verdana" w:hAnsi="Verdana" w:cs="Arial"/>
              </w:rPr>
            </w:pPr>
            <w:r w:rsidRPr="00862CE6">
              <w:rPr>
                <w:rFonts w:ascii="Verdana" w:hAnsi="Verdana" w:cs="Arial"/>
              </w:rPr>
              <w:t>The National Plan and Provider Enumeration System (NPPES) serves as the national system designed to assign unique identifiers to health care providers and health plans who apply for the National Provider Identifier (NPI)</w:t>
            </w:r>
          </w:p>
        </w:tc>
      </w:tr>
      <w:tr w:rsidR="00B61FF4" w:rsidRPr="004E00B6" w14:paraId="6FE12854" w14:textId="77777777" w:rsidTr="00B61FF4">
        <w:tc>
          <w:tcPr>
            <w:tcW w:w="781" w:type="pct"/>
          </w:tcPr>
          <w:p w14:paraId="44FBC842"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No PMT</w:t>
            </w:r>
          </w:p>
        </w:tc>
        <w:tc>
          <w:tcPr>
            <w:tcW w:w="1098" w:type="pct"/>
          </w:tcPr>
          <w:p w14:paraId="0A3E56E9" w14:textId="77777777" w:rsidR="00B61FF4" w:rsidRPr="002C36C7" w:rsidRDefault="00B61FF4" w:rsidP="00B61FF4">
            <w:pPr>
              <w:spacing w:before="120" w:after="120"/>
              <w:rPr>
                <w:rFonts w:ascii="Verdana" w:hAnsi="Verdana" w:cs="Arial"/>
                <w:bCs/>
              </w:rPr>
            </w:pPr>
            <w:r w:rsidRPr="002C36C7">
              <w:rPr>
                <w:rFonts w:ascii="Verdana" w:hAnsi="Verdana" w:cs="Arial"/>
                <w:bCs/>
              </w:rPr>
              <w:t>No Payment</w:t>
            </w:r>
          </w:p>
        </w:tc>
        <w:tc>
          <w:tcPr>
            <w:tcW w:w="3121" w:type="pct"/>
          </w:tcPr>
          <w:p w14:paraId="1498CE56" w14:textId="77777777" w:rsidR="00B61FF4" w:rsidRDefault="00B61FF4" w:rsidP="00B61FF4">
            <w:pPr>
              <w:spacing w:before="120" w:after="120"/>
              <w:rPr>
                <w:rFonts w:ascii="Verdana" w:hAnsi="Verdana" w:cs="Arial"/>
              </w:rPr>
            </w:pPr>
            <w:r w:rsidRPr="004E00B6">
              <w:rPr>
                <w:rFonts w:ascii="Verdana" w:hAnsi="Verdana" w:cs="Arial"/>
              </w:rPr>
              <w:t>No form of payment submitted for the order</w:t>
            </w:r>
            <w:r>
              <w:rPr>
                <w:rFonts w:ascii="Verdana" w:hAnsi="Verdana" w:cs="Arial"/>
              </w:rPr>
              <w:t>.</w:t>
            </w:r>
          </w:p>
          <w:p w14:paraId="45307ABB" w14:textId="77777777" w:rsidR="00B61FF4" w:rsidRPr="004E00B6" w:rsidRDefault="00B61FF4" w:rsidP="00B61FF4">
            <w:pPr>
              <w:spacing w:before="120" w:after="120"/>
              <w:rPr>
                <w:rFonts w:ascii="Verdana" w:hAnsi="Verdana" w:cs="Arial"/>
              </w:rPr>
            </w:pPr>
          </w:p>
        </w:tc>
      </w:tr>
      <w:tr w:rsidR="00B61FF4" w:rsidRPr="004E00B6" w14:paraId="49A38319" w14:textId="77777777" w:rsidTr="00B61FF4">
        <w:tc>
          <w:tcPr>
            <w:tcW w:w="781" w:type="pct"/>
          </w:tcPr>
          <w:p w14:paraId="2BD51AE6"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NP</w:t>
            </w:r>
          </w:p>
        </w:tc>
        <w:tc>
          <w:tcPr>
            <w:tcW w:w="1098" w:type="pct"/>
          </w:tcPr>
          <w:p w14:paraId="2975B11D" w14:textId="77777777" w:rsidR="00B61FF4" w:rsidRPr="002C36C7" w:rsidRDefault="00B61FF4" w:rsidP="00B61FF4">
            <w:pPr>
              <w:spacing w:before="120" w:after="120"/>
              <w:rPr>
                <w:rFonts w:ascii="Verdana" w:hAnsi="Verdana" w:cs="Arial"/>
                <w:bCs/>
              </w:rPr>
            </w:pPr>
            <w:r w:rsidRPr="002C36C7">
              <w:rPr>
                <w:rFonts w:ascii="Verdana" w:hAnsi="Verdana" w:cs="Arial"/>
                <w:bCs/>
              </w:rPr>
              <w:t>Nurse Practitioner</w:t>
            </w:r>
          </w:p>
        </w:tc>
        <w:tc>
          <w:tcPr>
            <w:tcW w:w="3121" w:type="pct"/>
          </w:tcPr>
          <w:p w14:paraId="23186AEC" w14:textId="77777777" w:rsidR="00B61FF4" w:rsidRDefault="00B61FF4" w:rsidP="00B61FF4">
            <w:pPr>
              <w:spacing w:before="120" w:after="120"/>
              <w:rPr>
                <w:rFonts w:ascii="Verdana" w:hAnsi="Verdana" w:cs="Arial"/>
              </w:rPr>
            </w:pPr>
            <w:r w:rsidRPr="004E00B6">
              <w:rPr>
                <w:rFonts w:ascii="Verdana" w:hAnsi="Verdana" w:cs="Arial"/>
              </w:rPr>
              <w:t xml:space="preserve">A registered nurse with at least a master’s degree in nursing and advanced education in the primary care of </w:t>
            </w:r>
            <w:proofErr w:type="gramStart"/>
            <w:r w:rsidRPr="004E00B6">
              <w:rPr>
                <w:rFonts w:ascii="Verdana" w:hAnsi="Verdana" w:cs="Arial"/>
              </w:rPr>
              <w:t>particular groups</w:t>
            </w:r>
            <w:proofErr w:type="gramEnd"/>
            <w:r w:rsidRPr="004E00B6">
              <w:rPr>
                <w:rFonts w:ascii="Verdana" w:hAnsi="Verdana" w:cs="Arial"/>
              </w:rPr>
              <w:t xml:space="preserve"> of clients. Capable of independent practice in a variety of settings</w:t>
            </w:r>
            <w:r>
              <w:rPr>
                <w:rFonts w:ascii="Verdana" w:hAnsi="Verdana" w:cs="Arial"/>
              </w:rPr>
              <w:t>.</w:t>
            </w:r>
          </w:p>
          <w:p w14:paraId="7ACA9AD9" w14:textId="77777777" w:rsidR="00B61FF4" w:rsidRPr="004E00B6" w:rsidRDefault="00B61FF4" w:rsidP="00B61FF4">
            <w:pPr>
              <w:spacing w:before="120" w:after="120"/>
              <w:rPr>
                <w:rFonts w:ascii="Verdana" w:hAnsi="Verdana" w:cs="Arial"/>
              </w:rPr>
            </w:pPr>
          </w:p>
        </w:tc>
      </w:tr>
      <w:tr w:rsidR="00B61FF4" w:rsidRPr="004E00B6" w14:paraId="4E89D846" w14:textId="77777777" w:rsidTr="00B61FF4">
        <w:tc>
          <w:tcPr>
            <w:tcW w:w="781" w:type="pct"/>
          </w:tcPr>
          <w:p w14:paraId="20E9311F"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NPP</w:t>
            </w:r>
          </w:p>
        </w:tc>
        <w:tc>
          <w:tcPr>
            <w:tcW w:w="1098" w:type="pct"/>
          </w:tcPr>
          <w:p w14:paraId="2D0E4057" w14:textId="77777777" w:rsidR="00B61FF4" w:rsidRPr="002C36C7" w:rsidRDefault="00B61FF4" w:rsidP="00B61FF4">
            <w:pPr>
              <w:spacing w:before="120" w:after="120"/>
              <w:rPr>
                <w:rFonts w:ascii="Verdana" w:hAnsi="Verdana" w:cs="Arial"/>
                <w:bCs/>
              </w:rPr>
            </w:pPr>
            <w:r w:rsidRPr="002C36C7">
              <w:rPr>
                <w:rFonts w:ascii="Verdana" w:hAnsi="Verdana" w:cs="Arial"/>
                <w:bCs/>
              </w:rPr>
              <w:t>Notice of Personal Privacy</w:t>
            </w:r>
          </w:p>
        </w:tc>
        <w:tc>
          <w:tcPr>
            <w:tcW w:w="3121" w:type="pct"/>
          </w:tcPr>
          <w:p w14:paraId="16C7076D" w14:textId="1712A6D6" w:rsidR="00B61FF4" w:rsidRDefault="00B61FF4" w:rsidP="00B61FF4">
            <w:pPr>
              <w:spacing w:before="120" w:after="120"/>
              <w:rPr>
                <w:rFonts w:ascii="Verdana" w:hAnsi="Verdana" w:cs="Arial"/>
              </w:rPr>
            </w:pPr>
            <w:r>
              <w:rPr>
                <w:rFonts w:ascii="Verdana" w:hAnsi="Verdana" w:cs="Arial"/>
              </w:rPr>
              <w:t xml:space="preserve">HIPAA </w:t>
            </w:r>
            <w:r w:rsidRPr="004E00B6">
              <w:rPr>
                <w:rFonts w:ascii="Verdana" w:hAnsi="Verdana" w:cs="Arial"/>
              </w:rPr>
              <w:t>Letter</w:t>
            </w:r>
            <w:r>
              <w:rPr>
                <w:rFonts w:ascii="Verdana" w:hAnsi="Verdana" w:cs="Arial"/>
              </w:rPr>
              <w:t>.</w:t>
            </w:r>
          </w:p>
          <w:p w14:paraId="6C748E74" w14:textId="77777777" w:rsidR="00B61FF4" w:rsidRPr="004E00B6" w:rsidRDefault="00B61FF4" w:rsidP="00B61FF4">
            <w:pPr>
              <w:spacing w:before="120" w:after="120"/>
              <w:rPr>
                <w:rFonts w:ascii="Verdana" w:hAnsi="Verdana" w:cs="Arial"/>
              </w:rPr>
            </w:pPr>
          </w:p>
        </w:tc>
      </w:tr>
      <w:tr w:rsidR="00B61FF4" w:rsidRPr="004E00B6" w14:paraId="04F0855B" w14:textId="77777777" w:rsidTr="00B61FF4">
        <w:trPr>
          <w:trHeight w:val="692"/>
        </w:trPr>
        <w:tc>
          <w:tcPr>
            <w:tcW w:w="781" w:type="pct"/>
          </w:tcPr>
          <w:p w14:paraId="193AD112" w14:textId="5105C4B4" w:rsidR="00B61FF4" w:rsidRDefault="00B61FF4" w:rsidP="00B61FF4">
            <w:pPr>
              <w:spacing w:before="120" w:after="120"/>
              <w:jc w:val="center"/>
              <w:rPr>
                <w:rFonts w:ascii="Verdana" w:hAnsi="Verdana"/>
                <w:b/>
                <w:color w:val="000000"/>
              </w:rPr>
            </w:pPr>
            <w:r>
              <w:rPr>
                <w:rFonts w:ascii="Verdana" w:hAnsi="Verdana"/>
                <w:b/>
                <w:color w:val="000000"/>
              </w:rPr>
              <w:t>NRD</w:t>
            </w:r>
          </w:p>
          <w:p w14:paraId="007358A3" w14:textId="77777777" w:rsidR="00B61FF4" w:rsidRPr="00F4531F" w:rsidRDefault="00B61FF4" w:rsidP="00B61FF4">
            <w:pPr>
              <w:spacing w:before="120" w:after="120"/>
              <w:jc w:val="center"/>
              <w:rPr>
                <w:rFonts w:ascii="Verdana" w:hAnsi="Verdana"/>
                <w:b/>
                <w:color w:val="000000"/>
              </w:rPr>
            </w:pPr>
            <w:r>
              <w:rPr>
                <w:noProof/>
              </w:rPr>
              <w:t xml:space="preserve"> </w:t>
            </w:r>
          </w:p>
        </w:tc>
        <w:tc>
          <w:tcPr>
            <w:tcW w:w="1098" w:type="pct"/>
          </w:tcPr>
          <w:p w14:paraId="641C286C" w14:textId="77777777" w:rsidR="00B61FF4" w:rsidRPr="002C36C7" w:rsidRDefault="00B61FF4" w:rsidP="00B61FF4">
            <w:pPr>
              <w:spacing w:before="120" w:after="120"/>
              <w:rPr>
                <w:rFonts w:ascii="Verdana" w:hAnsi="Verdana" w:cs="Arial"/>
                <w:bCs/>
              </w:rPr>
            </w:pPr>
            <w:r w:rsidRPr="002C36C7">
              <w:rPr>
                <w:rFonts w:ascii="Verdana" w:hAnsi="Verdana" w:cs="Arial"/>
                <w:bCs/>
              </w:rPr>
              <w:t>No Release Date</w:t>
            </w:r>
          </w:p>
        </w:tc>
        <w:tc>
          <w:tcPr>
            <w:tcW w:w="3121" w:type="pct"/>
          </w:tcPr>
          <w:p w14:paraId="2747B4D1" w14:textId="4112F7B3" w:rsidR="00B61FF4" w:rsidRPr="004E00B6" w:rsidRDefault="00B61FF4" w:rsidP="00B61FF4">
            <w:pPr>
              <w:spacing w:before="120" w:after="120"/>
              <w:rPr>
                <w:rFonts w:ascii="Verdana" w:hAnsi="Verdana" w:cs="Arial"/>
              </w:rPr>
            </w:pPr>
            <w:proofErr w:type="gramStart"/>
            <w:r>
              <w:rPr>
                <w:rFonts w:ascii="Verdana" w:hAnsi="Verdana" w:cs="Arial"/>
              </w:rPr>
              <w:t>Release</w:t>
            </w:r>
            <w:proofErr w:type="gramEnd"/>
            <w:r>
              <w:rPr>
                <w:rFonts w:ascii="Verdana" w:hAnsi="Verdana" w:cs="Arial"/>
              </w:rPr>
              <w:t xml:space="preserve"> date is unknown.</w:t>
            </w:r>
          </w:p>
        </w:tc>
      </w:tr>
      <w:tr w:rsidR="00B61FF4" w:rsidRPr="004E00B6" w14:paraId="6B441160" w14:textId="77777777" w:rsidTr="00B61FF4">
        <w:tc>
          <w:tcPr>
            <w:tcW w:w="781" w:type="pct"/>
          </w:tcPr>
          <w:p w14:paraId="28AFFCEB"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NRFL</w:t>
            </w:r>
          </w:p>
        </w:tc>
        <w:tc>
          <w:tcPr>
            <w:tcW w:w="1098" w:type="pct"/>
          </w:tcPr>
          <w:p w14:paraId="0286902D" w14:textId="77777777" w:rsidR="00B61FF4" w:rsidRPr="002C36C7" w:rsidRDefault="00B61FF4" w:rsidP="00B61FF4">
            <w:pPr>
              <w:spacing w:before="120" w:after="120"/>
              <w:rPr>
                <w:rFonts w:ascii="Verdana" w:hAnsi="Verdana" w:cs="Arial"/>
                <w:bCs/>
              </w:rPr>
            </w:pPr>
            <w:r w:rsidRPr="002C36C7">
              <w:rPr>
                <w:rFonts w:ascii="Verdana" w:hAnsi="Verdana" w:cs="Arial"/>
                <w:bCs/>
              </w:rPr>
              <w:t>No Refills Left</w:t>
            </w:r>
          </w:p>
          <w:p w14:paraId="7F55C8CA" w14:textId="77777777" w:rsidR="00B61FF4" w:rsidRPr="002C36C7" w:rsidRDefault="00B61FF4" w:rsidP="00B61FF4">
            <w:pPr>
              <w:spacing w:before="120" w:after="120"/>
              <w:rPr>
                <w:rFonts w:ascii="Verdana" w:hAnsi="Verdana" w:cs="Arial"/>
                <w:bCs/>
              </w:rPr>
            </w:pPr>
          </w:p>
        </w:tc>
        <w:tc>
          <w:tcPr>
            <w:tcW w:w="3121" w:type="pct"/>
          </w:tcPr>
          <w:p w14:paraId="1904E14D" w14:textId="77777777" w:rsidR="00B61FF4" w:rsidRPr="004E00B6" w:rsidRDefault="00B61FF4" w:rsidP="00B61FF4">
            <w:pPr>
              <w:spacing w:before="120" w:after="120"/>
              <w:rPr>
                <w:rFonts w:ascii="Verdana" w:hAnsi="Verdana" w:cs="Arial"/>
              </w:rPr>
            </w:pPr>
            <w:r w:rsidRPr="004E00B6">
              <w:rPr>
                <w:rFonts w:ascii="Verdana" w:hAnsi="Verdana" w:cs="Arial"/>
              </w:rPr>
              <w:t>Rx has no valid refills remaining</w:t>
            </w:r>
            <w:r>
              <w:rPr>
                <w:rFonts w:ascii="Verdana" w:hAnsi="Verdana" w:cs="Arial"/>
              </w:rPr>
              <w:t>.</w:t>
            </w:r>
          </w:p>
        </w:tc>
      </w:tr>
      <w:tr w:rsidR="00B61FF4" w:rsidRPr="004E00B6" w14:paraId="0E9D3ED8" w14:textId="77777777" w:rsidTr="00B61FF4">
        <w:tc>
          <w:tcPr>
            <w:tcW w:w="781" w:type="pct"/>
          </w:tcPr>
          <w:p w14:paraId="2D5B77E0" w14:textId="309CFE48"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NSA/NSA Combos</w:t>
            </w:r>
          </w:p>
        </w:tc>
        <w:tc>
          <w:tcPr>
            <w:tcW w:w="1098" w:type="pct"/>
          </w:tcPr>
          <w:p w14:paraId="2912AAB6" w14:textId="77777777" w:rsidR="00B61FF4" w:rsidRPr="002C36C7" w:rsidRDefault="00B61FF4" w:rsidP="00B61FF4">
            <w:pPr>
              <w:spacing w:before="120" w:after="120"/>
              <w:rPr>
                <w:rFonts w:ascii="Verdana" w:hAnsi="Verdana" w:cs="Arial"/>
                <w:bCs/>
              </w:rPr>
            </w:pPr>
            <w:r w:rsidRPr="002C36C7">
              <w:rPr>
                <w:rFonts w:ascii="Verdana" w:hAnsi="Verdana" w:cs="Arial"/>
                <w:bCs/>
              </w:rPr>
              <w:t>Non-Sedating Antihistamines</w:t>
            </w:r>
          </w:p>
          <w:p w14:paraId="4C2BD5E4" w14:textId="77777777" w:rsidR="00B61FF4" w:rsidRPr="002C36C7" w:rsidRDefault="00B61FF4" w:rsidP="00B61FF4">
            <w:pPr>
              <w:spacing w:before="120" w:after="120"/>
              <w:rPr>
                <w:rFonts w:ascii="Verdana" w:hAnsi="Verdana" w:cs="Arial"/>
                <w:bCs/>
              </w:rPr>
            </w:pPr>
          </w:p>
        </w:tc>
        <w:tc>
          <w:tcPr>
            <w:tcW w:w="3121" w:type="pct"/>
          </w:tcPr>
          <w:p w14:paraId="48B97A7F" w14:textId="339A0ED1" w:rsidR="00B61FF4" w:rsidRPr="004E00B6" w:rsidRDefault="00B61FF4" w:rsidP="00B61FF4">
            <w:pPr>
              <w:spacing w:before="120" w:after="120"/>
              <w:rPr>
                <w:rFonts w:ascii="Verdana" w:hAnsi="Verdana" w:cs="Arial"/>
              </w:rPr>
            </w:pPr>
            <w:proofErr w:type="gramStart"/>
            <w:r>
              <w:rPr>
                <w:rFonts w:ascii="Verdana" w:hAnsi="Verdana" w:cs="Arial"/>
              </w:rPr>
              <w:t>Medication that</w:t>
            </w:r>
            <w:proofErr w:type="gramEnd"/>
            <w:r>
              <w:rPr>
                <w:rFonts w:ascii="Verdana" w:hAnsi="Verdana" w:cs="Arial"/>
              </w:rPr>
              <w:t xml:space="preserve"> does not make a person drowsy.</w:t>
            </w:r>
          </w:p>
        </w:tc>
      </w:tr>
      <w:tr w:rsidR="00B61FF4" w:rsidRPr="004E00B6" w14:paraId="26EB70C2" w14:textId="77777777" w:rsidTr="00B61FF4">
        <w:tc>
          <w:tcPr>
            <w:tcW w:w="781" w:type="pct"/>
          </w:tcPr>
          <w:p w14:paraId="41809CBD" w14:textId="79CDB54D" w:rsidR="00B61FF4" w:rsidRPr="00F4531F" w:rsidRDefault="00B61FF4" w:rsidP="00B61FF4">
            <w:pPr>
              <w:spacing w:before="120" w:after="120"/>
              <w:jc w:val="center"/>
              <w:rPr>
                <w:rFonts w:ascii="Verdana" w:hAnsi="Verdana"/>
                <w:b/>
                <w:color w:val="000000"/>
              </w:rPr>
            </w:pPr>
            <w:r>
              <w:rPr>
                <w:rFonts w:ascii="Verdana" w:hAnsi="Verdana"/>
                <w:b/>
                <w:color w:val="000000"/>
              </w:rPr>
              <w:t xml:space="preserve"> </w:t>
            </w:r>
            <w:r w:rsidRPr="00F4531F">
              <w:rPr>
                <w:rFonts w:ascii="Verdana" w:hAnsi="Verdana"/>
                <w:b/>
                <w:color w:val="000000"/>
              </w:rPr>
              <w:t>NSH</w:t>
            </w:r>
          </w:p>
        </w:tc>
        <w:tc>
          <w:tcPr>
            <w:tcW w:w="1098" w:type="pct"/>
          </w:tcPr>
          <w:p w14:paraId="7E09E84E" w14:textId="77777777" w:rsidR="00B61FF4" w:rsidRPr="002C36C7" w:rsidRDefault="00B61FF4" w:rsidP="00B61FF4">
            <w:pPr>
              <w:spacing w:before="120" w:after="120"/>
              <w:rPr>
                <w:rFonts w:ascii="Verdana" w:hAnsi="Verdana" w:cs="Arial"/>
                <w:bCs/>
              </w:rPr>
            </w:pPr>
            <w:r w:rsidRPr="002C36C7">
              <w:rPr>
                <w:rFonts w:ascii="Verdana" w:hAnsi="Verdana" w:cs="Arial"/>
                <w:bCs/>
              </w:rPr>
              <w:t>Nashville Call Center</w:t>
            </w:r>
          </w:p>
          <w:p w14:paraId="5D21FCE2" w14:textId="77777777" w:rsidR="00B61FF4" w:rsidRPr="002C36C7" w:rsidRDefault="00B61FF4" w:rsidP="00B61FF4">
            <w:pPr>
              <w:spacing w:before="120" w:after="120"/>
              <w:rPr>
                <w:rFonts w:ascii="Verdana" w:hAnsi="Verdana" w:cs="Arial"/>
                <w:bCs/>
              </w:rPr>
            </w:pPr>
          </w:p>
        </w:tc>
        <w:tc>
          <w:tcPr>
            <w:tcW w:w="3121" w:type="pct"/>
          </w:tcPr>
          <w:p w14:paraId="7BEF5060" w14:textId="04E5DF46" w:rsidR="00B61FF4" w:rsidRPr="004E00B6" w:rsidRDefault="00B61FF4" w:rsidP="00B61FF4">
            <w:pPr>
              <w:spacing w:before="120" w:after="120"/>
              <w:rPr>
                <w:rFonts w:ascii="Verdana" w:hAnsi="Verdana" w:cs="Arial"/>
              </w:rPr>
            </w:pPr>
            <w:r>
              <w:rPr>
                <w:rFonts w:ascii="Verdana" w:hAnsi="Verdana" w:cs="Arial"/>
              </w:rPr>
              <w:t>One of Customer Care’s Call Centers located in Nashville, Tennessee.</w:t>
            </w:r>
          </w:p>
        </w:tc>
      </w:tr>
      <w:tr w:rsidR="00B61FF4" w:rsidRPr="004E00B6" w14:paraId="550E146B" w14:textId="77777777" w:rsidTr="00B61FF4">
        <w:tc>
          <w:tcPr>
            <w:tcW w:w="781" w:type="pct"/>
          </w:tcPr>
          <w:p w14:paraId="31517BF3"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NTE</w:t>
            </w:r>
          </w:p>
        </w:tc>
        <w:tc>
          <w:tcPr>
            <w:tcW w:w="1098" w:type="pct"/>
          </w:tcPr>
          <w:p w14:paraId="1E0CD8F8" w14:textId="77777777" w:rsidR="00B61FF4" w:rsidRPr="002C36C7" w:rsidRDefault="00B61FF4" w:rsidP="00B61FF4">
            <w:pPr>
              <w:spacing w:before="120" w:after="120"/>
              <w:rPr>
                <w:rFonts w:ascii="Verdana" w:hAnsi="Verdana" w:cs="Arial"/>
                <w:bCs/>
              </w:rPr>
            </w:pPr>
            <w:r w:rsidRPr="002C36C7">
              <w:rPr>
                <w:rFonts w:ascii="Verdana" w:hAnsi="Verdana" w:cs="Arial"/>
                <w:bCs/>
              </w:rPr>
              <w:t>Not to Exceed</w:t>
            </w:r>
          </w:p>
          <w:p w14:paraId="6DEC64B4" w14:textId="77777777" w:rsidR="00B61FF4" w:rsidRPr="002C36C7" w:rsidRDefault="00B61FF4" w:rsidP="00B61FF4">
            <w:pPr>
              <w:spacing w:before="120" w:after="120"/>
              <w:rPr>
                <w:rFonts w:ascii="Verdana" w:hAnsi="Verdana" w:cs="Arial"/>
                <w:bCs/>
              </w:rPr>
            </w:pPr>
          </w:p>
        </w:tc>
        <w:tc>
          <w:tcPr>
            <w:tcW w:w="3121" w:type="pct"/>
          </w:tcPr>
          <w:p w14:paraId="20E03997" w14:textId="77777777" w:rsidR="00B61FF4" w:rsidRPr="004E00B6" w:rsidRDefault="00B61FF4" w:rsidP="00B61FF4">
            <w:pPr>
              <w:spacing w:before="120" w:after="120"/>
              <w:rPr>
                <w:rFonts w:ascii="Verdana" w:hAnsi="Verdana" w:cs="Arial"/>
              </w:rPr>
            </w:pPr>
            <w:r w:rsidRPr="004E00B6">
              <w:rPr>
                <w:rFonts w:ascii="Verdana" w:hAnsi="Verdana" w:cs="Arial"/>
              </w:rPr>
              <w:t>Not to exceed a certain prescribed dosage</w:t>
            </w:r>
            <w:r>
              <w:rPr>
                <w:rFonts w:ascii="Verdana" w:hAnsi="Verdana" w:cs="Arial"/>
              </w:rPr>
              <w:t>.</w:t>
            </w:r>
          </w:p>
        </w:tc>
      </w:tr>
      <w:tr w:rsidR="00B61FF4" w:rsidRPr="004E00B6" w14:paraId="1EEF1869" w14:textId="77777777" w:rsidTr="00B61FF4">
        <w:tc>
          <w:tcPr>
            <w:tcW w:w="781" w:type="pct"/>
          </w:tcPr>
          <w:p w14:paraId="1832406A" w14:textId="77777777" w:rsidR="00B61FF4" w:rsidRDefault="00B61FF4" w:rsidP="00B61FF4">
            <w:pPr>
              <w:spacing w:before="120" w:after="120"/>
              <w:jc w:val="center"/>
              <w:rPr>
                <w:rFonts w:ascii="Verdana" w:hAnsi="Verdana"/>
                <w:b/>
                <w:color w:val="000000"/>
              </w:rPr>
            </w:pPr>
            <w:r>
              <w:rPr>
                <w:rFonts w:ascii="Verdana" w:hAnsi="Verdana"/>
                <w:b/>
                <w:color w:val="000000"/>
              </w:rPr>
              <w:t>NT ID or N ID</w:t>
            </w:r>
          </w:p>
          <w:p w14:paraId="5ADDD96E" w14:textId="77777777" w:rsidR="00B61FF4" w:rsidRPr="00F4531F" w:rsidRDefault="00B61FF4" w:rsidP="00B61FF4">
            <w:pPr>
              <w:spacing w:before="120" w:after="120"/>
              <w:jc w:val="center"/>
              <w:rPr>
                <w:rFonts w:ascii="Verdana" w:hAnsi="Verdana"/>
                <w:b/>
                <w:color w:val="000000"/>
              </w:rPr>
            </w:pPr>
            <w:r>
              <w:rPr>
                <w:noProof/>
              </w:rPr>
              <w:t xml:space="preserve"> </w:t>
            </w:r>
          </w:p>
        </w:tc>
        <w:tc>
          <w:tcPr>
            <w:tcW w:w="1098" w:type="pct"/>
          </w:tcPr>
          <w:p w14:paraId="0BEB3046" w14:textId="77777777" w:rsidR="00B61FF4" w:rsidRPr="002C36C7" w:rsidRDefault="00B61FF4" w:rsidP="00B61FF4">
            <w:pPr>
              <w:spacing w:before="120" w:after="120"/>
              <w:rPr>
                <w:rFonts w:ascii="Verdana" w:hAnsi="Verdana" w:cs="Arial"/>
                <w:bCs/>
              </w:rPr>
            </w:pPr>
            <w:r w:rsidRPr="002C36C7">
              <w:rPr>
                <w:rFonts w:ascii="Verdana" w:hAnsi="Verdana" w:cs="Arial"/>
                <w:bCs/>
              </w:rPr>
              <w:t>Network ID</w:t>
            </w:r>
          </w:p>
        </w:tc>
        <w:tc>
          <w:tcPr>
            <w:tcW w:w="3121" w:type="pct"/>
          </w:tcPr>
          <w:p w14:paraId="58A7A2B4" w14:textId="77777777" w:rsidR="00B61FF4" w:rsidRDefault="00B61FF4" w:rsidP="00B61FF4">
            <w:pPr>
              <w:spacing w:before="120" w:after="120"/>
              <w:rPr>
                <w:rFonts w:ascii="Verdana" w:hAnsi="Verdana" w:cs="Arial"/>
              </w:rPr>
            </w:pPr>
            <w:r>
              <w:rPr>
                <w:rFonts w:ascii="Verdana" w:hAnsi="Verdana" w:cs="Arial"/>
              </w:rPr>
              <w:t xml:space="preserve">Personal ID </w:t>
            </w:r>
            <w:proofErr w:type="gramStart"/>
            <w:r>
              <w:rPr>
                <w:rFonts w:ascii="Verdana" w:hAnsi="Verdana" w:cs="Arial"/>
              </w:rPr>
              <w:t>generally</w:t>
            </w:r>
            <w:proofErr w:type="gramEnd"/>
            <w:r>
              <w:rPr>
                <w:rFonts w:ascii="Verdana" w:hAnsi="Verdana" w:cs="Arial"/>
              </w:rPr>
              <w:t xml:space="preserve"> used to login to Windows. </w:t>
            </w:r>
            <w:proofErr w:type="gramStart"/>
            <w:r>
              <w:rPr>
                <w:rFonts w:ascii="Verdana" w:hAnsi="Verdana" w:cs="Arial"/>
              </w:rPr>
              <w:t>Generally</w:t>
            </w:r>
            <w:proofErr w:type="gramEnd"/>
            <w:r>
              <w:rPr>
                <w:rFonts w:ascii="Verdana" w:hAnsi="Verdana" w:cs="Arial"/>
              </w:rPr>
              <w:t xml:space="preserve"> begins with an alpha character and 8 digits in length.</w:t>
            </w:r>
          </w:p>
          <w:p w14:paraId="3219B2DA" w14:textId="77777777" w:rsidR="00B61FF4" w:rsidRPr="004E00B6" w:rsidRDefault="00B61FF4" w:rsidP="00B61FF4">
            <w:pPr>
              <w:spacing w:before="120" w:after="120"/>
              <w:rPr>
                <w:rFonts w:ascii="Verdana" w:hAnsi="Verdana" w:cs="Arial"/>
              </w:rPr>
            </w:pPr>
          </w:p>
        </w:tc>
      </w:tr>
      <w:tr w:rsidR="00B61FF4" w:rsidRPr="004E00B6" w14:paraId="7FD02E97" w14:textId="77777777" w:rsidTr="00B61FF4">
        <w:tc>
          <w:tcPr>
            <w:tcW w:w="781" w:type="pct"/>
          </w:tcPr>
          <w:p w14:paraId="558824FF"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NTG</w:t>
            </w:r>
          </w:p>
        </w:tc>
        <w:tc>
          <w:tcPr>
            <w:tcW w:w="1098" w:type="pct"/>
          </w:tcPr>
          <w:p w14:paraId="630034F5" w14:textId="77777777" w:rsidR="00B61FF4" w:rsidRPr="002C36C7" w:rsidRDefault="00B61FF4" w:rsidP="00B61FF4">
            <w:pPr>
              <w:spacing w:before="120" w:after="120"/>
              <w:rPr>
                <w:rFonts w:ascii="Verdana" w:hAnsi="Verdana" w:cs="Arial"/>
                <w:bCs/>
              </w:rPr>
            </w:pPr>
            <w:r w:rsidRPr="002C36C7">
              <w:rPr>
                <w:rFonts w:ascii="Verdana" w:hAnsi="Verdana" w:cs="Arial"/>
                <w:bCs/>
              </w:rPr>
              <w:t>Nitroglycerin</w:t>
            </w:r>
          </w:p>
          <w:p w14:paraId="19FC918B" w14:textId="77777777" w:rsidR="00B61FF4" w:rsidRPr="002C36C7" w:rsidRDefault="00B61FF4" w:rsidP="00B61FF4">
            <w:pPr>
              <w:spacing w:before="120" w:after="120"/>
              <w:rPr>
                <w:rFonts w:ascii="Verdana" w:hAnsi="Verdana" w:cs="Arial"/>
                <w:bCs/>
              </w:rPr>
            </w:pPr>
          </w:p>
        </w:tc>
        <w:tc>
          <w:tcPr>
            <w:tcW w:w="3121" w:type="pct"/>
          </w:tcPr>
          <w:p w14:paraId="0968429D" w14:textId="77777777" w:rsidR="00B61FF4" w:rsidRPr="004E00B6" w:rsidRDefault="00B61FF4" w:rsidP="00B61FF4">
            <w:pPr>
              <w:spacing w:before="120" w:after="120"/>
              <w:rPr>
                <w:rFonts w:ascii="Verdana" w:hAnsi="Verdana" w:cs="Arial"/>
              </w:rPr>
            </w:pPr>
            <w:r w:rsidRPr="004E00B6">
              <w:rPr>
                <w:rFonts w:ascii="Verdana" w:hAnsi="Verdana" w:cs="Arial"/>
              </w:rPr>
              <w:t xml:space="preserve">Abbreviation of the drug </w:t>
            </w:r>
            <w:proofErr w:type="gramStart"/>
            <w:r w:rsidRPr="004E00B6">
              <w:rPr>
                <w:rFonts w:ascii="Verdana" w:hAnsi="Verdana" w:cs="Arial"/>
              </w:rPr>
              <w:t>name</w:t>
            </w:r>
            <w:proofErr w:type="gramEnd"/>
            <w:r w:rsidRPr="004E00B6">
              <w:rPr>
                <w:rFonts w:ascii="Verdana" w:hAnsi="Verdana" w:cs="Arial"/>
              </w:rPr>
              <w:t xml:space="preserve"> Nitroglycerin</w:t>
            </w:r>
            <w:r>
              <w:rPr>
                <w:rFonts w:ascii="Verdana" w:hAnsi="Verdana" w:cs="Arial"/>
              </w:rPr>
              <w:t>.</w:t>
            </w:r>
          </w:p>
        </w:tc>
      </w:tr>
      <w:tr w:rsidR="00B61FF4" w:rsidRPr="004E00B6" w14:paraId="3AF6B642" w14:textId="77777777" w:rsidTr="00B61FF4">
        <w:tc>
          <w:tcPr>
            <w:tcW w:w="781" w:type="pct"/>
          </w:tcPr>
          <w:p w14:paraId="7098417A" w14:textId="762BC37A" w:rsidR="00B61FF4" w:rsidRPr="00F4531F" w:rsidRDefault="00B61FF4" w:rsidP="00B61FF4">
            <w:pPr>
              <w:spacing w:before="120" w:after="120"/>
              <w:jc w:val="center"/>
              <w:rPr>
                <w:rFonts w:ascii="Verdana" w:hAnsi="Verdana"/>
                <w:b/>
                <w:color w:val="000000"/>
              </w:rPr>
            </w:pPr>
            <w:r>
              <w:rPr>
                <w:rFonts w:ascii="Verdana" w:hAnsi="Verdana"/>
                <w:b/>
                <w:color w:val="000000"/>
              </w:rPr>
              <w:t xml:space="preserve">NUNCMO </w:t>
            </w:r>
          </w:p>
        </w:tc>
        <w:tc>
          <w:tcPr>
            <w:tcW w:w="1098" w:type="pct"/>
          </w:tcPr>
          <w:p w14:paraId="1C14D172" w14:textId="77777777" w:rsidR="00B61FF4" w:rsidRPr="002C36C7" w:rsidRDefault="00B61FF4" w:rsidP="00B61FF4">
            <w:pPr>
              <w:spacing w:before="120" w:after="120"/>
              <w:rPr>
                <w:rFonts w:ascii="Verdana" w:hAnsi="Verdana" w:cs="Arial"/>
                <w:bCs/>
              </w:rPr>
            </w:pPr>
            <w:r w:rsidRPr="002C36C7">
              <w:rPr>
                <w:rFonts w:ascii="Verdana" w:hAnsi="Verdana" w:cs="Arial"/>
                <w:bCs/>
              </w:rPr>
              <w:t xml:space="preserve">Number of Uncovered Months </w:t>
            </w:r>
          </w:p>
        </w:tc>
        <w:tc>
          <w:tcPr>
            <w:tcW w:w="3121" w:type="pct"/>
          </w:tcPr>
          <w:p w14:paraId="65B3BA15" w14:textId="5692EFF5" w:rsidR="00B61FF4" w:rsidRPr="004E00B6" w:rsidRDefault="00B61FF4" w:rsidP="00B61FF4">
            <w:pPr>
              <w:spacing w:before="120" w:after="120"/>
              <w:rPr>
                <w:rFonts w:ascii="Verdana" w:hAnsi="Verdana" w:cs="Arial"/>
              </w:rPr>
            </w:pPr>
            <w:r>
              <w:rPr>
                <w:rFonts w:ascii="Verdana" w:hAnsi="Verdana" w:cs="Arial"/>
              </w:rPr>
              <w:t>The length of time a person has gone without insurance coverage.</w:t>
            </w:r>
          </w:p>
        </w:tc>
      </w:tr>
      <w:tr w:rsidR="00B61FF4" w:rsidRPr="004E00B6" w14:paraId="3A271450" w14:textId="77777777" w:rsidTr="00B61FF4">
        <w:tc>
          <w:tcPr>
            <w:tcW w:w="781" w:type="pct"/>
          </w:tcPr>
          <w:p w14:paraId="25BADAC5" w14:textId="77777777" w:rsidR="00B61FF4" w:rsidRPr="00F4531F" w:rsidRDefault="00B61FF4" w:rsidP="00B61FF4">
            <w:pPr>
              <w:spacing w:before="120" w:after="120"/>
              <w:jc w:val="center"/>
              <w:rPr>
                <w:rFonts w:ascii="Verdana" w:hAnsi="Verdana"/>
                <w:b/>
                <w:color w:val="000000"/>
              </w:rPr>
            </w:pPr>
            <w:r w:rsidRPr="00F4531F">
              <w:rPr>
                <w:rFonts w:ascii="Verdana" w:hAnsi="Verdana"/>
                <w:b/>
                <w:color w:val="000000"/>
              </w:rPr>
              <w:t>NVM</w:t>
            </w:r>
          </w:p>
        </w:tc>
        <w:tc>
          <w:tcPr>
            <w:tcW w:w="1098" w:type="pct"/>
          </w:tcPr>
          <w:p w14:paraId="0C677469" w14:textId="77777777" w:rsidR="00B61FF4" w:rsidRPr="002C36C7" w:rsidRDefault="00B61FF4" w:rsidP="00B61FF4">
            <w:pPr>
              <w:spacing w:before="120" w:after="120"/>
              <w:rPr>
                <w:rFonts w:ascii="Verdana" w:hAnsi="Verdana" w:cs="Arial"/>
                <w:bCs/>
              </w:rPr>
            </w:pPr>
            <w:r w:rsidRPr="002C36C7">
              <w:rPr>
                <w:rFonts w:ascii="Verdana" w:hAnsi="Verdana" w:cs="Arial"/>
                <w:bCs/>
              </w:rPr>
              <w:t>No Voice Mail</w:t>
            </w:r>
          </w:p>
          <w:p w14:paraId="77E9A680" w14:textId="77777777" w:rsidR="00B61FF4" w:rsidRPr="002C36C7" w:rsidRDefault="00B61FF4" w:rsidP="00B61FF4">
            <w:pPr>
              <w:spacing w:before="120" w:after="120"/>
              <w:rPr>
                <w:rFonts w:ascii="Verdana" w:hAnsi="Verdana" w:cs="Arial"/>
                <w:bCs/>
              </w:rPr>
            </w:pPr>
          </w:p>
        </w:tc>
        <w:tc>
          <w:tcPr>
            <w:tcW w:w="3121" w:type="pct"/>
          </w:tcPr>
          <w:p w14:paraId="59A56BD8" w14:textId="77777777" w:rsidR="00B61FF4" w:rsidRPr="004E00B6" w:rsidRDefault="00B61FF4" w:rsidP="00B61FF4">
            <w:pPr>
              <w:spacing w:before="120" w:after="120"/>
              <w:rPr>
                <w:rFonts w:ascii="Verdana" w:hAnsi="Verdana" w:cs="Arial"/>
              </w:rPr>
            </w:pPr>
            <w:proofErr w:type="gramStart"/>
            <w:r w:rsidRPr="004E00B6">
              <w:rPr>
                <w:rFonts w:ascii="Verdana" w:hAnsi="Verdana" w:cs="Arial"/>
              </w:rPr>
              <w:t>Generally</w:t>
            </w:r>
            <w:proofErr w:type="gramEnd"/>
            <w:r w:rsidRPr="004E00B6">
              <w:rPr>
                <w:rFonts w:ascii="Verdana" w:hAnsi="Verdana" w:cs="Arial"/>
              </w:rPr>
              <w:t xml:space="preserve"> refers to no message left from the prescriber</w:t>
            </w:r>
            <w:r>
              <w:rPr>
                <w:rFonts w:ascii="Verdana" w:hAnsi="Verdana" w:cs="Arial"/>
              </w:rPr>
              <w:t>.</w:t>
            </w:r>
          </w:p>
        </w:tc>
      </w:tr>
    </w:tbl>
    <w:p w14:paraId="7F6218E1" w14:textId="77777777" w:rsidR="00571EA9" w:rsidRPr="00FB5D85" w:rsidRDefault="00571EA9" w:rsidP="00571EA9"/>
    <w:p w14:paraId="7A9C5928" w14:textId="51A47094" w:rsidR="00E55B3A" w:rsidRDefault="00E55B3A" w:rsidP="00571EA9">
      <w:pPr>
        <w:tabs>
          <w:tab w:val="left" w:pos="909"/>
        </w:tabs>
      </w:pPr>
    </w:p>
    <w:p w14:paraId="5B155C59" w14:textId="77777777" w:rsidR="00E55B3A" w:rsidRDefault="00E55B3A" w:rsidP="00E55B3A"/>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2"/>
        <w:gridCol w:w="9218"/>
      </w:tblGrid>
      <w:tr w:rsidR="00FA148A" w:rsidRPr="004E00B6" w14:paraId="5AE024FE" w14:textId="77777777" w:rsidTr="0006538A">
        <w:tc>
          <w:tcPr>
            <w:tcW w:w="1441" w:type="pct"/>
            <w:shd w:val="clear" w:color="auto" w:fill="BFBFBF" w:themeFill="background1" w:themeFillShade="BF"/>
          </w:tcPr>
          <w:p w14:paraId="37C0D836" w14:textId="2F319D87" w:rsidR="00DC2428" w:rsidRPr="00FA148A" w:rsidRDefault="00FA148A" w:rsidP="00DC2428">
            <w:pPr>
              <w:spacing w:before="120" w:after="120"/>
              <w:jc w:val="center"/>
              <w:rPr>
                <w:rFonts w:ascii="Verdana" w:hAnsi="Verdana"/>
                <w:b/>
                <w:color w:val="000000"/>
              </w:rPr>
            </w:pPr>
            <w:r w:rsidRPr="00FA148A">
              <w:rPr>
                <w:rFonts w:ascii="Verdana" w:hAnsi="Verdana"/>
                <w:b/>
                <w:color w:val="000000"/>
              </w:rPr>
              <w:t>Term</w:t>
            </w:r>
          </w:p>
        </w:tc>
        <w:tc>
          <w:tcPr>
            <w:tcW w:w="3559" w:type="pct"/>
            <w:shd w:val="clear" w:color="auto" w:fill="BFBFBF" w:themeFill="background1" w:themeFillShade="BF"/>
          </w:tcPr>
          <w:p w14:paraId="7C336615" w14:textId="6E3F38B9" w:rsidR="00FA148A" w:rsidRPr="00FA148A" w:rsidRDefault="00FA148A" w:rsidP="00E8269D">
            <w:pPr>
              <w:spacing w:before="120" w:after="120"/>
              <w:jc w:val="center"/>
              <w:rPr>
                <w:rFonts w:ascii="Verdana" w:hAnsi="Verdana" w:cs="Arial"/>
                <w:b/>
              </w:rPr>
            </w:pPr>
            <w:r w:rsidRPr="00FA148A">
              <w:rPr>
                <w:rFonts w:ascii="Verdana" w:hAnsi="Verdana" w:cs="Arial"/>
                <w:b/>
              </w:rPr>
              <w:t>Definition</w:t>
            </w:r>
          </w:p>
        </w:tc>
      </w:tr>
      <w:tr w:rsidR="00AC40D4" w:rsidRPr="004E00B6" w14:paraId="406F92B5" w14:textId="77777777" w:rsidTr="0006538A">
        <w:tc>
          <w:tcPr>
            <w:tcW w:w="1441" w:type="pct"/>
          </w:tcPr>
          <w:p w14:paraId="1C0A194D" w14:textId="77777777" w:rsidR="00AC40D4" w:rsidRPr="002C36C7" w:rsidRDefault="00AC40D4" w:rsidP="00E8269D">
            <w:pPr>
              <w:spacing w:before="120" w:after="120"/>
              <w:rPr>
                <w:rFonts w:ascii="Verdana" w:hAnsi="Verdana" w:cs="Arial"/>
                <w:bCs/>
              </w:rPr>
            </w:pPr>
            <w:r w:rsidRPr="002C36C7">
              <w:rPr>
                <w:rFonts w:ascii="Verdana" w:hAnsi="Verdana"/>
                <w:bCs/>
                <w:color w:val="000000"/>
              </w:rPr>
              <w:t>Narrow Therapeutic Drugs</w:t>
            </w:r>
          </w:p>
        </w:tc>
        <w:tc>
          <w:tcPr>
            <w:tcW w:w="3559" w:type="pct"/>
          </w:tcPr>
          <w:p w14:paraId="4A79712B" w14:textId="1D244119" w:rsidR="00AC40D4" w:rsidRPr="006B3934" w:rsidRDefault="00AC40D4" w:rsidP="00E8269D">
            <w:pPr>
              <w:spacing w:before="120" w:after="120"/>
              <w:rPr>
                <w:rFonts w:ascii="Verdana" w:hAnsi="Verdana" w:cs="Arial"/>
              </w:rPr>
            </w:pPr>
            <w:r w:rsidRPr="006B3934">
              <w:rPr>
                <w:rFonts w:ascii="Verdana" w:hAnsi="Verdana" w:cs="Arial"/>
              </w:rPr>
              <w:t>Narrow therapeutic drugs are composed of medicinal drugs which have been specifically determined by the Board of Pharmacy and the Board of Medicine to demonstrate clinically significant biological or therapeutic in-equivalence and which, if substituted, could produce adverse clinical effects, or could otherwise pose a threat to the health and safety of members receiving such prescription medications</w:t>
            </w:r>
            <w:r w:rsidR="003F331F" w:rsidRPr="006B3934">
              <w:rPr>
                <w:rFonts w:ascii="Verdana" w:hAnsi="Verdana" w:cs="Arial"/>
              </w:rPr>
              <w:t xml:space="preserve">. </w:t>
            </w:r>
            <w:r w:rsidRPr="006B3934">
              <w:rPr>
                <w:rFonts w:ascii="Verdana" w:hAnsi="Verdana" w:cs="Arial"/>
              </w:rPr>
              <w:t xml:space="preserve">The list varies by state, but most include the following drugs: </w:t>
            </w:r>
          </w:p>
          <w:p w14:paraId="2FF7626D"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AEROLATE SR</w:t>
            </w:r>
          </w:p>
          <w:p w14:paraId="4087C757"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ARMOUR THYROID</w:t>
            </w:r>
          </w:p>
          <w:p w14:paraId="33F722FB"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COUMADIN</w:t>
            </w:r>
          </w:p>
          <w:p w14:paraId="2B05D0E0"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DEPAKENE</w:t>
            </w:r>
          </w:p>
          <w:p w14:paraId="192AE51D"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DEPAKOTE</w:t>
            </w:r>
          </w:p>
          <w:p w14:paraId="1DA444CE"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DEPAKOTE SPRINKLE</w:t>
            </w:r>
          </w:p>
          <w:p w14:paraId="41F06050"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DIGOXIN</w:t>
            </w:r>
          </w:p>
          <w:p w14:paraId="3DABAFDC"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DILANTIN</w:t>
            </w:r>
          </w:p>
          <w:p w14:paraId="7E8659BE"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DILANTIN-125</w:t>
            </w:r>
          </w:p>
          <w:p w14:paraId="032DD187"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ELIXOPHYLLIN</w:t>
            </w:r>
          </w:p>
          <w:p w14:paraId="0FCBD321"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ESKALITH</w:t>
            </w:r>
          </w:p>
          <w:p w14:paraId="196F5D7A"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LANOXIN</w:t>
            </w:r>
          </w:p>
          <w:p w14:paraId="6061DC8C"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LEVOTHROID</w:t>
            </w:r>
          </w:p>
          <w:p w14:paraId="2556CEC9"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LEVOTHYROXINE SODIUM</w:t>
            </w:r>
          </w:p>
          <w:p w14:paraId="0E47CC64"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PHENYTOIN</w:t>
            </w:r>
          </w:p>
          <w:p w14:paraId="7378C3DC"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QUIBRON-T</w:t>
            </w:r>
          </w:p>
          <w:p w14:paraId="7AFEBD37"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QUIBRON-T/SR</w:t>
            </w:r>
          </w:p>
          <w:p w14:paraId="19ADCF35" w14:textId="77777777" w:rsidR="00AC40D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RESPBID</w:t>
            </w:r>
          </w:p>
          <w:p w14:paraId="3BF2F135"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SLO-BID 100</w:t>
            </w:r>
          </w:p>
          <w:p w14:paraId="721C46A2"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SLO-BID 125</w:t>
            </w:r>
          </w:p>
          <w:p w14:paraId="41CEA086"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SLO-BID 200</w:t>
            </w:r>
          </w:p>
          <w:p w14:paraId="2EF10F45"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SLO-BID 300</w:t>
            </w:r>
          </w:p>
          <w:p w14:paraId="70E394B1"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SLO-BID 50</w:t>
            </w:r>
          </w:p>
          <w:p w14:paraId="65CC4734"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SLO-PHYLLIN</w:t>
            </w:r>
          </w:p>
          <w:p w14:paraId="68D48E4C"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SLO-PHYLLIN 80</w:t>
            </w:r>
          </w:p>
          <w:p w14:paraId="3D63F5D7"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SYNTHROID</w:t>
            </w:r>
          </w:p>
          <w:p w14:paraId="3EDB1917"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TEGRETOL</w:t>
            </w:r>
          </w:p>
          <w:p w14:paraId="765E54FA"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THEO-24</w:t>
            </w:r>
          </w:p>
          <w:p w14:paraId="1BEF01EB"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THEOBID</w:t>
            </w:r>
          </w:p>
          <w:p w14:paraId="3B295B07"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THEOCLEAR LA-260</w:t>
            </w:r>
          </w:p>
          <w:p w14:paraId="3C960066"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THEO-DUR</w:t>
            </w:r>
          </w:p>
          <w:p w14:paraId="619A0F43"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THEO-DUR SPRINKLE</w:t>
            </w:r>
          </w:p>
          <w:p w14:paraId="6E485EBE"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THEOLAIR-SR</w:t>
            </w:r>
          </w:p>
          <w:p w14:paraId="6967A452"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THEOPHYLLINE ANHYDROUS</w:t>
            </w:r>
          </w:p>
          <w:p w14:paraId="4817BD06" w14:textId="77777777" w:rsidR="00AC40D4" w:rsidRPr="006B393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THYROID</w:t>
            </w:r>
          </w:p>
          <w:p w14:paraId="51BB63D9" w14:textId="77777777" w:rsidR="00AC40D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UNI-DUR</w:t>
            </w:r>
          </w:p>
          <w:p w14:paraId="1CF25F6A" w14:textId="77777777" w:rsidR="00AC40D4" w:rsidRDefault="00AC40D4" w:rsidP="00E8269D">
            <w:pPr>
              <w:numPr>
                <w:ilvl w:val="0"/>
                <w:numId w:val="32"/>
              </w:numPr>
              <w:tabs>
                <w:tab w:val="clear" w:pos="720"/>
              </w:tabs>
              <w:spacing w:before="120" w:after="120"/>
              <w:ind w:left="916"/>
              <w:rPr>
                <w:rFonts w:ascii="Verdana" w:hAnsi="Verdana" w:cs="Arial"/>
              </w:rPr>
            </w:pPr>
            <w:r w:rsidRPr="006B3934">
              <w:rPr>
                <w:rFonts w:ascii="Verdana" w:hAnsi="Verdana" w:cs="Arial"/>
              </w:rPr>
              <w:t>UNIPHYL</w:t>
            </w:r>
          </w:p>
          <w:p w14:paraId="19432859" w14:textId="77777777" w:rsidR="00AC40D4" w:rsidRPr="004E00B6" w:rsidRDefault="00AC40D4" w:rsidP="00E8269D">
            <w:pPr>
              <w:spacing w:before="120" w:after="120"/>
              <w:ind w:left="1440"/>
              <w:rPr>
                <w:rFonts w:ascii="Verdana" w:hAnsi="Verdana" w:cs="Arial"/>
              </w:rPr>
            </w:pPr>
          </w:p>
        </w:tc>
      </w:tr>
      <w:tr w:rsidR="00AC40D4" w:rsidRPr="004E00B6" w14:paraId="5FD06CFC" w14:textId="77777777" w:rsidTr="0006538A">
        <w:tc>
          <w:tcPr>
            <w:tcW w:w="1441" w:type="pct"/>
          </w:tcPr>
          <w:p w14:paraId="2457DF36" w14:textId="77777777" w:rsidR="00AC40D4" w:rsidRPr="002C36C7" w:rsidRDefault="00AC40D4" w:rsidP="00E8269D">
            <w:pPr>
              <w:spacing w:before="120" w:after="120"/>
              <w:rPr>
                <w:rFonts w:ascii="Verdana" w:hAnsi="Verdana" w:cs="Arial"/>
                <w:bCs/>
              </w:rPr>
            </w:pPr>
            <w:r w:rsidRPr="002C36C7">
              <w:rPr>
                <w:rFonts w:ascii="Verdana" w:hAnsi="Verdana"/>
                <w:bCs/>
                <w:color w:val="000000"/>
              </w:rPr>
              <w:t>National Pharmacy Network</w:t>
            </w:r>
          </w:p>
        </w:tc>
        <w:tc>
          <w:tcPr>
            <w:tcW w:w="3559" w:type="pct"/>
          </w:tcPr>
          <w:p w14:paraId="5A1ACFF7" w14:textId="77777777" w:rsidR="00AC40D4" w:rsidRDefault="00AC40D4" w:rsidP="00E8269D">
            <w:pPr>
              <w:spacing w:before="120" w:after="120"/>
              <w:rPr>
                <w:rFonts w:ascii="Verdana" w:hAnsi="Verdana" w:cs="Arial"/>
              </w:rPr>
            </w:pPr>
            <w:r w:rsidRPr="006B3934">
              <w:rPr>
                <w:rFonts w:ascii="Verdana" w:hAnsi="Verdana" w:cs="Arial"/>
              </w:rPr>
              <w:t xml:space="preserve">Refers to </w:t>
            </w:r>
            <w:r>
              <w:rPr>
                <w:rFonts w:ascii="Verdana" w:hAnsi="Verdana" w:cs="Arial"/>
              </w:rPr>
              <w:t>our</w:t>
            </w:r>
            <w:r w:rsidRPr="006B3934">
              <w:rPr>
                <w:rFonts w:ascii="Verdana" w:hAnsi="Verdana" w:cs="Arial"/>
              </w:rPr>
              <w:t xml:space="preserve"> primary network of contracted pharmacies</w:t>
            </w:r>
            <w:r>
              <w:rPr>
                <w:rFonts w:ascii="Verdana" w:hAnsi="Verdana" w:cs="Arial"/>
              </w:rPr>
              <w:t>.</w:t>
            </w:r>
          </w:p>
          <w:p w14:paraId="51A91D28" w14:textId="77777777" w:rsidR="00AC40D4" w:rsidRPr="004E00B6" w:rsidRDefault="00AC40D4" w:rsidP="00E8269D">
            <w:pPr>
              <w:spacing w:before="120" w:after="120"/>
              <w:rPr>
                <w:rFonts w:ascii="Verdana" w:hAnsi="Verdana" w:cs="Arial"/>
              </w:rPr>
            </w:pPr>
          </w:p>
        </w:tc>
      </w:tr>
      <w:tr w:rsidR="00AC40D4" w:rsidRPr="003A027D" w14:paraId="30473BE6" w14:textId="77777777" w:rsidTr="0006538A">
        <w:tc>
          <w:tcPr>
            <w:tcW w:w="1441" w:type="pct"/>
          </w:tcPr>
          <w:p w14:paraId="5F638BA6" w14:textId="77777777" w:rsidR="00AC40D4" w:rsidRPr="002C36C7" w:rsidRDefault="00AC40D4" w:rsidP="00E8269D">
            <w:pPr>
              <w:spacing w:before="120" w:after="120"/>
              <w:rPr>
                <w:rFonts w:ascii="Verdana" w:hAnsi="Verdana" w:cs="Arial"/>
                <w:bCs/>
                <w:color w:val="000000"/>
              </w:rPr>
            </w:pPr>
            <w:r w:rsidRPr="002C36C7">
              <w:rPr>
                <w:rFonts w:ascii="Verdana" w:hAnsi="Verdana"/>
                <w:bCs/>
                <w:color w:val="000000"/>
              </w:rPr>
              <w:t>N-Drug</w:t>
            </w:r>
          </w:p>
        </w:tc>
        <w:tc>
          <w:tcPr>
            <w:tcW w:w="3559" w:type="pct"/>
          </w:tcPr>
          <w:p w14:paraId="08F14164" w14:textId="07CBD7FC" w:rsidR="00AC40D4" w:rsidRDefault="00AC40D4" w:rsidP="00E8269D">
            <w:pPr>
              <w:spacing w:before="120" w:after="120"/>
              <w:rPr>
                <w:rFonts w:ascii="Verdana" w:hAnsi="Verdana" w:cs="Arial"/>
                <w:color w:val="000000"/>
              </w:rPr>
            </w:pPr>
            <w:r>
              <w:rPr>
                <w:rFonts w:ascii="Verdana" w:hAnsi="Verdana" w:cs="Arial"/>
                <w:color w:val="000000"/>
              </w:rPr>
              <w:t>B</w:t>
            </w:r>
            <w:r w:rsidRPr="006B3934">
              <w:rPr>
                <w:rFonts w:ascii="Verdana" w:hAnsi="Verdana" w:cs="Arial"/>
                <w:color w:val="000000"/>
              </w:rPr>
              <w:t>rand-name medications that do not have a generic alternative</w:t>
            </w:r>
            <w:r w:rsidR="003F331F" w:rsidRPr="006B3934">
              <w:rPr>
                <w:rFonts w:ascii="Verdana" w:hAnsi="Verdana" w:cs="Arial"/>
                <w:color w:val="000000"/>
              </w:rPr>
              <w:t xml:space="preserve">. </w:t>
            </w:r>
            <w:r w:rsidRPr="006B3934">
              <w:rPr>
                <w:rFonts w:ascii="Verdana" w:hAnsi="Verdana" w:cs="Arial"/>
                <w:color w:val="000000"/>
              </w:rPr>
              <w:t>Most clients have the N-Drugs adjudicate at the 2nd tier (the primary/preferred brand name copay cost).</w:t>
            </w:r>
          </w:p>
          <w:p w14:paraId="2A6643E4" w14:textId="77777777" w:rsidR="00AC40D4" w:rsidRPr="003A027D" w:rsidRDefault="00AC40D4" w:rsidP="00E8269D">
            <w:pPr>
              <w:spacing w:before="120" w:after="120"/>
              <w:rPr>
                <w:rFonts w:ascii="Verdana" w:hAnsi="Verdana"/>
              </w:rPr>
            </w:pPr>
          </w:p>
        </w:tc>
      </w:tr>
      <w:tr w:rsidR="00AC40D4" w:rsidRPr="003A027D" w14:paraId="469895FB" w14:textId="77777777" w:rsidTr="0006538A">
        <w:tc>
          <w:tcPr>
            <w:tcW w:w="1441" w:type="pct"/>
          </w:tcPr>
          <w:p w14:paraId="037E6380" w14:textId="77777777" w:rsidR="00AC40D4" w:rsidRPr="002C36C7" w:rsidRDefault="00AC40D4" w:rsidP="00E8269D">
            <w:pPr>
              <w:spacing w:before="120" w:after="120"/>
              <w:rPr>
                <w:rFonts w:ascii="Verdana" w:hAnsi="Verdana"/>
                <w:bCs/>
              </w:rPr>
            </w:pPr>
            <w:r w:rsidRPr="002C36C7">
              <w:rPr>
                <w:rFonts w:ascii="Verdana" w:hAnsi="Verdana"/>
                <w:bCs/>
                <w:color w:val="000000"/>
              </w:rPr>
              <w:t>Need to Know</w:t>
            </w:r>
          </w:p>
        </w:tc>
        <w:tc>
          <w:tcPr>
            <w:tcW w:w="3559" w:type="pct"/>
          </w:tcPr>
          <w:p w14:paraId="22BBC7F8" w14:textId="77777777" w:rsidR="00AC40D4" w:rsidRDefault="00AC40D4" w:rsidP="00E8269D">
            <w:pPr>
              <w:spacing w:before="120" w:after="120"/>
              <w:rPr>
                <w:rFonts w:ascii="Verdana" w:hAnsi="Verdana"/>
              </w:rPr>
            </w:pPr>
            <w:r w:rsidRPr="003A027D">
              <w:rPr>
                <w:rFonts w:ascii="Verdana" w:hAnsi="Verdana"/>
              </w:rPr>
              <w:t>Specific information pertaining to the client plan design, member mailings, and current issues associated with the client, etc.</w:t>
            </w:r>
          </w:p>
          <w:p w14:paraId="18F33DDA" w14:textId="77777777" w:rsidR="00AC40D4" w:rsidRPr="003A027D" w:rsidRDefault="00AC40D4" w:rsidP="00E8269D">
            <w:pPr>
              <w:spacing w:before="120" w:after="120"/>
              <w:rPr>
                <w:rFonts w:ascii="Verdana" w:hAnsi="Verdana"/>
              </w:rPr>
            </w:pPr>
          </w:p>
        </w:tc>
      </w:tr>
      <w:tr w:rsidR="00AC40D4" w:rsidRPr="003A027D" w14:paraId="5CD492AA" w14:textId="77777777" w:rsidTr="0006538A">
        <w:trPr>
          <w:trHeight w:val="2690"/>
        </w:trPr>
        <w:tc>
          <w:tcPr>
            <w:tcW w:w="1441" w:type="pct"/>
          </w:tcPr>
          <w:p w14:paraId="3B9E100A" w14:textId="77777777" w:rsidR="00AC40D4" w:rsidRPr="002C36C7" w:rsidRDefault="00AC40D4" w:rsidP="00E8269D">
            <w:pPr>
              <w:spacing w:before="120" w:after="120"/>
              <w:rPr>
                <w:rFonts w:ascii="Verdana" w:hAnsi="Verdana"/>
                <w:bCs/>
                <w:color w:val="000000"/>
              </w:rPr>
            </w:pPr>
            <w:r w:rsidRPr="002C36C7">
              <w:rPr>
                <w:rFonts w:ascii="Verdana" w:hAnsi="Verdana"/>
                <w:bCs/>
              </w:rPr>
              <w:t>Negative Formulary Change</w:t>
            </w:r>
          </w:p>
        </w:tc>
        <w:tc>
          <w:tcPr>
            <w:tcW w:w="3559" w:type="pct"/>
          </w:tcPr>
          <w:p w14:paraId="39DA18B0" w14:textId="77777777" w:rsidR="00AC40D4" w:rsidRPr="000F184C" w:rsidRDefault="00AC40D4" w:rsidP="00E8269D">
            <w:pPr>
              <w:spacing w:before="120" w:after="120"/>
              <w:rPr>
                <w:rFonts w:ascii="Verdana" w:hAnsi="Verdana"/>
              </w:rPr>
            </w:pPr>
            <w:r w:rsidRPr="000F184C">
              <w:rPr>
                <w:rFonts w:ascii="Verdana" w:hAnsi="Verdana"/>
              </w:rPr>
              <w:t xml:space="preserve">Revision to the plans formulary that typically occur during the plan year. </w:t>
            </w:r>
          </w:p>
          <w:p w14:paraId="7EF1F598" w14:textId="77777777" w:rsidR="00AC40D4" w:rsidRPr="00E809CA" w:rsidRDefault="00AC40D4" w:rsidP="00E8269D">
            <w:pPr>
              <w:spacing w:before="120" w:after="120"/>
              <w:rPr>
                <w:rFonts w:ascii="Verdana" w:hAnsi="Verdana"/>
                <w:b/>
              </w:rPr>
            </w:pPr>
            <w:r w:rsidRPr="00E809CA">
              <w:rPr>
                <w:rFonts w:ascii="Verdana" w:hAnsi="Verdana"/>
                <w:b/>
              </w:rPr>
              <w:t xml:space="preserve">Examples:  </w:t>
            </w:r>
          </w:p>
          <w:p w14:paraId="2367CA5F" w14:textId="77777777" w:rsidR="00AC40D4" w:rsidRPr="000F184C" w:rsidRDefault="00AC40D4" w:rsidP="00E8269D">
            <w:pPr>
              <w:numPr>
                <w:ilvl w:val="0"/>
                <w:numId w:val="92"/>
              </w:numPr>
              <w:spacing w:before="120" w:after="120"/>
              <w:rPr>
                <w:rFonts w:ascii="Verdana" w:hAnsi="Verdana"/>
              </w:rPr>
            </w:pPr>
            <w:r w:rsidRPr="000F184C">
              <w:rPr>
                <w:rFonts w:ascii="Verdana" w:hAnsi="Verdana"/>
              </w:rPr>
              <w:t>Formulary Delete - Drug is being removed from the formulary</w:t>
            </w:r>
          </w:p>
          <w:p w14:paraId="5FCB659E" w14:textId="77777777" w:rsidR="00AC40D4" w:rsidRPr="000F184C" w:rsidRDefault="00AC40D4" w:rsidP="00E8269D">
            <w:pPr>
              <w:numPr>
                <w:ilvl w:val="0"/>
                <w:numId w:val="92"/>
              </w:numPr>
              <w:spacing w:before="120" w:after="120"/>
              <w:rPr>
                <w:rFonts w:ascii="Verdana" w:hAnsi="Verdana"/>
              </w:rPr>
            </w:pPr>
            <w:r w:rsidRPr="000F184C">
              <w:rPr>
                <w:rFonts w:ascii="Verdana" w:hAnsi="Verdana"/>
              </w:rPr>
              <w:t>Tier change - Drug is being moved to a higher tier</w:t>
            </w:r>
          </w:p>
          <w:p w14:paraId="20D314E0" w14:textId="6B4A11C4" w:rsidR="00AC40D4" w:rsidRPr="003A027D" w:rsidRDefault="00AC40D4" w:rsidP="00E8269D">
            <w:pPr>
              <w:numPr>
                <w:ilvl w:val="0"/>
                <w:numId w:val="92"/>
              </w:numPr>
              <w:spacing w:before="120" w:after="120"/>
              <w:rPr>
                <w:rFonts w:ascii="Verdana" w:hAnsi="Verdana"/>
              </w:rPr>
            </w:pPr>
            <w:r w:rsidRPr="000F184C">
              <w:rPr>
                <w:rFonts w:ascii="Verdana" w:hAnsi="Verdana"/>
              </w:rPr>
              <w:t>UM Add/Change - to existing Formulary Drugs</w:t>
            </w:r>
          </w:p>
        </w:tc>
      </w:tr>
      <w:tr w:rsidR="00AC40D4" w:rsidRPr="003A027D" w14:paraId="63E47C4E" w14:textId="77777777" w:rsidTr="0006538A">
        <w:tc>
          <w:tcPr>
            <w:tcW w:w="1441" w:type="pct"/>
          </w:tcPr>
          <w:p w14:paraId="50EC7A6B" w14:textId="77777777" w:rsidR="00AC40D4" w:rsidRPr="002C36C7" w:rsidRDefault="00AC40D4" w:rsidP="00E8269D">
            <w:pPr>
              <w:spacing w:before="120" w:after="120"/>
              <w:rPr>
                <w:rFonts w:ascii="Verdana" w:hAnsi="Verdana" w:cs="Arial"/>
                <w:bCs/>
              </w:rPr>
            </w:pPr>
            <w:r w:rsidRPr="002C36C7">
              <w:rPr>
                <w:rFonts w:ascii="Verdana" w:hAnsi="Verdana"/>
                <w:bCs/>
                <w:color w:val="000000"/>
              </w:rPr>
              <w:t>Network</w:t>
            </w:r>
          </w:p>
        </w:tc>
        <w:tc>
          <w:tcPr>
            <w:tcW w:w="3559" w:type="pct"/>
          </w:tcPr>
          <w:p w14:paraId="1B21346A" w14:textId="77777777" w:rsidR="00AC40D4" w:rsidRDefault="00AC40D4" w:rsidP="00E8269D">
            <w:pPr>
              <w:spacing w:before="120" w:after="120"/>
              <w:rPr>
                <w:rFonts w:ascii="Verdana" w:hAnsi="Verdana" w:cs="Arial"/>
              </w:rPr>
            </w:pPr>
            <w:r>
              <w:rPr>
                <w:rFonts w:ascii="Verdana" w:hAnsi="Verdana" w:cs="Arial"/>
              </w:rPr>
              <w:t>G</w:t>
            </w:r>
            <w:r w:rsidRPr="006B3934">
              <w:rPr>
                <w:rFonts w:ascii="Verdana" w:hAnsi="Verdana" w:cs="Arial"/>
              </w:rPr>
              <w:t xml:space="preserve">rouping of pharmacies that have contracted with a PBM vendor to accept a specific discount </w:t>
            </w:r>
            <w:proofErr w:type="gramStart"/>
            <w:r w:rsidRPr="006B3934">
              <w:rPr>
                <w:rFonts w:ascii="Verdana" w:hAnsi="Verdana" w:cs="Arial"/>
              </w:rPr>
              <w:t>off of</w:t>
            </w:r>
            <w:proofErr w:type="gramEnd"/>
            <w:r w:rsidRPr="006B3934">
              <w:rPr>
                <w:rFonts w:ascii="Verdana" w:hAnsi="Verdana" w:cs="Arial"/>
              </w:rPr>
              <w:t xml:space="preserve"> AWP and a specific dispensing rate.</w:t>
            </w:r>
          </w:p>
        </w:tc>
      </w:tr>
      <w:tr w:rsidR="00AC40D4" w:rsidRPr="003A027D" w14:paraId="253ACC1A" w14:textId="77777777" w:rsidTr="0006538A">
        <w:tc>
          <w:tcPr>
            <w:tcW w:w="1441" w:type="pct"/>
          </w:tcPr>
          <w:p w14:paraId="3BD23258" w14:textId="77777777" w:rsidR="00AC40D4" w:rsidRPr="002C36C7" w:rsidRDefault="00AC40D4" w:rsidP="00E8269D">
            <w:pPr>
              <w:spacing w:before="120" w:after="120"/>
              <w:rPr>
                <w:rFonts w:ascii="Verdana" w:hAnsi="Verdana"/>
                <w:bCs/>
                <w:color w:val="000000"/>
              </w:rPr>
            </w:pPr>
            <w:r w:rsidRPr="002C36C7">
              <w:rPr>
                <w:rFonts w:ascii="Verdana" w:hAnsi="Verdana"/>
                <w:bCs/>
                <w:color w:val="000000"/>
              </w:rPr>
              <w:t>Network Card</w:t>
            </w:r>
          </w:p>
          <w:p w14:paraId="09E233D0" w14:textId="77777777" w:rsidR="00AC40D4" w:rsidRPr="002C36C7" w:rsidRDefault="00AC40D4" w:rsidP="00E8269D">
            <w:pPr>
              <w:spacing w:before="120" w:after="120"/>
              <w:rPr>
                <w:bCs/>
                <w:noProof/>
              </w:rPr>
            </w:pPr>
          </w:p>
          <w:p w14:paraId="45EA5DDF" w14:textId="77777777" w:rsidR="00AC40D4" w:rsidRPr="002C36C7" w:rsidRDefault="00AC40D4" w:rsidP="00E8269D">
            <w:pPr>
              <w:spacing w:before="120" w:after="120"/>
              <w:rPr>
                <w:rFonts w:ascii="Verdana" w:hAnsi="Verdana"/>
                <w:bCs/>
                <w:color w:val="000000"/>
              </w:rPr>
            </w:pPr>
          </w:p>
        </w:tc>
        <w:tc>
          <w:tcPr>
            <w:tcW w:w="3559" w:type="pct"/>
          </w:tcPr>
          <w:p w14:paraId="4B200D67" w14:textId="77777777" w:rsidR="00AC40D4" w:rsidRPr="00326FFD" w:rsidRDefault="00AC40D4" w:rsidP="00E8269D">
            <w:pPr>
              <w:spacing w:before="120" w:after="120"/>
              <w:rPr>
                <w:rFonts w:ascii="Verdana" w:hAnsi="Verdana" w:cs="Arial"/>
              </w:rPr>
            </w:pPr>
            <w:r w:rsidRPr="00326FFD">
              <w:rPr>
                <w:rFonts w:ascii="Verdana" w:hAnsi="Verdana" w:cs="Arial"/>
              </w:rPr>
              <w:t>Card supplied to the plan participate(s) to use as identification of their prescription benefits at the pharmacy. Most plan ID cards include the following:</w:t>
            </w:r>
          </w:p>
          <w:p w14:paraId="27AEF6A5" w14:textId="77777777" w:rsidR="00AC40D4" w:rsidRPr="00326FFD" w:rsidRDefault="00AC40D4" w:rsidP="00E8269D">
            <w:pPr>
              <w:spacing w:before="120" w:after="120"/>
              <w:rPr>
                <w:rFonts w:ascii="Verdana" w:hAnsi="Verdana" w:cs="Arial"/>
              </w:rPr>
            </w:pPr>
          </w:p>
          <w:p w14:paraId="7E38E3B1" w14:textId="77777777" w:rsidR="00AC40D4" w:rsidRPr="00326FFD" w:rsidRDefault="00AC40D4" w:rsidP="00E8269D">
            <w:pPr>
              <w:numPr>
                <w:ilvl w:val="0"/>
                <w:numId w:val="109"/>
              </w:numPr>
              <w:spacing w:before="120" w:after="120"/>
              <w:rPr>
                <w:rFonts w:ascii="Verdana" w:hAnsi="Verdana" w:cs="Arial"/>
              </w:rPr>
            </w:pPr>
            <w:r w:rsidRPr="00326FFD">
              <w:rPr>
                <w:rFonts w:ascii="Verdana" w:hAnsi="Verdana" w:cs="Arial"/>
              </w:rPr>
              <w:t>Cardholder Name(s)</w:t>
            </w:r>
          </w:p>
          <w:p w14:paraId="6783EFA4" w14:textId="77777777" w:rsidR="00AC40D4" w:rsidRPr="00326FFD" w:rsidRDefault="00AC40D4" w:rsidP="00E8269D">
            <w:pPr>
              <w:numPr>
                <w:ilvl w:val="0"/>
                <w:numId w:val="109"/>
              </w:numPr>
              <w:spacing w:before="120" w:after="120"/>
              <w:rPr>
                <w:rFonts w:ascii="Verdana" w:hAnsi="Verdana" w:cs="Arial"/>
              </w:rPr>
            </w:pPr>
            <w:r w:rsidRPr="00326FFD">
              <w:rPr>
                <w:rFonts w:ascii="Verdana" w:hAnsi="Verdana" w:cs="Arial"/>
              </w:rPr>
              <w:t>ID number</w:t>
            </w:r>
          </w:p>
          <w:p w14:paraId="4B8D479C" w14:textId="77777777" w:rsidR="00AC40D4" w:rsidRPr="00326FFD" w:rsidRDefault="00AC40D4" w:rsidP="00E8269D">
            <w:pPr>
              <w:numPr>
                <w:ilvl w:val="0"/>
                <w:numId w:val="109"/>
              </w:numPr>
              <w:spacing w:before="120" w:after="120"/>
              <w:rPr>
                <w:rFonts w:ascii="Verdana" w:hAnsi="Verdana" w:cs="Arial"/>
              </w:rPr>
            </w:pPr>
            <w:r w:rsidRPr="00326FFD">
              <w:rPr>
                <w:rFonts w:ascii="Verdana" w:hAnsi="Verdana" w:cs="Arial"/>
              </w:rPr>
              <w:t>RXBIN number</w:t>
            </w:r>
          </w:p>
          <w:p w14:paraId="06010E22" w14:textId="77777777" w:rsidR="00AC40D4" w:rsidRPr="00326FFD" w:rsidRDefault="00AC40D4" w:rsidP="00E8269D">
            <w:pPr>
              <w:numPr>
                <w:ilvl w:val="0"/>
                <w:numId w:val="109"/>
              </w:numPr>
              <w:spacing w:before="120" w:after="120"/>
              <w:rPr>
                <w:rFonts w:ascii="Verdana" w:hAnsi="Verdana" w:cs="Arial"/>
              </w:rPr>
            </w:pPr>
            <w:r w:rsidRPr="00326FFD">
              <w:rPr>
                <w:rFonts w:ascii="Verdana" w:hAnsi="Verdana" w:cs="Arial"/>
              </w:rPr>
              <w:t>RXPCN number</w:t>
            </w:r>
          </w:p>
          <w:p w14:paraId="7187D563" w14:textId="77777777" w:rsidR="00AC40D4" w:rsidRPr="00326FFD" w:rsidRDefault="00AC40D4" w:rsidP="00E8269D">
            <w:pPr>
              <w:numPr>
                <w:ilvl w:val="0"/>
                <w:numId w:val="109"/>
              </w:numPr>
              <w:spacing w:before="120" w:after="120"/>
              <w:rPr>
                <w:rFonts w:ascii="Verdana" w:hAnsi="Verdana" w:cs="Arial"/>
              </w:rPr>
            </w:pPr>
            <w:r w:rsidRPr="00326FFD">
              <w:rPr>
                <w:rFonts w:ascii="Verdana" w:hAnsi="Verdana" w:cs="Arial"/>
              </w:rPr>
              <w:t>RXGRP number</w:t>
            </w:r>
          </w:p>
          <w:p w14:paraId="03122929" w14:textId="77777777" w:rsidR="00AC40D4" w:rsidRPr="00326FFD" w:rsidRDefault="00AC40D4" w:rsidP="00E8269D">
            <w:pPr>
              <w:numPr>
                <w:ilvl w:val="0"/>
                <w:numId w:val="109"/>
              </w:numPr>
              <w:spacing w:before="120" w:after="120"/>
              <w:rPr>
                <w:rFonts w:ascii="Verdana" w:hAnsi="Verdana" w:cs="Arial"/>
              </w:rPr>
            </w:pPr>
            <w:r w:rsidRPr="00326FFD">
              <w:rPr>
                <w:rFonts w:ascii="Verdana" w:hAnsi="Verdana" w:cs="Arial"/>
              </w:rPr>
              <w:t xml:space="preserve">Issuer </w:t>
            </w:r>
          </w:p>
          <w:p w14:paraId="6AC1B679" w14:textId="77777777" w:rsidR="00AC40D4" w:rsidRPr="00326FFD" w:rsidRDefault="00AC40D4" w:rsidP="00E8269D">
            <w:pPr>
              <w:spacing w:before="120" w:after="120"/>
              <w:rPr>
                <w:rFonts w:ascii="Verdana" w:hAnsi="Verdana" w:cs="Arial"/>
              </w:rPr>
            </w:pPr>
          </w:p>
          <w:p w14:paraId="24824316" w14:textId="77777777" w:rsidR="00AC40D4" w:rsidRDefault="00AC40D4" w:rsidP="00E8269D">
            <w:pPr>
              <w:spacing w:before="120" w:after="120"/>
              <w:rPr>
                <w:rFonts w:ascii="Verdana" w:hAnsi="Verdana" w:cs="Arial"/>
              </w:rPr>
            </w:pPr>
            <w:r w:rsidRPr="00326FFD">
              <w:rPr>
                <w:rFonts w:ascii="Verdana" w:hAnsi="Verdana" w:cs="Arial"/>
              </w:rPr>
              <w:t xml:space="preserve">In addition, </w:t>
            </w:r>
            <w:r>
              <w:rPr>
                <w:rFonts w:ascii="Verdana" w:hAnsi="Verdana" w:cs="Arial"/>
              </w:rPr>
              <w:t>our</w:t>
            </w:r>
            <w:r w:rsidRPr="00326FFD">
              <w:rPr>
                <w:rFonts w:ascii="Verdana" w:hAnsi="Verdana" w:cs="Arial"/>
              </w:rPr>
              <w:t xml:space="preserve"> </w:t>
            </w:r>
            <w:r>
              <w:rPr>
                <w:rFonts w:ascii="Verdana" w:hAnsi="Verdana" w:cs="Arial"/>
              </w:rPr>
              <w:t>C</w:t>
            </w:r>
            <w:r w:rsidRPr="00326FFD">
              <w:rPr>
                <w:rFonts w:ascii="Verdana" w:hAnsi="Verdana" w:cs="Arial"/>
              </w:rPr>
              <w:t xml:space="preserve">ustomer </w:t>
            </w:r>
            <w:r>
              <w:rPr>
                <w:rFonts w:ascii="Verdana" w:hAnsi="Verdana" w:cs="Arial"/>
              </w:rPr>
              <w:t>Care</w:t>
            </w:r>
            <w:r w:rsidRPr="00326FFD">
              <w:rPr>
                <w:rFonts w:ascii="Verdana" w:hAnsi="Verdana" w:cs="Arial"/>
              </w:rPr>
              <w:t xml:space="preserve"> and paper claims submission information is generally on the back of the card.</w:t>
            </w:r>
          </w:p>
          <w:p w14:paraId="34546887" w14:textId="77777777" w:rsidR="00AC40D4" w:rsidRDefault="00AC40D4" w:rsidP="00E8269D">
            <w:pPr>
              <w:spacing w:before="120" w:after="120"/>
              <w:rPr>
                <w:rFonts w:ascii="Verdana" w:hAnsi="Verdana" w:cs="Arial"/>
              </w:rPr>
            </w:pPr>
          </w:p>
        </w:tc>
      </w:tr>
      <w:tr w:rsidR="00AC40D4" w:rsidRPr="003A027D" w14:paraId="3931DF30" w14:textId="77777777" w:rsidTr="0006538A">
        <w:tc>
          <w:tcPr>
            <w:tcW w:w="1441" w:type="pct"/>
          </w:tcPr>
          <w:p w14:paraId="3F202CD0" w14:textId="77777777" w:rsidR="00AC40D4" w:rsidRPr="002C36C7" w:rsidRDefault="00AC40D4" w:rsidP="00E8269D">
            <w:pPr>
              <w:spacing w:before="120" w:after="120"/>
              <w:rPr>
                <w:rFonts w:ascii="Verdana" w:hAnsi="Verdana"/>
                <w:bCs/>
              </w:rPr>
            </w:pPr>
            <w:r w:rsidRPr="002C36C7">
              <w:rPr>
                <w:rFonts w:ascii="Verdana" w:hAnsi="Verdana"/>
                <w:bCs/>
                <w:color w:val="000000"/>
              </w:rPr>
              <w:t>Network Participation</w:t>
            </w:r>
          </w:p>
        </w:tc>
        <w:tc>
          <w:tcPr>
            <w:tcW w:w="3559" w:type="pct"/>
          </w:tcPr>
          <w:p w14:paraId="5063EE98" w14:textId="77777777" w:rsidR="00AC40D4" w:rsidRDefault="00AC40D4" w:rsidP="00E8269D">
            <w:pPr>
              <w:spacing w:before="120" w:after="120"/>
              <w:rPr>
                <w:rFonts w:ascii="Verdana" w:hAnsi="Verdana" w:cs="Arial"/>
              </w:rPr>
            </w:pPr>
            <w:r>
              <w:rPr>
                <w:rFonts w:ascii="Verdana" w:hAnsi="Verdana" w:cs="Arial"/>
              </w:rPr>
              <w:t>M</w:t>
            </w:r>
            <w:r w:rsidRPr="006B3934">
              <w:rPr>
                <w:rFonts w:ascii="Verdana" w:hAnsi="Verdana" w:cs="Arial"/>
              </w:rPr>
              <w:t xml:space="preserve">embership and participation of a pharmacy in one or more </w:t>
            </w:r>
            <w:r>
              <w:rPr>
                <w:rFonts w:ascii="Verdana" w:hAnsi="Verdana" w:cs="Arial"/>
              </w:rPr>
              <w:t>of our</w:t>
            </w:r>
            <w:r w:rsidRPr="006B3934">
              <w:rPr>
                <w:rFonts w:ascii="Verdana" w:hAnsi="Verdana" w:cs="Arial"/>
              </w:rPr>
              <w:t xml:space="preserve"> pharmacy networks.</w:t>
            </w:r>
          </w:p>
          <w:p w14:paraId="24C51E8D" w14:textId="77777777" w:rsidR="00AC40D4" w:rsidRPr="003A027D" w:rsidRDefault="00AC40D4" w:rsidP="00E8269D">
            <w:pPr>
              <w:spacing w:before="120" w:after="120"/>
              <w:rPr>
                <w:rFonts w:ascii="Verdana" w:hAnsi="Verdana"/>
              </w:rPr>
            </w:pPr>
          </w:p>
        </w:tc>
      </w:tr>
      <w:tr w:rsidR="00AC40D4" w:rsidRPr="003A027D" w14:paraId="281CA9F0" w14:textId="77777777" w:rsidTr="0006538A">
        <w:tc>
          <w:tcPr>
            <w:tcW w:w="1441" w:type="pct"/>
          </w:tcPr>
          <w:p w14:paraId="49CC5E9E" w14:textId="77777777" w:rsidR="00AC40D4" w:rsidRPr="002C36C7" w:rsidRDefault="00AC40D4" w:rsidP="00E8269D">
            <w:pPr>
              <w:spacing w:before="120" w:after="120"/>
              <w:rPr>
                <w:rFonts w:ascii="Verdana" w:hAnsi="Verdana"/>
                <w:bCs/>
              </w:rPr>
            </w:pPr>
            <w:r w:rsidRPr="002C36C7">
              <w:rPr>
                <w:rFonts w:ascii="Verdana" w:hAnsi="Verdana"/>
                <w:bCs/>
                <w:color w:val="000000"/>
              </w:rPr>
              <w:t>Newborn Coverage</w:t>
            </w:r>
          </w:p>
        </w:tc>
        <w:tc>
          <w:tcPr>
            <w:tcW w:w="3559" w:type="pct"/>
          </w:tcPr>
          <w:p w14:paraId="4056A179" w14:textId="7F04CB29" w:rsidR="00AC40D4" w:rsidRDefault="00AC40D4" w:rsidP="00E8269D">
            <w:pPr>
              <w:spacing w:before="120" w:after="120"/>
              <w:rPr>
                <w:rFonts w:ascii="Verdana" w:hAnsi="Verdana"/>
              </w:rPr>
            </w:pPr>
            <w:r w:rsidRPr="003A027D">
              <w:rPr>
                <w:rFonts w:ascii="Verdana" w:hAnsi="Verdana"/>
              </w:rPr>
              <w:t>Newborn coverage is determined by the client</w:t>
            </w:r>
            <w:r w:rsidR="003F331F" w:rsidRPr="003A027D">
              <w:rPr>
                <w:rFonts w:ascii="Verdana" w:hAnsi="Verdana"/>
              </w:rPr>
              <w:t xml:space="preserve">. </w:t>
            </w:r>
            <w:r w:rsidRPr="003A027D">
              <w:rPr>
                <w:rFonts w:ascii="Verdana" w:hAnsi="Verdana"/>
              </w:rPr>
              <w:t xml:space="preserve">Newborns </w:t>
            </w:r>
            <w:proofErr w:type="gramStart"/>
            <w:r w:rsidRPr="003A027D">
              <w:rPr>
                <w:rFonts w:ascii="Verdana" w:hAnsi="Verdana"/>
              </w:rPr>
              <w:t>maybe</w:t>
            </w:r>
            <w:proofErr w:type="gramEnd"/>
            <w:r w:rsidRPr="003A027D">
              <w:rPr>
                <w:rFonts w:ascii="Verdana" w:hAnsi="Verdana"/>
              </w:rPr>
              <w:t xml:space="preserve"> covered for a time frame under the Mother or the client may require their own line of eligibility to be added to the system. </w:t>
            </w:r>
          </w:p>
          <w:p w14:paraId="567D8323" w14:textId="77777777" w:rsidR="00AC40D4" w:rsidRPr="003A027D" w:rsidRDefault="00AC40D4" w:rsidP="00E8269D">
            <w:pPr>
              <w:spacing w:before="120" w:after="120"/>
              <w:rPr>
                <w:rFonts w:ascii="Verdana" w:hAnsi="Verdana"/>
              </w:rPr>
            </w:pPr>
          </w:p>
        </w:tc>
      </w:tr>
      <w:tr w:rsidR="00AC40D4" w:rsidRPr="004E00B6" w14:paraId="17F4DD23" w14:textId="77777777" w:rsidTr="0006538A">
        <w:tc>
          <w:tcPr>
            <w:tcW w:w="1441" w:type="pct"/>
          </w:tcPr>
          <w:p w14:paraId="74473390" w14:textId="77777777" w:rsidR="00AC40D4" w:rsidRPr="002C36C7" w:rsidRDefault="00AC40D4" w:rsidP="00E8269D">
            <w:pPr>
              <w:spacing w:before="120" w:after="120"/>
              <w:rPr>
                <w:rFonts w:ascii="Verdana" w:hAnsi="Verdana"/>
                <w:bCs/>
              </w:rPr>
            </w:pPr>
            <w:r w:rsidRPr="002C36C7">
              <w:rPr>
                <w:rFonts w:ascii="Verdana" w:hAnsi="Verdana"/>
                <w:bCs/>
                <w:color w:val="000000"/>
              </w:rPr>
              <w:t>New Business</w:t>
            </w:r>
          </w:p>
        </w:tc>
        <w:tc>
          <w:tcPr>
            <w:tcW w:w="3559" w:type="pct"/>
          </w:tcPr>
          <w:p w14:paraId="6A921A50" w14:textId="77777777" w:rsidR="00AC40D4" w:rsidRDefault="00AC40D4" w:rsidP="00E8269D">
            <w:pPr>
              <w:spacing w:before="120" w:after="120"/>
              <w:rPr>
                <w:rFonts w:ascii="Verdana" w:hAnsi="Verdana" w:cs="Arial"/>
              </w:rPr>
            </w:pPr>
            <w:r>
              <w:rPr>
                <w:rFonts w:ascii="Verdana" w:hAnsi="Verdana" w:cs="Arial"/>
              </w:rPr>
              <w:t>R</w:t>
            </w:r>
            <w:r w:rsidRPr="006B3934">
              <w:rPr>
                <w:rFonts w:ascii="Verdana" w:hAnsi="Verdana" w:cs="Arial"/>
              </w:rPr>
              <w:t>efers to the department which handles the set-up of new plan sponsors</w:t>
            </w:r>
            <w:r>
              <w:rPr>
                <w:rFonts w:ascii="Verdana" w:hAnsi="Verdana" w:cs="Arial"/>
              </w:rPr>
              <w:t>.</w:t>
            </w:r>
          </w:p>
          <w:p w14:paraId="02086AC6" w14:textId="77777777" w:rsidR="00AC40D4" w:rsidRPr="004E00B6" w:rsidRDefault="00AC40D4" w:rsidP="00E8269D">
            <w:pPr>
              <w:spacing w:before="120" w:after="120"/>
              <w:rPr>
                <w:rFonts w:ascii="Verdana" w:hAnsi="Verdana"/>
              </w:rPr>
            </w:pPr>
          </w:p>
        </w:tc>
      </w:tr>
      <w:tr w:rsidR="007B5947" w:rsidRPr="004E00B6" w14:paraId="43A413E0" w14:textId="77777777" w:rsidTr="0006538A">
        <w:tc>
          <w:tcPr>
            <w:tcW w:w="1441" w:type="pct"/>
          </w:tcPr>
          <w:p w14:paraId="1EFC54B9" w14:textId="46096E74" w:rsidR="007B5947" w:rsidRPr="002C36C7" w:rsidRDefault="007B5947" w:rsidP="00E8269D">
            <w:pPr>
              <w:spacing w:before="120" w:after="120"/>
              <w:rPr>
                <w:rFonts w:ascii="Verdana" w:hAnsi="Verdana"/>
                <w:bCs/>
                <w:color w:val="000000"/>
              </w:rPr>
            </w:pPr>
            <w:r>
              <w:rPr>
                <w:rFonts w:ascii="Verdana" w:hAnsi="Verdana"/>
                <w:bCs/>
                <w:color w:val="000000"/>
              </w:rPr>
              <w:t>NICE Workforce Management</w:t>
            </w:r>
          </w:p>
        </w:tc>
        <w:tc>
          <w:tcPr>
            <w:tcW w:w="3559" w:type="pct"/>
          </w:tcPr>
          <w:p w14:paraId="514AF4F4" w14:textId="3433C0E4" w:rsidR="007B5947" w:rsidRDefault="007B5947" w:rsidP="00E8269D">
            <w:pPr>
              <w:spacing w:before="120" w:after="120"/>
              <w:rPr>
                <w:rFonts w:ascii="Verdana" w:hAnsi="Verdana" w:cs="Arial"/>
              </w:rPr>
            </w:pPr>
            <w:r w:rsidRPr="007B5947">
              <w:rPr>
                <w:rFonts w:ascii="Verdana" w:hAnsi="Verdana" w:cs="Arial"/>
              </w:rPr>
              <w:t>(WFM) Suite is a scheduling program all-in-one, cloud-powered platform that enables a multi-pronged approach to increasing engagement and unlocking highly accurate planning.</w:t>
            </w:r>
          </w:p>
        </w:tc>
      </w:tr>
      <w:tr w:rsidR="00AC40D4" w:rsidRPr="004E00B6" w14:paraId="38533FC4" w14:textId="77777777" w:rsidTr="0006538A">
        <w:tc>
          <w:tcPr>
            <w:tcW w:w="1441" w:type="pct"/>
          </w:tcPr>
          <w:p w14:paraId="12820EED" w14:textId="77777777" w:rsidR="00AC40D4" w:rsidRPr="002C36C7" w:rsidRDefault="00AC40D4" w:rsidP="00E8269D">
            <w:pPr>
              <w:spacing w:before="120" w:after="120"/>
              <w:rPr>
                <w:rFonts w:ascii="Verdana" w:hAnsi="Verdana"/>
                <w:bCs/>
                <w:color w:val="000000"/>
              </w:rPr>
            </w:pPr>
            <w:r w:rsidRPr="002C36C7">
              <w:rPr>
                <w:rFonts w:ascii="Verdana" w:hAnsi="Verdana"/>
                <w:bCs/>
                <w:color w:val="000000"/>
              </w:rPr>
              <w:t>No Eligibility Record Found</w:t>
            </w:r>
          </w:p>
          <w:p w14:paraId="2283536C" w14:textId="77777777" w:rsidR="00AC40D4" w:rsidRPr="002C36C7" w:rsidRDefault="00AC40D4" w:rsidP="00E8269D">
            <w:pPr>
              <w:pStyle w:val="Dotbullet"/>
              <w:numPr>
                <w:ilvl w:val="0"/>
                <w:numId w:val="0"/>
              </w:numPr>
              <w:spacing w:before="120" w:after="120"/>
              <w:ind w:left="360" w:hanging="360"/>
              <w:rPr>
                <w:bCs/>
                <w:szCs w:val="24"/>
              </w:rPr>
            </w:pPr>
          </w:p>
        </w:tc>
        <w:tc>
          <w:tcPr>
            <w:tcW w:w="3559" w:type="pct"/>
          </w:tcPr>
          <w:p w14:paraId="232407FD" w14:textId="77777777" w:rsidR="00AC40D4" w:rsidRPr="004E00B6" w:rsidRDefault="00AC40D4" w:rsidP="00E8269D">
            <w:pPr>
              <w:spacing w:before="120" w:after="120"/>
              <w:rPr>
                <w:rFonts w:ascii="Verdana" w:hAnsi="Verdana" w:cs="Arial"/>
              </w:rPr>
            </w:pPr>
            <w:r w:rsidRPr="00BF39F0">
              <w:rPr>
                <w:rFonts w:ascii="Verdana" w:hAnsi="Verdana"/>
              </w:rPr>
              <w:t xml:space="preserve">No active eligibility record found for </w:t>
            </w:r>
            <w:r w:rsidRPr="00BF39F0">
              <w:rPr>
                <w:rFonts w:ascii="Verdana" w:hAnsi="Verdana"/>
                <w:color w:val="000000"/>
              </w:rPr>
              <w:t>member</w:t>
            </w:r>
            <w:r w:rsidRPr="00BF39F0">
              <w:rPr>
                <w:rFonts w:ascii="Verdana" w:hAnsi="Verdana"/>
              </w:rPr>
              <w:t xml:space="preserve"> and/or spouse and/or dependent </w:t>
            </w:r>
            <w:proofErr w:type="gramStart"/>
            <w:r w:rsidRPr="00BF39F0">
              <w:rPr>
                <w:rFonts w:ascii="Verdana" w:hAnsi="Verdana"/>
              </w:rPr>
              <w:t>for</w:t>
            </w:r>
            <w:proofErr w:type="gramEnd"/>
            <w:r w:rsidRPr="00BF39F0">
              <w:rPr>
                <w:rFonts w:ascii="Verdana" w:hAnsi="Verdana"/>
              </w:rPr>
              <w:t xml:space="preserve"> a specified client.</w:t>
            </w:r>
          </w:p>
        </w:tc>
      </w:tr>
      <w:tr w:rsidR="00433255" w:rsidRPr="004E00B6" w14:paraId="480F045E" w14:textId="77777777" w:rsidTr="0006538A">
        <w:tc>
          <w:tcPr>
            <w:tcW w:w="1441" w:type="pct"/>
          </w:tcPr>
          <w:p w14:paraId="28DDED62" w14:textId="79022DE9" w:rsidR="00433255" w:rsidRPr="002C36C7" w:rsidRDefault="00433255" w:rsidP="00E8269D">
            <w:pPr>
              <w:spacing w:before="120" w:after="120"/>
              <w:rPr>
                <w:rFonts w:ascii="Verdana" w:hAnsi="Verdana"/>
                <w:bCs/>
                <w:color w:val="000000"/>
              </w:rPr>
            </w:pPr>
            <w:r>
              <w:rPr>
                <w:rFonts w:ascii="Verdana" w:hAnsi="Verdana"/>
                <w:bCs/>
                <w:color w:val="000000"/>
              </w:rPr>
              <w:t>Non-</w:t>
            </w:r>
            <w:r w:rsidR="00714A8B">
              <w:rPr>
                <w:rFonts w:ascii="Verdana" w:hAnsi="Verdana"/>
                <w:bCs/>
                <w:color w:val="000000"/>
              </w:rPr>
              <w:t>Clinical Chargebacks</w:t>
            </w:r>
          </w:p>
        </w:tc>
        <w:tc>
          <w:tcPr>
            <w:tcW w:w="3559" w:type="pct"/>
          </w:tcPr>
          <w:p w14:paraId="64E88A50" w14:textId="2271586B" w:rsidR="00433255" w:rsidRPr="00BF39F0" w:rsidRDefault="00714A8B" w:rsidP="00E8269D">
            <w:pPr>
              <w:spacing w:before="120" w:after="120"/>
              <w:rPr>
                <w:rFonts w:ascii="Verdana" w:hAnsi="Verdana"/>
              </w:rPr>
            </w:pPr>
            <w:r>
              <w:rPr>
                <w:rFonts w:ascii="Verdana" w:hAnsi="Verdana"/>
              </w:rPr>
              <w:t>When a pharmacy contacts CVS Caremark</w:t>
            </w:r>
            <w:r w:rsidR="008937A8">
              <w:rPr>
                <w:rFonts w:ascii="Verdana" w:hAnsi="Verdana"/>
              </w:rPr>
              <w:t xml:space="preserve"> requesting to reprocess a claim that is older th</w:t>
            </w:r>
            <w:r w:rsidR="00322517">
              <w:rPr>
                <w:rFonts w:ascii="Verdana" w:hAnsi="Verdana"/>
              </w:rPr>
              <w:t>an</w:t>
            </w:r>
            <w:r w:rsidR="008937A8">
              <w:rPr>
                <w:rFonts w:ascii="Verdana" w:hAnsi="Verdana"/>
              </w:rPr>
              <w:t xml:space="preserve"> 90 days. </w:t>
            </w:r>
          </w:p>
        </w:tc>
      </w:tr>
      <w:tr w:rsidR="00C3214E" w:rsidRPr="004E00B6" w14:paraId="5EA3B2FD" w14:textId="77777777" w:rsidTr="0006538A">
        <w:tc>
          <w:tcPr>
            <w:tcW w:w="1441" w:type="pct"/>
          </w:tcPr>
          <w:p w14:paraId="64C33259" w14:textId="564B1191" w:rsidR="00C3214E" w:rsidRDefault="001A2ADB" w:rsidP="00E8269D">
            <w:pPr>
              <w:spacing w:before="120" w:after="120"/>
              <w:rPr>
                <w:rFonts w:ascii="Verdana" w:hAnsi="Verdana"/>
                <w:bCs/>
                <w:color w:val="000000"/>
              </w:rPr>
            </w:pPr>
            <w:r>
              <w:rPr>
                <w:rFonts w:ascii="Verdana" w:hAnsi="Verdana"/>
                <w:bCs/>
                <w:color w:val="000000"/>
              </w:rPr>
              <w:t>Non-Clinical Interventions</w:t>
            </w:r>
          </w:p>
        </w:tc>
        <w:tc>
          <w:tcPr>
            <w:tcW w:w="3559" w:type="pct"/>
          </w:tcPr>
          <w:p w14:paraId="2F6F5F31" w14:textId="4A64B7E0" w:rsidR="00C3214E" w:rsidRDefault="001A2ADB" w:rsidP="00E8269D">
            <w:pPr>
              <w:spacing w:before="120" w:after="120"/>
              <w:rPr>
                <w:rFonts w:ascii="Verdana" w:hAnsi="Verdana"/>
              </w:rPr>
            </w:pPr>
            <w:r>
              <w:rPr>
                <w:rFonts w:ascii="Verdana" w:hAnsi="Verdana"/>
              </w:rPr>
              <w:t xml:space="preserve">Applied independently of a clinical encounter between a health </w:t>
            </w:r>
            <w:r w:rsidR="00965B66">
              <w:rPr>
                <w:rFonts w:ascii="Verdana" w:hAnsi="Verdana"/>
              </w:rPr>
              <w:t>provider and a patient</w:t>
            </w:r>
            <w:r w:rsidR="00483AC5">
              <w:rPr>
                <w:rFonts w:ascii="Verdana" w:hAnsi="Verdana"/>
              </w:rPr>
              <w:t>.</w:t>
            </w:r>
          </w:p>
        </w:tc>
      </w:tr>
      <w:tr w:rsidR="00AC40D4" w:rsidRPr="004E00B6" w14:paraId="6A34D371" w14:textId="77777777" w:rsidTr="0006538A">
        <w:tc>
          <w:tcPr>
            <w:tcW w:w="1441" w:type="pct"/>
          </w:tcPr>
          <w:p w14:paraId="3074A1E8" w14:textId="77777777" w:rsidR="00AC40D4" w:rsidRPr="002C36C7" w:rsidRDefault="00AC40D4" w:rsidP="00E8269D">
            <w:pPr>
              <w:spacing w:before="120" w:after="120"/>
              <w:rPr>
                <w:rFonts w:ascii="Verdana" w:hAnsi="Verdana"/>
                <w:bCs/>
                <w:color w:val="000000"/>
              </w:rPr>
            </w:pPr>
            <w:r w:rsidRPr="002C36C7">
              <w:rPr>
                <w:rFonts w:ascii="Verdana" w:hAnsi="Verdana"/>
                <w:bCs/>
                <w:color w:val="000000"/>
              </w:rPr>
              <w:t>Non-Conformance</w:t>
            </w:r>
          </w:p>
          <w:p w14:paraId="05740685" w14:textId="77777777" w:rsidR="00AC40D4" w:rsidRPr="002C36C7" w:rsidRDefault="00AC40D4" w:rsidP="00E8269D">
            <w:pPr>
              <w:spacing w:before="120" w:after="120"/>
              <w:rPr>
                <w:rFonts w:ascii="Verdana" w:hAnsi="Verdana"/>
                <w:bCs/>
              </w:rPr>
            </w:pPr>
          </w:p>
        </w:tc>
        <w:tc>
          <w:tcPr>
            <w:tcW w:w="3559" w:type="pct"/>
          </w:tcPr>
          <w:p w14:paraId="4F2AC97F" w14:textId="77777777" w:rsidR="00AC40D4" w:rsidRDefault="00AC40D4" w:rsidP="00E8269D">
            <w:pPr>
              <w:spacing w:before="120" w:after="120"/>
              <w:rPr>
                <w:rFonts w:ascii="Verdana" w:hAnsi="Verdana" w:cs="Courier New"/>
              </w:rPr>
            </w:pPr>
            <w:r>
              <w:rPr>
                <w:rFonts w:ascii="Verdana" w:hAnsi="Verdana" w:cs="Courier New"/>
              </w:rPr>
              <w:t>Act of not complying with a set of specifications, guidelines, or processes.</w:t>
            </w:r>
          </w:p>
          <w:p w14:paraId="3780FB48" w14:textId="77777777" w:rsidR="00AC40D4" w:rsidRDefault="00AC40D4" w:rsidP="00E8269D">
            <w:pPr>
              <w:spacing w:before="120" w:after="120"/>
              <w:rPr>
                <w:rFonts w:ascii="Verdana" w:hAnsi="Verdana"/>
              </w:rPr>
            </w:pPr>
          </w:p>
        </w:tc>
      </w:tr>
      <w:tr w:rsidR="00AC40D4" w:rsidRPr="004E00B6" w14:paraId="55EE2084" w14:textId="77777777" w:rsidTr="0006538A">
        <w:tc>
          <w:tcPr>
            <w:tcW w:w="1441" w:type="pct"/>
          </w:tcPr>
          <w:p w14:paraId="35FBF56F" w14:textId="77777777" w:rsidR="00AC40D4" w:rsidRPr="002C36C7" w:rsidRDefault="00AC40D4" w:rsidP="00E8269D">
            <w:pPr>
              <w:spacing w:before="120" w:after="120"/>
              <w:rPr>
                <w:rFonts w:ascii="Verdana" w:hAnsi="Verdana" w:cs="Arial"/>
                <w:bCs/>
              </w:rPr>
            </w:pPr>
            <w:r w:rsidRPr="002C36C7">
              <w:rPr>
                <w:rFonts w:ascii="Verdana" w:hAnsi="Verdana"/>
                <w:bCs/>
                <w:color w:val="000000"/>
              </w:rPr>
              <w:t>Non-Countable Items</w:t>
            </w:r>
          </w:p>
        </w:tc>
        <w:tc>
          <w:tcPr>
            <w:tcW w:w="3559" w:type="pct"/>
          </w:tcPr>
          <w:p w14:paraId="1E0373CD" w14:textId="5161E544" w:rsidR="00AC40D4" w:rsidRDefault="00AC40D4" w:rsidP="00E8269D">
            <w:pPr>
              <w:spacing w:before="120" w:after="120"/>
              <w:rPr>
                <w:rFonts w:ascii="Verdana" w:hAnsi="Verdana" w:cs="Arial"/>
              </w:rPr>
            </w:pPr>
            <w:r w:rsidRPr="006B3934">
              <w:rPr>
                <w:rFonts w:ascii="Verdana" w:hAnsi="Verdana" w:cs="Arial"/>
              </w:rPr>
              <w:t>Drugs that are edited for the day supply submitted by the pharmacist and not for quantity</w:t>
            </w:r>
            <w:r w:rsidR="003F331F" w:rsidRPr="006B3934">
              <w:rPr>
                <w:rFonts w:ascii="Verdana" w:hAnsi="Verdana" w:cs="Arial"/>
              </w:rPr>
              <w:t xml:space="preserve">. </w:t>
            </w:r>
            <w:r w:rsidRPr="006B3934">
              <w:rPr>
                <w:rFonts w:ascii="Verdana" w:hAnsi="Verdana" w:cs="Arial"/>
              </w:rPr>
              <w:t xml:space="preserve">The drugs that are considered non-countable include injectable, ointments, creams, </w:t>
            </w:r>
            <w:r w:rsidR="003F331F" w:rsidRPr="006B3934">
              <w:rPr>
                <w:rFonts w:ascii="Verdana" w:hAnsi="Verdana" w:cs="Arial"/>
              </w:rPr>
              <w:t>inhalers,</w:t>
            </w:r>
            <w:r w:rsidRPr="006B3934">
              <w:rPr>
                <w:rFonts w:ascii="Verdana" w:hAnsi="Verdana" w:cs="Arial"/>
              </w:rPr>
              <w:t xml:space="preserve"> and some compounded items.</w:t>
            </w:r>
          </w:p>
          <w:p w14:paraId="057E3619" w14:textId="77777777" w:rsidR="00AC40D4" w:rsidRPr="004E00B6" w:rsidRDefault="00AC40D4" w:rsidP="00E8269D">
            <w:pPr>
              <w:spacing w:before="120" w:after="120"/>
              <w:rPr>
                <w:rFonts w:ascii="Verdana" w:hAnsi="Verdana" w:cs="Arial"/>
              </w:rPr>
            </w:pPr>
          </w:p>
        </w:tc>
      </w:tr>
      <w:tr w:rsidR="00AC40D4" w:rsidRPr="004E00B6" w14:paraId="558C8E1D" w14:textId="77777777" w:rsidTr="0006538A">
        <w:tc>
          <w:tcPr>
            <w:tcW w:w="1441" w:type="pct"/>
          </w:tcPr>
          <w:p w14:paraId="76403ADC" w14:textId="77777777" w:rsidR="00AC40D4" w:rsidRPr="002C36C7" w:rsidRDefault="00AC40D4" w:rsidP="00E8269D">
            <w:pPr>
              <w:spacing w:before="120" w:after="120"/>
              <w:rPr>
                <w:rFonts w:ascii="Verdana" w:hAnsi="Verdana"/>
                <w:bCs/>
                <w:color w:val="000000"/>
              </w:rPr>
            </w:pPr>
            <w:r w:rsidRPr="002C36C7">
              <w:rPr>
                <w:rFonts w:ascii="Verdana" w:hAnsi="Verdana"/>
                <w:bCs/>
                <w:color w:val="000000"/>
              </w:rPr>
              <w:t xml:space="preserve">Non-creditable </w:t>
            </w:r>
            <w:r w:rsidRPr="002C36C7">
              <w:rPr>
                <w:rFonts w:ascii="Verdana" w:hAnsi="Verdana"/>
                <w:bCs/>
                <w:color w:val="000000"/>
              </w:rPr>
              <w:br/>
              <w:t xml:space="preserve">Coverage </w:t>
            </w:r>
          </w:p>
        </w:tc>
        <w:tc>
          <w:tcPr>
            <w:tcW w:w="3559" w:type="pct"/>
          </w:tcPr>
          <w:p w14:paraId="191F0196" w14:textId="77777777" w:rsidR="00AC40D4" w:rsidRPr="006B3934" w:rsidRDefault="00AC40D4" w:rsidP="00E8269D">
            <w:pPr>
              <w:spacing w:before="120" w:after="120"/>
              <w:rPr>
                <w:rFonts w:ascii="Verdana" w:hAnsi="Verdana"/>
                <w:color w:val="000000"/>
              </w:rPr>
            </w:pPr>
            <w:r w:rsidRPr="002A5D8E">
              <w:rPr>
                <w:rFonts w:ascii="Verdana" w:hAnsi="Verdana"/>
                <w:color w:val="000000"/>
              </w:rPr>
              <w:t>A prescription drug plan is recognized as providing non-creditable coverage once an actuary has evaluated the plan and found it to be not equivalent to the Medicare Part D Basic Plan.</w:t>
            </w:r>
            <w:r>
              <w:rPr>
                <w:rFonts w:ascii="Verdana" w:hAnsi="Verdana"/>
                <w:color w:val="000000"/>
              </w:rPr>
              <w:t xml:space="preserve"> </w:t>
            </w:r>
          </w:p>
        </w:tc>
      </w:tr>
      <w:tr w:rsidR="00C265F9" w:rsidRPr="004E00B6" w14:paraId="68EC25E6" w14:textId="77777777" w:rsidTr="0006538A">
        <w:tc>
          <w:tcPr>
            <w:tcW w:w="1441" w:type="pct"/>
          </w:tcPr>
          <w:p w14:paraId="7A4770A7" w14:textId="157702C1" w:rsidR="00C265F9" w:rsidRPr="002C36C7" w:rsidRDefault="0006538A" w:rsidP="00E8269D">
            <w:pPr>
              <w:spacing w:before="120" w:after="120"/>
              <w:rPr>
                <w:rFonts w:ascii="Verdana" w:hAnsi="Verdana"/>
                <w:bCs/>
                <w:color w:val="000000"/>
              </w:rPr>
            </w:pPr>
            <w:r>
              <w:rPr>
                <w:rFonts w:ascii="Verdana" w:hAnsi="Verdana"/>
                <w:b/>
                <w:noProof/>
              </w:rPr>
              <w:drawing>
                <wp:inline distT="0" distB="0" distL="0" distR="0" wp14:anchorId="11B15506" wp14:editId="5B176F6A">
                  <wp:extent cx="304762" cy="304762"/>
                  <wp:effectExtent l="0" t="0" r="635" b="635"/>
                  <wp:docPr id="194341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13595" name="Picture 1943413595"/>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8C7184">
              <w:rPr>
                <w:rFonts w:ascii="Verdana" w:hAnsi="Verdana"/>
                <w:bCs/>
                <w:color w:val="000000"/>
              </w:rPr>
              <w:t>Non-Delegated Grievance</w:t>
            </w:r>
          </w:p>
        </w:tc>
        <w:tc>
          <w:tcPr>
            <w:tcW w:w="3559" w:type="pct"/>
          </w:tcPr>
          <w:p w14:paraId="21B99DEC" w14:textId="2C5F30C3" w:rsidR="00C265F9" w:rsidRPr="002A5D8E" w:rsidRDefault="008C7184" w:rsidP="00E8269D">
            <w:pPr>
              <w:spacing w:before="120" w:after="120"/>
              <w:rPr>
                <w:rFonts w:ascii="Verdana" w:hAnsi="Verdana"/>
                <w:color w:val="000000"/>
              </w:rPr>
            </w:pPr>
            <w:r>
              <w:rPr>
                <w:rFonts w:ascii="Verdana" w:hAnsi="Verdana"/>
                <w:color w:val="000000"/>
              </w:rPr>
              <w:t>Grievance that is handled by the Client.</w:t>
            </w:r>
          </w:p>
        </w:tc>
      </w:tr>
      <w:tr w:rsidR="00AC40D4" w:rsidRPr="004E00B6" w14:paraId="13DDB6AC" w14:textId="77777777" w:rsidTr="0006538A">
        <w:tc>
          <w:tcPr>
            <w:tcW w:w="1441" w:type="pct"/>
          </w:tcPr>
          <w:p w14:paraId="625C2100" w14:textId="77777777" w:rsidR="00AC40D4" w:rsidRPr="002C36C7" w:rsidRDefault="00AC40D4" w:rsidP="00E8269D">
            <w:pPr>
              <w:spacing w:before="120" w:after="120"/>
              <w:rPr>
                <w:rFonts w:ascii="Verdana" w:hAnsi="Verdana" w:cs="Arial"/>
                <w:bCs/>
              </w:rPr>
            </w:pPr>
            <w:r w:rsidRPr="002C36C7">
              <w:rPr>
                <w:rFonts w:ascii="Verdana" w:hAnsi="Verdana"/>
                <w:bCs/>
                <w:color w:val="000000"/>
              </w:rPr>
              <w:t>Non-embedded deductible</w:t>
            </w:r>
          </w:p>
        </w:tc>
        <w:tc>
          <w:tcPr>
            <w:tcW w:w="3559" w:type="pct"/>
          </w:tcPr>
          <w:p w14:paraId="036ADAF7" w14:textId="77777777" w:rsidR="00AC40D4" w:rsidRDefault="00AC40D4" w:rsidP="00E8269D">
            <w:pPr>
              <w:spacing w:before="120" w:after="120"/>
              <w:rPr>
                <w:rFonts w:ascii="Verdana" w:hAnsi="Verdana"/>
                <w:color w:val="000000"/>
              </w:rPr>
            </w:pPr>
            <w:r w:rsidRPr="006B3934">
              <w:rPr>
                <w:rFonts w:ascii="Verdana" w:hAnsi="Verdana"/>
                <w:color w:val="000000"/>
              </w:rPr>
              <w:t>Individual family members must meet the entire family deductible before benefits are paid. The individual deductible does not apply.</w:t>
            </w:r>
          </w:p>
          <w:p w14:paraId="355EE0AA" w14:textId="77777777" w:rsidR="00AC40D4" w:rsidRPr="004E00B6" w:rsidRDefault="00AC40D4" w:rsidP="00E8269D">
            <w:pPr>
              <w:spacing w:before="120" w:after="120"/>
              <w:rPr>
                <w:rFonts w:ascii="Verdana" w:hAnsi="Verdana" w:cs="Arial"/>
              </w:rPr>
            </w:pPr>
          </w:p>
        </w:tc>
      </w:tr>
      <w:tr w:rsidR="00AC40D4" w:rsidRPr="004E00B6" w14:paraId="14DE4CD1" w14:textId="77777777" w:rsidTr="0006538A">
        <w:tc>
          <w:tcPr>
            <w:tcW w:w="1441" w:type="pct"/>
          </w:tcPr>
          <w:p w14:paraId="41EC7A85" w14:textId="77777777" w:rsidR="00AC40D4" w:rsidRPr="002C36C7" w:rsidRDefault="00AC40D4" w:rsidP="00E8269D">
            <w:pPr>
              <w:spacing w:before="120" w:after="120"/>
              <w:rPr>
                <w:rFonts w:ascii="Verdana" w:hAnsi="Verdana" w:cs="Arial"/>
                <w:bCs/>
              </w:rPr>
            </w:pPr>
            <w:r w:rsidRPr="002C36C7">
              <w:rPr>
                <w:rFonts w:ascii="Verdana" w:hAnsi="Verdana"/>
                <w:bCs/>
                <w:color w:val="000000"/>
              </w:rPr>
              <w:t>Non-Formulary</w:t>
            </w:r>
          </w:p>
        </w:tc>
        <w:tc>
          <w:tcPr>
            <w:tcW w:w="3559" w:type="pct"/>
          </w:tcPr>
          <w:p w14:paraId="28251DE7" w14:textId="2225A176" w:rsidR="00AC40D4" w:rsidRDefault="00AC40D4" w:rsidP="00E8269D">
            <w:pPr>
              <w:spacing w:before="120" w:after="120"/>
              <w:rPr>
                <w:rFonts w:ascii="Verdana" w:hAnsi="Verdana" w:cs="Arial"/>
              </w:rPr>
            </w:pPr>
            <w:r w:rsidRPr="006B3934">
              <w:rPr>
                <w:rFonts w:ascii="Verdana" w:hAnsi="Verdana" w:cs="Arial"/>
              </w:rPr>
              <w:t>Brand name medications not included in the preferred formulary drug list</w:t>
            </w:r>
            <w:r w:rsidR="003F331F" w:rsidRPr="006B3934">
              <w:rPr>
                <w:rFonts w:ascii="Verdana" w:hAnsi="Verdana" w:cs="Arial"/>
              </w:rPr>
              <w:t>.</w:t>
            </w:r>
            <w:r w:rsidR="003F331F">
              <w:rPr>
                <w:rFonts w:ascii="Verdana" w:hAnsi="Verdana" w:cs="Arial"/>
              </w:rPr>
              <w:t xml:space="preserve"> </w:t>
            </w:r>
            <w:r>
              <w:rPr>
                <w:rFonts w:ascii="Verdana" w:hAnsi="Verdana" w:cs="Arial"/>
              </w:rPr>
              <w:t xml:space="preserve">Refer to </w:t>
            </w:r>
            <w:r w:rsidRPr="00821A52">
              <w:rPr>
                <w:rFonts w:ascii="Verdana" w:hAnsi="Verdana"/>
                <w:color w:val="000000"/>
              </w:rPr>
              <w:t>Formulary</w:t>
            </w:r>
            <w:r w:rsidRPr="006B3934">
              <w:rPr>
                <w:rFonts w:ascii="Verdana" w:hAnsi="Verdana" w:cs="Arial"/>
              </w:rPr>
              <w:t>.</w:t>
            </w:r>
          </w:p>
          <w:p w14:paraId="32F8FBBD" w14:textId="77777777" w:rsidR="00AC40D4" w:rsidRPr="004E00B6" w:rsidRDefault="00AC40D4" w:rsidP="00E8269D">
            <w:pPr>
              <w:spacing w:before="120" w:after="120"/>
              <w:rPr>
                <w:rFonts w:ascii="Verdana" w:hAnsi="Verdana" w:cs="Arial"/>
              </w:rPr>
            </w:pPr>
          </w:p>
        </w:tc>
      </w:tr>
      <w:tr w:rsidR="00571EA9" w:rsidRPr="004E00B6" w14:paraId="3D889DE0" w14:textId="77777777" w:rsidTr="0006538A">
        <w:tc>
          <w:tcPr>
            <w:tcW w:w="1441" w:type="pct"/>
          </w:tcPr>
          <w:p w14:paraId="2F35A885" w14:textId="189114BA" w:rsidR="00571EA9" w:rsidRPr="00483AC5" w:rsidRDefault="00571EA9" w:rsidP="00483AC5">
            <w:pPr>
              <w:spacing w:before="120" w:after="120"/>
              <w:rPr>
                <w:rFonts w:ascii="Verdana" w:hAnsi="Verdana" w:cs="Arial"/>
                <w:bCs/>
              </w:rPr>
            </w:pPr>
            <w:proofErr w:type="gramStart"/>
            <w:r w:rsidRPr="002C36C7">
              <w:rPr>
                <w:rFonts w:ascii="Verdana" w:hAnsi="Verdana" w:cs="Arial"/>
                <w:bCs/>
              </w:rPr>
              <w:t>Number (#</w:t>
            </w:r>
            <w:proofErr w:type="gramEnd"/>
            <w:r w:rsidRPr="002C36C7">
              <w:rPr>
                <w:rFonts w:ascii="Verdana" w:hAnsi="Verdana" w:cs="Arial"/>
                <w:bCs/>
              </w:rPr>
              <w:t>) Protocol Days</w:t>
            </w:r>
          </w:p>
        </w:tc>
        <w:tc>
          <w:tcPr>
            <w:tcW w:w="3559" w:type="pct"/>
          </w:tcPr>
          <w:p w14:paraId="573B92AB" w14:textId="77777777" w:rsidR="00571EA9" w:rsidRPr="003E0095" w:rsidRDefault="00571EA9" w:rsidP="00E8269D">
            <w:pPr>
              <w:spacing w:before="120" w:after="120"/>
              <w:rPr>
                <w:rFonts w:ascii="Verdana" w:hAnsi="Verdana"/>
              </w:rPr>
            </w:pPr>
            <w:r w:rsidRPr="003E0095">
              <w:rPr>
                <w:rFonts w:ascii="Verdana" w:hAnsi="Verdana"/>
              </w:rPr>
              <w:t xml:space="preserve">Number of days after Last Date of Fill that must pass </w:t>
            </w:r>
            <w:r w:rsidRPr="003E0095">
              <w:rPr>
                <w:rFonts w:ascii="Verdana" w:hAnsi="Verdana"/>
                <w:i/>
              </w:rPr>
              <w:t xml:space="preserve">in entirety </w:t>
            </w:r>
            <w:r w:rsidRPr="003E0095">
              <w:rPr>
                <w:rFonts w:ascii="Verdana" w:hAnsi="Verdana"/>
              </w:rPr>
              <w:t xml:space="preserve">to reach Full Date </w:t>
            </w:r>
          </w:p>
          <w:p w14:paraId="5A139D5B" w14:textId="25FE4CA0" w:rsidR="00571EA9" w:rsidRPr="004E00B6" w:rsidRDefault="00571EA9" w:rsidP="00E8269D">
            <w:pPr>
              <w:spacing w:before="120" w:after="120"/>
              <w:rPr>
                <w:rFonts w:ascii="Verdana" w:hAnsi="Verdana" w:cs="Arial"/>
              </w:rPr>
            </w:pPr>
          </w:p>
        </w:tc>
      </w:tr>
    </w:tbl>
    <w:p w14:paraId="17E5A588" w14:textId="77777777" w:rsidR="00F72D5D" w:rsidRPr="004E00B6" w:rsidRDefault="00F72D5D" w:rsidP="00F15AAE">
      <w:pPr>
        <w:jc w:val="right"/>
        <w:rPr>
          <w:rFonts w:ascii="Verdana" w:hAnsi="Verdana"/>
        </w:rPr>
      </w:pPr>
    </w:p>
    <w:p w14:paraId="7BF25923" w14:textId="77777777" w:rsidR="00D87929" w:rsidRPr="004E00B6" w:rsidRDefault="00D87929" w:rsidP="00F15AAE">
      <w:pPr>
        <w:jc w:val="right"/>
        <w:rPr>
          <w:rFonts w:ascii="Verdana" w:hAnsi="Verdana"/>
          <w:sz w:val="20"/>
          <w:szCs w:val="20"/>
        </w:rPr>
      </w:pPr>
      <w:bookmarkStart w:id="5" w:name="_O"/>
      <w:bookmarkEnd w:id="5"/>
    </w:p>
    <w:p w14:paraId="1B528B74" w14:textId="36AD2289" w:rsidR="00675566" w:rsidRPr="003D15F3" w:rsidRDefault="00DC2428" w:rsidP="00F15AAE">
      <w:pPr>
        <w:jc w:val="right"/>
        <w:rPr>
          <w:rFonts w:ascii="Verdana" w:hAnsi="Verdana"/>
          <w:color w:val="FF0000"/>
        </w:rPr>
      </w:pPr>
      <w:hyperlink w:anchor="_top" w:history="1">
        <w:r w:rsidRPr="00FC5355">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7777777" w:rsidR="00ED4CFD" w:rsidRPr="004E00B6" w:rsidRDefault="00ED4CFD" w:rsidP="00F15AAE">
      <w:pPr>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D0F77" w14:textId="77777777" w:rsidR="00FD239B" w:rsidRDefault="00FD239B">
      <w:r>
        <w:separator/>
      </w:r>
    </w:p>
  </w:endnote>
  <w:endnote w:type="continuationSeparator" w:id="0">
    <w:p w14:paraId="7BD2EEC3" w14:textId="77777777" w:rsidR="00FD239B" w:rsidRDefault="00FD2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03A98" w14:textId="77777777" w:rsidR="00FD239B" w:rsidRDefault="00FD239B">
      <w:r>
        <w:separator/>
      </w:r>
    </w:p>
  </w:footnote>
  <w:footnote w:type="continuationSeparator" w:id="0">
    <w:p w14:paraId="22AED8D8" w14:textId="77777777" w:rsidR="00FD239B" w:rsidRDefault="00FD23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4"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8"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9"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4"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0"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69177705">
    <w:abstractNumId w:val="69"/>
  </w:num>
  <w:num w:numId="2" w16cid:durableId="563293095">
    <w:abstractNumId w:val="103"/>
  </w:num>
  <w:num w:numId="3" w16cid:durableId="491800465">
    <w:abstractNumId w:val="82"/>
  </w:num>
  <w:num w:numId="4" w16cid:durableId="210381854">
    <w:abstractNumId w:val="7"/>
  </w:num>
  <w:num w:numId="5" w16cid:durableId="322201630">
    <w:abstractNumId w:val="43"/>
  </w:num>
  <w:num w:numId="6" w16cid:durableId="1695886411">
    <w:abstractNumId w:val="104"/>
  </w:num>
  <w:num w:numId="7" w16cid:durableId="689835620">
    <w:abstractNumId w:val="76"/>
  </w:num>
  <w:num w:numId="8" w16cid:durableId="1259875584">
    <w:abstractNumId w:val="88"/>
  </w:num>
  <w:num w:numId="9" w16cid:durableId="32267723">
    <w:abstractNumId w:val="86"/>
  </w:num>
  <w:num w:numId="10" w16cid:durableId="2049524497">
    <w:abstractNumId w:val="29"/>
  </w:num>
  <w:num w:numId="11" w16cid:durableId="1799762559">
    <w:abstractNumId w:val="105"/>
  </w:num>
  <w:num w:numId="12" w16cid:durableId="349915842">
    <w:abstractNumId w:val="106"/>
  </w:num>
  <w:num w:numId="13" w16cid:durableId="878712022">
    <w:abstractNumId w:val="135"/>
  </w:num>
  <w:num w:numId="14" w16cid:durableId="758451558">
    <w:abstractNumId w:val="139"/>
  </w:num>
  <w:num w:numId="15" w16cid:durableId="1830901299">
    <w:abstractNumId w:val="1"/>
  </w:num>
  <w:num w:numId="16" w16cid:durableId="858735813">
    <w:abstractNumId w:val="53"/>
  </w:num>
  <w:num w:numId="17" w16cid:durableId="1873223832">
    <w:abstractNumId w:val="130"/>
  </w:num>
  <w:num w:numId="18" w16cid:durableId="1110472609">
    <w:abstractNumId w:val="93"/>
  </w:num>
  <w:num w:numId="19" w16cid:durableId="1224483549">
    <w:abstractNumId w:val="132"/>
  </w:num>
  <w:num w:numId="20" w16cid:durableId="1068964932">
    <w:abstractNumId w:val="55"/>
  </w:num>
  <w:num w:numId="21" w16cid:durableId="2110274252">
    <w:abstractNumId w:val="22"/>
  </w:num>
  <w:num w:numId="22" w16cid:durableId="1009795326">
    <w:abstractNumId w:val="47"/>
  </w:num>
  <w:num w:numId="23" w16cid:durableId="1945766456">
    <w:abstractNumId w:val="37"/>
  </w:num>
  <w:num w:numId="24" w16cid:durableId="1449734176">
    <w:abstractNumId w:val="100"/>
  </w:num>
  <w:num w:numId="25" w16cid:durableId="1362046121">
    <w:abstractNumId w:val="79"/>
  </w:num>
  <w:num w:numId="26" w16cid:durableId="1721975623">
    <w:abstractNumId w:val="66"/>
  </w:num>
  <w:num w:numId="27" w16cid:durableId="211579979">
    <w:abstractNumId w:val="10"/>
  </w:num>
  <w:num w:numId="28" w16cid:durableId="535702902">
    <w:abstractNumId w:val="32"/>
  </w:num>
  <w:num w:numId="29" w16cid:durableId="1245381472">
    <w:abstractNumId w:val="96"/>
  </w:num>
  <w:num w:numId="30" w16cid:durableId="1738824313">
    <w:abstractNumId w:val="0"/>
  </w:num>
  <w:num w:numId="31" w16cid:durableId="1000232000">
    <w:abstractNumId w:val="26"/>
  </w:num>
  <w:num w:numId="32" w16cid:durableId="1394347680">
    <w:abstractNumId w:val="116"/>
  </w:num>
  <w:num w:numId="33" w16cid:durableId="636254945">
    <w:abstractNumId w:val="117"/>
  </w:num>
  <w:num w:numId="34" w16cid:durableId="248081690">
    <w:abstractNumId w:val="44"/>
  </w:num>
  <w:num w:numId="35" w16cid:durableId="659305840">
    <w:abstractNumId w:val="19"/>
  </w:num>
  <w:num w:numId="36" w16cid:durableId="21789621">
    <w:abstractNumId w:val="16"/>
  </w:num>
  <w:num w:numId="37" w16cid:durableId="1852526156">
    <w:abstractNumId w:val="95"/>
  </w:num>
  <w:num w:numId="38" w16cid:durableId="1565792671">
    <w:abstractNumId w:val="9"/>
  </w:num>
  <w:num w:numId="39" w16cid:durableId="392889899">
    <w:abstractNumId w:val="126"/>
  </w:num>
  <w:num w:numId="40" w16cid:durableId="2027099327">
    <w:abstractNumId w:val="125"/>
  </w:num>
  <w:num w:numId="41" w16cid:durableId="80180632">
    <w:abstractNumId w:val="112"/>
  </w:num>
  <w:num w:numId="42" w16cid:durableId="750925962">
    <w:abstractNumId w:val="20"/>
  </w:num>
  <w:num w:numId="43" w16cid:durableId="972750959">
    <w:abstractNumId w:val="13"/>
  </w:num>
  <w:num w:numId="44" w16cid:durableId="936980841">
    <w:abstractNumId w:val="50"/>
  </w:num>
  <w:num w:numId="45" w16cid:durableId="1004936594">
    <w:abstractNumId w:val="25"/>
  </w:num>
  <w:num w:numId="46" w16cid:durableId="1601570114">
    <w:abstractNumId w:val="27"/>
  </w:num>
  <w:num w:numId="47" w16cid:durableId="1583415969">
    <w:abstractNumId w:val="91"/>
  </w:num>
  <w:num w:numId="48" w16cid:durableId="1633944599">
    <w:abstractNumId w:val="127"/>
  </w:num>
  <w:num w:numId="49" w16cid:durableId="956646800">
    <w:abstractNumId w:val="121"/>
  </w:num>
  <w:num w:numId="50" w16cid:durableId="160389278">
    <w:abstractNumId w:val="28"/>
  </w:num>
  <w:num w:numId="51" w16cid:durableId="563027921">
    <w:abstractNumId w:val="35"/>
  </w:num>
  <w:num w:numId="52" w16cid:durableId="1433744534">
    <w:abstractNumId w:val="134"/>
  </w:num>
  <w:num w:numId="53" w16cid:durableId="1909992634">
    <w:abstractNumId w:val="14"/>
  </w:num>
  <w:num w:numId="54" w16cid:durableId="611983597">
    <w:abstractNumId w:val="48"/>
  </w:num>
  <w:num w:numId="55" w16cid:durableId="823742783">
    <w:abstractNumId w:val="83"/>
  </w:num>
  <w:num w:numId="56" w16cid:durableId="815680395">
    <w:abstractNumId w:val="67"/>
  </w:num>
  <w:num w:numId="57" w16cid:durableId="151727779">
    <w:abstractNumId w:val="4"/>
  </w:num>
  <w:num w:numId="58" w16cid:durableId="2055960519">
    <w:abstractNumId w:val="51"/>
  </w:num>
  <w:num w:numId="59" w16cid:durableId="525868256">
    <w:abstractNumId w:val="85"/>
  </w:num>
  <w:num w:numId="60" w16cid:durableId="1686519321">
    <w:abstractNumId w:val="110"/>
  </w:num>
  <w:num w:numId="61" w16cid:durableId="471601641">
    <w:abstractNumId w:val="65"/>
  </w:num>
  <w:num w:numId="62" w16cid:durableId="654988323">
    <w:abstractNumId w:val="61"/>
  </w:num>
  <w:num w:numId="63" w16cid:durableId="1861504167">
    <w:abstractNumId w:val="98"/>
  </w:num>
  <w:num w:numId="64" w16cid:durableId="1977294322">
    <w:abstractNumId w:val="62"/>
  </w:num>
  <w:num w:numId="65" w16cid:durableId="735519393">
    <w:abstractNumId w:val="60"/>
  </w:num>
  <w:num w:numId="66" w16cid:durableId="717978178">
    <w:abstractNumId w:val="107"/>
  </w:num>
  <w:num w:numId="67" w16cid:durableId="503977099">
    <w:abstractNumId w:val="111"/>
  </w:num>
  <w:num w:numId="68" w16cid:durableId="1520587289">
    <w:abstractNumId w:val="33"/>
  </w:num>
  <w:num w:numId="69" w16cid:durableId="1524399928">
    <w:abstractNumId w:val="6"/>
  </w:num>
  <w:num w:numId="70" w16cid:durableId="1782341702">
    <w:abstractNumId w:val="109"/>
  </w:num>
  <w:num w:numId="71" w16cid:durableId="989020342">
    <w:abstractNumId w:val="39"/>
  </w:num>
  <w:num w:numId="72" w16cid:durableId="2016572135">
    <w:abstractNumId w:val="136"/>
  </w:num>
  <w:num w:numId="73" w16cid:durableId="323973390">
    <w:abstractNumId w:val="81"/>
  </w:num>
  <w:num w:numId="74" w16cid:durableId="1944461019">
    <w:abstractNumId w:val="56"/>
  </w:num>
  <w:num w:numId="75" w16cid:durableId="932711434">
    <w:abstractNumId w:val="40"/>
  </w:num>
  <w:num w:numId="76" w16cid:durableId="477184597">
    <w:abstractNumId w:val="8"/>
  </w:num>
  <w:num w:numId="77" w16cid:durableId="989410585">
    <w:abstractNumId w:val="58"/>
  </w:num>
  <w:num w:numId="78" w16cid:durableId="301083773">
    <w:abstractNumId w:val="18"/>
  </w:num>
  <w:num w:numId="79" w16cid:durableId="1526670538">
    <w:abstractNumId w:val="77"/>
  </w:num>
  <w:num w:numId="80" w16cid:durableId="992180433">
    <w:abstractNumId w:val="84"/>
  </w:num>
  <w:num w:numId="81" w16cid:durableId="16468333">
    <w:abstractNumId w:val="133"/>
  </w:num>
  <w:num w:numId="82" w16cid:durableId="2142534415">
    <w:abstractNumId w:val="23"/>
  </w:num>
  <w:num w:numId="83" w16cid:durableId="1789281094">
    <w:abstractNumId w:val="49"/>
  </w:num>
  <w:num w:numId="84" w16cid:durableId="205525850">
    <w:abstractNumId w:val="72"/>
  </w:num>
  <w:num w:numId="85" w16cid:durableId="28074453">
    <w:abstractNumId w:val="5"/>
  </w:num>
  <w:num w:numId="86" w16cid:durableId="243927251">
    <w:abstractNumId w:val="68"/>
  </w:num>
  <w:num w:numId="87" w16cid:durableId="1983777787">
    <w:abstractNumId w:val="11"/>
  </w:num>
  <w:num w:numId="88" w16cid:durableId="1730762187">
    <w:abstractNumId w:val="45"/>
  </w:num>
  <w:num w:numId="89" w16cid:durableId="1896118165">
    <w:abstractNumId w:val="46"/>
  </w:num>
  <w:num w:numId="90" w16cid:durableId="745766904">
    <w:abstractNumId w:val="138"/>
  </w:num>
  <w:num w:numId="91" w16cid:durableId="1399674363">
    <w:abstractNumId w:val="74"/>
  </w:num>
  <w:num w:numId="92" w16cid:durableId="279722519">
    <w:abstractNumId w:val="2"/>
  </w:num>
  <w:num w:numId="93" w16cid:durableId="1934975079">
    <w:abstractNumId w:val="63"/>
  </w:num>
  <w:num w:numId="94" w16cid:durableId="1858351864">
    <w:abstractNumId w:val="54"/>
  </w:num>
  <w:num w:numId="95" w16cid:durableId="1087382284">
    <w:abstractNumId w:val="90"/>
  </w:num>
  <w:num w:numId="96" w16cid:durableId="471099930">
    <w:abstractNumId w:val="38"/>
  </w:num>
  <w:num w:numId="97" w16cid:durableId="1900021387">
    <w:abstractNumId w:val="118"/>
  </w:num>
  <w:num w:numId="98" w16cid:durableId="1450510612">
    <w:abstractNumId w:val="75"/>
  </w:num>
  <w:num w:numId="99" w16cid:durableId="962229532">
    <w:abstractNumId w:val="97"/>
  </w:num>
  <w:num w:numId="100" w16cid:durableId="34045577">
    <w:abstractNumId w:val="31"/>
  </w:num>
  <w:num w:numId="101" w16cid:durableId="1145705318">
    <w:abstractNumId w:val="137"/>
  </w:num>
  <w:num w:numId="102" w16cid:durableId="1794320741">
    <w:abstractNumId w:val="129"/>
  </w:num>
  <w:num w:numId="103" w16cid:durableId="1089041330">
    <w:abstractNumId w:val="71"/>
  </w:num>
  <w:num w:numId="104" w16cid:durableId="685251677">
    <w:abstractNumId w:val="3"/>
  </w:num>
  <w:num w:numId="105" w16cid:durableId="1725909597">
    <w:abstractNumId w:val="80"/>
  </w:num>
  <w:num w:numId="106" w16cid:durableId="642392049">
    <w:abstractNumId w:val="94"/>
  </w:num>
  <w:num w:numId="107" w16cid:durableId="2072001979">
    <w:abstractNumId w:val="101"/>
  </w:num>
  <w:num w:numId="108" w16cid:durableId="1115947729">
    <w:abstractNumId w:val="59"/>
  </w:num>
  <w:num w:numId="109" w16cid:durableId="442385289">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72715748">
    <w:abstractNumId w:val="113"/>
  </w:num>
  <w:num w:numId="111" w16cid:durableId="1689796859">
    <w:abstractNumId w:val="15"/>
  </w:num>
  <w:num w:numId="112" w16cid:durableId="1850025531">
    <w:abstractNumId w:val="108"/>
  </w:num>
  <w:num w:numId="113" w16cid:durableId="1726025461">
    <w:abstractNumId w:val="41"/>
  </w:num>
  <w:num w:numId="114" w16cid:durableId="1679430925">
    <w:abstractNumId w:val="99"/>
  </w:num>
  <w:num w:numId="115" w16cid:durableId="311956039">
    <w:abstractNumId w:val="73"/>
  </w:num>
  <w:num w:numId="116" w16cid:durableId="1958950422">
    <w:abstractNumId w:val="64"/>
  </w:num>
  <w:num w:numId="117" w16cid:durableId="725110412">
    <w:abstractNumId w:val="89"/>
  </w:num>
  <w:num w:numId="118" w16cid:durableId="1111631291">
    <w:abstractNumId w:val="128"/>
  </w:num>
  <w:num w:numId="119" w16cid:durableId="699548984">
    <w:abstractNumId w:val="70"/>
  </w:num>
  <w:num w:numId="120" w16cid:durableId="1979217533">
    <w:abstractNumId w:val="124"/>
  </w:num>
  <w:num w:numId="121" w16cid:durableId="781146179">
    <w:abstractNumId w:val="42"/>
  </w:num>
  <w:num w:numId="122" w16cid:durableId="555090363">
    <w:abstractNumId w:val="131"/>
  </w:num>
  <w:num w:numId="123" w16cid:durableId="895436789">
    <w:abstractNumId w:val="114"/>
  </w:num>
  <w:num w:numId="124" w16cid:durableId="1640958927">
    <w:abstractNumId w:val="87"/>
  </w:num>
  <w:num w:numId="125" w16cid:durableId="1744720703">
    <w:abstractNumId w:val="132"/>
  </w:num>
  <w:num w:numId="126" w16cid:durableId="1537038194">
    <w:abstractNumId w:val="21"/>
  </w:num>
  <w:num w:numId="127" w16cid:durableId="1523935829">
    <w:abstractNumId w:val="102"/>
  </w:num>
  <w:num w:numId="128" w16cid:durableId="809397766">
    <w:abstractNumId w:val="30"/>
  </w:num>
  <w:num w:numId="129" w16cid:durableId="1528718948">
    <w:abstractNumId w:val="36"/>
  </w:num>
  <w:num w:numId="130" w16cid:durableId="1558979734">
    <w:abstractNumId w:val="34"/>
  </w:num>
  <w:num w:numId="131" w16cid:durableId="1138839040">
    <w:abstractNumId w:val="120"/>
  </w:num>
  <w:num w:numId="132" w16cid:durableId="239753754">
    <w:abstractNumId w:val="115"/>
  </w:num>
  <w:num w:numId="133" w16cid:durableId="649670214">
    <w:abstractNumId w:val="122"/>
  </w:num>
  <w:num w:numId="134" w16cid:durableId="901644928">
    <w:abstractNumId w:val="119"/>
  </w:num>
  <w:num w:numId="135" w16cid:durableId="1857234971">
    <w:abstractNumId w:val="52"/>
  </w:num>
  <w:num w:numId="136" w16cid:durableId="2030372265">
    <w:abstractNumId w:val="57"/>
  </w:num>
  <w:num w:numId="137" w16cid:durableId="1142423769">
    <w:abstractNumId w:val="24"/>
  </w:num>
  <w:num w:numId="138" w16cid:durableId="253706561">
    <w:abstractNumId w:val="12"/>
  </w:num>
  <w:num w:numId="139" w16cid:durableId="2094744085">
    <w:abstractNumId w:val="78"/>
  </w:num>
  <w:num w:numId="140" w16cid:durableId="2084527757">
    <w:abstractNumId w:val="136"/>
  </w:num>
  <w:num w:numId="141" w16cid:durableId="1553273679">
    <w:abstractNumId w:val="81"/>
  </w:num>
  <w:num w:numId="142" w16cid:durableId="302735818">
    <w:abstractNumId w:val="17"/>
  </w:num>
  <w:num w:numId="143" w16cid:durableId="777870561">
    <w:abstractNumId w:val="12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3BF"/>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2E7C"/>
    <w:rsid w:val="00064602"/>
    <w:rsid w:val="0006474D"/>
    <w:rsid w:val="00064FF2"/>
    <w:rsid w:val="000650AC"/>
    <w:rsid w:val="0006538A"/>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CBF"/>
    <w:rsid w:val="00086F6D"/>
    <w:rsid w:val="000871E4"/>
    <w:rsid w:val="00087F0B"/>
    <w:rsid w:val="00090296"/>
    <w:rsid w:val="00090565"/>
    <w:rsid w:val="00090879"/>
    <w:rsid w:val="00090B98"/>
    <w:rsid w:val="00090BC9"/>
    <w:rsid w:val="0009241D"/>
    <w:rsid w:val="00093AB8"/>
    <w:rsid w:val="000941B9"/>
    <w:rsid w:val="00094C4A"/>
    <w:rsid w:val="0009696D"/>
    <w:rsid w:val="00096E75"/>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408D"/>
    <w:rsid w:val="001251F8"/>
    <w:rsid w:val="00125A70"/>
    <w:rsid w:val="00127F40"/>
    <w:rsid w:val="0013059A"/>
    <w:rsid w:val="00130E21"/>
    <w:rsid w:val="0013188F"/>
    <w:rsid w:val="00134716"/>
    <w:rsid w:val="00134D7C"/>
    <w:rsid w:val="001358DD"/>
    <w:rsid w:val="00137140"/>
    <w:rsid w:val="001371BC"/>
    <w:rsid w:val="001372F6"/>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C57"/>
    <w:rsid w:val="00191D97"/>
    <w:rsid w:val="001923C2"/>
    <w:rsid w:val="0019353A"/>
    <w:rsid w:val="00197F3D"/>
    <w:rsid w:val="001A0C09"/>
    <w:rsid w:val="001A2ADB"/>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EF5"/>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2517"/>
    <w:rsid w:val="003237B0"/>
    <w:rsid w:val="00325394"/>
    <w:rsid w:val="00326900"/>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19AC"/>
    <w:rsid w:val="00362466"/>
    <w:rsid w:val="00363086"/>
    <w:rsid w:val="00364357"/>
    <w:rsid w:val="00365C0D"/>
    <w:rsid w:val="00367A2B"/>
    <w:rsid w:val="00367A49"/>
    <w:rsid w:val="00373AD8"/>
    <w:rsid w:val="003740E3"/>
    <w:rsid w:val="00374494"/>
    <w:rsid w:val="003746C3"/>
    <w:rsid w:val="00375E2C"/>
    <w:rsid w:val="0037627E"/>
    <w:rsid w:val="003766B7"/>
    <w:rsid w:val="00376810"/>
    <w:rsid w:val="003801EA"/>
    <w:rsid w:val="0038087E"/>
    <w:rsid w:val="0038169E"/>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4E1"/>
    <w:rsid w:val="003C66D9"/>
    <w:rsid w:val="003C67D7"/>
    <w:rsid w:val="003C69B6"/>
    <w:rsid w:val="003C75ED"/>
    <w:rsid w:val="003D0B99"/>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331F"/>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5288"/>
    <w:rsid w:val="00426062"/>
    <w:rsid w:val="004300BA"/>
    <w:rsid w:val="00430E41"/>
    <w:rsid w:val="004318E4"/>
    <w:rsid w:val="00431BF4"/>
    <w:rsid w:val="00432844"/>
    <w:rsid w:val="00433255"/>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3AC5"/>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1B0E"/>
    <w:rsid w:val="00562B84"/>
    <w:rsid w:val="00564401"/>
    <w:rsid w:val="00564F39"/>
    <w:rsid w:val="0056649B"/>
    <w:rsid w:val="00566EBE"/>
    <w:rsid w:val="00567614"/>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910"/>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48A8"/>
    <w:rsid w:val="005F5B90"/>
    <w:rsid w:val="005F63B0"/>
    <w:rsid w:val="005F69C0"/>
    <w:rsid w:val="0060150F"/>
    <w:rsid w:val="0060220C"/>
    <w:rsid w:val="0060252B"/>
    <w:rsid w:val="006027AA"/>
    <w:rsid w:val="00603F21"/>
    <w:rsid w:val="00605403"/>
    <w:rsid w:val="0060683E"/>
    <w:rsid w:val="00607515"/>
    <w:rsid w:val="00607552"/>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1151"/>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2DDD"/>
    <w:rsid w:val="006F3332"/>
    <w:rsid w:val="006F37B4"/>
    <w:rsid w:val="006F4838"/>
    <w:rsid w:val="006F4912"/>
    <w:rsid w:val="006F49F1"/>
    <w:rsid w:val="006F4F32"/>
    <w:rsid w:val="006F581F"/>
    <w:rsid w:val="006F6CD3"/>
    <w:rsid w:val="006F7514"/>
    <w:rsid w:val="007009EF"/>
    <w:rsid w:val="0070204E"/>
    <w:rsid w:val="00704AF2"/>
    <w:rsid w:val="00705146"/>
    <w:rsid w:val="00705631"/>
    <w:rsid w:val="00706591"/>
    <w:rsid w:val="00707590"/>
    <w:rsid w:val="00707774"/>
    <w:rsid w:val="0071063A"/>
    <w:rsid w:val="007118FF"/>
    <w:rsid w:val="00711EDD"/>
    <w:rsid w:val="007140A6"/>
    <w:rsid w:val="00714A8B"/>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32D"/>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7DE6"/>
    <w:rsid w:val="0076110B"/>
    <w:rsid w:val="00761653"/>
    <w:rsid w:val="00761BC5"/>
    <w:rsid w:val="00762A47"/>
    <w:rsid w:val="00762C77"/>
    <w:rsid w:val="0076344C"/>
    <w:rsid w:val="007666DD"/>
    <w:rsid w:val="00766D7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0C18"/>
    <w:rsid w:val="007A1578"/>
    <w:rsid w:val="007A2CA6"/>
    <w:rsid w:val="007A433E"/>
    <w:rsid w:val="007A4371"/>
    <w:rsid w:val="007A652B"/>
    <w:rsid w:val="007A7A36"/>
    <w:rsid w:val="007B024D"/>
    <w:rsid w:val="007B07F8"/>
    <w:rsid w:val="007B0FB7"/>
    <w:rsid w:val="007B0FC0"/>
    <w:rsid w:val="007B1E8C"/>
    <w:rsid w:val="007B40D2"/>
    <w:rsid w:val="007B539E"/>
    <w:rsid w:val="007B5947"/>
    <w:rsid w:val="007B6023"/>
    <w:rsid w:val="007B6786"/>
    <w:rsid w:val="007B79C8"/>
    <w:rsid w:val="007B7F27"/>
    <w:rsid w:val="007C094E"/>
    <w:rsid w:val="007C1015"/>
    <w:rsid w:val="007C1E2E"/>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3B11"/>
    <w:rsid w:val="00854A9B"/>
    <w:rsid w:val="00854CE2"/>
    <w:rsid w:val="008562EC"/>
    <w:rsid w:val="00857E87"/>
    <w:rsid w:val="00857FB7"/>
    <w:rsid w:val="00861027"/>
    <w:rsid w:val="0086148F"/>
    <w:rsid w:val="00861910"/>
    <w:rsid w:val="00861AE7"/>
    <w:rsid w:val="00862CE6"/>
    <w:rsid w:val="008630AE"/>
    <w:rsid w:val="0086318F"/>
    <w:rsid w:val="00863B6D"/>
    <w:rsid w:val="00864785"/>
    <w:rsid w:val="00864F02"/>
    <w:rsid w:val="00866BB6"/>
    <w:rsid w:val="00866D9C"/>
    <w:rsid w:val="008726F0"/>
    <w:rsid w:val="00872842"/>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37A8"/>
    <w:rsid w:val="00896182"/>
    <w:rsid w:val="008976F4"/>
    <w:rsid w:val="00897FE8"/>
    <w:rsid w:val="008A0A05"/>
    <w:rsid w:val="008A1E86"/>
    <w:rsid w:val="008A3CF7"/>
    <w:rsid w:val="008A3E3E"/>
    <w:rsid w:val="008A4081"/>
    <w:rsid w:val="008A42DB"/>
    <w:rsid w:val="008A519C"/>
    <w:rsid w:val="008A6BEF"/>
    <w:rsid w:val="008B120A"/>
    <w:rsid w:val="008B158D"/>
    <w:rsid w:val="008B5686"/>
    <w:rsid w:val="008B5D87"/>
    <w:rsid w:val="008B6486"/>
    <w:rsid w:val="008B6773"/>
    <w:rsid w:val="008B6FAC"/>
    <w:rsid w:val="008B7300"/>
    <w:rsid w:val="008C2197"/>
    <w:rsid w:val="008C28D5"/>
    <w:rsid w:val="008C3204"/>
    <w:rsid w:val="008C3493"/>
    <w:rsid w:val="008C4E29"/>
    <w:rsid w:val="008C7184"/>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171"/>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C9C"/>
    <w:rsid w:val="00957F20"/>
    <w:rsid w:val="0096036D"/>
    <w:rsid w:val="0096072C"/>
    <w:rsid w:val="009608AF"/>
    <w:rsid w:val="0096151A"/>
    <w:rsid w:val="009619DB"/>
    <w:rsid w:val="009622CF"/>
    <w:rsid w:val="009627DB"/>
    <w:rsid w:val="0096455F"/>
    <w:rsid w:val="00964D7A"/>
    <w:rsid w:val="00964E9D"/>
    <w:rsid w:val="00965884"/>
    <w:rsid w:val="0096590E"/>
    <w:rsid w:val="009659F2"/>
    <w:rsid w:val="00965B66"/>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C03"/>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55F9"/>
    <w:rsid w:val="00A76FA7"/>
    <w:rsid w:val="00A77BC5"/>
    <w:rsid w:val="00A8067B"/>
    <w:rsid w:val="00A80816"/>
    <w:rsid w:val="00A813F7"/>
    <w:rsid w:val="00A8184A"/>
    <w:rsid w:val="00A825AC"/>
    <w:rsid w:val="00A8428E"/>
    <w:rsid w:val="00A85045"/>
    <w:rsid w:val="00A85582"/>
    <w:rsid w:val="00A856C3"/>
    <w:rsid w:val="00A8580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C7926"/>
    <w:rsid w:val="00AD1646"/>
    <w:rsid w:val="00AD1A5E"/>
    <w:rsid w:val="00AD2DE2"/>
    <w:rsid w:val="00AD3043"/>
    <w:rsid w:val="00AD36B2"/>
    <w:rsid w:val="00AD4D8B"/>
    <w:rsid w:val="00AD6442"/>
    <w:rsid w:val="00AE0FC6"/>
    <w:rsid w:val="00AE12E3"/>
    <w:rsid w:val="00AE1B97"/>
    <w:rsid w:val="00AE3038"/>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99B"/>
    <w:rsid w:val="00B60F39"/>
    <w:rsid w:val="00B619FA"/>
    <w:rsid w:val="00B61FF4"/>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48F1"/>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5F9"/>
    <w:rsid w:val="00C26773"/>
    <w:rsid w:val="00C27530"/>
    <w:rsid w:val="00C2764F"/>
    <w:rsid w:val="00C30526"/>
    <w:rsid w:val="00C30B80"/>
    <w:rsid w:val="00C30C41"/>
    <w:rsid w:val="00C31094"/>
    <w:rsid w:val="00C31276"/>
    <w:rsid w:val="00C3214E"/>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50E5"/>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A49B2"/>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6D73"/>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5C04"/>
    <w:rsid w:val="00D36733"/>
    <w:rsid w:val="00D37BD6"/>
    <w:rsid w:val="00D41508"/>
    <w:rsid w:val="00D461A6"/>
    <w:rsid w:val="00D46C61"/>
    <w:rsid w:val="00D471B5"/>
    <w:rsid w:val="00D5253F"/>
    <w:rsid w:val="00D52D91"/>
    <w:rsid w:val="00D53138"/>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76"/>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428"/>
    <w:rsid w:val="00DC2EB9"/>
    <w:rsid w:val="00DC2EC3"/>
    <w:rsid w:val="00DC3DB4"/>
    <w:rsid w:val="00DC481B"/>
    <w:rsid w:val="00DC57F9"/>
    <w:rsid w:val="00DC6D50"/>
    <w:rsid w:val="00DD0A19"/>
    <w:rsid w:val="00DD15CC"/>
    <w:rsid w:val="00DD1AFC"/>
    <w:rsid w:val="00DD2D02"/>
    <w:rsid w:val="00DD3455"/>
    <w:rsid w:val="00DD4774"/>
    <w:rsid w:val="00DE205F"/>
    <w:rsid w:val="00DE2AB5"/>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2D21"/>
    <w:rsid w:val="00E744DF"/>
    <w:rsid w:val="00E74A33"/>
    <w:rsid w:val="00E74D07"/>
    <w:rsid w:val="00E755C8"/>
    <w:rsid w:val="00E76C94"/>
    <w:rsid w:val="00E773C4"/>
    <w:rsid w:val="00E809CA"/>
    <w:rsid w:val="00E80AEF"/>
    <w:rsid w:val="00E81024"/>
    <w:rsid w:val="00E81C67"/>
    <w:rsid w:val="00E8269D"/>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272E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148A"/>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355"/>
    <w:rsid w:val="00FC5F75"/>
    <w:rsid w:val="00FC774F"/>
    <w:rsid w:val="00FD0C09"/>
    <w:rsid w:val="00FD0D61"/>
    <w:rsid w:val="00FD239B"/>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5891"/>
    <w:rsid w:val="00FE693F"/>
    <w:rsid w:val="00FE6DED"/>
    <w:rsid w:val="00FF0936"/>
    <w:rsid w:val="00FF1150"/>
    <w:rsid w:val="00FF2EF0"/>
    <w:rsid w:val="00FF5A0D"/>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5701344">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F78F3A-F065-430E-B64B-8FB972613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customXml/itemProps3.xml><?xml version="1.0" encoding="utf-8"?>
<ds:datastoreItem xmlns:ds="http://schemas.openxmlformats.org/officeDocument/2006/customXml" ds:itemID="{5DEF379A-AAAF-42CD-91D7-8E1C28A1DB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0E6C7D-7CC6-4D5C-9E48-452AEDF32D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16</TotalTime>
  <Pages>1</Pages>
  <Words>1688</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11241</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14</cp:revision>
  <dcterms:created xsi:type="dcterms:W3CDTF">2024-09-24T04:20:00Z</dcterms:created>
  <dcterms:modified xsi:type="dcterms:W3CDTF">2025-07-21T22:40:00Z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0x010100C54942C34D83FF4FA91571050E536A93</vt:lpwstr>
  </property>
  <property fmtid="{D5CDD505-2E9C-101B-9397-08002B2CF9AE}" pid="17" name="_ReviewingToolsShownOnce">
    <vt:lpwstr/>
  </property>
</Properties>
</file>