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18AA746A" w:rsidR="00524CDD" w:rsidRPr="00CC4BFE" w:rsidRDefault="008976F4" w:rsidP="00DB71B9">
      <w:pPr>
        <w:pStyle w:val="Heading1"/>
        <w:spacing w:after="120"/>
        <w:rPr>
          <w:rFonts w:ascii="Verdana" w:hAnsi="Verdana"/>
          <w:bCs/>
          <w:color w:val="auto"/>
          <w:sz w:val="36"/>
          <w:szCs w:val="36"/>
        </w:rPr>
      </w:pPr>
      <w:bookmarkStart w:id="0" w:name="_OneSource_Glossary_of"/>
      <w:bookmarkStart w:id="1" w:name="_Customer_Care_Abbreviations,"/>
      <w:bookmarkStart w:id="2" w:name="_top"/>
      <w:bookmarkEnd w:id="0"/>
      <w:bookmarkEnd w:id="1"/>
      <w:bookmarkEnd w:id="2"/>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D85161">
        <w:rPr>
          <w:rFonts w:ascii="Verdana" w:hAnsi="Verdana"/>
          <w:bCs/>
          <w:color w:val="auto"/>
          <w:sz w:val="36"/>
          <w:szCs w:val="36"/>
        </w:rPr>
        <w:t>- O</w:t>
      </w:r>
    </w:p>
    <w:p w14:paraId="651F8FD8" w14:textId="1E7ECE7B" w:rsidR="00930A3C" w:rsidRPr="00327992" w:rsidRDefault="00930A3C" w:rsidP="00DB71B9">
      <w:pPr>
        <w:jc w:val="both"/>
        <w:rPr>
          <w:b/>
          <w:color w:val="000000"/>
        </w:rPr>
      </w:pPr>
      <w:r w:rsidRPr="00327992">
        <w:rPr>
          <w:b/>
          <w:color w:val="000000"/>
        </w:rPr>
        <w:t xml:space="preserve">Each Alpha section </w:t>
      </w:r>
      <w:r w:rsidR="00C9521A" w:rsidRPr="00327992">
        <w:rPr>
          <w:b/>
          <w:color w:val="000000"/>
        </w:rPr>
        <w:t>will have</w:t>
      </w:r>
      <w:r w:rsidRPr="00327992">
        <w:rPr>
          <w:b/>
          <w:color w:val="000000"/>
        </w:rPr>
        <w:t xml:space="preserve"> two</w:t>
      </w:r>
      <w:r w:rsidR="00E347BE" w:rsidRPr="00327992">
        <w:rPr>
          <w:b/>
          <w:color w:val="000000"/>
        </w:rPr>
        <w:t xml:space="preserve"> </w:t>
      </w:r>
      <w:r w:rsidR="00AB2929" w:rsidRPr="00327992">
        <w:rPr>
          <w:b/>
          <w:color w:val="000000"/>
        </w:rPr>
        <w:t>separate tables</w:t>
      </w:r>
      <w:r w:rsidR="00DB71B9">
        <w:rPr>
          <w:b/>
          <w:color w:val="000000"/>
        </w:rPr>
        <w:t xml:space="preserve">: </w:t>
      </w:r>
    </w:p>
    <w:p w14:paraId="2816E4AE" w14:textId="7B372789" w:rsidR="00930A3C" w:rsidRPr="00327992" w:rsidRDefault="00930A3C" w:rsidP="00DB71B9">
      <w:pPr>
        <w:numPr>
          <w:ilvl w:val="0"/>
          <w:numId w:val="118"/>
        </w:numPr>
        <w:jc w:val="both"/>
        <w:rPr>
          <w:bCs/>
          <w:color w:val="000000"/>
        </w:rPr>
      </w:pPr>
      <w:r w:rsidRPr="00327992">
        <w:rPr>
          <w:b/>
          <w:color w:val="000000"/>
        </w:rPr>
        <w:t xml:space="preserve"> </w:t>
      </w:r>
      <w:r w:rsidRPr="00327992">
        <w:rPr>
          <w:bCs/>
          <w:color w:val="000000"/>
        </w:rPr>
        <w:t>Abbreviation, Term and Definition</w:t>
      </w:r>
    </w:p>
    <w:p w14:paraId="4093D2D2" w14:textId="1B79583B" w:rsidR="00930A3C" w:rsidRPr="00327992" w:rsidRDefault="00930A3C" w:rsidP="00DB71B9">
      <w:pPr>
        <w:numPr>
          <w:ilvl w:val="0"/>
          <w:numId w:val="118"/>
        </w:numPr>
        <w:jc w:val="both"/>
        <w:rPr>
          <w:bCs/>
          <w:color w:val="000000"/>
        </w:rPr>
      </w:pPr>
      <w:r w:rsidRPr="00327992">
        <w:rPr>
          <w:bCs/>
          <w:color w:val="000000"/>
        </w:rPr>
        <w:t xml:space="preserve"> Term and Definition </w:t>
      </w:r>
    </w:p>
    <w:p w14:paraId="7A90F651" w14:textId="264679D6" w:rsidR="00930A3C" w:rsidRPr="00327992" w:rsidRDefault="00930A3C" w:rsidP="00DB71B9">
      <w:pPr>
        <w:jc w:val="both"/>
        <w:rPr>
          <w:b/>
          <w:color w:val="000000"/>
        </w:rPr>
      </w:pPr>
    </w:p>
    <w:p w14:paraId="78BCDCAF" w14:textId="59B77BAB" w:rsidR="00930A3C" w:rsidRPr="00327992" w:rsidRDefault="00930A3C" w:rsidP="00DB71B9">
      <w:pPr>
        <w:jc w:val="both"/>
        <w:rPr>
          <w:b/>
          <w:color w:val="000000"/>
        </w:rPr>
      </w:pPr>
      <w:r w:rsidRPr="00327992">
        <w:rPr>
          <w:b/>
          <w:color w:val="000000"/>
        </w:rPr>
        <w:t>Note</w:t>
      </w:r>
      <w:r w:rsidR="00DB71B9">
        <w:rPr>
          <w:b/>
          <w:color w:val="000000"/>
        </w:rPr>
        <w:t xml:space="preserve">: </w:t>
      </w:r>
      <w:r w:rsidRPr="00327992">
        <w:rPr>
          <w:bCs/>
          <w:color w:val="000000"/>
        </w:rPr>
        <w:t xml:space="preserve">Terms </w:t>
      </w:r>
      <w:r w:rsidR="00AB2929" w:rsidRPr="00327992">
        <w:rPr>
          <w:bCs/>
          <w:color w:val="000000"/>
        </w:rPr>
        <w:t>are</w:t>
      </w:r>
      <w:r w:rsidRPr="00327992">
        <w:rPr>
          <w:bCs/>
          <w:color w:val="000000"/>
        </w:rPr>
        <w:t xml:space="preserve"> not be duplicated in</w:t>
      </w:r>
      <w:r w:rsidR="00AB2929" w:rsidRPr="00327992">
        <w:rPr>
          <w:bCs/>
          <w:color w:val="000000"/>
        </w:rPr>
        <w:t xml:space="preserve"> </w:t>
      </w:r>
      <w:r w:rsidRPr="00327992">
        <w:rPr>
          <w:bCs/>
          <w:color w:val="000000"/>
        </w:rPr>
        <w:t>both lists.</w:t>
      </w:r>
    </w:p>
    <w:p w14:paraId="13BD45E6" w14:textId="77777777" w:rsidR="00930A3C" w:rsidRPr="00327992" w:rsidRDefault="00930A3C" w:rsidP="00DB71B9">
      <w:pPr>
        <w:jc w:val="both"/>
        <w:rPr>
          <w:b/>
          <w:color w:val="000000"/>
        </w:rPr>
      </w:pPr>
    </w:p>
    <w:p w14:paraId="5C6A83F7" w14:textId="3439429D" w:rsidR="0090482D" w:rsidRDefault="00B66786" w:rsidP="00DB71B9">
      <w:pPr>
        <w:jc w:val="both"/>
        <w:rPr>
          <w:b/>
        </w:rPr>
      </w:pPr>
      <w:r w:rsidRPr="00327992">
        <w:rPr>
          <w:b/>
          <w:color w:val="000000"/>
        </w:rPr>
        <w:t>Quicker Search Results</w:t>
      </w:r>
      <w:r w:rsidRPr="00327992">
        <w:rPr>
          <w:color w:val="000000"/>
        </w:rPr>
        <w:t>:</w:t>
      </w:r>
      <w:r w:rsidRPr="00327992">
        <w:rPr>
          <w:b/>
        </w:rPr>
        <w:t xml:space="preserve"> </w:t>
      </w:r>
      <w:r w:rsidRPr="004E00B6">
        <w:rPr>
          <w:b/>
        </w:rPr>
        <w:t xml:space="preserve">Depress </w:t>
      </w:r>
      <w:proofErr w:type="spellStart"/>
      <w:r w:rsidRPr="004E00B6">
        <w:rPr>
          <w:b/>
        </w:rPr>
        <w:t>Ctrl+F</w:t>
      </w:r>
      <w:proofErr w:type="spellEnd"/>
      <w:r w:rsidRPr="004E00B6">
        <w:rPr>
          <w:b/>
        </w:rPr>
        <w:t xml:space="preserve"> → Type in Keyword → Click Find Next</w:t>
      </w:r>
    </w:p>
    <w:p w14:paraId="7D55850D" w14:textId="77777777" w:rsidR="00F25025" w:rsidRDefault="00F25025" w:rsidP="00DB71B9">
      <w:pPr>
        <w:jc w:val="both"/>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2409"/>
        <w:gridCol w:w="8490"/>
      </w:tblGrid>
      <w:tr w:rsidR="00D85161" w:rsidRPr="004E00B6" w14:paraId="1FA3E242" w14:textId="77777777" w:rsidTr="000B1FB8">
        <w:tc>
          <w:tcPr>
            <w:tcW w:w="792" w:type="pct"/>
            <w:shd w:val="clear" w:color="auto" w:fill="BFBFBF" w:themeFill="background1" w:themeFillShade="BF"/>
            <w:vAlign w:val="center"/>
          </w:tcPr>
          <w:p w14:paraId="3AB87169" w14:textId="06217986" w:rsidR="00D85161" w:rsidRPr="00D85161" w:rsidRDefault="00D85161" w:rsidP="00DB71B9">
            <w:pPr>
              <w:jc w:val="center"/>
              <w:rPr>
                <w:b/>
                <w:color w:val="000000"/>
              </w:rPr>
            </w:pPr>
            <w:bookmarkStart w:id="3" w:name="_A_1"/>
            <w:bookmarkEnd w:id="3"/>
            <w:r w:rsidRPr="00D85161">
              <w:rPr>
                <w:b/>
                <w:color w:val="000000"/>
              </w:rPr>
              <w:t>Abbreviation</w:t>
            </w:r>
          </w:p>
        </w:tc>
        <w:tc>
          <w:tcPr>
            <w:tcW w:w="930" w:type="pct"/>
            <w:shd w:val="clear" w:color="auto" w:fill="BFBFBF" w:themeFill="background1" w:themeFillShade="BF"/>
            <w:vAlign w:val="center"/>
          </w:tcPr>
          <w:p w14:paraId="50E38EC1" w14:textId="5F833BFD" w:rsidR="00D85161" w:rsidRPr="00D85161" w:rsidRDefault="00D85161" w:rsidP="00DB71B9">
            <w:pPr>
              <w:jc w:val="center"/>
              <w:rPr>
                <w:rFonts w:cs="Arial"/>
                <w:b/>
              </w:rPr>
            </w:pPr>
            <w:r w:rsidRPr="00D85161">
              <w:rPr>
                <w:rFonts w:cs="Arial"/>
                <w:b/>
              </w:rPr>
              <w:t>Term</w:t>
            </w:r>
          </w:p>
        </w:tc>
        <w:tc>
          <w:tcPr>
            <w:tcW w:w="3278" w:type="pct"/>
            <w:shd w:val="clear" w:color="auto" w:fill="BFBFBF" w:themeFill="background1" w:themeFillShade="BF"/>
            <w:vAlign w:val="center"/>
          </w:tcPr>
          <w:p w14:paraId="44E85223" w14:textId="34448105" w:rsidR="00D85161" w:rsidRPr="00D85161" w:rsidRDefault="00D85161" w:rsidP="00DB71B9">
            <w:pPr>
              <w:jc w:val="center"/>
              <w:rPr>
                <w:rFonts w:cs="Arial"/>
                <w:b/>
              </w:rPr>
            </w:pPr>
            <w:r w:rsidRPr="00D85161">
              <w:rPr>
                <w:rFonts w:cs="Arial"/>
                <w:b/>
              </w:rPr>
              <w:t>Definition</w:t>
            </w:r>
          </w:p>
        </w:tc>
      </w:tr>
      <w:tr w:rsidR="00084B4D" w:rsidRPr="004E00B6" w14:paraId="64A21A07" w14:textId="77777777" w:rsidTr="000B1FB8">
        <w:tc>
          <w:tcPr>
            <w:tcW w:w="792" w:type="pct"/>
          </w:tcPr>
          <w:p w14:paraId="146C3C68" w14:textId="4586EB09" w:rsidR="00084B4D" w:rsidRPr="00F4531F" w:rsidRDefault="007B5947" w:rsidP="00DB71B9">
            <w:pPr>
              <w:jc w:val="center"/>
              <w:rPr>
                <w:b/>
                <w:color w:val="000000"/>
              </w:rPr>
            </w:pPr>
            <w:r>
              <w:rPr>
                <w:b/>
                <w:color w:val="000000"/>
              </w:rPr>
              <w:t xml:space="preserve"> </w:t>
            </w:r>
            <w:r w:rsidR="00084B4D" w:rsidRPr="00F4531F">
              <w:rPr>
                <w:b/>
                <w:color w:val="000000"/>
              </w:rPr>
              <w:t>O/B</w:t>
            </w:r>
          </w:p>
        </w:tc>
        <w:tc>
          <w:tcPr>
            <w:tcW w:w="930" w:type="pct"/>
          </w:tcPr>
          <w:p w14:paraId="5CE7A8BC" w14:textId="551648B4" w:rsidR="00084B4D" w:rsidRPr="004E00B6" w:rsidRDefault="00084B4D" w:rsidP="00DB71B9">
            <w:pPr>
              <w:rPr>
                <w:rFonts w:cs="Arial"/>
              </w:rPr>
            </w:pPr>
            <w:r w:rsidRPr="004E00B6">
              <w:rPr>
                <w:rFonts w:cs="Arial"/>
              </w:rPr>
              <w:t>Outbound</w:t>
            </w:r>
          </w:p>
        </w:tc>
        <w:tc>
          <w:tcPr>
            <w:tcW w:w="3278" w:type="pct"/>
          </w:tcPr>
          <w:p w14:paraId="3E4127D6" w14:textId="18F5A2E8" w:rsidR="00084B4D" w:rsidRPr="004E00B6" w:rsidRDefault="00556139" w:rsidP="00DB71B9">
            <w:pPr>
              <w:rPr>
                <w:rFonts w:cs="Arial"/>
              </w:rPr>
            </w:pPr>
            <w:r>
              <w:rPr>
                <w:rFonts w:cs="Arial"/>
              </w:rPr>
              <w:t>Communication outwards to another party.</w:t>
            </w:r>
          </w:p>
        </w:tc>
      </w:tr>
      <w:tr w:rsidR="00084B4D" w:rsidRPr="004E00B6" w14:paraId="40A64EA5" w14:textId="77777777" w:rsidTr="000B1FB8">
        <w:tc>
          <w:tcPr>
            <w:tcW w:w="792" w:type="pct"/>
          </w:tcPr>
          <w:p w14:paraId="39CD5DDA" w14:textId="77777777" w:rsidR="00084B4D" w:rsidRPr="00F4531F" w:rsidRDefault="00084B4D" w:rsidP="00DB71B9">
            <w:pPr>
              <w:jc w:val="center"/>
              <w:rPr>
                <w:b/>
                <w:color w:val="000000"/>
              </w:rPr>
            </w:pPr>
            <w:r w:rsidRPr="00F4531F">
              <w:rPr>
                <w:b/>
                <w:color w:val="000000"/>
              </w:rPr>
              <w:t>O/C</w:t>
            </w:r>
          </w:p>
        </w:tc>
        <w:tc>
          <w:tcPr>
            <w:tcW w:w="930" w:type="pct"/>
          </w:tcPr>
          <w:p w14:paraId="1F817DD7" w14:textId="5291F7FD" w:rsidR="00084B4D" w:rsidRPr="004E00B6" w:rsidRDefault="00084B4D" w:rsidP="00DB71B9">
            <w:pPr>
              <w:rPr>
                <w:rFonts w:cs="Arial"/>
              </w:rPr>
            </w:pPr>
            <w:r w:rsidRPr="004E00B6">
              <w:rPr>
                <w:rFonts w:cs="Arial"/>
              </w:rPr>
              <w:t>Office Closed</w:t>
            </w:r>
          </w:p>
        </w:tc>
        <w:tc>
          <w:tcPr>
            <w:tcW w:w="3278" w:type="pct"/>
          </w:tcPr>
          <w:p w14:paraId="45C56451" w14:textId="77777777" w:rsidR="00084B4D" w:rsidRPr="004E00B6" w:rsidRDefault="00084B4D" w:rsidP="00DB71B9">
            <w:pPr>
              <w:rPr>
                <w:rFonts w:cs="Arial"/>
              </w:rPr>
            </w:pPr>
            <w:r w:rsidRPr="004E00B6">
              <w:rPr>
                <w:rFonts w:cs="Arial"/>
              </w:rPr>
              <w:t>Prescriber’s office is closed</w:t>
            </w:r>
            <w:r>
              <w:rPr>
                <w:rFonts w:cs="Arial"/>
              </w:rPr>
              <w:t>.</w:t>
            </w:r>
          </w:p>
        </w:tc>
      </w:tr>
      <w:tr w:rsidR="001A0C09" w:rsidRPr="004E00B6" w14:paraId="753FFB3B" w14:textId="77777777" w:rsidTr="000B1FB8">
        <w:tc>
          <w:tcPr>
            <w:tcW w:w="792" w:type="pct"/>
          </w:tcPr>
          <w:p w14:paraId="4723D3E7" w14:textId="77777777" w:rsidR="001A0C09" w:rsidRPr="00F4531F" w:rsidRDefault="001A0C09" w:rsidP="00DB71B9">
            <w:pPr>
              <w:jc w:val="center"/>
              <w:rPr>
                <w:b/>
                <w:color w:val="000000"/>
              </w:rPr>
            </w:pPr>
            <w:r w:rsidRPr="00F4531F">
              <w:rPr>
                <w:b/>
                <w:color w:val="000000"/>
              </w:rPr>
              <w:t>O/E</w:t>
            </w:r>
          </w:p>
        </w:tc>
        <w:tc>
          <w:tcPr>
            <w:tcW w:w="930" w:type="pct"/>
          </w:tcPr>
          <w:p w14:paraId="4086FAD5" w14:textId="08644A93" w:rsidR="001A0C09" w:rsidRPr="004E00B6" w:rsidRDefault="001A0C09" w:rsidP="00DB71B9">
            <w:pPr>
              <w:rPr>
                <w:rFonts w:cs="Arial"/>
              </w:rPr>
            </w:pPr>
            <w:r w:rsidRPr="004E00B6">
              <w:rPr>
                <w:rFonts w:cs="Arial"/>
              </w:rPr>
              <w:t>Order Entry</w:t>
            </w:r>
          </w:p>
        </w:tc>
        <w:tc>
          <w:tcPr>
            <w:tcW w:w="3278" w:type="pct"/>
          </w:tcPr>
          <w:p w14:paraId="1551914D" w14:textId="02F14706" w:rsidR="001A0C09" w:rsidRPr="004E00B6" w:rsidRDefault="001A0C09" w:rsidP="00DB71B9">
            <w:pPr>
              <w:rPr>
                <w:rFonts w:cs="Arial"/>
              </w:rPr>
            </w:pPr>
            <w:r w:rsidRPr="004E00B6">
              <w:rPr>
                <w:rFonts w:cs="Arial"/>
              </w:rPr>
              <w:t>Department in AMOS that performs the initial entry of a prescription order into the system</w:t>
            </w:r>
            <w:r>
              <w:rPr>
                <w:rFonts w:cs="Arial"/>
              </w:rPr>
              <w:t>.</w:t>
            </w:r>
          </w:p>
        </w:tc>
      </w:tr>
      <w:tr w:rsidR="001A0C09" w:rsidRPr="004E00B6" w14:paraId="0A004206" w14:textId="77777777" w:rsidTr="000B1FB8">
        <w:tc>
          <w:tcPr>
            <w:tcW w:w="792" w:type="pct"/>
          </w:tcPr>
          <w:p w14:paraId="3295F27B" w14:textId="7953DBBF" w:rsidR="001A0C09" w:rsidRPr="00F4531F" w:rsidRDefault="001A0C09" w:rsidP="00DB71B9">
            <w:pPr>
              <w:jc w:val="center"/>
              <w:rPr>
                <w:b/>
                <w:color w:val="000000"/>
              </w:rPr>
            </w:pPr>
            <w:r>
              <w:rPr>
                <w:b/>
                <w:color w:val="000000"/>
              </w:rPr>
              <w:t xml:space="preserve"> OBC </w:t>
            </w:r>
          </w:p>
        </w:tc>
        <w:tc>
          <w:tcPr>
            <w:tcW w:w="930" w:type="pct"/>
          </w:tcPr>
          <w:p w14:paraId="3D842FD3" w14:textId="77777777" w:rsidR="001A0C09" w:rsidRDefault="001A0C09" w:rsidP="00DB71B9">
            <w:pPr>
              <w:rPr>
                <w:rFonts w:cs="Arial"/>
              </w:rPr>
            </w:pPr>
            <w:r w:rsidRPr="002B7629">
              <w:rPr>
                <w:rFonts w:cs="Arial"/>
              </w:rPr>
              <w:t>Outbound Telephone Call</w:t>
            </w:r>
            <w:r>
              <w:rPr>
                <w:rFonts w:cs="Arial"/>
              </w:rPr>
              <w:t xml:space="preserve"> </w:t>
            </w:r>
          </w:p>
        </w:tc>
        <w:tc>
          <w:tcPr>
            <w:tcW w:w="3278" w:type="pct"/>
          </w:tcPr>
          <w:p w14:paraId="132B9503" w14:textId="01B089A8" w:rsidR="001A0C09" w:rsidRDefault="001A0C09" w:rsidP="00DB71B9">
            <w:pPr>
              <w:rPr>
                <w:rFonts w:cs="Arial"/>
              </w:rPr>
            </w:pPr>
            <w:r>
              <w:rPr>
                <w:rFonts w:cs="Arial"/>
              </w:rPr>
              <w:t>When an individual makes a call to another party, rather than the individual receiving a call (inbound).</w:t>
            </w:r>
          </w:p>
        </w:tc>
      </w:tr>
      <w:tr w:rsidR="001A0C09" w14:paraId="7822B05D" w14:textId="77777777" w:rsidTr="000B1FB8">
        <w:tc>
          <w:tcPr>
            <w:tcW w:w="792" w:type="pct"/>
            <w:tcBorders>
              <w:top w:val="single" w:sz="4" w:space="0" w:color="auto"/>
              <w:left w:val="single" w:sz="4" w:space="0" w:color="auto"/>
              <w:bottom w:val="single" w:sz="4" w:space="0" w:color="auto"/>
              <w:right w:val="single" w:sz="4" w:space="0" w:color="auto"/>
            </w:tcBorders>
          </w:tcPr>
          <w:p w14:paraId="5C27649F" w14:textId="753FBDCD" w:rsidR="001A0C09" w:rsidRPr="00B3251F" w:rsidRDefault="001A0C09" w:rsidP="00DB71B9">
            <w:pPr>
              <w:jc w:val="center"/>
              <w:rPr>
                <w:b/>
              </w:rPr>
            </w:pPr>
            <w:r w:rsidRPr="00B3251F">
              <w:rPr>
                <w:b/>
              </w:rPr>
              <w:t>OBN</w:t>
            </w:r>
          </w:p>
        </w:tc>
        <w:tc>
          <w:tcPr>
            <w:tcW w:w="930" w:type="pct"/>
            <w:tcBorders>
              <w:top w:val="single" w:sz="4" w:space="0" w:color="auto"/>
              <w:left w:val="single" w:sz="4" w:space="0" w:color="auto"/>
              <w:bottom w:val="single" w:sz="4" w:space="0" w:color="auto"/>
              <w:right w:val="single" w:sz="4" w:space="0" w:color="auto"/>
            </w:tcBorders>
          </w:tcPr>
          <w:p w14:paraId="6E4C03D9" w14:textId="77777777" w:rsidR="001A0C09" w:rsidRPr="00FE2FBC" w:rsidRDefault="001A0C09" w:rsidP="00DB71B9">
            <w:pPr>
              <w:rPr>
                <w:rFonts w:cs="Arial"/>
                <w:bCs/>
              </w:rPr>
            </w:pPr>
            <w:r w:rsidRPr="00BA392E">
              <w:rPr>
                <w:rFonts w:cs="Arial"/>
                <w:bCs/>
              </w:rPr>
              <w:t>Oklahoma Bureau of Narcotics</w:t>
            </w:r>
          </w:p>
        </w:tc>
        <w:tc>
          <w:tcPr>
            <w:tcW w:w="3278" w:type="pct"/>
            <w:tcBorders>
              <w:top w:val="single" w:sz="4" w:space="0" w:color="auto"/>
              <w:left w:val="single" w:sz="4" w:space="0" w:color="auto"/>
              <w:bottom w:val="single" w:sz="4" w:space="0" w:color="auto"/>
              <w:right w:val="single" w:sz="4" w:space="0" w:color="auto"/>
            </w:tcBorders>
          </w:tcPr>
          <w:p w14:paraId="4BC8F9C4" w14:textId="77777777" w:rsidR="001A0C09" w:rsidRPr="00B3251F" w:rsidRDefault="001A0C09" w:rsidP="00DB71B9">
            <w:pPr>
              <w:rPr>
                <w:rFonts w:cs="Arial"/>
              </w:rPr>
            </w:pPr>
          </w:p>
        </w:tc>
      </w:tr>
      <w:tr w:rsidR="001A0C09" w:rsidRPr="004E00B6" w14:paraId="5C2B5B2A" w14:textId="77777777" w:rsidTr="000B1FB8">
        <w:tc>
          <w:tcPr>
            <w:tcW w:w="792" w:type="pct"/>
          </w:tcPr>
          <w:p w14:paraId="46F1A0EB" w14:textId="77777777" w:rsidR="001A0C09" w:rsidRPr="00F4531F" w:rsidRDefault="001A0C09" w:rsidP="00DB71B9">
            <w:pPr>
              <w:jc w:val="center"/>
              <w:rPr>
                <w:b/>
                <w:color w:val="000000"/>
              </w:rPr>
            </w:pPr>
            <w:r w:rsidRPr="00F4531F">
              <w:rPr>
                <w:b/>
                <w:color w:val="000000"/>
              </w:rPr>
              <w:t>OBRA 87</w:t>
            </w:r>
          </w:p>
        </w:tc>
        <w:tc>
          <w:tcPr>
            <w:tcW w:w="930" w:type="pct"/>
          </w:tcPr>
          <w:p w14:paraId="3EB72ED0" w14:textId="77777777" w:rsidR="001A0C09" w:rsidRPr="004E00B6" w:rsidRDefault="001A0C09" w:rsidP="00DB71B9">
            <w:pPr>
              <w:rPr>
                <w:rFonts w:cs="Arial"/>
              </w:rPr>
            </w:pPr>
            <w:proofErr w:type="spellStart"/>
            <w:r>
              <w:rPr>
                <w:rFonts w:cs="Arial"/>
              </w:rPr>
              <w:t>Onmibus</w:t>
            </w:r>
            <w:proofErr w:type="spellEnd"/>
            <w:r>
              <w:rPr>
                <w:rFonts w:cs="Arial"/>
              </w:rPr>
              <w:t xml:space="preserve"> Budget Reconciliation Act of 1987</w:t>
            </w:r>
          </w:p>
        </w:tc>
        <w:tc>
          <w:tcPr>
            <w:tcW w:w="3278" w:type="pct"/>
          </w:tcPr>
          <w:p w14:paraId="4F7BD1C5" w14:textId="6A4FC853" w:rsidR="001A0C09" w:rsidRPr="004E00B6" w:rsidRDefault="001A0C09" w:rsidP="00DB71B9">
            <w:pPr>
              <w:rPr>
                <w:rFonts w:cs="Arial"/>
              </w:rPr>
            </w:pPr>
            <w:r>
              <w:rPr>
                <w:rFonts w:cs="Arial"/>
              </w:rPr>
              <w:t>F</w:t>
            </w:r>
            <w:r w:rsidRPr="006B3934">
              <w:rPr>
                <w:rFonts w:cs="Arial"/>
              </w:rPr>
              <w:t>ederal budget reconciliation act passed in 1987 that contained specific pharmacy language creating drug regimen review requirements by pharmacists in all federally reimbursed long-term care facilities</w:t>
            </w:r>
            <w:r>
              <w:rPr>
                <w:rFonts w:cs="Arial"/>
              </w:rPr>
              <w:t>.</w:t>
            </w:r>
          </w:p>
        </w:tc>
      </w:tr>
      <w:tr w:rsidR="001A0C09" w:rsidRPr="004E00B6" w14:paraId="0AEF8DDC" w14:textId="77777777" w:rsidTr="000B1FB8">
        <w:tc>
          <w:tcPr>
            <w:tcW w:w="792" w:type="pct"/>
          </w:tcPr>
          <w:p w14:paraId="065549FB" w14:textId="77777777" w:rsidR="001A0C09" w:rsidRPr="00F4531F" w:rsidRDefault="001A0C09" w:rsidP="00DB71B9">
            <w:pPr>
              <w:jc w:val="center"/>
              <w:rPr>
                <w:b/>
                <w:color w:val="000000"/>
              </w:rPr>
            </w:pPr>
            <w:r w:rsidRPr="00F4531F">
              <w:rPr>
                <w:b/>
                <w:color w:val="000000"/>
              </w:rPr>
              <w:t>OBRA 90</w:t>
            </w:r>
          </w:p>
        </w:tc>
        <w:tc>
          <w:tcPr>
            <w:tcW w:w="930" w:type="pct"/>
          </w:tcPr>
          <w:p w14:paraId="1103CEFE" w14:textId="77777777" w:rsidR="001A0C09" w:rsidRPr="004E00B6" w:rsidRDefault="001A0C09" w:rsidP="00DB71B9">
            <w:pPr>
              <w:rPr>
                <w:rFonts w:cs="Arial"/>
              </w:rPr>
            </w:pPr>
            <w:proofErr w:type="spellStart"/>
            <w:r>
              <w:rPr>
                <w:rFonts w:cs="Arial"/>
              </w:rPr>
              <w:t>Onmibus</w:t>
            </w:r>
            <w:proofErr w:type="spellEnd"/>
            <w:r>
              <w:rPr>
                <w:rFonts w:cs="Arial"/>
              </w:rPr>
              <w:t xml:space="preserve"> Budget Reconciliation Act of 1990</w:t>
            </w:r>
          </w:p>
        </w:tc>
        <w:tc>
          <w:tcPr>
            <w:tcW w:w="3278" w:type="pct"/>
          </w:tcPr>
          <w:p w14:paraId="6631434B" w14:textId="2BB5440B" w:rsidR="001A0C09" w:rsidRPr="004E00B6" w:rsidRDefault="001A0C09" w:rsidP="00DB71B9">
            <w:pPr>
              <w:rPr>
                <w:rFonts w:cs="Arial"/>
              </w:rPr>
            </w:pPr>
            <w:r>
              <w:rPr>
                <w:rFonts w:cs="Arial"/>
              </w:rPr>
              <w:t>F</w:t>
            </w:r>
            <w:r w:rsidRPr="006B3934">
              <w:rPr>
                <w:rFonts w:cs="Arial"/>
              </w:rPr>
              <w:t>ederal budget reconciliation act passed in 1990 that contained specific pharmacy language required drug utilization review activities by state Medicaid programs, creating research of pharmaceutical care, and mandating basic community pharmacy counseling requirements to be done by pharmacists at the time of dispensing a medication</w:t>
            </w:r>
            <w:r>
              <w:rPr>
                <w:rFonts w:cs="Arial"/>
              </w:rPr>
              <w:t>.</w:t>
            </w:r>
          </w:p>
        </w:tc>
      </w:tr>
      <w:tr w:rsidR="001A0C09" w:rsidRPr="004E00B6" w14:paraId="3B3CBD1D" w14:textId="77777777" w:rsidTr="000B1FB8">
        <w:tc>
          <w:tcPr>
            <w:tcW w:w="792" w:type="pct"/>
          </w:tcPr>
          <w:p w14:paraId="2321DCD5" w14:textId="77777777" w:rsidR="001A0C09" w:rsidRPr="00F4531F" w:rsidRDefault="001A0C09" w:rsidP="00DB71B9">
            <w:pPr>
              <w:jc w:val="center"/>
              <w:rPr>
                <w:b/>
                <w:color w:val="000000"/>
              </w:rPr>
            </w:pPr>
            <w:r>
              <w:rPr>
                <w:b/>
                <w:color w:val="000000"/>
              </w:rPr>
              <w:t xml:space="preserve">OCC </w:t>
            </w:r>
          </w:p>
        </w:tc>
        <w:tc>
          <w:tcPr>
            <w:tcW w:w="930" w:type="pct"/>
          </w:tcPr>
          <w:p w14:paraId="65219BC9" w14:textId="77777777" w:rsidR="001A0C09" w:rsidRPr="004E00B6" w:rsidRDefault="001A0C09" w:rsidP="00DB71B9">
            <w:pPr>
              <w:rPr>
                <w:rFonts w:cs="Arial"/>
              </w:rPr>
            </w:pPr>
            <w:r w:rsidRPr="002B7629">
              <w:rPr>
                <w:rFonts w:cs="Arial"/>
                <w:bCs/>
              </w:rPr>
              <w:t>Other Coverage Codes</w:t>
            </w:r>
            <w:r>
              <w:rPr>
                <w:rFonts w:cs="Arial"/>
                <w:bCs/>
              </w:rPr>
              <w:t xml:space="preserve"> </w:t>
            </w:r>
          </w:p>
        </w:tc>
        <w:tc>
          <w:tcPr>
            <w:tcW w:w="3278" w:type="pct"/>
          </w:tcPr>
          <w:p w14:paraId="55626800" w14:textId="77777777" w:rsidR="001A0C09" w:rsidRPr="004E00B6" w:rsidRDefault="001A0C09" w:rsidP="00DB71B9">
            <w:pPr>
              <w:rPr>
                <w:rFonts w:cs="Arial"/>
              </w:rPr>
            </w:pPr>
            <w:r w:rsidRPr="002B7629">
              <w:rPr>
                <w:rFonts w:cs="Arial"/>
              </w:rPr>
              <w:t xml:space="preserve">Are used to determine the intention of the pharmacy when submitting a primary or a secondary claim. These codes and their values are defined by </w:t>
            </w:r>
            <w:proofErr w:type="spellStart"/>
            <w:r w:rsidRPr="002B7629">
              <w:rPr>
                <w:rFonts w:cs="Arial"/>
              </w:rPr>
              <w:t>NCPDP</w:t>
            </w:r>
            <w:proofErr w:type="spellEnd"/>
            <w:r w:rsidRPr="002B7629">
              <w:rPr>
                <w:rFonts w:cs="Arial"/>
              </w:rPr>
              <w:t>.</w:t>
            </w:r>
            <w:r>
              <w:rPr>
                <w:rFonts w:cs="Arial"/>
              </w:rPr>
              <w:t xml:space="preserve"> </w:t>
            </w:r>
          </w:p>
        </w:tc>
      </w:tr>
      <w:tr w:rsidR="001A0C09" w:rsidRPr="004E00B6" w14:paraId="43E0CEFE" w14:textId="77777777" w:rsidTr="000B1FB8">
        <w:tc>
          <w:tcPr>
            <w:tcW w:w="792" w:type="pct"/>
          </w:tcPr>
          <w:p w14:paraId="242FD7B4" w14:textId="4DBE89AF" w:rsidR="001A0C09" w:rsidRPr="00F4531F" w:rsidRDefault="001A0C09" w:rsidP="00DB71B9">
            <w:pPr>
              <w:jc w:val="center"/>
              <w:rPr>
                <w:b/>
                <w:color w:val="000000"/>
              </w:rPr>
            </w:pPr>
            <w:r>
              <w:rPr>
                <w:b/>
                <w:color w:val="000000"/>
              </w:rPr>
              <w:t xml:space="preserve"> </w:t>
            </w:r>
            <w:r w:rsidRPr="00F4531F">
              <w:rPr>
                <w:b/>
                <w:color w:val="000000"/>
              </w:rPr>
              <w:t>OCR</w:t>
            </w:r>
          </w:p>
        </w:tc>
        <w:tc>
          <w:tcPr>
            <w:tcW w:w="930" w:type="pct"/>
          </w:tcPr>
          <w:p w14:paraId="0583669C" w14:textId="338C2C72" w:rsidR="001A0C09" w:rsidRPr="004E00B6" w:rsidRDefault="001A0C09" w:rsidP="00DB71B9">
            <w:pPr>
              <w:rPr>
                <w:rFonts w:cs="Arial"/>
              </w:rPr>
            </w:pPr>
            <w:r w:rsidRPr="004E00B6">
              <w:rPr>
                <w:rFonts w:cs="Arial"/>
              </w:rPr>
              <w:t>Optical Character Recognition</w:t>
            </w:r>
          </w:p>
        </w:tc>
        <w:tc>
          <w:tcPr>
            <w:tcW w:w="3278" w:type="pct"/>
          </w:tcPr>
          <w:p w14:paraId="1D042A8B" w14:textId="0F820D35" w:rsidR="001A0C09" w:rsidRPr="004E00B6" w:rsidRDefault="001A0C09" w:rsidP="00DB71B9">
            <w:pPr>
              <w:rPr>
                <w:rFonts w:cs="Arial"/>
              </w:rPr>
            </w:pPr>
            <w:r>
              <w:rPr>
                <w:color w:val="000000"/>
              </w:rPr>
              <w:t>Let’s a PC read a fax or scanned image and convert it to actual lettering.</w:t>
            </w:r>
          </w:p>
        </w:tc>
      </w:tr>
      <w:tr w:rsidR="001A0C09" w:rsidRPr="004E00B6" w14:paraId="3BCB5AB8" w14:textId="77777777" w:rsidTr="000B1FB8">
        <w:tc>
          <w:tcPr>
            <w:tcW w:w="792" w:type="pct"/>
          </w:tcPr>
          <w:p w14:paraId="2271BE77" w14:textId="77777777" w:rsidR="001A0C09" w:rsidRPr="00F4531F" w:rsidRDefault="001A0C09" w:rsidP="00DB71B9">
            <w:pPr>
              <w:jc w:val="center"/>
              <w:rPr>
                <w:b/>
                <w:color w:val="000000"/>
              </w:rPr>
            </w:pPr>
            <w:r w:rsidRPr="00F4531F">
              <w:rPr>
                <w:b/>
                <w:color w:val="000000"/>
              </w:rPr>
              <w:t>ODM</w:t>
            </w:r>
          </w:p>
        </w:tc>
        <w:tc>
          <w:tcPr>
            <w:tcW w:w="930" w:type="pct"/>
          </w:tcPr>
          <w:p w14:paraId="00A4AD0E" w14:textId="77777777" w:rsidR="001A0C09" w:rsidRPr="004E00B6" w:rsidRDefault="001A0C09" w:rsidP="00DB71B9">
            <w:pPr>
              <w:rPr>
                <w:rFonts w:cs="Arial"/>
              </w:rPr>
            </w:pPr>
            <w:r w:rsidRPr="004E00B6">
              <w:rPr>
                <w:rFonts w:cs="Arial"/>
              </w:rPr>
              <w:t>Operations Data Mart</w:t>
            </w:r>
          </w:p>
        </w:tc>
        <w:tc>
          <w:tcPr>
            <w:tcW w:w="3278" w:type="pct"/>
          </w:tcPr>
          <w:p w14:paraId="4BD4BFB5" w14:textId="3F11CB97" w:rsidR="001A0C09" w:rsidRPr="004E00B6" w:rsidRDefault="001A0C09" w:rsidP="00DB71B9">
            <w:pPr>
              <w:rPr>
                <w:rFonts w:cs="Arial"/>
              </w:rPr>
            </w:pPr>
            <w:r w:rsidRPr="007B0FC0">
              <w:rPr>
                <w:rFonts w:cs="Arial"/>
              </w:rPr>
              <w:t>Mail Order pharmacy reporting system (real-time and historical reporting</w:t>
            </w:r>
            <w:r>
              <w:rPr>
                <w:rFonts w:cs="Arial"/>
              </w:rPr>
              <w:t>).</w:t>
            </w:r>
          </w:p>
        </w:tc>
      </w:tr>
      <w:tr w:rsidR="001A0C09" w:rsidRPr="004E00B6" w14:paraId="05F3C511" w14:textId="77777777" w:rsidTr="000B1FB8">
        <w:tc>
          <w:tcPr>
            <w:tcW w:w="792" w:type="pct"/>
          </w:tcPr>
          <w:p w14:paraId="03642821" w14:textId="44AE27B7" w:rsidR="001A0C09" w:rsidRPr="00F4531F" w:rsidRDefault="001A0C09" w:rsidP="00DB71B9">
            <w:pPr>
              <w:jc w:val="center"/>
              <w:rPr>
                <w:b/>
                <w:color w:val="000000"/>
              </w:rPr>
            </w:pPr>
            <w:r>
              <w:rPr>
                <w:b/>
                <w:color w:val="000000"/>
              </w:rPr>
              <w:t xml:space="preserve"> </w:t>
            </w:r>
            <w:r w:rsidRPr="00F4531F">
              <w:rPr>
                <w:b/>
                <w:color w:val="000000"/>
              </w:rPr>
              <w:t>ODS</w:t>
            </w:r>
          </w:p>
        </w:tc>
        <w:tc>
          <w:tcPr>
            <w:tcW w:w="930" w:type="pct"/>
          </w:tcPr>
          <w:p w14:paraId="0050F581" w14:textId="737D7105" w:rsidR="001A0C09" w:rsidRPr="004E00B6" w:rsidRDefault="001A0C09" w:rsidP="00DB71B9">
            <w:pPr>
              <w:rPr>
                <w:rFonts w:cs="Arial"/>
              </w:rPr>
            </w:pPr>
            <w:r w:rsidRPr="004E00B6">
              <w:rPr>
                <w:rFonts w:cs="Arial"/>
              </w:rPr>
              <w:t>Order Distribution Services</w:t>
            </w:r>
          </w:p>
        </w:tc>
        <w:tc>
          <w:tcPr>
            <w:tcW w:w="3278" w:type="pct"/>
          </w:tcPr>
          <w:p w14:paraId="3CE70691" w14:textId="7FCEEC3A" w:rsidR="001A0C09" w:rsidRPr="004E00B6" w:rsidRDefault="001A0C09" w:rsidP="00DB71B9">
            <w:pPr>
              <w:rPr>
                <w:rFonts w:cs="Arial"/>
              </w:rPr>
            </w:pPr>
            <w:r>
              <w:rPr>
                <w:rFonts w:cs="Arial"/>
              </w:rPr>
              <w:t xml:space="preserve">Department within CVS </w:t>
            </w:r>
            <w:proofErr w:type="spellStart"/>
            <w:r>
              <w:rPr>
                <w:rFonts w:cs="Arial"/>
              </w:rPr>
              <w:t>Caremake</w:t>
            </w:r>
            <w:proofErr w:type="spellEnd"/>
            <w:r>
              <w:rPr>
                <w:rFonts w:cs="Arial"/>
              </w:rPr>
              <w:t xml:space="preserve">. </w:t>
            </w:r>
          </w:p>
        </w:tc>
      </w:tr>
      <w:tr w:rsidR="001A0C09" w:rsidRPr="004E00B6" w14:paraId="2114CCC4" w14:textId="77777777" w:rsidTr="000B1FB8">
        <w:tc>
          <w:tcPr>
            <w:tcW w:w="792" w:type="pct"/>
          </w:tcPr>
          <w:p w14:paraId="73DBDD9C" w14:textId="77777777" w:rsidR="001A0C09" w:rsidRPr="00F4531F" w:rsidRDefault="001A0C09" w:rsidP="00DB71B9">
            <w:pPr>
              <w:jc w:val="center"/>
              <w:rPr>
                <w:b/>
                <w:color w:val="000000"/>
              </w:rPr>
            </w:pPr>
            <w:r>
              <w:rPr>
                <w:b/>
              </w:rPr>
              <w:t>ODS</w:t>
            </w:r>
          </w:p>
        </w:tc>
        <w:tc>
          <w:tcPr>
            <w:tcW w:w="930" w:type="pct"/>
          </w:tcPr>
          <w:p w14:paraId="54D1B1F7" w14:textId="77777777" w:rsidR="001A0C09" w:rsidRPr="004E00B6" w:rsidRDefault="001A0C09" w:rsidP="00DB71B9">
            <w:pPr>
              <w:rPr>
                <w:rFonts w:cs="Arial"/>
              </w:rPr>
            </w:pPr>
            <w:r>
              <w:t>O’Neil</w:t>
            </w:r>
          </w:p>
        </w:tc>
        <w:tc>
          <w:tcPr>
            <w:tcW w:w="3278" w:type="pct"/>
          </w:tcPr>
          <w:p w14:paraId="5CB4D9CF" w14:textId="7298DC90" w:rsidR="001A0C09" w:rsidRPr="00DB71B9" w:rsidRDefault="001A0C09" w:rsidP="00DB71B9">
            <w:r>
              <w:t>Vendor utilized by our MED-D Services to develop and mail out MED D EOBs.</w:t>
            </w:r>
          </w:p>
        </w:tc>
      </w:tr>
      <w:tr w:rsidR="00B454D8" w:rsidRPr="004E00B6" w14:paraId="6FB49052" w14:textId="77777777" w:rsidTr="000B1FB8">
        <w:tc>
          <w:tcPr>
            <w:tcW w:w="792" w:type="pct"/>
          </w:tcPr>
          <w:p w14:paraId="00D15DAE" w14:textId="3E572FD3" w:rsidR="00B454D8" w:rsidRDefault="00B454D8" w:rsidP="00DB71B9">
            <w:pPr>
              <w:jc w:val="center"/>
              <w:rPr>
                <w:b/>
              </w:rPr>
            </w:pPr>
            <w:proofErr w:type="spellStart"/>
            <w:r>
              <w:rPr>
                <w:b/>
              </w:rPr>
              <w:t>ODT</w:t>
            </w:r>
            <w:proofErr w:type="spellEnd"/>
          </w:p>
        </w:tc>
        <w:tc>
          <w:tcPr>
            <w:tcW w:w="930" w:type="pct"/>
          </w:tcPr>
          <w:p w14:paraId="7B039CF2" w14:textId="0D5F20F4" w:rsidR="00B454D8" w:rsidRDefault="00B454D8" w:rsidP="00DB71B9">
            <w:r>
              <w:t>Oral</w:t>
            </w:r>
            <w:r w:rsidR="00FE782A">
              <w:t>ly</w:t>
            </w:r>
            <w:r>
              <w:t xml:space="preserve"> Disintegrating Tablet</w:t>
            </w:r>
          </w:p>
        </w:tc>
        <w:tc>
          <w:tcPr>
            <w:tcW w:w="3278" w:type="pct"/>
          </w:tcPr>
          <w:p w14:paraId="54A8EDB8" w14:textId="08E396A0" w:rsidR="00611025" w:rsidRDefault="00EA4C02" w:rsidP="00DB71B9">
            <w:r>
              <w:t>A</w:t>
            </w:r>
            <w:r w:rsidRPr="00EA4C02">
              <w:t xml:space="preserve"> solid dosage form of medication designed to disintegrate rapidly in the mouth, typically within 30 seconds, without the need for water or chewing</w:t>
            </w:r>
            <w:r>
              <w:t>.</w:t>
            </w:r>
          </w:p>
        </w:tc>
      </w:tr>
      <w:tr w:rsidR="001A0C09" w:rsidRPr="004E00B6" w14:paraId="7840F0A1" w14:textId="77777777" w:rsidTr="000B1FB8">
        <w:tc>
          <w:tcPr>
            <w:tcW w:w="792" w:type="pct"/>
          </w:tcPr>
          <w:p w14:paraId="36004AA1" w14:textId="3401C242" w:rsidR="001A0C09" w:rsidRPr="00F4531F" w:rsidRDefault="001A0C09" w:rsidP="00DB71B9">
            <w:pPr>
              <w:jc w:val="center"/>
              <w:rPr>
                <w:b/>
                <w:color w:val="000000"/>
              </w:rPr>
            </w:pPr>
            <w:r>
              <w:rPr>
                <w:b/>
                <w:color w:val="000000"/>
              </w:rPr>
              <w:t xml:space="preserve"> </w:t>
            </w:r>
            <w:proofErr w:type="spellStart"/>
            <w:r>
              <w:rPr>
                <w:b/>
                <w:color w:val="000000"/>
              </w:rPr>
              <w:t>OEP</w:t>
            </w:r>
            <w:proofErr w:type="spellEnd"/>
            <w:r>
              <w:rPr>
                <w:b/>
                <w:color w:val="000000"/>
              </w:rPr>
              <w:t xml:space="preserve"> </w:t>
            </w:r>
          </w:p>
        </w:tc>
        <w:tc>
          <w:tcPr>
            <w:tcW w:w="930" w:type="pct"/>
          </w:tcPr>
          <w:p w14:paraId="443BCAA5" w14:textId="77777777" w:rsidR="001A0C09" w:rsidRPr="004E00B6" w:rsidRDefault="001A0C09" w:rsidP="00DB71B9">
            <w:pPr>
              <w:rPr>
                <w:rFonts w:cs="Arial"/>
              </w:rPr>
            </w:pPr>
            <w:r w:rsidRPr="002B7629">
              <w:rPr>
                <w:rFonts w:cs="Arial"/>
              </w:rPr>
              <w:t>Open Enrollment Period</w:t>
            </w:r>
            <w:r>
              <w:rPr>
                <w:rFonts w:cs="Arial"/>
              </w:rPr>
              <w:t xml:space="preserve"> </w:t>
            </w:r>
          </w:p>
        </w:tc>
        <w:tc>
          <w:tcPr>
            <w:tcW w:w="3278" w:type="pct"/>
          </w:tcPr>
          <w:p w14:paraId="44D9F2B5" w14:textId="029CD31E" w:rsidR="001A0C09" w:rsidRPr="004E00B6" w:rsidRDefault="001A0C09" w:rsidP="00DB71B9">
            <w:pPr>
              <w:rPr>
                <w:rFonts w:cs="Arial"/>
              </w:rPr>
            </w:pPr>
            <w:r>
              <w:rPr>
                <w:rFonts w:cs="Arial"/>
              </w:rPr>
              <w:t>The period of time designated by the employer's health or other benefit plan when employees may enroll in new benefit plans or make changes to existing benefit plans.</w:t>
            </w:r>
          </w:p>
        </w:tc>
      </w:tr>
      <w:tr w:rsidR="001A0C09" w:rsidRPr="004E00B6" w14:paraId="693587DE" w14:textId="77777777" w:rsidTr="000B1FB8">
        <w:tc>
          <w:tcPr>
            <w:tcW w:w="792" w:type="pct"/>
          </w:tcPr>
          <w:p w14:paraId="6E5C3963" w14:textId="7BE2DDE8" w:rsidR="001A0C09" w:rsidRPr="00F4531F" w:rsidRDefault="001A0C09" w:rsidP="00DB71B9">
            <w:pPr>
              <w:jc w:val="center"/>
              <w:rPr>
                <w:b/>
                <w:color w:val="000000"/>
              </w:rPr>
            </w:pPr>
            <w:r>
              <w:rPr>
                <w:b/>
                <w:color w:val="000000"/>
              </w:rPr>
              <w:t xml:space="preserve"> </w:t>
            </w:r>
            <w:proofErr w:type="spellStart"/>
            <w:r>
              <w:rPr>
                <w:b/>
                <w:color w:val="000000"/>
              </w:rPr>
              <w:t>OEPI</w:t>
            </w:r>
            <w:proofErr w:type="spellEnd"/>
            <w:r>
              <w:rPr>
                <w:b/>
                <w:color w:val="000000"/>
              </w:rPr>
              <w:t xml:space="preserve"> </w:t>
            </w:r>
          </w:p>
        </w:tc>
        <w:tc>
          <w:tcPr>
            <w:tcW w:w="930" w:type="pct"/>
          </w:tcPr>
          <w:p w14:paraId="63127031" w14:textId="77777777" w:rsidR="001A0C09" w:rsidRPr="004E00B6" w:rsidRDefault="001A0C09" w:rsidP="00DB71B9">
            <w:pPr>
              <w:rPr>
                <w:rFonts w:cs="Arial"/>
              </w:rPr>
            </w:pPr>
            <w:r w:rsidRPr="002B7629">
              <w:rPr>
                <w:rFonts w:cs="Arial"/>
              </w:rPr>
              <w:t>Open Enrollment Period for institutionalized individuals</w:t>
            </w:r>
            <w:r>
              <w:rPr>
                <w:rFonts w:cs="Arial"/>
              </w:rPr>
              <w:t xml:space="preserve"> </w:t>
            </w:r>
          </w:p>
        </w:tc>
        <w:tc>
          <w:tcPr>
            <w:tcW w:w="3278" w:type="pct"/>
          </w:tcPr>
          <w:p w14:paraId="14AF201C" w14:textId="5C7D5267" w:rsidR="001A0C09" w:rsidRPr="004B5249" w:rsidRDefault="001A0C09" w:rsidP="00DB71B9">
            <w:pPr>
              <w:rPr>
                <w:color w:val="000000"/>
                <w:sz w:val="27"/>
                <w:szCs w:val="27"/>
              </w:rPr>
            </w:pPr>
            <w:r w:rsidRPr="004B5249">
              <w:rPr>
                <w:color w:val="000000"/>
              </w:rPr>
              <w:t xml:space="preserve">A beneficiary has </w:t>
            </w:r>
            <w:r w:rsidR="00696251" w:rsidRPr="004B5249">
              <w:rPr>
                <w:color w:val="000000"/>
              </w:rPr>
              <w:t>a</w:t>
            </w:r>
            <w:r w:rsidRPr="004B5249">
              <w:rPr>
                <w:color w:val="000000"/>
              </w:rPr>
              <w:t xml:space="preserve"> </w:t>
            </w:r>
            <w:r>
              <w:rPr>
                <w:color w:val="000000"/>
              </w:rPr>
              <w:t>special enrollment period</w:t>
            </w:r>
            <w:r w:rsidRPr="004B5249">
              <w:rPr>
                <w:color w:val="000000"/>
              </w:rPr>
              <w:t xml:space="preserve"> when </w:t>
            </w:r>
            <w:r w:rsidR="00160E09" w:rsidRPr="004B5249">
              <w:rPr>
                <w:color w:val="000000"/>
              </w:rPr>
              <w:t>they reside</w:t>
            </w:r>
            <w:r>
              <w:rPr>
                <w:b/>
                <w:bCs/>
                <w:color w:val="000000"/>
              </w:rPr>
              <w:t xml:space="preserve"> in</w:t>
            </w:r>
            <w:r w:rsidRPr="004B5249">
              <w:rPr>
                <w:color w:val="000000"/>
              </w:rPr>
              <w:t xml:space="preserve"> a:</w:t>
            </w:r>
          </w:p>
          <w:p w14:paraId="1D6FA02D"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Skilled Nursing Facility (</w:t>
            </w:r>
            <w:proofErr w:type="spellStart"/>
            <w:r w:rsidRPr="00DB71B9">
              <w:rPr>
                <w:rFonts w:ascii="Verdana" w:hAnsi="Verdana"/>
                <w:color w:val="000000"/>
                <w:sz w:val="24"/>
                <w:szCs w:val="24"/>
              </w:rPr>
              <w:t>SNF</w:t>
            </w:r>
            <w:proofErr w:type="spellEnd"/>
            <w:r w:rsidRPr="00DB71B9">
              <w:rPr>
                <w:rFonts w:ascii="Verdana" w:hAnsi="Verdana"/>
                <w:color w:val="000000"/>
                <w:sz w:val="24"/>
                <w:szCs w:val="24"/>
              </w:rPr>
              <w:t>)</w:t>
            </w:r>
          </w:p>
          <w:p w14:paraId="5E609532"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Nursing Facility (NF)</w:t>
            </w:r>
          </w:p>
          <w:p w14:paraId="3A487781"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Intermediate care facility for the mentally disabled</w:t>
            </w:r>
          </w:p>
          <w:p w14:paraId="091D6FA0"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Psychiatric Hospital or Unit</w:t>
            </w:r>
          </w:p>
          <w:p w14:paraId="495005D8"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Rehabilitation Hospital, Unit or Center</w:t>
            </w:r>
          </w:p>
          <w:p w14:paraId="1DFD1C91" w14:textId="77777777" w:rsidR="001A0C09" w:rsidRPr="00DB71B9" w:rsidRDefault="001A0C09" w:rsidP="00DB71B9">
            <w:pPr>
              <w:pStyle w:val="ListParagraph"/>
              <w:numPr>
                <w:ilvl w:val="0"/>
                <w:numId w:val="144"/>
              </w:numPr>
              <w:rPr>
                <w:color w:val="000000"/>
                <w:sz w:val="24"/>
                <w:szCs w:val="24"/>
              </w:rPr>
            </w:pPr>
            <w:r w:rsidRPr="00DB71B9">
              <w:rPr>
                <w:rFonts w:ascii="Verdana" w:hAnsi="Verdana"/>
                <w:color w:val="000000"/>
                <w:sz w:val="24"/>
                <w:szCs w:val="24"/>
              </w:rPr>
              <w:t>Long term care hospital</w:t>
            </w:r>
          </w:p>
          <w:p w14:paraId="5566F0ED" w14:textId="1DC60836" w:rsidR="001A0C09" w:rsidRPr="00DB71B9" w:rsidRDefault="001A0C09" w:rsidP="00DB71B9">
            <w:pPr>
              <w:pStyle w:val="ListParagraph"/>
              <w:numPr>
                <w:ilvl w:val="0"/>
                <w:numId w:val="144"/>
              </w:numPr>
              <w:rPr>
                <w:rFonts w:ascii="Times New Roman" w:hAnsi="Times New Roman"/>
                <w:color w:val="000000"/>
              </w:rPr>
            </w:pPr>
            <w:r w:rsidRPr="00DB71B9">
              <w:rPr>
                <w:rFonts w:ascii="Verdana" w:hAnsi="Verdana"/>
                <w:color w:val="000000"/>
                <w:sz w:val="24"/>
                <w:szCs w:val="24"/>
              </w:rPr>
              <w:t>Hospital that has an agreement with Medicare (swing-bed hospital)</w:t>
            </w:r>
          </w:p>
        </w:tc>
      </w:tr>
      <w:tr w:rsidR="001A0C09" w:rsidRPr="004E00B6" w14:paraId="2E449AC0" w14:textId="77777777" w:rsidTr="000B1FB8">
        <w:tc>
          <w:tcPr>
            <w:tcW w:w="792" w:type="pct"/>
          </w:tcPr>
          <w:p w14:paraId="45AA2C56" w14:textId="77777777" w:rsidR="001A0C09" w:rsidRPr="00F4531F" w:rsidRDefault="001A0C09" w:rsidP="00DB71B9">
            <w:pPr>
              <w:jc w:val="center"/>
              <w:rPr>
                <w:b/>
                <w:color w:val="000000"/>
              </w:rPr>
            </w:pPr>
            <w:proofErr w:type="spellStart"/>
            <w:r>
              <w:rPr>
                <w:b/>
                <w:color w:val="000000"/>
              </w:rPr>
              <w:t>OEPNEW</w:t>
            </w:r>
            <w:proofErr w:type="spellEnd"/>
            <w:r>
              <w:rPr>
                <w:b/>
                <w:color w:val="000000"/>
              </w:rPr>
              <w:t xml:space="preserve"> </w:t>
            </w:r>
          </w:p>
        </w:tc>
        <w:tc>
          <w:tcPr>
            <w:tcW w:w="930" w:type="pct"/>
          </w:tcPr>
          <w:p w14:paraId="2C73AD2B" w14:textId="77777777" w:rsidR="001A0C09" w:rsidRPr="004E00B6" w:rsidRDefault="001A0C09" w:rsidP="00DB71B9">
            <w:pPr>
              <w:rPr>
                <w:rFonts w:cs="Arial"/>
              </w:rPr>
            </w:pPr>
            <w:r w:rsidRPr="002B7629">
              <w:rPr>
                <w:rFonts w:cs="Arial"/>
              </w:rPr>
              <w:t>Open Enrollment Period</w:t>
            </w:r>
            <w:r>
              <w:rPr>
                <w:rFonts w:cs="Arial"/>
              </w:rPr>
              <w:t xml:space="preserve"> New</w:t>
            </w:r>
          </w:p>
        </w:tc>
        <w:tc>
          <w:tcPr>
            <w:tcW w:w="3278" w:type="pct"/>
          </w:tcPr>
          <w:p w14:paraId="6CC720DC" w14:textId="77777777" w:rsidR="001A0C09" w:rsidRPr="004E00B6" w:rsidRDefault="001A0C09" w:rsidP="00DB71B9">
            <w:pPr>
              <w:rPr>
                <w:rFonts w:cs="Arial"/>
              </w:rPr>
            </w:pPr>
            <w:r w:rsidRPr="002B7629">
              <w:rPr>
                <w:rFonts w:cs="Arial"/>
              </w:rPr>
              <w:t>Open Enrollment Period for newly eligible individuals</w:t>
            </w:r>
            <w:r>
              <w:rPr>
                <w:rFonts w:cs="Arial"/>
              </w:rPr>
              <w:t xml:space="preserve"> </w:t>
            </w:r>
          </w:p>
        </w:tc>
      </w:tr>
      <w:tr w:rsidR="001A0C09" w:rsidRPr="004E00B6" w14:paraId="021F7326" w14:textId="77777777" w:rsidTr="000B1FB8">
        <w:tc>
          <w:tcPr>
            <w:tcW w:w="792" w:type="pct"/>
          </w:tcPr>
          <w:p w14:paraId="18F170EC" w14:textId="77777777" w:rsidR="001A0C09" w:rsidRPr="00F4531F" w:rsidRDefault="001A0C09" w:rsidP="00DB71B9">
            <w:pPr>
              <w:jc w:val="center"/>
              <w:rPr>
                <w:b/>
                <w:color w:val="000000"/>
              </w:rPr>
            </w:pPr>
            <w:proofErr w:type="spellStart"/>
            <w:r>
              <w:rPr>
                <w:b/>
                <w:color w:val="000000"/>
              </w:rPr>
              <w:t>OEV</w:t>
            </w:r>
            <w:proofErr w:type="spellEnd"/>
            <w:r>
              <w:rPr>
                <w:b/>
                <w:color w:val="000000"/>
              </w:rPr>
              <w:t xml:space="preserve"> </w:t>
            </w:r>
          </w:p>
        </w:tc>
        <w:tc>
          <w:tcPr>
            <w:tcW w:w="930" w:type="pct"/>
          </w:tcPr>
          <w:p w14:paraId="0185D7EB" w14:textId="77777777" w:rsidR="001A0C09" w:rsidRPr="004E00B6" w:rsidRDefault="001A0C09" w:rsidP="00DB71B9">
            <w:pPr>
              <w:rPr>
                <w:rFonts w:cs="Arial"/>
              </w:rPr>
            </w:pPr>
            <w:r w:rsidRPr="002B7629">
              <w:rPr>
                <w:rFonts w:cs="Arial"/>
              </w:rPr>
              <w:t>Outbound Enrollment Verification</w:t>
            </w:r>
          </w:p>
        </w:tc>
        <w:tc>
          <w:tcPr>
            <w:tcW w:w="3278" w:type="pct"/>
          </w:tcPr>
          <w:p w14:paraId="06B8FF1B" w14:textId="77777777" w:rsidR="001A0C09" w:rsidRPr="004E00B6" w:rsidRDefault="001A0C09" w:rsidP="00DB71B9">
            <w:pPr>
              <w:rPr>
                <w:rFonts w:cs="Arial"/>
              </w:rPr>
            </w:pPr>
            <w:r w:rsidRPr="002B7629">
              <w:rPr>
                <w:rFonts w:cs="Arial"/>
              </w:rPr>
              <w:t>All plans are required to conduct outbound enrollment and verification calls for enrollments by both independent and employed agents/brokers to ensure individuals requesting enrollment understand the plan rules. Chapter 3 Marketing Guidance Section 70.8</w:t>
            </w:r>
            <w:r>
              <w:rPr>
                <w:rFonts w:cs="Arial"/>
              </w:rPr>
              <w:t xml:space="preserve"> </w:t>
            </w:r>
          </w:p>
        </w:tc>
      </w:tr>
      <w:tr w:rsidR="001A0C09" w:rsidRPr="004E00B6" w14:paraId="03300ADD" w14:textId="77777777" w:rsidTr="000B1FB8">
        <w:tc>
          <w:tcPr>
            <w:tcW w:w="792" w:type="pct"/>
          </w:tcPr>
          <w:p w14:paraId="0B912A99" w14:textId="22D0B266" w:rsidR="001A0C09" w:rsidRPr="00F4531F" w:rsidRDefault="001A0C09" w:rsidP="00DB71B9">
            <w:pPr>
              <w:jc w:val="center"/>
              <w:rPr>
                <w:b/>
                <w:color w:val="000000"/>
              </w:rPr>
            </w:pPr>
            <w:r>
              <w:rPr>
                <w:b/>
                <w:color w:val="000000"/>
              </w:rPr>
              <w:t xml:space="preserve"> </w:t>
            </w:r>
            <w:r w:rsidRPr="00F4531F">
              <w:rPr>
                <w:b/>
                <w:color w:val="000000"/>
              </w:rPr>
              <w:t>OF</w:t>
            </w:r>
          </w:p>
        </w:tc>
        <w:tc>
          <w:tcPr>
            <w:tcW w:w="930" w:type="pct"/>
          </w:tcPr>
          <w:p w14:paraId="590941DC" w14:textId="1D1A9544" w:rsidR="001A0C09" w:rsidRPr="002C36C7" w:rsidRDefault="001A0C09" w:rsidP="00DB71B9">
            <w:pPr>
              <w:rPr>
                <w:rFonts w:cs="Arial"/>
              </w:rPr>
            </w:pPr>
            <w:r w:rsidRPr="002C36C7">
              <w:rPr>
                <w:rFonts w:cs="Arial"/>
              </w:rPr>
              <w:t>Order Forms</w:t>
            </w:r>
          </w:p>
        </w:tc>
        <w:tc>
          <w:tcPr>
            <w:tcW w:w="3278" w:type="pct"/>
          </w:tcPr>
          <w:p w14:paraId="533068C4" w14:textId="17CA738C" w:rsidR="001A0C09" w:rsidRPr="004E00B6" w:rsidRDefault="001A0C09" w:rsidP="00DB71B9">
            <w:pPr>
              <w:rPr>
                <w:rFonts w:cs="Arial"/>
              </w:rPr>
            </w:pPr>
            <w:r>
              <w:rPr>
                <w:color w:val="000000"/>
              </w:rPr>
              <w:t xml:space="preserve">Refill information is printed on </w:t>
            </w:r>
            <w:proofErr w:type="spellStart"/>
            <w:r>
              <w:rPr>
                <w:color w:val="000000"/>
              </w:rPr>
              <w:t>on</w:t>
            </w:r>
            <w:proofErr w:type="spellEnd"/>
            <w:r>
              <w:rPr>
                <w:color w:val="000000"/>
              </w:rPr>
              <w:t xml:space="preserve"> the order form that is sent with outgoing orders.  This allows members to simply identify the refills they want to order. </w:t>
            </w:r>
          </w:p>
        </w:tc>
      </w:tr>
      <w:tr w:rsidR="001A0C09" w:rsidRPr="004E00B6" w14:paraId="5CD03970" w14:textId="77777777" w:rsidTr="000B1FB8">
        <w:tc>
          <w:tcPr>
            <w:tcW w:w="792" w:type="pct"/>
          </w:tcPr>
          <w:p w14:paraId="651D63B9" w14:textId="6D9FE4C5" w:rsidR="001A0C09" w:rsidRPr="00F4531F" w:rsidRDefault="001A0C09" w:rsidP="00DB71B9">
            <w:pPr>
              <w:jc w:val="center"/>
              <w:rPr>
                <w:b/>
                <w:color w:val="000000"/>
              </w:rPr>
            </w:pPr>
            <w:r>
              <w:rPr>
                <w:b/>
                <w:bCs/>
              </w:rPr>
              <w:t xml:space="preserve"> </w:t>
            </w:r>
            <w:r w:rsidRPr="002A444A">
              <w:rPr>
                <w:b/>
                <w:bCs/>
              </w:rPr>
              <w:t>OHI</w:t>
            </w:r>
          </w:p>
        </w:tc>
        <w:tc>
          <w:tcPr>
            <w:tcW w:w="930" w:type="pct"/>
          </w:tcPr>
          <w:p w14:paraId="770BFA61" w14:textId="51C0CCED" w:rsidR="001A0C09" w:rsidRPr="00DB71B9" w:rsidRDefault="001A0C09" w:rsidP="00DB71B9">
            <w:r w:rsidRPr="002C36C7">
              <w:t>Other Health Information</w:t>
            </w:r>
          </w:p>
        </w:tc>
        <w:tc>
          <w:tcPr>
            <w:tcW w:w="3278" w:type="pct"/>
          </w:tcPr>
          <w:p w14:paraId="21914351" w14:textId="26103869" w:rsidR="001A0C09" w:rsidRPr="006B3934" w:rsidRDefault="001A0C09" w:rsidP="00DB71B9">
            <w:pPr>
              <w:rPr>
                <w:rFonts w:cs="Arial"/>
              </w:rPr>
            </w:pPr>
            <w:r>
              <w:rPr>
                <w:rFonts w:cs="Arial"/>
              </w:rPr>
              <w:t>Additional information related to member’s health.</w:t>
            </w:r>
          </w:p>
        </w:tc>
      </w:tr>
      <w:tr w:rsidR="001A0C09" w:rsidRPr="004E00B6" w14:paraId="13581745" w14:textId="77777777" w:rsidTr="000B1FB8">
        <w:trPr>
          <w:trHeight w:val="368"/>
        </w:trPr>
        <w:tc>
          <w:tcPr>
            <w:tcW w:w="792" w:type="pct"/>
          </w:tcPr>
          <w:p w14:paraId="3B3874AD" w14:textId="77777777" w:rsidR="001A0C09" w:rsidRPr="00F4531F" w:rsidRDefault="001A0C09" w:rsidP="00DB71B9">
            <w:pPr>
              <w:jc w:val="center"/>
              <w:rPr>
                <w:b/>
                <w:color w:val="000000"/>
              </w:rPr>
            </w:pPr>
            <w:proofErr w:type="spellStart"/>
            <w:r w:rsidRPr="00F4531F">
              <w:rPr>
                <w:b/>
                <w:color w:val="000000"/>
              </w:rPr>
              <w:t>OHTL</w:t>
            </w:r>
            <w:proofErr w:type="spellEnd"/>
          </w:p>
        </w:tc>
        <w:tc>
          <w:tcPr>
            <w:tcW w:w="930" w:type="pct"/>
          </w:tcPr>
          <w:p w14:paraId="6F67D856" w14:textId="412DEE2A" w:rsidR="001A0C09" w:rsidRPr="002C36C7" w:rsidRDefault="001A0C09" w:rsidP="00DB71B9">
            <w:pPr>
              <w:rPr>
                <w:rFonts w:cs="Arial"/>
              </w:rPr>
            </w:pPr>
            <w:r w:rsidRPr="002C36C7">
              <w:rPr>
                <w:rFonts w:cs="Arial"/>
              </w:rPr>
              <w:t>On Hold too long</w:t>
            </w:r>
          </w:p>
        </w:tc>
        <w:tc>
          <w:tcPr>
            <w:tcW w:w="3278" w:type="pct"/>
          </w:tcPr>
          <w:p w14:paraId="7DE34842" w14:textId="77777777" w:rsidR="001A0C09" w:rsidRPr="004E00B6" w:rsidRDefault="001A0C09" w:rsidP="00DB71B9">
            <w:pPr>
              <w:rPr>
                <w:rFonts w:cs="Arial"/>
              </w:rPr>
            </w:pPr>
            <w:r w:rsidRPr="004E00B6">
              <w:rPr>
                <w:rFonts w:cs="Arial"/>
              </w:rPr>
              <w:t>Being left on hold for an extended period of time</w:t>
            </w:r>
            <w:r>
              <w:rPr>
                <w:rFonts w:cs="Arial"/>
              </w:rPr>
              <w:t>.</w:t>
            </w:r>
          </w:p>
        </w:tc>
      </w:tr>
      <w:tr w:rsidR="001A0C09" w:rsidRPr="004E00B6" w14:paraId="45D4891D" w14:textId="77777777" w:rsidTr="000B1FB8">
        <w:tc>
          <w:tcPr>
            <w:tcW w:w="792" w:type="pct"/>
          </w:tcPr>
          <w:p w14:paraId="35817F52" w14:textId="5E729739" w:rsidR="001A0C09" w:rsidRPr="00F4531F" w:rsidRDefault="001A0C09" w:rsidP="00DB71B9">
            <w:pPr>
              <w:jc w:val="center"/>
              <w:rPr>
                <w:b/>
                <w:color w:val="000000"/>
              </w:rPr>
            </w:pPr>
            <w:r>
              <w:rPr>
                <w:b/>
                <w:color w:val="000000"/>
              </w:rPr>
              <w:t xml:space="preserve"> </w:t>
            </w:r>
            <w:r w:rsidRPr="00F4531F">
              <w:rPr>
                <w:b/>
                <w:color w:val="000000"/>
              </w:rPr>
              <w:t>OIG</w:t>
            </w:r>
          </w:p>
        </w:tc>
        <w:tc>
          <w:tcPr>
            <w:tcW w:w="930" w:type="pct"/>
          </w:tcPr>
          <w:p w14:paraId="08B83067" w14:textId="0FD92B7B" w:rsidR="001A0C09" w:rsidRPr="002C36C7" w:rsidRDefault="001A0C09" w:rsidP="00DB71B9">
            <w:pPr>
              <w:rPr>
                <w:rFonts w:cs="Arial"/>
                <w:color w:val="000000"/>
              </w:rPr>
            </w:pPr>
            <w:r w:rsidRPr="002C36C7">
              <w:rPr>
                <w:rFonts w:cs="Arial"/>
                <w:color w:val="000000"/>
              </w:rPr>
              <w:t>Office of Inspector General</w:t>
            </w:r>
          </w:p>
        </w:tc>
        <w:tc>
          <w:tcPr>
            <w:tcW w:w="3278" w:type="pct"/>
          </w:tcPr>
          <w:p w14:paraId="1D259512" w14:textId="7052A4F1" w:rsidR="001A0C09" w:rsidRPr="004F003E" w:rsidRDefault="001A0C09" w:rsidP="00DB71B9">
            <w:pPr>
              <w:rPr>
                <w:rFonts w:cs="Arial"/>
              </w:rPr>
            </w:pPr>
            <w:r>
              <w:rPr>
                <w:rFonts w:cs="Arial"/>
              </w:rPr>
              <w:t>Administration that inspects physicians and can possibly add a prescriber to a Preclusion list based on unfavorable conduct, which means that any claims for prescriptions that are written or authorized by such prescribers are ineligible for reimbursement by Medicare.</w:t>
            </w:r>
            <w:r>
              <w:rPr>
                <w:rFonts w:cs="Arial"/>
              </w:rPr>
              <w:tab/>
            </w:r>
          </w:p>
        </w:tc>
      </w:tr>
      <w:tr w:rsidR="001A0C09" w:rsidRPr="004E00B6" w14:paraId="4A2B3516" w14:textId="77777777" w:rsidTr="000B1FB8">
        <w:tc>
          <w:tcPr>
            <w:tcW w:w="792" w:type="pct"/>
          </w:tcPr>
          <w:p w14:paraId="059CF282" w14:textId="77777777" w:rsidR="001A0C09" w:rsidRPr="00F4531F" w:rsidRDefault="001A0C09" w:rsidP="00DB71B9">
            <w:pPr>
              <w:jc w:val="center"/>
              <w:rPr>
                <w:b/>
                <w:color w:val="000000"/>
              </w:rPr>
            </w:pPr>
            <w:proofErr w:type="spellStart"/>
            <w:r w:rsidRPr="00F4531F">
              <w:rPr>
                <w:b/>
                <w:color w:val="000000"/>
              </w:rPr>
              <w:t>Oint</w:t>
            </w:r>
            <w:proofErr w:type="spellEnd"/>
          </w:p>
        </w:tc>
        <w:tc>
          <w:tcPr>
            <w:tcW w:w="930" w:type="pct"/>
          </w:tcPr>
          <w:p w14:paraId="1173C45C" w14:textId="11EFD07D" w:rsidR="001A0C09" w:rsidRPr="002C36C7" w:rsidRDefault="001A0C09" w:rsidP="00DB71B9">
            <w:pPr>
              <w:rPr>
                <w:rFonts w:cs="Arial"/>
              </w:rPr>
            </w:pPr>
            <w:r w:rsidRPr="002C36C7">
              <w:rPr>
                <w:rFonts w:cs="Arial"/>
              </w:rPr>
              <w:t>Ointment</w:t>
            </w:r>
          </w:p>
        </w:tc>
        <w:tc>
          <w:tcPr>
            <w:tcW w:w="3278" w:type="pct"/>
          </w:tcPr>
          <w:p w14:paraId="2140B34C" w14:textId="77777777" w:rsidR="001A0C09" w:rsidRPr="004E00B6" w:rsidRDefault="001A0C09" w:rsidP="00DB71B9">
            <w:pPr>
              <w:rPr>
                <w:rFonts w:cs="Arial"/>
              </w:rPr>
            </w:pPr>
            <w:r w:rsidRPr="004E00B6">
              <w:rPr>
                <w:rFonts w:cs="Arial"/>
              </w:rPr>
              <w:t>Dosage form available for a topical product</w:t>
            </w:r>
            <w:r>
              <w:rPr>
                <w:rFonts w:cs="Arial"/>
              </w:rPr>
              <w:t>.</w:t>
            </w:r>
          </w:p>
        </w:tc>
      </w:tr>
      <w:tr w:rsidR="001A0C09" w:rsidRPr="004E00B6" w14:paraId="0CF533A7" w14:textId="77777777" w:rsidTr="000B1FB8">
        <w:tc>
          <w:tcPr>
            <w:tcW w:w="792" w:type="pct"/>
          </w:tcPr>
          <w:p w14:paraId="76A07BF5" w14:textId="77777777" w:rsidR="001A0C09" w:rsidRPr="00F4531F" w:rsidRDefault="001A0C09" w:rsidP="00DB71B9">
            <w:pPr>
              <w:jc w:val="center"/>
              <w:rPr>
                <w:b/>
                <w:bCs/>
                <w:color w:val="000000"/>
              </w:rPr>
            </w:pPr>
            <w:proofErr w:type="spellStart"/>
            <w:r w:rsidRPr="00F4531F">
              <w:rPr>
                <w:b/>
                <w:bCs/>
                <w:color w:val="000000"/>
              </w:rPr>
              <w:t>OIP</w:t>
            </w:r>
            <w:proofErr w:type="spellEnd"/>
          </w:p>
        </w:tc>
        <w:tc>
          <w:tcPr>
            <w:tcW w:w="930" w:type="pct"/>
          </w:tcPr>
          <w:p w14:paraId="05C06696" w14:textId="77777777" w:rsidR="001A0C09" w:rsidRPr="002C36C7" w:rsidRDefault="001A0C09" w:rsidP="00DB71B9">
            <w:pPr>
              <w:rPr>
                <w:rFonts w:cs="Arial"/>
              </w:rPr>
            </w:pPr>
            <w:r w:rsidRPr="002C36C7">
              <w:rPr>
                <w:rFonts w:cs="Arial"/>
              </w:rPr>
              <w:t>Order in Process</w:t>
            </w:r>
          </w:p>
        </w:tc>
        <w:tc>
          <w:tcPr>
            <w:tcW w:w="3278" w:type="pct"/>
          </w:tcPr>
          <w:p w14:paraId="5744FEF0" w14:textId="039E362B" w:rsidR="001A0C09" w:rsidRPr="004E00B6" w:rsidRDefault="001A0C09" w:rsidP="00DB71B9">
            <w:pPr>
              <w:rPr>
                <w:rFonts w:cs="Arial"/>
              </w:rPr>
            </w:pPr>
            <w:r w:rsidRPr="004E00B6">
              <w:rPr>
                <w:rFonts w:cs="Arial"/>
              </w:rPr>
              <w:t xml:space="preserve">Orders located in queues being worked on by various </w:t>
            </w:r>
            <w:r>
              <w:rPr>
                <w:rFonts w:cs="Arial"/>
              </w:rPr>
              <w:t>departments.</w:t>
            </w:r>
          </w:p>
        </w:tc>
      </w:tr>
      <w:tr w:rsidR="001A0C09" w:rsidRPr="004E00B6" w14:paraId="4F8540BF" w14:textId="77777777" w:rsidTr="000B1FB8">
        <w:tc>
          <w:tcPr>
            <w:tcW w:w="792" w:type="pct"/>
          </w:tcPr>
          <w:p w14:paraId="35CB47D0" w14:textId="43C142BC" w:rsidR="001A0C09" w:rsidRPr="00F4531F" w:rsidRDefault="001A0C09" w:rsidP="00DB71B9">
            <w:pPr>
              <w:jc w:val="center"/>
              <w:rPr>
                <w:b/>
                <w:bCs/>
                <w:color w:val="000000"/>
              </w:rPr>
            </w:pPr>
            <w:r>
              <w:rPr>
                <w:b/>
                <w:bCs/>
                <w:color w:val="000000"/>
              </w:rPr>
              <w:t xml:space="preserve"> </w:t>
            </w:r>
            <w:r w:rsidRPr="00F4531F">
              <w:rPr>
                <w:b/>
                <w:bCs/>
                <w:color w:val="000000"/>
              </w:rPr>
              <w:t>OM</w:t>
            </w:r>
          </w:p>
        </w:tc>
        <w:tc>
          <w:tcPr>
            <w:tcW w:w="930" w:type="pct"/>
          </w:tcPr>
          <w:p w14:paraId="4B98D431" w14:textId="231FFFA8" w:rsidR="001A0C09" w:rsidRPr="002C36C7" w:rsidRDefault="001A0C09" w:rsidP="00DB71B9">
            <w:pPr>
              <w:rPr>
                <w:rFonts w:cs="Arial"/>
              </w:rPr>
            </w:pPr>
            <w:r w:rsidRPr="002C36C7">
              <w:rPr>
                <w:rFonts w:cs="Arial"/>
              </w:rPr>
              <w:t>Office Manager</w:t>
            </w:r>
          </w:p>
        </w:tc>
        <w:tc>
          <w:tcPr>
            <w:tcW w:w="3278" w:type="pct"/>
          </w:tcPr>
          <w:p w14:paraId="41114B5F" w14:textId="416EECD3" w:rsidR="001A0C09" w:rsidRPr="004E00B6" w:rsidRDefault="001A0C09" w:rsidP="00DB71B9">
            <w:pPr>
              <w:rPr>
                <w:rFonts w:cs="Arial"/>
              </w:rPr>
            </w:pPr>
            <w:r>
              <w:rPr>
                <w:rFonts w:cs="Arial"/>
              </w:rPr>
              <w:t>Person who manages the daily operations of an office.</w:t>
            </w:r>
          </w:p>
        </w:tc>
      </w:tr>
      <w:tr w:rsidR="001A0C09" w:rsidRPr="004E00B6" w14:paraId="5AFED8B3" w14:textId="77777777" w:rsidTr="000B1FB8">
        <w:tc>
          <w:tcPr>
            <w:tcW w:w="792" w:type="pct"/>
          </w:tcPr>
          <w:p w14:paraId="4611B2EF" w14:textId="77777777" w:rsidR="001A0C09" w:rsidRPr="00F4531F" w:rsidRDefault="001A0C09" w:rsidP="00DB71B9">
            <w:pPr>
              <w:jc w:val="center"/>
              <w:rPr>
                <w:b/>
                <w:color w:val="000000"/>
              </w:rPr>
            </w:pPr>
            <w:r>
              <w:rPr>
                <w:b/>
                <w:color w:val="000000"/>
              </w:rPr>
              <w:t xml:space="preserve">OMB </w:t>
            </w:r>
          </w:p>
        </w:tc>
        <w:tc>
          <w:tcPr>
            <w:tcW w:w="930" w:type="pct"/>
          </w:tcPr>
          <w:p w14:paraId="300A429B" w14:textId="77777777" w:rsidR="001A0C09" w:rsidRPr="0046461C" w:rsidRDefault="001A0C09" w:rsidP="00DB71B9">
            <w:pPr>
              <w:rPr>
                <w:color w:val="000000"/>
              </w:rPr>
            </w:pPr>
            <w:r w:rsidRPr="007B5947">
              <w:rPr>
                <w:rFonts w:cs="Arial"/>
              </w:rPr>
              <w:t>Office of Management and Budget</w:t>
            </w:r>
          </w:p>
        </w:tc>
        <w:tc>
          <w:tcPr>
            <w:tcW w:w="3278" w:type="pct"/>
          </w:tcPr>
          <w:p w14:paraId="14AA0E9A" w14:textId="77777777" w:rsidR="001A0C09" w:rsidRPr="002A683B" w:rsidRDefault="001A0C09" w:rsidP="00DB71B9">
            <w:pPr>
              <w:rPr>
                <w:rFonts w:cs="Arial"/>
              </w:rPr>
            </w:pPr>
            <w:r w:rsidRPr="002A683B">
              <w:rPr>
                <w:rFonts w:cs="Arial"/>
              </w:rPr>
              <w:t xml:space="preserve">Office of Management and Budget </w:t>
            </w:r>
          </w:p>
        </w:tc>
      </w:tr>
      <w:tr w:rsidR="001A0C09" w:rsidRPr="004E00B6" w14:paraId="783D7E35" w14:textId="77777777" w:rsidTr="000B1FB8">
        <w:trPr>
          <w:trHeight w:val="1007"/>
        </w:trPr>
        <w:tc>
          <w:tcPr>
            <w:tcW w:w="792" w:type="pct"/>
          </w:tcPr>
          <w:p w14:paraId="7DCC320D" w14:textId="175C1E0E" w:rsidR="001A0C09" w:rsidRDefault="001A0C09" w:rsidP="00DB71B9">
            <w:pPr>
              <w:jc w:val="center"/>
              <w:rPr>
                <w:b/>
                <w:color w:val="000000"/>
              </w:rPr>
            </w:pPr>
            <w:r>
              <w:rPr>
                <w:b/>
                <w:color w:val="000000"/>
              </w:rPr>
              <w:t xml:space="preserve"> OMS</w:t>
            </w:r>
          </w:p>
          <w:p w14:paraId="1DA91390" w14:textId="77777777" w:rsidR="001A0C09" w:rsidRPr="00F4531F" w:rsidRDefault="001A0C09" w:rsidP="00DB71B9">
            <w:pPr>
              <w:jc w:val="center"/>
              <w:rPr>
                <w:b/>
                <w:color w:val="000000"/>
              </w:rPr>
            </w:pPr>
          </w:p>
        </w:tc>
        <w:tc>
          <w:tcPr>
            <w:tcW w:w="930" w:type="pct"/>
          </w:tcPr>
          <w:p w14:paraId="7A603215" w14:textId="77777777" w:rsidR="001A0C09" w:rsidRPr="0046461C" w:rsidRDefault="001A0C09" w:rsidP="00DB71B9">
            <w:pPr>
              <w:rPr>
                <w:rFonts w:cs="Arial"/>
              </w:rPr>
            </w:pPr>
            <w:bookmarkStart w:id="4" w:name="OLE_LINK15"/>
            <w:r w:rsidRPr="007B5947">
              <w:rPr>
                <w:rFonts w:cs="Arial"/>
              </w:rPr>
              <w:t>Opportunity Management System</w:t>
            </w:r>
          </w:p>
          <w:bookmarkEnd w:id="4"/>
          <w:p w14:paraId="576E475D" w14:textId="77777777" w:rsidR="001A0C09" w:rsidRPr="002A683B" w:rsidRDefault="001A0C09" w:rsidP="00DB71B9">
            <w:pPr>
              <w:rPr>
                <w:rFonts w:cs="Arial"/>
              </w:rPr>
            </w:pPr>
          </w:p>
        </w:tc>
        <w:tc>
          <w:tcPr>
            <w:tcW w:w="3278" w:type="pct"/>
          </w:tcPr>
          <w:p w14:paraId="3CB49ED1" w14:textId="6132C758" w:rsidR="001A0C09" w:rsidRPr="007B5947" w:rsidRDefault="001A0C09" w:rsidP="00DB71B9">
            <w:pPr>
              <w:rPr>
                <w:rFonts w:cs="Arial"/>
              </w:rPr>
            </w:pPr>
            <w:r w:rsidRPr="002A683B">
              <w:rPr>
                <w:shd w:val="clear" w:color="auto" w:fill="FFFFFF"/>
              </w:rPr>
              <w:t>An </w:t>
            </w:r>
            <w:r w:rsidRPr="003C71F8">
              <w:rPr>
                <w:shd w:val="clear" w:color="auto" w:fill="FFFFFF"/>
              </w:rPr>
              <w:t>opportunity management system (OMS)</w:t>
            </w:r>
            <w:r w:rsidRPr="00DB71B9">
              <w:rPr>
                <w:shd w:val="clear" w:color="auto" w:fill="FFFFFF"/>
              </w:rPr>
              <w:t xml:space="preserve"> </w:t>
            </w:r>
            <w:r w:rsidRPr="002A683B">
              <w:rPr>
                <w:shd w:val="clear" w:color="auto" w:fill="FFFFFF"/>
              </w:rPr>
              <w:t>is a system that provides information on sales leads or opportunities, along with other supporting information.</w:t>
            </w:r>
          </w:p>
        </w:tc>
      </w:tr>
      <w:tr w:rsidR="001A0C09" w:rsidRPr="004E00B6" w14:paraId="6FA9F114" w14:textId="77777777" w:rsidTr="000B1FB8">
        <w:tc>
          <w:tcPr>
            <w:tcW w:w="792" w:type="pct"/>
          </w:tcPr>
          <w:p w14:paraId="6A1F9FA0" w14:textId="77777777" w:rsidR="001A0C09" w:rsidRPr="00F4531F" w:rsidRDefault="001A0C09" w:rsidP="00DB71B9">
            <w:pPr>
              <w:jc w:val="center"/>
              <w:rPr>
                <w:b/>
                <w:color w:val="000000"/>
              </w:rPr>
            </w:pPr>
            <w:r w:rsidRPr="00F4531F">
              <w:rPr>
                <w:b/>
                <w:color w:val="000000"/>
              </w:rPr>
              <w:t>ON/OC</w:t>
            </w:r>
          </w:p>
        </w:tc>
        <w:tc>
          <w:tcPr>
            <w:tcW w:w="930" w:type="pct"/>
          </w:tcPr>
          <w:p w14:paraId="5A3BBE60" w14:textId="77777777" w:rsidR="001A0C09" w:rsidRPr="002C36C7" w:rsidRDefault="001A0C09" w:rsidP="00DB71B9">
            <w:pPr>
              <w:rPr>
                <w:rFonts w:cs="Arial"/>
              </w:rPr>
            </w:pPr>
            <w:r w:rsidRPr="002C36C7">
              <w:rPr>
                <w:rFonts w:cs="Arial"/>
              </w:rPr>
              <w:t>Overnight/Our Cost</w:t>
            </w:r>
          </w:p>
        </w:tc>
        <w:tc>
          <w:tcPr>
            <w:tcW w:w="3278" w:type="pct"/>
          </w:tcPr>
          <w:p w14:paraId="3709024C" w14:textId="1514AD70" w:rsidR="001A0C09" w:rsidRPr="004E00B6" w:rsidRDefault="001A0C09" w:rsidP="00DB71B9">
            <w:pPr>
              <w:rPr>
                <w:rFonts w:cs="Arial"/>
              </w:rPr>
            </w:pPr>
            <w:r w:rsidRPr="004E00B6">
              <w:rPr>
                <w:rFonts w:cs="Arial"/>
              </w:rPr>
              <w:t>Change the Ship Method to Urgent/Next Day and change the Ship Fee to $0.00</w:t>
            </w:r>
            <w:r>
              <w:rPr>
                <w:rFonts w:cs="Arial"/>
              </w:rPr>
              <w:t>.</w:t>
            </w:r>
          </w:p>
        </w:tc>
      </w:tr>
      <w:tr w:rsidR="001A0C09" w:rsidRPr="004E00B6" w14:paraId="76EFCF5B" w14:textId="77777777" w:rsidTr="000B1FB8">
        <w:tc>
          <w:tcPr>
            <w:tcW w:w="792" w:type="pct"/>
          </w:tcPr>
          <w:p w14:paraId="3E639489" w14:textId="6E8A236F" w:rsidR="001A0C09" w:rsidRPr="00F4531F" w:rsidRDefault="001A0C09" w:rsidP="00DB71B9">
            <w:pPr>
              <w:jc w:val="center"/>
              <w:rPr>
                <w:b/>
                <w:color w:val="000000"/>
              </w:rPr>
            </w:pPr>
            <w:proofErr w:type="spellStart"/>
            <w:r w:rsidRPr="002A444A">
              <w:rPr>
                <w:b/>
              </w:rPr>
              <w:t>OOA</w:t>
            </w:r>
            <w:proofErr w:type="spellEnd"/>
          </w:p>
        </w:tc>
        <w:tc>
          <w:tcPr>
            <w:tcW w:w="930" w:type="pct"/>
          </w:tcPr>
          <w:p w14:paraId="6BF0979F" w14:textId="4EB3CB60" w:rsidR="001A0C09" w:rsidRPr="003C71F8" w:rsidRDefault="001A0C09" w:rsidP="00DB71B9">
            <w:r w:rsidRPr="002C36C7">
              <w:t>Out of Area</w:t>
            </w:r>
          </w:p>
        </w:tc>
        <w:tc>
          <w:tcPr>
            <w:tcW w:w="3278" w:type="pct"/>
          </w:tcPr>
          <w:p w14:paraId="07F5ACB8" w14:textId="04852329" w:rsidR="001A0C09" w:rsidRPr="006B3934" w:rsidRDefault="001A0C09" w:rsidP="00DB71B9">
            <w:pPr>
              <w:rPr>
                <w:rFonts w:cs="Arial"/>
              </w:rPr>
            </w:pPr>
            <w:r>
              <w:rPr>
                <w:rFonts w:cs="Arial"/>
              </w:rPr>
              <w:t>When a beneficiary moves to a new address and no longer resides in their region covered by their plan.</w:t>
            </w:r>
          </w:p>
        </w:tc>
      </w:tr>
      <w:tr w:rsidR="001A0C09" w:rsidRPr="004E00B6" w14:paraId="27448CA4" w14:textId="77777777" w:rsidTr="000B1FB8">
        <w:tc>
          <w:tcPr>
            <w:tcW w:w="792" w:type="pct"/>
          </w:tcPr>
          <w:p w14:paraId="68F2BEF5" w14:textId="450D3B10" w:rsidR="001A0C09" w:rsidRPr="00F4531F" w:rsidRDefault="001A0C09" w:rsidP="00DB71B9">
            <w:pPr>
              <w:jc w:val="center"/>
              <w:rPr>
                <w:b/>
                <w:color w:val="000000"/>
              </w:rPr>
            </w:pPr>
            <w:r>
              <w:rPr>
                <w:b/>
                <w:color w:val="000000"/>
              </w:rPr>
              <w:t xml:space="preserve"> </w:t>
            </w:r>
            <w:r w:rsidRPr="00F4531F">
              <w:rPr>
                <w:b/>
                <w:color w:val="000000"/>
              </w:rPr>
              <w:t>OOF</w:t>
            </w:r>
          </w:p>
        </w:tc>
        <w:tc>
          <w:tcPr>
            <w:tcW w:w="930" w:type="pct"/>
          </w:tcPr>
          <w:p w14:paraId="38209A7C" w14:textId="32FB33D5" w:rsidR="001A0C09" w:rsidRPr="003C71F8" w:rsidRDefault="001A0C09" w:rsidP="00DB71B9">
            <w:r w:rsidRPr="002C36C7">
              <w:t>Origin Of Fax</w:t>
            </w:r>
          </w:p>
        </w:tc>
        <w:tc>
          <w:tcPr>
            <w:tcW w:w="3278" w:type="pct"/>
          </w:tcPr>
          <w:p w14:paraId="55D353D9" w14:textId="01EB4265" w:rsidR="001A0C09" w:rsidRPr="004E00B6" w:rsidRDefault="001A0C09" w:rsidP="00DB71B9">
            <w:pPr>
              <w:rPr>
                <w:rFonts w:cs="Arial"/>
              </w:rPr>
            </w:pPr>
            <w:r>
              <w:rPr>
                <w:rFonts w:cs="Arial"/>
              </w:rPr>
              <w:t>Original location of faxed instrument.</w:t>
            </w:r>
          </w:p>
        </w:tc>
      </w:tr>
      <w:tr w:rsidR="001A0C09" w:rsidRPr="004E00B6" w14:paraId="6705A468" w14:textId="77777777" w:rsidTr="000B1FB8">
        <w:tc>
          <w:tcPr>
            <w:tcW w:w="792" w:type="pct"/>
          </w:tcPr>
          <w:p w14:paraId="0BD43D22" w14:textId="77777777" w:rsidR="001A0C09" w:rsidRPr="00F4531F" w:rsidRDefault="001A0C09" w:rsidP="00DB71B9">
            <w:pPr>
              <w:jc w:val="center"/>
              <w:rPr>
                <w:b/>
                <w:color w:val="000000"/>
              </w:rPr>
            </w:pPr>
            <w:r w:rsidRPr="00F4531F">
              <w:rPr>
                <w:b/>
                <w:color w:val="000000"/>
              </w:rPr>
              <w:t>OON</w:t>
            </w:r>
          </w:p>
        </w:tc>
        <w:tc>
          <w:tcPr>
            <w:tcW w:w="930" w:type="pct"/>
          </w:tcPr>
          <w:p w14:paraId="126F5AD2" w14:textId="4267F966" w:rsidR="001A0C09" w:rsidRPr="002C36C7" w:rsidRDefault="001A0C09" w:rsidP="00DB71B9">
            <w:pPr>
              <w:rPr>
                <w:rFonts w:cs="Arial"/>
              </w:rPr>
            </w:pPr>
            <w:r w:rsidRPr="002C36C7">
              <w:rPr>
                <w:rFonts w:cs="Arial"/>
              </w:rPr>
              <w:t>Out of Network</w:t>
            </w:r>
          </w:p>
        </w:tc>
        <w:tc>
          <w:tcPr>
            <w:tcW w:w="3278" w:type="pct"/>
          </w:tcPr>
          <w:p w14:paraId="5E045389" w14:textId="12928271" w:rsidR="001A0C09" w:rsidRDefault="001A0C09" w:rsidP="00DB71B9">
            <w:pPr>
              <w:rPr>
                <w:rFonts w:cs="Arial"/>
              </w:rPr>
            </w:pPr>
            <w:r>
              <w:rPr>
                <w:rFonts w:cs="Arial"/>
              </w:rPr>
              <w:t>M</w:t>
            </w:r>
            <w:r w:rsidRPr="00481AC5">
              <w:rPr>
                <w:rFonts w:cs="Arial"/>
              </w:rPr>
              <w:t>eans that a</w:t>
            </w:r>
            <w:r>
              <w:rPr>
                <w:rFonts w:cs="Arial"/>
              </w:rPr>
              <w:t xml:space="preserve"> pharmacy,</w:t>
            </w:r>
            <w:r w:rsidRPr="00481AC5">
              <w:rPr>
                <w:rFonts w:cs="Arial"/>
              </w:rPr>
              <w:t xml:space="preserve"> doctor</w:t>
            </w:r>
            <w:r>
              <w:rPr>
                <w:rFonts w:cs="Arial"/>
              </w:rPr>
              <w:t>,</w:t>
            </w:r>
            <w:r w:rsidRPr="00481AC5">
              <w:rPr>
                <w:rFonts w:cs="Arial"/>
              </w:rPr>
              <w:t xml:space="preserve"> or physician does not have a contract with your health insurance plan provider. This can sometimes result in higher prices. Some health plans, such as an HMO plan, will not cover care from </w:t>
            </w:r>
            <w:r w:rsidRPr="00481AC5">
              <w:rPr>
                <w:rFonts w:cs="Arial"/>
                <w:b/>
                <w:bCs/>
              </w:rPr>
              <w:t>out-of-network</w:t>
            </w:r>
            <w:r w:rsidRPr="00481AC5">
              <w:rPr>
                <w:rFonts w:cs="Arial"/>
              </w:rPr>
              <w:t> providers at all, except in an emergency.</w:t>
            </w:r>
            <w:r>
              <w:rPr>
                <w:rFonts w:cs="Arial"/>
              </w:rPr>
              <w:t xml:space="preserve"> </w:t>
            </w:r>
          </w:p>
        </w:tc>
      </w:tr>
      <w:tr w:rsidR="001A0C09" w:rsidRPr="004E00B6" w14:paraId="3008F3B8" w14:textId="77777777" w:rsidTr="000B1FB8">
        <w:tc>
          <w:tcPr>
            <w:tcW w:w="792" w:type="pct"/>
          </w:tcPr>
          <w:p w14:paraId="5E810A5D" w14:textId="77777777" w:rsidR="001A0C09" w:rsidRPr="00F4531F" w:rsidRDefault="001A0C09" w:rsidP="00DB71B9">
            <w:pPr>
              <w:jc w:val="center"/>
              <w:rPr>
                <w:b/>
                <w:color w:val="000000"/>
              </w:rPr>
            </w:pPr>
            <w:r w:rsidRPr="00F4531F">
              <w:rPr>
                <w:b/>
                <w:color w:val="000000"/>
              </w:rPr>
              <w:t>OOP</w:t>
            </w:r>
          </w:p>
        </w:tc>
        <w:tc>
          <w:tcPr>
            <w:tcW w:w="930" w:type="pct"/>
          </w:tcPr>
          <w:p w14:paraId="177770CC" w14:textId="77777777" w:rsidR="001A0C09" w:rsidRPr="002C36C7" w:rsidRDefault="001A0C09" w:rsidP="00DB71B9">
            <w:pPr>
              <w:rPr>
                <w:rFonts w:cs="Arial"/>
              </w:rPr>
            </w:pPr>
            <w:r w:rsidRPr="002C36C7">
              <w:rPr>
                <w:rFonts w:cs="Arial"/>
              </w:rPr>
              <w:t>Out of Pocket</w:t>
            </w:r>
          </w:p>
        </w:tc>
        <w:tc>
          <w:tcPr>
            <w:tcW w:w="3278" w:type="pct"/>
          </w:tcPr>
          <w:p w14:paraId="1267B7F5" w14:textId="3BC931A7" w:rsidR="001A0C09" w:rsidRPr="003C71F8" w:rsidRDefault="001A0C09" w:rsidP="00DB71B9">
            <w:r w:rsidRPr="000F184C">
              <w:t>An amount of money paid by the member or amount not covered by the insurance, which is considered the member’s responsibility</w:t>
            </w:r>
          </w:p>
        </w:tc>
      </w:tr>
      <w:tr w:rsidR="001A0C09" w:rsidRPr="004E00B6" w14:paraId="4E9E6419" w14:textId="77777777" w:rsidTr="000B1FB8">
        <w:tc>
          <w:tcPr>
            <w:tcW w:w="792" w:type="pct"/>
          </w:tcPr>
          <w:p w14:paraId="627A98C8" w14:textId="77777777" w:rsidR="001A0C09" w:rsidRPr="00F4531F" w:rsidRDefault="001A0C09" w:rsidP="00DB71B9">
            <w:pPr>
              <w:jc w:val="center"/>
              <w:rPr>
                <w:b/>
                <w:color w:val="000000"/>
              </w:rPr>
            </w:pPr>
            <w:r w:rsidRPr="00F4531F">
              <w:rPr>
                <w:b/>
                <w:color w:val="000000"/>
              </w:rPr>
              <w:t>OP</w:t>
            </w:r>
          </w:p>
        </w:tc>
        <w:tc>
          <w:tcPr>
            <w:tcW w:w="930" w:type="pct"/>
          </w:tcPr>
          <w:p w14:paraId="144420AD" w14:textId="77777777" w:rsidR="001A0C09" w:rsidRPr="002C36C7" w:rsidRDefault="001A0C09" w:rsidP="00DB71B9">
            <w:pPr>
              <w:rPr>
                <w:rFonts w:cs="Arial"/>
              </w:rPr>
            </w:pPr>
            <w:r w:rsidRPr="002C36C7">
              <w:rPr>
                <w:rFonts w:cs="Arial"/>
              </w:rPr>
              <w:t>Order Packet</w:t>
            </w:r>
          </w:p>
        </w:tc>
        <w:tc>
          <w:tcPr>
            <w:tcW w:w="3278" w:type="pct"/>
          </w:tcPr>
          <w:p w14:paraId="4C2BFD39" w14:textId="6EA3C7CC" w:rsidR="001A0C09" w:rsidRPr="004E00B6" w:rsidRDefault="001A0C09" w:rsidP="00DB71B9">
            <w:pPr>
              <w:rPr>
                <w:rFonts w:cs="Arial"/>
              </w:rPr>
            </w:pPr>
            <w:r w:rsidRPr="004E00B6">
              <w:rPr>
                <w:rFonts w:cs="Arial"/>
              </w:rPr>
              <w:t>Member packet containing mail order service form, drug counseling info, payment information</w:t>
            </w:r>
            <w:r>
              <w:rPr>
                <w:rFonts w:cs="Arial"/>
              </w:rPr>
              <w:t>,</w:t>
            </w:r>
            <w:r w:rsidRPr="004E00B6">
              <w:rPr>
                <w:rFonts w:cs="Arial"/>
              </w:rPr>
              <w:t xml:space="preserve"> etc.</w:t>
            </w:r>
          </w:p>
        </w:tc>
      </w:tr>
      <w:tr w:rsidR="001A0C09" w:rsidRPr="004E00B6" w14:paraId="48413A74" w14:textId="77777777" w:rsidTr="000B1FB8">
        <w:tc>
          <w:tcPr>
            <w:tcW w:w="792" w:type="pct"/>
          </w:tcPr>
          <w:p w14:paraId="2D72FE9B" w14:textId="77777777" w:rsidR="001A0C09" w:rsidRPr="00F4531F" w:rsidRDefault="001A0C09" w:rsidP="00DB71B9">
            <w:pPr>
              <w:jc w:val="center"/>
              <w:rPr>
                <w:b/>
                <w:color w:val="000000"/>
              </w:rPr>
            </w:pPr>
            <w:r>
              <w:rPr>
                <w:b/>
                <w:color w:val="000000"/>
              </w:rPr>
              <w:t xml:space="preserve">OPA </w:t>
            </w:r>
          </w:p>
        </w:tc>
        <w:tc>
          <w:tcPr>
            <w:tcW w:w="930" w:type="pct"/>
          </w:tcPr>
          <w:p w14:paraId="2F9E4CE3" w14:textId="77777777" w:rsidR="001A0C09" w:rsidRPr="002C36C7" w:rsidRDefault="001A0C09" w:rsidP="00DB71B9">
            <w:pPr>
              <w:rPr>
                <w:color w:val="000000"/>
              </w:rPr>
            </w:pPr>
            <w:r w:rsidRPr="002C36C7">
              <w:t xml:space="preserve">Off the phone activity </w:t>
            </w:r>
          </w:p>
        </w:tc>
        <w:tc>
          <w:tcPr>
            <w:tcW w:w="3278" w:type="pct"/>
          </w:tcPr>
          <w:p w14:paraId="63622C10" w14:textId="2C3508CB" w:rsidR="001A0C09" w:rsidRPr="006B3934" w:rsidRDefault="001A0C09" w:rsidP="00DB71B9">
            <w:pPr>
              <w:rPr>
                <w:rFonts w:cs="Arial"/>
              </w:rPr>
            </w:pPr>
            <w:r>
              <w:rPr>
                <w:rFonts w:cs="Arial"/>
              </w:rPr>
              <w:t xml:space="preserve">Any type of Non-Prescheduled Aux or project time off the Phones </w:t>
            </w:r>
          </w:p>
        </w:tc>
      </w:tr>
      <w:tr w:rsidR="001A0C09" w:rsidRPr="004E00B6" w14:paraId="62E8BD22" w14:textId="77777777" w:rsidTr="000B1FB8">
        <w:tc>
          <w:tcPr>
            <w:tcW w:w="792" w:type="pct"/>
          </w:tcPr>
          <w:p w14:paraId="096C496A" w14:textId="1485C3C2" w:rsidR="001A0C09" w:rsidRPr="00F4531F" w:rsidRDefault="001A0C09" w:rsidP="00DB71B9">
            <w:pPr>
              <w:jc w:val="center"/>
              <w:rPr>
                <w:b/>
                <w:color w:val="000000"/>
              </w:rPr>
            </w:pPr>
            <w:r>
              <w:rPr>
                <w:b/>
                <w:color w:val="000000"/>
              </w:rPr>
              <w:t xml:space="preserve"> </w:t>
            </w:r>
            <w:proofErr w:type="spellStart"/>
            <w:r>
              <w:rPr>
                <w:b/>
                <w:color w:val="000000"/>
              </w:rPr>
              <w:t>OPM</w:t>
            </w:r>
            <w:proofErr w:type="spellEnd"/>
            <w:r>
              <w:rPr>
                <w:b/>
                <w:color w:val="000000"/>
              </w:rPr>
              <w:t xml:space="preserve"> </w:t>
            </w:r>
          </w:p>
        </w:tc>
        <w:tc>
          <w:tcPr>
            <w:tcW w:w="930" w:type="pct"/>
          </w:tcPr>
          <w:p w14:paraId="1A490FBF" w14:textId="77777777" w:rsidR="001A0C09" w:rsidRPr="002C36C7" w:rsidRDefault="001A0C09" w:rsidP="00DB71B9">
            <w:r w:rsidRPr="002C36C7">
              <w:t xml:space="preserve">Office of Personnel Management </w:t>
            </w:r>
          </w:p>
        </w:tc>
        <w:tc>
          <w:tcPr>
            <w:tcW w:w="3278" w:type="pct"/>
          </w:tcPr>
          <w:p w14:paraId="7FEDDA9D" w14:textId="0531358E" w:rsidR="001A0C09" w:rsidRPr="000F184C" w:rsidRDefault="001A0C09" w:rsidP="00DB71B9">
            <w:r>
              <w:t>An independent agency of the United States Federal Government that manages the US civilian service.</w:t>
            </w:r>
          </w:p>
        </w:tc>
      </w:tr>
      <w:tr w:rsidR="001A0C09" w:rsidRPr="004E00B6" w14:paraId="76B4ACFA" w14:textId="77777777" w:rsidTr="000B1FB8">
        <w:tc>
          <w:tcPr>
            <w:tcW w:w="792" w:type="pct"/>
          </w:tcPr>
          <w:p w14:paraId="15ACA42F" w14:textId="77777777" w:rsidR="001A0C09" w:rsidRPr="00F4531F" w:rsidRDefault="001A0C09" w:rsidP="00DB71B9">
            <w:pPr>
              <w:jc w:val="center"/>
              <w:rPr>
                <w:b/>
                <w:color w:val="000000"/>
              </w:rPr>
            </w:pPr>
            <w:r w:rsidRPr="00F4531F">
              <w:rPr>
                <w:b/>
                <w:color w:val="000000"/>
              </w:rPr>
              <w:t>ORD</w:t>
            </w:r>
          </w:p>
        </w:tc>
        <w:tc>
          <w:tcPr>
            <w:tcW w:w="930" w:type="pct"/>
          </w:tcPr>
          <w:p w14:paraId="1B2368F5" w14:textId="77777777" w:rsidR="001A0C09" w:rsidRPr="002C36C7" w:rsidRDefault="001A0C09" w:rsidP="00DB71B9">
            <w:pPr>
              <w:rPr>
                <w:rFonts w:cs="Arial"/>
              </w:rPr>
            </w:pPr>
            <w:r w:rsidRPr="002C36C7">
              <w:rPr>
                <w:rFonts w:cs="Arial"/>
              </w:rPr>
              <w:t>Order</w:t>
            </w:r>
          </w:p>
        </w:tc>
        <w:tc>
          <w:tcPr>
            <w:tcW w:w="3278" w:type="pct"/>
          </w:tcPr>
          <w:p w14:paraId="5CF323E3" w14:textId="7CD441DD" w:rsidR="001A0C09" w:rsidRPr="004E00B6" w:rsidRDefault="001A0C09" w:rsidP="00DB71B9">
            <w:pPr>
              <w:rPr>
                <w:rFonts w:cs="Arial"/>
              </w:rPr>
            </w:pPr>
            <w:r w:rsidRPr="004E00B6">
              <w:rPr>
                <w:rFonts w:cs="Arial"/>
              </w:rPr>
              <w:t xml:space="preserve">Member’s request of prescriptions. Orders typically contains a </w:t>
            </w:r>
            <w:r>
              <w:rPr>
                <w:rFonts w:cs="Arial"/>
              </w:rPr>
              <w:t>home delivery</w:t>
            </w:r>
            <w:r w:rsidRPr="004E00B6">
              <w:rPr>
                <w:rFonts w:cs="Arial"/>
              </w:rPr>
              <w:t xml:space="preserve"> order form, prescriptions and can also contain a payment and correspondence</w:t>
            </w:r>
            <w:r>
              <w:rPr>
                <w:rFonts w:cs="Arial"/>
              </w:rPr>
              <w:t>.</w:t>
            </w:r>
          </w:p>
        </w:tc>
      </w:tr>
      <w:tr w:rsidR="001A0C09" w:rsidRPr="004E00B6" w14:paraId="0E06AD0F" w14:textId="77777777" w:rsidTr="000B1FB8">
        <w:tc>
          <w:tcPr>
            <w:tcW w:w="792" w:type="pct"/>
          </w:tcPr>
          <w:p w14:paraId="0C5CFA25" w14:textId="6B84017D" w:rsidR="001A0C09" w:rsidRPr="00F4531F" w:rsidRDefault="001A0C09" w:rsidP="00DB71B9">
            <w:pPr>
              <w:jc w:val="center"/>
              <w:rPr>
                <w:b/>
                <w:bCs/>
                <w:color w:val="000000"/>
              </w:rPr>
            </w:pPr>
            <w:proofErr w:type="spellStart"/>
            <w:r w:rsidRPr="00F4531F">
              <w:rPr>
                <w:b/>
                <w:bCs/>
                <w:color w:val="000000"/>
              </w:rPr>
              <w:t>ORIG</w:t>
            </w:r>
            <w:proofErr w:type="spellEnd"/>
          </w:p>
        </w:tc>
        <w:tc>
          <w:tcPr>
            <w:tcW w:w="930" w:type="pct"/>
          </w:tcPr>
          <w:p w14:paraId="65F512B7" w14:textId="77777777" w:rsidR="001A0C09" w:rsidRPr="002C36C7" w:rsidRDefault="001A0C09" w:rsidP="00DB71B9">
            <w:pPr>
              <w:rPr>
                <w:rFonts w:cs="Arial"/>
              </w:rPr>
            </w:pPr>
            <w:r w:rsidRPr="002C36C7">
              <w:rPr>
                <w:rFonts w:cs="Arial"/>
              </w:rPr>
              <w:t>Original</w:t>
            </w:r>
          </w:p>
        </w:tc>
        <w:tc>
          <w:tcPr>
            <w:tcW w:w="3278" w:type="pct"/>
          </w:tcPr>
          <w:p w14:paraId="5DAB41C3" w14:textId="2C608AE0" w:rsidR="001A0C09" w:rsidRPr="004E00B6" w:rsidRDefault="001A0C09" w:rsidP="00DB71B9">
            <w:pPr>
              <w:rPr>
                <w:rFonts w:cs="Arial"/>
              </w:rPr>
            </w:pPr>
            <w:r>
              <w:rPr>
                <w:rFonts w:cs="Arial"/>
              </w:rPr>
              <w:t>The first a work composed firsthand. Typically used to refer to a prescription or legal document.</w:t>
            </w:r>
          </w:p>
        </w:tc>
      </w:tr>
      <w:tr w:rsidR="001A0C09" w:rsidRPr="004E00B6" w14:paraId="12C74AE9" w14:textId="77777777" w:rsidTr="000B1FB8">
        <w:trPr>
          <w:trHeight w:val="1061"/>
        </w:trPr>
        <w:tc>
          <w:tcPr>
            <w:tcW w:w="792" w:type="pct"/>
          </w:tcPr>
          <w:p w14:paraId="79B4783A" w14:textId="77777777" w:rsidR="001A0C09" w:rsidRDefault="001A0C09" w:rsidP="00DB71B9">
            <w:pPr>
              <w:jc w:val="center"/>
              <w:rPr>
                <w:b/>
                <w:color w:val="000000"/>
              </w:rPr>
            </w:pPr>
            <w:r w:rsidRPr="00F4531F">
              <w:rPr>
                <w:b/>
                <w:color w:val="000000"/>
              </w:rPr>
              <w:t>OTC</w:t>
            </w:r>
          </w:p>
          <w:p w14:paraId="3129DC69" w14:textId="44A143D7" w:rsidR="00951EB9" w:rsidRPr="00F4531F" w:rsidRDefault="00951EB9" w:rsidP="00DB71B9">
            <w:pPr>
              <w:jc w:val="center"/>
              <w:rPr>
                <w:b/>
                <w:color w:val="000000"/>
              </w:rPr>
            </w:pPr>
          </w:p>
        </w:tc>
        <w:tc>
          <w:tcPr>
            <w:tcW w:w="930" w:type="pct"/>
          </w:tcPr>
          <w:p w14:paraId="2DF97852" w14:textId="77777777" w:rsidR="001A0C09" w:rsidRPr="002C36C7" w:rsidRDefault="001A0C09" w:rsidP="00DB71B9">
            <w:pPr>
              <w:rPr>
                <w:rFonts w:cs="Arial"/>
              </w:rPr>
            </w:pPr>
            <w:r w:rsidRPr="002C36C7">
              <w:rPr>
                <w:rFonts w:cs="Arial"/>
              </w:rPr>
              <w:t>Over the Counter</w:t>
            </w:r>
          </w:p>
        </w:tc>
        <w:tc>
          <w:tcPr>
            <w:tcW w:w="3278" w:type="pct"/>
          </w:tcPr>
          <w:p w14:paraId="5689A2E7" w14:textId="77777777" w:rsidR="001A0C09" w:rsidRPr="006B3934" w:rsidRDefault="001A0C09" w:rsidP="00DB71B9">
            <w:pPr>
              <w:rPr>
                <w:rFonts w:cs="Arial"/>
              </w:rPr>
            </w:pPr>
            <w:r w:rsidRPr="006B3934">
              <w:rPr>
                <w:rFonts w:cs="Arial"/>
              </w:rPr>
              <w:t xml:space="preserve">A drug that may be obtained without a prescription. </w:t>
            </w:r>
          </w:p>
          <w:p w14:paraId="72D93B5D" w14:textId="2C97331B" w:rsidR="001A0C09" w:rsidRPr="004E00B6" w:rsidRDefault="001A0C09" w:rsidP="00DB71B9">
            <w:pPr>
              <w:rPr>
                <w:rFonts w:cs="Arial"/>
              </w:rPr>
            </w:pPr>
            <w:r w:rsidRPr="006B3934">
              <w:rPr>
                <w:rFonts w:cs="Arial"/>
                <w:b/>
              </w:rPr>
              <w:t>Note</w:t>
            </w:r>
            <w:r w:rsidR="00DB71B9">
              <w:rPr>
                <w:rFonts w:cs="Arial"/>
                <w:b/>
              </w:rPr>
              <w:t xml:space="preserve">: </w:t>
            </w:r>
            <w:r w:rsidRPr="006B3934">
              <w:rPr>
                <w:rFonts w:cs="Arial"/>
              </w:rPr>
              <w:t xml:space="preserve">A prescription may be written for an OTC drug, but a prescription is not needed to obtain the drug.  In the RECAP system, the legal status for these medications reflects </w:t>
            </w:r>
            <w:r>
              <w:rPr>
                <w:rFonts w:cs="Arial"/>
              </w:rPr>
              <w:t>“</w:t>
            </w:r>
            <w:r w:rsidRPr="006B3934">
              <w:rPr>
                <w:rFonts w:cs="Arial"/>
              </w:rPr>
              <w:t>OTC</w:t>
            </w:r>
            <w:r>
              <w:rPr>
                <w:rFonts w:cs="Arial"/>
              </w:rPr>
              <w:t>”.</w:t>
            </w:r>
          </w:p>
        </w:tc>
      </w:tr>
      <w:tr w:rsidR="001A0C09" w:rsidRPr="004E00B6" w14:paraId="35ABF5F8" w14:textId="77777777" w:rsidTr="000B1FB8">
        <w:tc>
          <w:tcPr>
            <w:tcW w:w="792" w:type="pct"/>
          </w:tcPr>
          <w:p w14:paraId="02918452" w14:textId="77777777" w:rsidR="001A0C09" w:rsidRPr="00F4531F" w:rsidRDefault="001A0C09" w:rsidP="00DB71B9">
            <w:pPr>
              <w:jc w:val="center"/>
              <w:rPr>
                <w:b/>
                <w:color w:val="000000"/>
              </w:rPr>
            </w:pPr>
            <w:r w:rsidRPr="00F4531F">
              <w:rPr>
                <w:b/>
                <w:color w:val="000000"/>
              </w:rPr>
              <w:t>OTL</w:t>
            </w:r>
          </w:p>
        </w:tc>
        <w:tc>
          <w:tcPr>
            <w:tcW w:w="930" w:type="pct"/>
          </w:tcPr>
          <w:p w14:paraId="238DEFB2" w14:textId="77777777" w:rsidR="001A0C09" w:rsidRPr="002C36C7" w:rsidRDefault="001A0C09" w:rsidP="00DB71B9">
            <w:pPr>
              <w:rPr>
                <w:rFonts w:cs="Arial"/>
              </w:rPr>
            </w:pPr>
            <w:r w:rsidRPr="002C36C7">
              <w:rPr>
                <w:rFonts w:cs="Arial"/>
              </w:rPr>
              <w:t>Out to Lunch</w:t>
            </w:r>
          </w:p>
        </w:tc>
        <w:tc>
          <w:tcPr>
            <w:tcW w:w="3278" w:type="pct"/>
          </w:tcPr>
          <w:p w14:paraId="555B9690" w14:textId="0ECA2366" w:rsidR="001A0C09" w:rsidRPr="004E00B6" w:rsidRDefault="001A0C09" w:rsidP="00DB71B9">
            <w:pPr>
              <w:rPr>
                <w:rFonts w:cs="Arial"/>
              </w:rPr>
            </w:pPr>
            <w:r w:rsidRPr="004E00B6">
              <w:rPr>
                <w:rFonts w:cs="Arial"/>
              </w:rPr>
              <w:t>Refer to prescriber not being available (at lunch) to answer a phone call</w:t>
            </w:r>
            <w:r>
              <w:rPr>
                <w:rFonts w:cs="Arial"/>
              </w:rPr>
              <w:t>.</w:t>
            </w:r>
          </w:p>
        </w:tc>
      </w:tr>
      <w:tr w:rsidR="00951EB9" w:rsidRPr="004E00B6" w14:paraId="2242B6BC" w14:textId="77777777" w:rsidTr="000B1FB8">
        <w:trPr>
          <w:trHeight w:val="288"/>
        </w:trPr>
        <w:tc>
          <w:tcPr>
            <w:tcW w:w="792" w:type="pct"/>
          </w:tcPr>
          <w:p w14:paraId="5DD593AD" w14:textId="718A7327" w:rsidR="00951EB9" w:rsidRPr="00F4531F" w:rsidRDefault="00951EB9" w:rsidP="00DB71B9">
            <w:pPr>
              <w:jc w:val="center"/>
              <w:rPr>
                <w:b/>
                <w:color w:val="000000"/>
              </w:rPr>
            </w:pPr>
            <w:bookmarkStart w:id="5" w:name="_Hlk115422535"/>
            <w:r>
              <w:rPr>
                <w:b/>
                <w:color w:val="000000"/>
              </w:rPr>
              <w:t>OTP</w:t>
            </w:r>
          </w:p>
        </w:tc>
        <w:tc>
          <w:tcPr>
            <w:tcW w:w="930" w:type="pct"/>
          </w:tcPr>
          <w:p w14:paraId="658F4A02" w14:textId="77C5D102" w:rsidR="00951EB9" w:rsidRPr="002C36C7" w:rsidRDefault="00951EB9" w:rsidP="00DB71B9">
            <w:pPr>
              <w:rPr>
                <w:rFonts w:cs="Arial"/>
              </w:rPr>
            </w:pPr>
            <w:proofErr w:type="spellStart"/>
            <w:r>
              <w:rPr>
                <w:rFonts w:cs="Arial"/>
              </w:rPr>
              <w:t>One time</w:t>
            </w:r>
            <w:proofErr w:type="spellEnd"/>
            <w:r>
              <w:rPr>
                <w:rFonts w:cs="Arial"/>
              </w:rPr>
              <w:t xml:space="preserve"> payment </w:t>
            </w:r>
          </w:p>
        </w:tc>
        <w:tc>
          <w:tcPr>
            <w:tcW w:w="3278" w:type="pct"/>
          </w:tcPr>
          <w:p w14:paraId="451719B9" w14:textId="101F9CA2" w:rsidR="00951EB9" w:rsidRPr="004E00B6" w:rsidRDefault="00951EB9" w:rsidP="00DB71B9">
            <w:pPr>
              <w:rPr>
                <w:rFonts w:cs="Arial"/>
              </w:rPr>
            </w:pPr>
            <w:r>
              <w:rPr>
                <w:rFonts w:cs="Arial"/>
              </w:rPr>
              <w:t>Used for Premium Billing</w:t>
            </w:r>
            <w:r w:rsidR="009B732A">
              <w:rPr>
                <w:rFonts w:cs="Arial"/>
              </w:rPr>
              <w:t xml:space="preserve">. This is a payment that is being processed for one time use. </w:t>
            </w:r>
          </w:p>
        </w:tc>
      </w:tr>
      <w:bookmarkEnd w:id="5"/>
      <w:tr w:rsidR="001A0C09" w:rsidRPr="004E00B6" w14:paraId="44C875DB" w14:textId="77777777" w:rsidTr="000B1FB8">
        <w:tc>
          <w:tcPr>
            <w:tcW w:w="792" w:type="pct"/>
          </w:tcPr>
          <w:p w14:paraId="2107F4E6" w14:textId="77777777" w:rsidR="001A0C09" w:rsidRPr="00F4531F" w:rsidRDefault="001A0C09" w:rsidP="00DB71B9">
            <w:pPr>
              <w:jc w:val="center"/>
              <w:rPr>
                <w:b/>
                <w:color w:val="000000"/>
              </w:rPr>
            </w:pPr>
            <w:r w:rsidRPr="00F4531F">
              <w:rPr>
                <w:b/>
                <w:color w:val="000000"/>
              </w:rPr>
              <w:t>OU</w:t>
            </w:r>
          </w:p>
        </w:tc>
        <w:tc>
          <w:tcPr>
            <w:tcW w:w="930" w:type="pct"/>
          </w:tcPr>
          <w:p w14:paraId="494AF22C" w14:textId="77777777" w:rsidR="001A0C09" w:rsidRPr="002C36C7" w:rsidRDefault="001A0C09" w:rsidP="00DB71B9">
            <w:pPr>
              <w:rPr>
                <w:rFonts w:cs="Arial"/>
              </w:rPr>
            </w:pPr>
            <w:r w:rsidRPr="002C36C7">
              <w:rPr>
                <w:rFonts w:cs="Arial"/>
              </w:rPr>
              <w:t>Order Number</w:t>
            </w:r>
          </w:p>
        </w:tc>
        <w:tc>
          <w:tcPr>
            <w:tcW w:w="3278" w:type="pct"/>
          </w:tcPr>
          <w:p w14:paraId="426200E0" w14:textId="6AF4BBB4" w:rsidR="001A0C09" w:rsidRPr="004E00B6" w:rsidRDefault="001A0C09" w:rsidP="00DB71B9">
            <w:pPr>
              <w:rPr>
                <w:rFonts w:cs="Arial"/>
              </w:rPr>
            </w:pPr>
            <w:r w:rsidRPr="004E00B6">
              <w:rPr>
                <w:rFonts w:cs="Arial"/>
              </w:rPr>
              <w:t>Unique numeric identifier used to locate order.</w:t>
            </w:r>
          </w:p>
        </w:tc>
      </w:tr>
      <w:tr w:rsidR="001A0C09" w:rsidRPr="004E00B6" w14:paraId="38BEB7A3" w14:textId="77777777" w:rsidTr="000B1FB8">
        <w:tc>
          <w:tcPr>
            <w:tcW w:w="792" w:type="pct"/>
          </w:tcPr>
          <w:p w14:paraId="595E1C49" w14:textId="5D055D92" w:rsidR="001A0C09" w:rsidRPr="00F4531F" w:rsidRDefault="001A0C09" w:rsidP="00DB71B9">
            <w:pPr>
              <w:jc w:val="center"/>
              <w:rPr>
                <w:b/>
                <w:color w:val="000000"/>
              </w:rPr>
            </w:pPr>
            <w:r>
              <w:rPr>
                <w:b/>
                <w:color w:val="000000"/>
              </w:rPr>
              <w:t xml:space="preserve"> </w:t>
            </w:r>
            <w:r w:rsidRPr="00F4531F">
              <w:rPr>
                <w:b/>
                <w:color w:val="000000"/>
              </w:rPr>
              <w:t>OV</w:t>
            </w:r>
          </w:p>
        </w:tc>
        <w:tc>
          <w:tcPr>
            <w:tcW w:w="930" w:type="pct"/>
          </w:tcPr>
          <w:p w14:paraId="0883C879" w14:textId="7F1F25DC" w:rsidR="001A0C09" w:rsidRPr="002C36C7" w:rsidRDefault="001A0C09" w:rsidP="00DB71B9">
            <w:pPr>
              <w:rPr>
                <w:rFonts w:cs="Arial"/>
              </w:rPr>
            </w:pPr>
            <w:r w:rsidRPr="002C36C7">
              <w:rPr>
                <w:rFonts w:cs="Arial"/>
              </w:rPr>
              <w:t>Office Visit</w:t>
            </w:r>
          </w:p>
        </w:tc>
        <w:tc>
          <w:tcPr>
            <w:tcW w:w="3278" w:type="pct"/>
          </w:tcPr>
          <w:p w14:paraId="42AE6DFF" w14:textId="456371B5" w:rsidR="001A0C09" w:rsidRPr="004E00B6" w:rsidRDefault="001A0C09" w:rsidP="00DB71B9">
            <w:pPr>
              <w:rPr>
                <w:rFonts w:cs="Arial"/>
              </w:rPr>
            </w:pPr>
            <w:r>
              <w:rPr>
                <w:rFonts w:cs="Arial"/>
              </w:rPr>
              <w:t>Visit to a prescriber’s office.</w:t>
            </w:r>
          </w:p>
        </w:tc>
      </w:tr>
      <w:tr w:rsidR="001A0C09" w:rsidRPr="004E00B6" w14:paraId="76D06F23" w14:textId="77777777" w:rsidTr="000B1FB8">
        <w:tc>
          <w:tcPr>
            <w:tcW w:w="792" w:type="pct"/>
          </w:tcPr>
          <w:p w14:paraId="0797C68E" w14:textId="77777777" w:rsidR="001A0C09" w:rsidRPr="00F4531F" w:rsidRDefault="001A0C09" w:rsidP="00DB71B9">
            <w:pPr>
              <w:jc w:val="center"/>
              <w:rPr>
                <w:b/>
                <w:color w:val="000000"/>
              </w:rPr>
            </w:pPr>
            <w:proofErr w:type="spellStart"/>
            <w:r>
              <w:rPr>
                <w:b/>
                <w:color w:val="000000"/>
              </w:rPr>
              <w:t>OVR</w:t>
            </w:r>
            <w:proofErr w:type="spellEnd"/>
            <w:r>
              <w:rPr>
                <w:b/>
                <w:color w:val="000000"/>
              </w:rPr>
              <w:t xml:space="preserve"> </w:t>
            </w:r>
          </w:p>
        </w:tc>
        <w:tc>
          <w:tcPr>
            <w:tcW w:w="930" w:type="pct"/>
          </w:tcPr>
          <w:p w14:paraId="64A8DCFF" w14:textId="77777777" w:rsidR="001A0C09" w:rsidRPr="002C36C7" w:rsidRDefault="001A0C09" w:rsidP="00DB71B9">
            <w:r w:rsidRPr="002C36C7">
              <w:rPr>
                <w:color w:val="000000"/>
              </w:rPr>
              <w:t>Overrides</w:t>
            </w:r>
            <w:r w:rsidRPr="002C36C7" w:rsidDel="000B3A78">
              <w:t xml:space="preserve"> </w:t>
            </w:r>
          </w:p>
        </w:tc>
        <w:tc>
          <w:tcPr>
            <w:tcW w:w="3278" w:type="pct"/>
          </w:tcPr>
          <w:p w14:paraId="3D33114E" w14:textId="77777777" w:rsidR="001A0C09" w:rsidRPr="003A027D" w:rsidRDefault="001A0C09" w:rsidP="00DB71B9">
            <w:r w:rsidRPr="003A027D">
              <w:t xml:space="preserve">Overrides are a way to bypass plan edits in the plan design to allow claims to process when they would normally reject.  </w:t>
            </w:r>
          </w:p>
          <w:p w14:paraId="6B2BC20A" w14:textId="77777777" w:rsidR="001A0C09" w:rsidRPr="003A027D" w:rsidRDefault="001A0C09" w:rsidP="00DB71B9"/>
          <w:p w14:paraId="08BFD845" w14:textId="77777777" w:rsidR="001A0C09" w:rsidRPr="003A027D" w:rsidRDefault="001A0C09" w:rsidP="00DB71B9">
            <w:pPr>
              <w:numPr>
                <w:ilvl w:val="0"/>
                <w:numId w:val="21"/>
              </w:numPr>
            </w:pPr>
            <w:r w:rsidRPr="00422168">
              <w:rPr>
                <w:b/>
              </w:rPr>
              <w:t>Vacation Override</w:t>
            </w:r>
            <w:r w:rsidRPr="003A027D">
              <w:t xml:space="preserve"> – allows a member to fill a medication early if they are going on vacation and needs an early supply. </w:t>
            </w:r>
          </w:p>
          <w:p w14:paraId="42D8926D" w14:textId="77777777" w:rsidR="001A0C09" w:rsidRPr="003A027D" w:rsidRDefault="001A0C09" w:rsidP="00DB71B9">
            <w:pPr>
              <w:numPr>
                <w:ilvl w:val="0"/>
                <w:numId w:val="21"/>
              </w:numPr>
            </w:pPr>
            <w:r w:rsidRPr="00422168">
              <w:rPr>
                <w:b/>
              </w:rPr>
              <w:t>Participant Lost/Stolen/Damaged Meds Override</w:t>
            </w:r>
            <w:r w:rsidRPr="003A027D">
              <w:t xml:space="preserve"> – allows an early refill if the medication was lost or stolen or a portion of the medication was damaged.  </w:t>
            </w:r>
          </w:p>
          <w:p w14:paraId="19385BD5" w14:textId="72E6C98E" w:rsidR="001A0C09" w:rsidRPr="003A027D" w:rsidRDefault="001A0C09" w:rsidP="003C71F8">
            <w:pPr>
              <w:numPr>
                <w:ilvl w:val="0"/>
                <w:numId w:val="21"/>
              </w:numPr>
            </w:pPr>
            <w:r w:rsidRPr="00422168">
              <w:rPr>
                <w:b/>
              </w:rPr>
              <w:t>Mail Order Delay</w:t>
            </w:r>
            <w:r w:rsidRPr="003A027D">
              <w:t xml:space="preserve"> – allows a retail fill to process if a mail order fill is in process but is delayed due to </w:t>
            </w:r>
            <w:r>
              <w:t>our</w:t>
            </w:r>
            <w:r w:rsidRPr="003A027D">
              <w:t xml:space="preserve"> error. This prevents the member from running out of medication due to the delay in mail order. </w:t>
            </w:r>
          </w:p>
          <w:p w14:paraId="2227CB4E" w14:textId="77777777" w:rsidR="001A0C09" w:rsidRPr="003A027D" w:rsidRDefault="001A0C09" w:rsidP="00DB71B9">
            <w:pPr>
              <w:numPr>
                <w:ilvl w:val="0"/>
                <w:numId w:val="21"/>
              </w:numPr>
            </w:pPr>
            <w:r w:rsidRPr="00422168">
              <w:rPr>
                <w:b/>
              </w:rPr>
              <w:t>Maximum Dollar</w:t>
            </w:r>
            <w:r w:rsidRPr="003A027D">
              <w:t xml:space="preserve"> – some plans have a maximum dollar limit established so that claims reject if they reach a certain dollar limit.  This override will allow the claim to process over the set dollar limit.    </w:t>
            </w:r>
          </w:p>
          <w:p w14:paraId="6BAF2967" w14:textId="77777777" w:rsidR="001A0C09" w:rsidRPr="003A027D" w:rsidRDefault="001A0C09" w:rsidP="00DB71B9">
            <w:pPr>
              <w:numPr>
                <w:ilvl w:val="0"/>
                <w:numId w:val="21"/>
              </w:numPr>
            </w:pPr>
            <w:r w:rsidRPr="00422168">
              <w:rPr>
                <w:b/>
              </w:rPr>
              <w:t>Dosage/Increase Change</w:t>
            </w:r>
            <w:r w:rsidRPr="003A027D">
              <w:t xml:space="preserve"> – a claim may reject if a medication dosage has changed and the member now needs to take more.  For example, member has a claim for Lipitor </w:t>
            </w:r>
            <w:proofErr w:type="spellStart"/>
            <w:r w:rsidRPr="003A027D">
              <w:t>10mg</w:t>
            </w:r>
            <w:proofErr w:type="spellEnd"/>
            <w:r w:rsidRPr="003A027D">
              <w:t xml:space="preserve"> taken once a day but the MD changed the directions to now take it twice a day.  If the twice a day claim is processed it may reject because the once a day claim is already in the system.  This override will allow the claim to process. </w:t>
            </w:r>
          </w:p>
          <w:p w14:paraId="39D44BDB" w14:textId="77777777" w:rsidR="001A0C09" w:rsidRPr="003A027D" w:rsidRDefault="001A0C09" w:rsidP="00DB71B9">
            <w:pPr>
              <w:numPr>
                <w:ilvl w:val="0"/>
                <w:numId w:val="21"/>
              </w:numPr>
            </w:pPr>
            <w:r w:rsidRPr="00422168">
              <w:rPr>
                <w:b/>
              </w:rPr>
              <w:t>Multiple Births</w:t>
            </w:r>
            <w:r w:rsidRPr="003A027D">
              <w:t xml:space="preserve"> – The adjudication system may process claims for twins, triplets, etc</w:t>
            </w:r>
            <w:r>
              <w:t>.</w:t>
            </w:r>
            <w:r w:rsidRPr="003A027D">
              <w:t xml:space="preserve"> all under one member because of they have the same ID number and date of birth.  This override will allow both claims to process. </w:t>
            </w:r>
          </w:p>
          <w:p w14:paraId="206ED8B7" w14:textId="77777777" w:rsidR="001A0C09" w:rsidRPr="003A027D" w:rsidRDefault="001A0C09" w:rsidP="00DB71B9">
            <w:pPr>
              <w:numPr>
                <w:ilvl w:val="0"/>
                <w:numId w:val="21"/>
              </w:numPr>
            </w:pPr>
            <w:r w:rsidRPr="00422168">
              <w:rPr>
                <w:b/>
              </w:rPr>
              <w:t>Retail for Manufacturer Back Order</w:t>
            </w:r>
            <w:r w:rsidRPr="003A027D">
              <w:t xml:space="preserve"> – If the product is on MBO at the mail pharmacy and the member can locate it at the retail pharmacy this override may be necessary to allow both claims to process. </w:t>
            </w:r>
          </w:p>
          <w:p w14:paraId="577CBB3F" w14:textId="77777777" w:rsidR="001A0C09" w:rsidRPr="003A027D" w:rsidRDefault="001A0C09" w:rsidP="00DB71B9">
            <w:pPr>
              <w:numPr>
                <w:ilvl w:val="0"/>
                <w:numId w:val="21"/>
              </w:numPr>
            </w:pPr>
            <w:r w:rsidRPr="00422168">
              <w:rPr>
                <w:b/>
              </w:rPr>
              <w:t>Dose Optimization</w:t>
            </w:r>
            <w:r w:rsidRPr="003A027D">
              <w:t xml:space="preserve"> – </w:t>
            </w:r>
            <w:r>
              <w:t>A</w:t>
            </w:r>
            <w:r w:rsidRPr="003A027D">
              <w:t xml:space="preserve"> claim may reject if there is an opportunity to optimize dosage.  For example, a member is taking two Lipitor </w:t>
            </w:r>
            <w:proofErr w:type="spellStart"/>
            <w:r w:rsidRPr="003A027D">
              <w:t>10mg</w:t>
            </w:r>
            <w:proofErr w:type="spellEnd"/>
            <w:r w:rsidRPr="003A027D">
              <w:t xml:space="preserve"> tablets a day and there is a </w:t>
            </w:r>
            <w:proofErr w:type="spellStart"/>
            <w:r w:rsidRPr="003A027D">
              <w:t>20mg</w:t>
            </w:r>
            <w:proofErr w:type="spellEnd"/>
            <w:r w:rsidRPr="003A027D">
              <w:t xml:space="preserve"> tablet available the claim may reject.  Rejection is based on if the plan has opted to enroll in this program.</w:t>
            </w:r>
          </w:p>
          <w:p w14:paraId="672846C3" w14:textId="77777777" w:rsidR="001A0C09" w:rsidRDefault="001A0C09" w:rsidP="00DB71B9">
            <w:pPr>
              <w:numPr>
                <w:ilvl w:val="0"/>
                <w:numId w:val="21"/>
              </w:numPr>
            </w:pPr>
            <w:r w:rsidRPr="00422168">
              <w:rPr>
                <w:b/>
              </w:rPr>
              <w:t>Duplicate Therapy</w:t>
            </w:r>
            <w:r w:rsidRPr="003A027D">
              <w:t xml:space="preserve"> – </w:t>
            </w:r>
            <w:r>
              <w:t>R</w:t>
            </w:r>
            <w:r w:rsidRPr="003A027D">
              <w:t xml:space="preserve">ejections occur if a member is taking the same medication in different strengths or medications in the same drug class.  For example, a member’s child has a diabetic meter at home and has a different one at school.  The member needs two different types of strips which will reject.  This override will allow both claims to process. </w:t>
            </w:r>
          </w:p>
          <w:p w14:paraId="0F2F8FBE" w14:textId="77777777" w:rsidR="001A0C09" w:rsidRPr="003A027D" w:rsidRDefault="001A0C09" w:rsidP="00DB71B9">
            <w:pPr>
              <w:numPr>
                <w:ilvl w:val="0"/>
                <w:numId w:val="21"/>
              </w:numPr>
            </w:pPr>
            <w:r w:rsidRPr="00422168">
              <w:rPr>
                <w:b/>
              </w:rPr>
              <w:t>Incorrect Day Supply</w:t>
            </w:r>
            <w:r w:rsidRPr="003A027D">
              <w:t xml:space="preserve"> – </w:t>
            </w:r>
            <w:r>
              <w:t>C</w:t>
            </w:r>
            <w:r w:rsidRPr="003A027D">
              <w:t>laim may have processed incorrectly with the wrong day supply due to retail pharmacy error.  For example, member may have a prescription for a 30 day supply but the pharmacy processed it as a 60 day supply.  This override allows the claim to process</w:t>
            </w:r>
            <w:r>
              <w:t>.</w:t>
            </w:r>
            <w:r w:rsidRPr="003A027D">
              <w:t xml:space="preserve"> </w:t>
            </w:r>
          </w:p>
          <w:p w14:paraId="2EAA2AE4" w14:textId="77777777" w:rsidR="001A0C09" w:rsidRPr="003A027D" w:rsidRDefault="001A0C09" w:rsidP="00DB71B9">
            <w:pPr>
              <w:numPr>
                <w:ilvl w:val="0"/>
                <w:numId w:val="21"/>
              </w:numPr>
            </w:pPr>
            <w:r w:rsidRPr="00422168">
              <w:rPr>
                <w:b/>
              </w:rPr>
              <w:t>Annual Fill Limit / Allowed fill</w:t>
            </w:r>
            <w:r w:rsidRPr="003A027D">
              <w:t xml:space="preserve"> – </w:t>
            </w:r>
            <w:r>
              <w:t>A</w:t>
            </w:r>
            <w:r w:rsidRPr="003A027D">
              <w:t xml:space="preserve">pplies to plans that restrict the number of retail fills.  This override allows one more retail fill while the member is getting started with </w:t>
            </w:r>
            <w:r>
              <w:t>home delivery</w:t>
            </w:r>
            <w:r w:rsidRPr="003A027D">
              <w:t>.</w:t>
            </w:r>
          </w:p>
          <w:p w14:paraId="513C2F83" w14:textId="77777777" w:rsidR="001A0C09" w:rsidRPr="003A027D" w:rsidRDefault="001A0C09" w:rsidP="00DB71B9">
            <w:pPr>
              <w:numPr>
                <w:ilvl w:val="0"/>
                <w:numId w:val="21"/>
              </w:numPr>
            </w:pPr>
            <w:r w:rsidRPr="00422168">
              <w:rPr>
                <w:b/>
              </w:rPr>
              <w:t>Nursing Home</w:t>
            </w:r>
            <w:r w:rsidRPr="003A027D">
              <w:t xml:space="preserve"> – Nursing homes may require residents to use their onsite pharmacy.  This override allows a claim to process if it is going to reject due to a fill at another pharmacy. </w:t>
            </w:r>
          </w:p>
          <w:p w14:paraId="0CF7A7C2" w14:textId="77777777" w:rsidR="001A0C09" w:rsidRPr="003A027D" w:rsidRDefault="001A0C09" w:rsidP="00DB71B9">
            <w:pPr>
              <w:numPr>
                <w:ilvl w:val="0"/>
                <w:numId w:val="21"/>
              </w:numPr>
            </w:pPr>
            <w:r w:rsidRPr="00422168">
              <w:rPr>
                <w:b/>
              </w:rPr>
              <w:t>Specialty Retail Lock Out</w:t>
            </w:r>
            <w:r w:rsidRPr="003A027D">
              <w:t xml:space="preserve"> – </w:t>
            </w:r>
            <w:r>
              <w:t>P</w:t>
            </w:r>
            <w:r w:rsidRPr="003A027D">
              <w:t xml:space="preserve">lans may restrict specialty medications to be filled at </w:t>
            </w:r>
            <w:r>
              <w:t>our</w:t>
            </w:r>
            <w:r w:rsidRPr="003A027D">
              <w:t xml:space="preserve"> pharmacy only.  This override will allow the claim to process at a POS pharmacy once more while getting started with </w:t>
            </w:r>
            <w:r>
              <w:t>our</w:t>
            </w:r>
            <w:r w:rsidRPr="003A027D">
              <w:t xml:space="preserve"> Specialty Pharmacy.</w:t>
            </w:r>
          </w:p>
          <w:p w14:paraId="13EB77EC" w14:textId="77777777" w:rsidR="001A0C09" w:rsidRPr="003A027D" w:rsidRDefault="001A0C09" w:rsidP="00DB71B9">
            <w:pPr>
              <w:numPr>
                <w:ilvl w:val="0"/>
                <w:numId w:val="21"/>
              </w:numPr>
            </w:pPr>
            <w:r w:rsidRPr="00422168">
              <w:rPr>
                <w:b/>
              </w:rPr>
              <w:t>Expatriate Employees</w:t>
            </w:r>
            <w:r w:rsidRPr="003A027D">
              <w:t xml:space="preserve"> – </w:t>
            </w:r>
            <w:r>
              <w:t>M</w:t>
            </w:r>
            <w:r w:rsidRPr="003A027D">
              <w:t xml:space="preserve">ember may work outside the country and need a larger supply of medication to take with them than the plan allows.  </w:t>
            </w:r>
          </w:p>
          <w:p w14:paraId="4B646649" w14:textId="77777777" w:rsidR="001A0C09" w:rsidRPr="003A027D" w:rsidRDefault="001A0C09" w:rsidP="00DB71B9">
            <w:pPr>
              <w:numPr>
                <w:ilvl w:val="0"/>
                <w:numId w:val="21"/>
              </w:numPr>
              <w:rPr>
                <w:color w:val="000000"/>
              </w:rPr>
            </w:pPr>
            <w:r w:rsidRPr="00422168">
              <w:rPr>
                <w:b/>
                <w:color w:val="000000"/>
              </w:rPr>
              <w:t>Participant Mail In Delay</w:t>
            </w:r>
            <w:r w:rsidRPr="003A027D">
              <w:rPr>
                <w:color w:val="000000"/>
              </w:rPr>
              <w:t xml:space="preserve"> – </w:t>
            </w:r>
            <w:r>
              <w:rPr>
                <w:color w:val="000000"/>
              </w:rPr>
              <w:t>M</w:t>
            </w:r>
            <w:r w:rsidRPr="003A027D">
              <w:rPr>
                <w:color w:val="000000"/>
              </w:rPr>
              <w:t xml:space="preserve">ember needs to obtain a supply of medication at retail due to delay in mailing in their mail order.  This override will allow the claim to process at a POS pharmacy when a rejection occurs because the mail order has already begun processing. </w:t>
            </w:r>
          </w:p>
          <w:p w14:paraId="65B4D848" w14:textId="77777777" w:rsidR="001A0C09" w:rsidRPr="003A027D" w:rsidRDefault="001A0C09" w:rsidP="00DB71B9">
            <w:pPr>
              <w:numPr>
                <w:ilvl w:val="0"/>
                <w:numId w:val="21"/>
              </w:numPr>
              <w:rPr>
                <w:color w:val="000000"/>
              </w:rPr>
            </w:pPr>
            <w:r w:rsidRPr="00422168">
              <w:rPr>
                <w:b/>
                <w:color w:val="000000"/>
              </w:rPr>
              <w:t>Disaster Emergency</w:t>
            </w:r>
            <w:r w:rsidRPr="003A027D">
              <w:rPr>
                <w:color w:val="000000"/>
              </w:rPr>
              <w:t xml:space="preserve"> – </w:t>
            </w:r>
            <w:r>
              <w:rPr>
                <w:color w:val="000000"/>
              </w:rPr>
              <w:t>A</w:t>
            </w:r>
            <w:r w:rsidRPr="003A027D">
              <w:rPr>
                <w:color w:val="000000"/>
              </w:rPr>
              <w:t>llows the member to receive an override in the event of a Disaster Emergency where they are located. This may include natural disasters, hurricanes, floods, etc.</w:t>
            </w:r>
            <w:r>
              <w:rPr>
                <w:color w:val="000000"/>
              </w:rPr>
              <w:t xml:space="preserve"> </w:t>
            </w:r>
            <w:r w:rsidRPr="0082504D">
              <w:rPr>
                <w:color w:val="000000"/>
              </w:rPr>
              <w:t>and other disasters such as house fires or vehicle accident</w:t>
            </w:r>
            <w:r>
              <w:rPr>
                <w:noProof/>
              </w:rPr>
              <w:t>s.</w:t>
            </w:r>
          </w:p>
          <w:p w14:paraId="65DA3339" w14:textId="6A0D1647" w:rsidR="001A0C09" w:rsidRDefault="001A0C09" w:rsidP="00DB71B9">
            <w:pPr>
              <w:numPr>
                <w:ilvl w:val="0"/>
                <w:numId w:val="21"/>
              </w:numPr>
              <w:rPr>
                <w:color w:val="000000"/>
              </w:rPr>
            </w:pPr>
            <w:r w:rsidRPr="00422168">
              <w:rPr>
                <w:b/>
                <w:color w:val="000000"/>
              </w:rPr>
              <w:t xml:space="preserve">Transition Plan 1 x override </w:t>
            </w:r>
            <w:proofErr w:type="spellStart"/>
            <w:r w:rsidRPr="00422168">
              <w:rPr>
                <w:b/>
                <w:color w:val="000000"/>
              </w:rPr>
              <w:t>30DS</w:t>
            </w:r>
            <w:proofErr w:type="spellEnd"/>
            <w:r>
              <w:rPr>
                <w:color w:val="000000"/>
              </w:rPr>
              <w:t xml:space="preserve"> –</w:t>
            </w:r>
            <w:r w:rsidR="009D24B3">
              <w:rPr>
                <w:color w:val="000000"/>
              </w:rPr>
              <w:t xml:space="preserve"> </w:t>
            </w:r>
            <w:r w:rsidR="00A51041">
              <w:rPr>
                <w:color w:val="000000"/>
              </w:rPr>
              <w:t>A</w:t>
            </w:r>
            <w:r w:rsidR="006F1466">
              <w:rPr>
                <w:color w:val="000000"/>
              </w:rPr>
              <w:t>pplies</w:t>
            </w:r>
            <w:r w:rsidR="00FD6C21">
              <w:rPr>
                <w:color w:val="000000"/>
              </w:rPr>
              <w:t xml:space="preserve"> to Medicare D only </w:t>
            </w:r>
            <w:r w:rsidR="00FD6C21" w:rsidRPr="00DB71B9">
              <w:rPr>
                <w:b/>
                <w:bCs/>
                <w:color w:val="000000"/>
              </w:rPr>
              <w:t>UNLESS</w:t>
            </w:r>
            <w:r w:rsidR="00FD6C21">
              <w:rPr>
                <w:color w:val="000000"/>
              </w:rPr>
              <w:t xml:space="preserve"> CIF states otherwise</w:t>
            </w:r>
            <w:r w:rsidR="004B748E">
              <w:rPr>
                <w:color w:val="000000"/>
              </w:rPr>
              <w:t xml:space="preserve"> </w:t>
            </w:r>
            <w:r w:rsidRPr="003A027D">
              <w:rPr>
                <w:color w:val="000000"/>
              </w:rPr>
              <w:t>- allows for drugs that were covered by the beneficiary</w:t>
            </w:r>
            <w:r>
              <w:rPr>
                <w:color w:val="000000"/>
              </w:rPr>
              <w:t>’</w:t>
            </w:r>
            <w:r w:rsidRPr="003A027D">
              <w:rPr>
                <w:color w:val="000000"/>
              </w:rPr>
              <w:t>s previous coverage to be filled 1 time under the new/current coverage</w:t>
            </w:r>
            <w:r w:rsidR="004B748E">
              <w:rPr>
                <w:color w:val="000000"/>
              </w:rPr>
              <w:t xml:space="preserve"> for the first 90 days of the new plan’s eligibility date</w:t>
            </w:r>
            <w:r>
              <w:rPr>
                <w:color w:val="000000"/>
              </w:rPr>
              <w:t>.</w:t>
            </w:r>
            <w:r w:rsidR="00234918">
              <w:rPr>
                <w:color w:val="000000"/>
              </w:rPr>
              <w:t xml:space="preserve"> </w:t>
            </w:r>
          </w:p>
          <w:p w14:paraId="25DC34E8" w14:textId="30C7C756" w:rsidR="00DF59FB" w:rsidRPr="000E1B51" w:rsidRDefault="000B1FB8" w:rsidP="000E1B51">
            <w:pPr>
              <w:ind w:left="1080"/>
              <w:rPr>
                <w:color w:val="000000"/>
              </w:rPr>
            </w:pPr>
            <w:r>
              <w:rPr>
                <w:b/>
                <w:noProof/>
                <w:color w:val="000000"/>
              </w:rPr>
              <w:drawing>
                <wp:inline distT="0" distB="0" distL="0" distR="0" wp14:anchorId="77B185D2" wp14:editId="7067CBD0">
                  <wp:extent cx="304800" cy="304800"/>
                  <wp:effectExtent l="0" t="0" r="0" b="0"/>
                  <wp:docPr id="684647088" name="Picture 68464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5D474D" w:rsidRPr="005D474D">
              <w:rPr>
                <w:b/>
                <w:noProof/>
                <w:color w:val="000000"/>
              </w:rPr>
              <w:t>N</w:t>
            </w:r>
            <w:r w:rsidR="00C85605">
              <w:rPr>
                <w:b/>
                <w:noProof/>
                <w:color w:val="000000"/>
              </w:rPr>
              <w:t>otes</w:t>
            </w:r>
            <w:r w:rsidR="005D474D" w:rsidRPr="005D474D">
              <w:rPr>
                <w:b/>
                <w:noProof/>
                <w:color w:val="000000"/>
              </w:rPr>
              <w:t>:</w:t>
            </w:r>
          </w:p>
          <w:p w14:paraId="303E1EDE" w14:textId="04A76BB8" w:rsidR="005D474D" w:rsidRPr="000E1B51" w:rsidRDefault="005D474D" w:rsidP="00214C56">
            <w:pPr>
              <w:numPr>
                <w:ilvl w:val="1"/>
                <w:numId w:val="21"/>
              </w:numPr>
              <w:rPr>
                <w:color w:val="000000"/>
              </w:rPr>
            </w:pPr>
            <w:r w:rsidRPr="005D474D">
              <w:rPr>
                <w:b/>
                <w:noProof/>
                <w:color w:val="000000"/>
              </w:rPr>
              <w:t xml:space="preserve"> </w:t>
            </w:r>
            <w:r w:rsidRPr="005D474D">
              <w:rPr>
                <w:bCs/>
                <w:noProof/>
                <w:color w:val="000000"/>
              </w:rPr>
              <w:t>Does not apply to Non Med-D covered drugs.</w:t>
            </w:r>
          </w:p>
          <w:p w14:paraId="11A63C43" w14:textId="0BE821CE" w:rsidR="00DF59FB" w:rsidRDefault="00DF59FB" w:rsidP="00DF59FB">
            <w:pPr>
              <w:numPr>
                <w:ilvl w:val="1"/>
                <w:numId w:val="21"/>
              </w:numPr>
              <w:rPr>
                <w:color w:val="000000"/>
              </w:rPr>
            </w:pPr>
            <w:r w:rsidRPr="00DF59FB">
              <w:rPr>
                <w:color w:val="000000"/>
              </w:rPr>
              <w:t>For TF-eligible drugs, members will receive a TF automatically upon filling medication at the pharmacy.</w:t>
            </w:r>
          </w:p>
          <w:p w14:paraId="040361BB" w14:textId="7B29E795" w:rsidR="00DF59FB" w:rsidRPr="00DF59FB" w:rsidRDefault="00DF59FB" w:rsidP="00DF59FB">
            <w:pPr>
              <w:numPr>
                <w:ilvl w:val="1"/>
                <w:numId w:val="21"/>
              </w:numPr>
              <w:rPr>
                <w:color w:val="000000"/>
              </w:rPr>
            </w:pPr>
            <w:r w:rsidRPr="00DF59FB">
              <w:rPr>
                <w:color w:val="000000"/>
              </w:rPr>
              <w:t>CVS will enter a 90-day supply override into the claims adjudication system for Part D drugs.</w:t>
            </w:r>
          </w:p>
          <w:p w14:paraId="5C46C245" w14:textId="28DF3615" w:rsidR="00DF59FB" w:rsidRPr="00DF59FB" w:rsidRDefault="00DF59FB" w:rsidP="000E1B51">
            <w:pPr>
              <w:numPr>
                <w:ilvl w:val="1"/>
                <w:numId w:val="21"/>
              </w:numPr>
              <w:rPr>
                <w:color w:val="000000"/>
              </w:rPr>
            </w:pPr>
            <w:r w:rsidRPr="00DF59FB">
              <w:rPr>
                <w:color w:val="000000"/>
              </w:rPr>
              <w:t>Once a TF is initiated, POS messaging is available, and CVS will send an initial TF letter to both the member and provider and suppress subsequent lettering.</w:t>
            </w:r>
          </w:p>
          <w:p w14:paraId="7EEBEF37" w14:textId="77777777" w:rsidR="001A0C09" w:rsidRPr="003A027D" w:rsidRDefault="001A0C09" w:rsidP="00DB71B9">
            <w:pPr>
              <w:numPr>
                <w:ilvl w:val="0"/>
                <w:numId w:val="21"/>
              </w:numPr>
              <w:rPr>
                <w:color w:val="000000"/>
              </w:rPr>
            </w:pPr>
            <w:r w:rsidRPr="00422168">
              <w:rPr>
                <w:b/>
                <w:color w:val="000000"/>
              </w:rPr>
              <w:t>MDL or QVT Limit Exceptions</w:t>
            </w:r>
            <w:r w:rsidRPr="003A027D">
              <w:rPr>
                <w:color w:val="000000"/>
              </w:rPr>
              <w:t xml:space="preserve"> – This override allows exceptions to be made for </w:t>
            </w:r>
            <w:r w:rsidRPr="005B3CEE">
              <w:rPr>
                <w:color w:val="000000"/>
              </w:rPr>
              <w:t xml:space="preserve">Managed Drug Limitation </w:t>
            </w:r>
            <w:r w:rsidRPr="003A027D">
              <w:rPr>
                <w:color w:val="000000"/>
              </w:rPr>
              <w:t xml:space="preserve">and/or Quantity vs. Time rejections. </w:t>
            </w:r>
          </w:p>
          <w:p w14:paraId="3EE51E83" w14:textId="22A6B380" w:rsidR="001A0C09" w:rsidRPr="003C71F8" w:rsidRDefault="001A0C09" w:rsidP="003C71F8">
            <w:pPr>
              <w:numPr>
                <w:ilvl w:val="0"/>
                <w:numId w:val="21"/>
              </w:numPr>
              <w:rPr>
                <w:rFonts w:cs="Arial"/>
              </w:rPr>
            </w:pPr>
            <w:r w:rsidRPr="00422168">
              <w:rPr>
                <w:b/>
                <w:color w:val="000000"/>
              </w:rPr>
              <w:t>Other Overrides</w:t>
            </w:r>
            <w:r w:rsidRPr="003A027D">
              <w:rPr>
                <w:color w:val="000000"/>
              </w:rPr>
              <w:t xml:space="preserve"> – Provides information about other overrides allowed by the plan that do not fit into the above categories.</w:t>
            </w:r>
          </w:p>
        </w:tc>
      </w:tr>
      <w:tr w:rsidR="001A0C09" w:rsidRPr="004E00B6" w14:paraId="4EFD13EC" w14:textId="77777777" w:rsidTr="000B1FB8">
        <w:tc>
          <w:tcPr>
            <w:tcW w:w="792" w:type="pct"/>
          </w:tcPr>
          <w:p w14:paraId="354492F8" w14:textId="77777777" w:rsidR="001A0C09" w:rsidRPr="00F4531F" w:rsidRDefault="001A0C09" w:rsidP="00DB71B9">
            <w:pPr>
              <w:jc w:val="center"/>
              <w:rPr>
                <w:b/>
                <w:color w:val="000000"/>
              </w:rPr>
            </w:pPr>
            <w:r w:rsidRPr="00F4531F">
              <w:rPr>
                <w:b/>
                <w:color w:val="000000"/>
              </w:rPr>
              <w:t>OZ</w:t>
            </w:r>
          </w:p>
        </w:tc>
        <w:tc>
          <w:tcPr>
            <w:tcW w:w="930" w:type="pct"/>
          </w:tcPr>
          <w:p w14:paraId="22C6F44F" w14:textId="77777777" w:rsidR="001A0C09" w:rsidRPr="002C36C7" w:rsidRDefault="001A0C09" w:rsidP="00DB71B9">
            <w:pPr>
              <w:rPr>
                <w:rFonts w:cs="Arial"/>
              </w:rPr>
            </w:pPr>
            <w:r w:rsidRPr="002C36C7">
              <w:rPr>
                <w:rFonts w:cs="Arial"/>
              </w:rPr>
              <w:t>Ounce</w:t>
            </w:r>
          </w:p>
        </w:tc>
        <w:tc>
          <w:tcPr>
            <w:tcW w:w="3278" w:type="pct"/>
          </w:tcPr>
          <w:p w14:paraId="57A779EB" w14:textId="048B0056" w:rsidR="001A0C09" w:rsidRPr="004E00B6" w:rsidRDefault="001A0C09" w:rsidP="00DB71B9">
            <w:pPr>
              <w:rPr>
                <w:rFonts w:cs="Arial"/>
              </w:rPr>
            </w:pPr>
            <w:r w:rsidRPr="004E00B6">
              <w:rPr>
                <w:rFonts w:cs="Arial"/>
              </w:rPr>
              <w:t>A unit of measure of weight or volume</w:t>
            </w:r>
            <w:r>
              <w:rPr>
                <w:rFonts w:cs="Arial"/>
              </w:rPr>
              <w:t>.</w:t>
            </w:r>
          </w:p>
        </w:tc>
      </w:tr>
    </w:tbl>
    <w:p w14:paraId="5DF21F9F" w14:textId="77777777" w:rsidR="00084B4D" w:rsidRPr="004E00B6" w:rsidRDefault="00084B4D" w:rsidP="00DB71B9">
      <w:pPr>
        <w:rPr>
          <w:sz w:val="20"/>
          <w:szCs w:val="20"/>
        </w:rPr>
      </w:pPr>
    </w:p>
    <w:p w14:paraId="0F366066" w14:textId="77777777" w:rsidR="00E55B3A" w:rsidRDefault="00E55B3A" w:rsidP="00DB71B9"/>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18"/>
      </w:tblGrid>
      <w:tr w:rsidR="00D85161" w:rsidRPr="004E00B6" w14:paraId="1FB52F37" w14:textId="77777777" w:rsidTr="009D24B3">
        <w:tc>
          <w:tcPr>
            <w:tcW w:w="1441" w:type="pct"/>
            <w:shd w:val="clear" w:color="auto" w:fill="BFBFBF" w:themeFill="background1" w:themeFillShade="BF"/>
          </w:tcPr>
          <w:p w14:paraId="4739F244" w14:textId="70CAE8C3" w:rsidR="00D85161" w:rsidRPr="00D85161" w:rsidRDefault="00D85161" w:rsidP="00DB71B9">
            <w:pPr>
              <w:jc w:val="center"/>
              <w:rPr>
                <w:b/>
                <w:bCs/>
                <w:color w:val="000000"/>
              </w:rPr>
            </w:pPr>
            <w:r w:rsidRPr="00D85161">
              <w:rPr>
                <w:b/>
                <w:bCs/>
                <w:color w:val="000000"/>
              </w:rPr>
              <w:t>Term</w:t>
            </w:r>
          </w:p>
        </w:tc>
        <w:tc>
          <w:tcPr>
            <w:tcW w:w="3559" w:type="pct"/>
            <w:shd w:val="clear" w:color="auto" w:fill="BFBFBF" w:themeFill="background1" w:themeFillShade="BF"/>
          </w:tcPr>
          <w:p w14:paraId="150FF19F" w14:textId="33507B33" w:rsidR="00D85161" w:rsidRPr="00D85161" w:rsidRDefault="00D85161" w:rsidP="00DB71B9">
            <w:pPr>
              <w:jc w:val="center"/>
              <w:rPr>
                <w:rFonts w:cs="Arial"/>
                <w:b/>
                <w:bCs/>
              </w:rPr>
            </w:pPr>
            <w:r w:rsidRPr="00D85161">
              <w:rPr>
                <w:rFonts w:cs="Arial"/>
                <w:b/>
                <w:bCs/>
              </w:rPr>
              <w:t>Definition</w:t>
            </w:r>
          </w:p>
        </w:tc>
      </w:tr>
      <w:tr w:rsidR="00AC40D4" w:rsidRPr="004E00B6" w14:paraId="169A332D" w14:textId="77777777" w:rsidTr="009D24B3">
        <w:tc>
          <w:tcPr>
            <w:tcW w:w="1441" w:type="pct"/>
          </w:tcPr>
          <w:p w14:paraId="2B70837A" w14:textId="77777777" w:rsidR="00AC40D4" w:rsidRPr="002C36C7" w:rsidRDefault="00AC40D4" w:rsidP="00DB71B9">
            <w:pPr>
              <w:rPr>
                <w:rFonts w:cs="Arial"/>
              </w:rPr>
            </w:pPr>
            <w:r w:rsidRPr="002C36C7">
              <w:rPr>
                <w:color w:val="000000"/>
              </w:rPr>
              <w:t>Off-Label</w:t>
            </w:r>
          </w:p>
        </w:tc>
        <w:tc>
          <w:tcPr>
            <w:tcW w:w="3559" w:type="pct"/>
          </w:tcPr>
          <w:p w14:paraId="788B6477" w14:textId="023630E4" w:rsidR="00AC40D4" w:rsidRPr="004E00B6" w:rsidRDefault="00AC40D4" w:rsidP="00DB71B9">
            <w:pPr>
              <w:rPr>
                <w:rFonts w:cs="Arial"/>
              </w:rPr>
            </w:pPr>
            <w:r w:rsidRPr="006B3934">
              <w:rPr>
                <w:rFonts w:cs="Arial"/>
              </w:rPr>
              <w:t>Medications used for purposes other than those originally approved through the FDA new drug approval process for marketing in the Unites States.</w:t>
            </w:r>
          </w:p>
        </w:tc>
      </w:tr>
      <w:tr w:rsidR="00AC40D4" w:rsidRPr="004E00B6" w14:paraId="5CA1EC44" w14:textId="77777777" w:rsidTr="009D24B3">
        <w:tc>
          <w:tcPr>
            <w:tcW w:w="1441" w:type="pct"/>
          </w:tcPr>
          <w:p w14:paraId="181B20E8" w14:textId="77777777" w:rsidR="00AC40D4" w:rsidRPr="002C36C7" w:rsidRDefault="00AC40D4" w:rsidP="00DB71B9">
            <w:pPr>
              <w:rPr>
                <w:color w:val="000000"/>
              </w:rPr>
            </w:pPr>
            <w:proofErr w:type="spellStart"/>
            <w:r w:rsidRPr="002C36C7">
              <w:rPr>
                <w:color w:val="000000"/>
              </w:rPr>
              <w:t>Omation</w:t>
            </w:r>
            <w:proofErr w:type="spellEnd"/>
            <w:r w:rsidRPr="002C36C7">
              <w:rPr>
                <w:color w:val="000000"/>
              </w:rPr>
              <w:t xml:space="preserve"> </w:t>
            </w:r>
          </w:p>
        </w:tc>
        <w:tc>
          <w:tcPr>
            <w:tcW w:w="3559" w:type="pct"/>
          </w:tcPr>
          <w:p w14:paraId="63CA22B2" w14:textId="77777777" w:rsidR="00AC40D4" w:rsidRPr="004E00B6" w:rsidRDefault="00AC40D4" w:rsidP="00DB71B9">
            <w:pPr>
              <w:rPr>
                <w:rFonts w:cs="Arial"/>
              </w:rPr>
            </w:pPr>
            <w:r w:rsidRPr="002B7629">
              <w:rPr>
                <w:rFonts w:cs="Arial"/>
              </w:rPr>
              <w:t>Machinery used to slice open and date stamp the mail.</w:t>
            </w:r>
            <w:r>
              <w:rPr>
                <w:rFonts w:cs="Arial"/>
              </w:rPr>
              <w:t xml:space="preserve"> </w:t>
            </w:r>
          </w:p>
        </w:tc>
      </w:tr>
      <w:tr w:rsidR="00AC40D4" w:rsidRPr="004E00B6" w14:paraId="438CF24E" w14:textId="77777777" w:rsidTr="009D24B3">
        <w:tc>
          <w:tcPr>
            <w:tcW w:w="1441" w:type="pct"/>
          </w:tcPr>
          <w:p w14:paraId="28C99D18" w14:textId="77777777" w:rsidR="00AC40D4" w:rsidRPr="002C36C7" w:rsidRDefault="00AC40D4" w:rsidP="00DB71B9">
            <w:proofErr w:type="spellStart"/>
            <w:r w:rsidRPr="002C36C7">
              <w:rPr>
                <w:color w:val="000000"/>
              </w:rPr>
              <w:t>OmniSYS</w:t>
            </w:r>
            <w:proofErr w:type="spellEnd"/>
          </w:p>
        </w:tc>
        <w:tc>
          <w:tcPr>
            <w:tcW w:w="3559" w:type="pct"/>
          </w:tcPr>
          <w:p w14:paraId="6217BBCF" w14:textId="45CEABE2" w:rsidR="00AC40D4" w:rsidRPr="004E00B6" w:rsidRDefault="00AC40D4" w:rsidP="00DB71B9">
            <w:r w:rsidRPr="004E00B6">
              <w:rPr>
                <w:rFonts w:cs="Arial"/>
              </w:rPr>
              <w:t xml:space="preserve">A vendor contracted to </w:t>
            </w:r>
            <w:r w:rsidRPr="004E00B6">
              <w:t xml:space="preserve">administer Medicare Part B claims for </w:t>
            </w:r>
            <w:r>
              <w:t>us</w:t>
            </w:r>
            <w:r w:rsidRPr="004E00B6">
              <w:t>.</w:t>
            </w:r>
          </w:p>
        </w:tc>
      </w:tr>
      <w:tr w:rsidR="00AC40D4" w:rsidRPr="004E00B6" w14:paraId="438011B8" w14:textId="77777777" w:rsidTr="009D24B3">
        <w:tc>
          <w:tcPr>
            <w:tcW w:w="1441" w:type="pct"/>
          </w:tcPr>
          <w:p w14:paraId="1CFC1621" w14:textId="77777777" w:rsidR="00AC40D4" w:rsidRPr="002C36C7" w:rsidRDefault="00AC40D4" w:rsidP="00DB71B9">
            <w:pPr>
              <w:rPr>
                <w:rFonts w:cs="Arial"/>
              </w:rPr>
            </w:pPr>
            <w:proofErr w:type="spellStart"/>
            <w:r w:rsidRPr="002C36C7">
              <w:t>ONEclick</w:t>
            </w:r>
            <w:proofErr w:type="spellEnd"/>
          </w:p>
        </w:tc>
        <w:tc>
          <w:tcPr>
            <w:tcW w:w="3559" w:type="pct"/>
          </w:tcPr>
          <w:p w14:paraId="591987EA" w14:textId="5331C66F" w:rsidR="00AC40D4" w:rsidRPr="003C71F8" w:rsidRDefault="00AC40D4" w:rsidP="00DB71B9">
            <w:r w:rsidRPr="000F184C">
              <w:t>Database System used by O’Neil to store beneficiary plan materials</w:t>
            </w:r>
            <w:r>
              <w:t>.</w:t>
            </w:r>
          </w:p>
        </w:tc>
      </w:tr>
      <w:tr w:rsidR="00AC40D4" w:rsidRPr="004E00B6" w14:paraId="3A752419" w14:textId="77777777" w:rsidTr="009D24B3">
        <w:tc>
          <w:tcPr>
            <w:tcW w:w="1441" w:type="pct"/>
          </w:tcPr>
          <w:p w14:paraId="3606A895" w14:textId="77777777" w:rsidR="00AC40D4" w:rsidRPr="002C36C7" w:rsidRDefault="00AC40D4" w:rsidP="00DB71B9">
            <w:pPr>
              <w:rPr>
                <w:rFonts w:cs="Arial"/>
              </w:rPr>
            </w:pPr>
            <w:r w:rsidRPr="002C36C7">
              <w:rPr>
                <w:color w:val="000000"/>
              </w:rPr>
              <w:t>One &amp; Run</w:t>
            </w:r>
          </w:p>
        </w:tc>
        <w:tc>
          <w:tcPr>
            <w:tcW w:w="3559" w:type="pct"/>
          </w:tcPr>
          <w:p w14:paraId="590F4920" w14:textId="1FE20B89" w:rsidR="00AC40D4" w:rsidRPr="004E00B6" w:rsidRDefault="00AC40D4" w:rsidP="00DB71B9">
            <w:pPr>
              <w:rPr>
                <w:rFonts w:cs="Arial"/>
              </w:rPr>
            </w:pPr>
            <w:r w:rsidRPr="004E00B6">
              <w:rPr>
                <w:rFonts w:cs="Arial"/>
              </w:rPr>
              <w:t>A term used in Clinical by an intervention screener to denote an old order where just one prescriber contact is made and the order is resolved on the same day.</w:t>
            </w:r>
          </w:p>
        </w:tc>
      </w:tr>
      <w:tr w:rsidR="00AC40D4" w:rsidRPr="004E00B6" w14:paraId="10F17247" w14:textId="77777777" w:rsidTr="003C71F8">
        <w:trPr>
          <w:trHeight w:val="432"/>
        </w:trPr>
        <w:tc>
          <w:tcPr>
            <w:tcW w:w="1441" w:type="pct"/>
          </w:tcPr>
          <w:p w14:paraId="7F6266B0" w14:textId="5B94C6A7" w:rsidR="00AC40D4" w:rsidRPr="002C36C7" w:rsidRDefault="00AC40D4" w:rsidP="00DB71B9">
            <w:pPr>
              <w:rPr>
                <w:color w:val="000000"/>
              </w:rPr>
            </w:pPr>
            <w:r w:rsidRPr="002C36C7">
              <w:rPr>
                <w:color w:val="000000"/>
              </w:rPr>
              <w:t>One Way Call</w:t>
            </w:r>
          </w:p>
        </w:tc>
        <w:tc>
          <w:tcPr>
            <w:tcW w:w="3559" w:type="pct"/>
          </w:tcPr>
          <w:p w14:paraId="7D0A587B" w14:textId="77777777" w:rsidR="00AC40D4" w:rsidRPr="00EA39DB" w:rsidRDefault="00AC40D4" w:rsidP="00DB71B9">
            <w:pPr>
              <w:rPr>
                <w:rFonts w:cs="Arial"/>
              </w:rPr>
            </w:pPr>
            <w:r w:rsidRPr="003D4683">
              <w:t>A call comes in with a display readout but the caller cannot hear you even though you can hear the caller.</w:t>
            </w:r>
          </w:p>
        </w:tc>
      </w:tr>
      <w:tr w:rsidR="00AC40D4" w:rsidRPr="004E00B6" w14:paraId="69097A4E" w14:textId="77777777" w:rsidTr="003C71F8">
        <w:trPr>
          <w:trHeight w:val="288"/>
        </w:trPr>
        <w:tc>
          <w:tcPr>
            <w:tcW w:w="1441" w:type="pct"/>
          </w:tcPr>
          <w:p w14:paraId="0882AB5C" w14:textId="77777777" w:rsidR="00AC40D4" w:rsidRPr="002C36C7" w:rsidRDefault="00AC40D4" w:rsidP="00DB71B9">
            <w:r w:rsidRPr="002C36C7">
              <w:rPr>
                <w:color w:val="000000"/>
              </w:rPr>
              <w:t>Online Claim Adjudication</w:t>
            </w:r>
          </w:p>
        </w:tc>
        <w:tc>
          <w:tcPr>
            <w:tcW w:w="3559" w:type="pct"/>
          </w:tcPr>
          <w:p w14:paraId="1E7AD351" w14:textId="71CD768C" w:rsidR="00AC40D4" w:rsidRPr="003C71F8" w:rsidRDefault="00AC40D4" w:rsidP="00DB71B9">
            <w:pPr>
              <w:rPr>
                <w:rFonts w:cs="Arial"/>
              </w:rPr>
            </w:pPr>
            <w:r>
              <w:rPr>
                <w:rFonts w:cs="Arial"/>
              </w:rPr>
              <w:t>P</w:t>
            </w:r>
            <w:r w:rsidRPr="006B3934">
              <w:rPr>
                <w:rFonts w:cs="Arial"/>
              </w:rPr>
              <w:t>rocess whereby a plan member</w:t>
            </w:r>
            <w:r>
              <w:rPr>
                <w:rFonts w:cs="Arial"/>
              </w:rPr>
              <w:t>’</w:t>
            </w:r>
            <w:r w:rsidRPr="006B3934">
              <w:rPr>
                <w:rFonts w:cs="Arial"/>
              </w:rPr>
              <w:t xml:space="preserve">s prescription drug claim is transmitted to </w:t>
            </w:r>
            <w:r>
              <w:rPr>
                <w:rFonts w:cs="Arial"/>
              </w:rPr>
              <w:t>us</w:t>
            </w:r>
            <w:r w:rsidRPr="006B3934">
              <w:rPr>
                <w:rFonts w:cs="Arial"/>
              </w:rPr>
              <w:t xml:space="preserve"> electronically from the servicing pharmacy.  </w:t>
            </w:r>
            <w:r>
              <w:rPr>
                <w:rFonts w:cs="Arial"/>
              </w:rPr>
              <w:t xml:space="preserve"> Refer to </w:t>
            </w:r>
            <w:r w:rsidRPr="006B3934">
              <w:rPr>
                <w:rFonts w:cs="Arial"/>
              </w:rPr>
              <w:t>Adjudication.</w:t>
            </w:r>
          </w:p>
        </w:tc>
      </w:tr>
      <w:tr w:rsidR="00AC40D4" w:rsidRPr="004E00B6" w14:paraId="3A709C5A" w14:textId="77777777" w:rsidTr="009D24B3">
        <w:tc>
          <w:tcPr>
            <w:tcW w:w="1441" w:type="pct"/>
          </w:tcPr>
          <w:p w14:paraId="1561177F" w14:textId="77777777" w:rsidR="00AC40D4" w:rsidRPr="002C36C7" w:rsidRDefault="00AC40D4" w:rsidP="00DB71B9">
            <w:r w:rsidRPr="002C36C7">
              <w:rPr>
                <w:color w:val="000000"/>
              </w:rPr>
              <w:t>Online Client Access</w:t>
            </w:r>
          </w:p>
        </w:tc>
        <w:tc>
          <w:tcPr>
            <w:tcW w:w="3559" w:type="pct"/>
          </w:tcPr>
          <w:p w14:paraId="4CF3A793" w14:textId="5026BE9D" w:rsidR="00AC40D4" w:rsidRPr="003C71F8" w:rsidRDefault="00AC40D4" w:rsidP="00DB71B9">
            <w:pPr>
              <w:rPr>
                <w:rFonts w:cs="Arial"/>
              </w:rPr>
            </w:pPr>
            <w:r>
              <w:rPr>
                <w:rFonts w:cs="Arial"/>
              </w:rPr>
              <w:t>P</w:t>
            </w:r>
            <w:r w:rsidRPr="006B3934">
              <w:rPr>
                <w:rFonts w:cs="Arial"/>
              </w:rPr>
              <w:t xml:space="preserve">rocess whereby clients may utilize telecommunications capability to receive the most current, up-to-date information directly from </w:t>
            </w:r>
            <w:r>
              <w:rPr>
                <w:rFonts w:cs="Arial"/>
              </w:rPr>
              <w:t>our</w:t>
            </w:r>
            <w:r w:rsidRPr="006B3934">
              <w:rPr>
                <w:rFonts w:cs="Arial"/>
              </w:rPr>
              <w:t xml:space="preserve"> computer databases. The clients have access to the eligibility </w:t>
            </w:r>
            <w:r w:rsidR="00696251" w:rsidRPr="006B3934">
              <w:rPr>
                <w:rFonts w:cs="Arial"/>
              </w:rPr>
              <w:t>file and</w:t>
            </w:r>
            <w:r w:rsidRPr="006B3934">
              <w:rPr>
                <w:rFonts w:cs="Arial"/>
              </w:rPr>
              <w:t xml:space="preserve"> claims files for their membership.  Clients are restricted to accessing their own data only.</w:t>
            </w:r>
          </w:p>
        </w:tc>
      </w:tr>
      <w:tr w:rsidR="00AC40D4" w:rsidRPr="004E00B6" w14:paraId="7C918349" w14:textId="77777777" w:rsidTr="009D24B3">
        <w:tc>
          <w:tcPr>
            <w:tcW w:w="1441" w:type="pct"/>
          </w:tcPr>
          <w:p w14:paraId="45215E0C" w14:textId="77777777" w:rsidR="00AC40D4" w:rsidRPr="002C36C7" w:rsidRDefault="00AC40D4" w:rsidP="00DB71B9">
            <w:r w:rsidRPr="002C36C7">
              <w:rPr>
                <w:color w:val="000000"/>
              </w:rPr>
              <w:t>Online Eligibility</w:t>
            </w:r>
          </w:p>
        </w:tc>
        <w:tc>
          <w:tcPr>
            <w:tcW w:w="3559" w:type="pct"/>
          </w:tcPr>
          <w:p w14:paraId="26789FA7" w14:textId="4E8D936E" w:rsidR="00AC40D4" w:rsidRPr="003C71F8" w:rsidRDefault="00AC40D4" w:rsidP="00DB71B9">
            <w:pPr>
              <w:rPr>
                <w:rFonts w:cs="Arial"/>
              </w:rPr>
            </w:pPr>
            <w:r>
              <w:rPr>
                <w:rFonts w:cs="Arial"/>
              </w:rPr>
              <w:t>C</w:t>
            </w:r>
            <w:r w:rsidRPr="006B3934">
              <w:rPr>
                <w:rFonts w:cs="Arial"/>
              </w:rPr>
              <w:t xml:space="preserve">apability of a client to access </w:t>
            </w:r>
            <w:r>
              <w:rPr>
                <w:rFonts w:cs="Arial"/>
              </w:rPr>
              <w:t>our</w:t>
            </w:r>
            <w:r w:rsidRPr="006B3934">
              <w:rPr>
                <w:rFonts w:cs="Arial"/>
              </w:rPr>
              <w:t xml:space="preserve"> system, to perform online updating for their respective plan members.</w:t>
            </w:r>
          </w:p>
        </w:tc>
      </w:tr>
      <w:tr w:rsidR="00AC40D4" w:rsidRPr="004E00B6" w14:paraId="1B24B45A" w14:textId="77777777" w:rsidTr="009D24B3">
        <w:tc>
          <w:tcPr>
            <w:tcW w:w="1441" w:type="pct"/>
          </w:tcPr>
          <w:p w14:paraId="779D0AF5" w14:textId="77777777" w:rsidR="00AC40D4" w:rsidRPr="002C36C7" w:rsidRDefault="00AC40D4" w:rsidP="00DB71B9">
            <w:r w:rsidRPr="002C36C7">
              <w:rPr>
                <w:color w:val="000000"/>
              </w:rPr>
              <w:t>Online Real-Time</w:t>
            </w:r>
          </w:p>
        </w:tc>
        <w:tc>
          <w:tcPr>
            <w:tcW w:w="3559" w:type="pct"/>
          </w:tcPr>
          <w:p w14:paraId="2B1D391C" w14:textId="0623A8A9" w:rsidR="00AC40D4" w:rsidRPr="003C71F8" w:rsidRDefault="00AC40D4" w:rsidP="00DB71B9">
            <w:pPr>
              <w:rPr>
                <w:rFonts w:cs="Arial"/>
              </w:rPr>
            </w:pPr>
            <w:r w:rsidRPr="006B3934">
              <w:rPr>
                <w:rFonts w:cs="Arial"/>
              </w:rPr>
              <w:t>Characteristics of an electronic system offering immediate access, via terminal, to data information maintained at another site</w:t>
            </w:r>
            <w:r>
              <w:rPr>
                <w:rFonts w:cs="Arial"/>
              </w:rPr>
              <w:t>.</w:t>
            </w:r>
          </w:p>
        </w:tc>
      </w:tr>
      <w:tr w:rsidR="00AC40D4" w:rsidRPr="004E00B6" w14:paraId="483EC308" w14:textId="77777777" w:rsidTr="009D24B3">
        <w:tc>
          <w:tcPr>
            <w:tcW w:w="1441" w:type="pct"/>
          </w:tcPr>
          <w:p w14:paraId="0B4E3F67" w14:textId="77777777" w:rsidR="00AC40D4" w:rsidRPr="002C36C7" w:rsidRDefault="00AC40D4" w:rsidP="00DB71B9">
            <w:pPr>
              <w:rPr>
                <w:rFonts w:cs="Arial"/>
              </w:rPr>
            </w:pPr>
            <w:r w:rsidRPr="002C36C7">
              <w:rPr>
                <w:color w:val="000000"/>
              </w:rPr>
              <w:t>Open Formulary</w:t>
            </w:r>
          </w:p>
        </w:tc>
        <w:tc>
          <w:tcPr>
            <w:tcW w:w="3559" w:type="pct"/>
          </w:tcPr>
          <w:p w14:paraId="53E2F961" w14:textId="77777777" w:rsidR="00AC40D4" w:rsidRDefault="00AC40D4" w:rsidP="00DB71B9">
            <w:pPr>
              <w:rPr>
                <w:rFonts w:cs="Arial"/>
              </w:rPr>
            </w:pPr>
            <w:r w:rsidRPr="006B3934">
              <w:rPr>
                <w:rFonts w:cs="Arial"/>
              </w:rPr>
              <w:t xml:space="preserve">Members are covered for any drug regardless of whether it is included or excluded from the formulary.  This is the same as Voluntary Formulary.  Because the open formulary is entirely voluntary on the part of the prescriber and member, its impact is educational in nature, not punitive.  </w:t>
            </w:r>
          </w:p>
          <w:p w14:paraId="4585E976" w14:textId="77777777" w:rsidR="00AC40D4" w:rsidRDefault="00AC40D4" w:rsidP="00DB71B9">
            <w:pPr>
              <w:rPr>
                <w:rFonts w:cs="Arial"/>
              </w:rPr>
            </w:pPr>
          </w:p>
          <w:p w14:paraId="472DEF36" w14:textId="0D252511" w:rsidR="00AC40D4" w:rsidRPr="004E00B6" w:rsidRDefault="00AC40D4" w:rsidP="00DB71B9">
            <w:pPr>
              <w:rPr>
                <w:rFonts w:cs="Arial"/>
              </w:rPr>
            </w:pPr>
            <w:r w:rsidRPr="006B3934">
              <w:rPr>
                <w:rFonts w:cs="Arial"/>
              </w:rPr>
              <w:t>Making members and prescribers aware that some prescription drug products may be more cost effective than others without sacrificing quality will result in better-educated consumers and prescribers.</w:t>
            </w:r>
          </w:p>
        </w:tc>
      </w:tr>
      <w:tr w:rsidR="00AC40D4" w:rsidRPr="004E00B6" w14:paraId="63D204BC" w14:textId="77777777" w:rsidTr="009D24B3">
        <w:tc>
          <w:tcPr>
            <w:tcW w:w="1441" w:type="pct"/>
          </w:tcPr>
          <w:p w14:paraId="133851D1" w14:textId="77777777" w:rsidR="00AC40D4" w:rsidRPr="002C36C7" w:rsidRDefault="00AC40D4" w:rsidP="00DB71B9">
            <w:pPr>
              <w:rPr>
                <w:color w:val="000000"/>
              </w:rPr>
            </w:pPr>
            <w:r w:rsidRPr="002C36C7">
              <w:rPr>
                <w:color w:val="000000"/>
              </w:rPr>
              <w:t>Opportunity</w:t>
            </w:r>
          </w:p>
          <w:p w14:paraId="72A78608" w14:textId="77777777" w:rsidR="00AC40D4" w:rsidRPr="002C36C7" w:rsidRDefault="00AC40D4" w:rsidP="00DB71B9">
            <w:pPr>
              <w:rPr>
                <w:rFonts w:cs="Arial"/>
              </w:rPr>
            </w:pPr>
          </w:p>
        </w:tc>
        <w:tc>
          <w:tcPr>
            <w:tcW w:w="3559" w:type="pct"/>
          </w:tcPr>
          <w:p w14:paraId="34ACCA1A" w14:textId="09DD0E6E" w:rsidR="00AC40D4" w:rsidRPr="003C71F8" w:rsidRDefault="00AC40D4" w:rsidP="00DB71B9">
            <w:pPr>
              <w:rPr>
                <w:rFonts w:cs="Verdana"/>
                <w:color w:val="000000"/>
              </w:rPr>
            </w:pPr>
            <w:r w:rsidRPr="00107903">
              <w:rPr>
                <w:rFonts w:cs="Verdana"/>
                <w:color w:val="000000"/>
              </w:rPr>
              <w:t>The next attempted fill of a maintenance medication at a retail pharmacy (point of sale) would either reject (for a mandatory mail plan design) or have increased cost-share/co-pay (for incentivized mail plan design).</w:t>
            </w:r>
          </w:p>
        </w:tc>
      </w:tr>
      <w:tr w:rsidR="00AC40D4" w:rsidRPr="004E00B6" w14:paraId="7FC5AE1A" w14:textId="77777777" w:rsidTr="009D24B3">
        <w:tc>
          <w:tcPr>
            <w:tcW w:w="1441" w:type="pct"/>
          </w:tcPr>
          <w:p w14:paraId="7C0EFBD8" w14:textId="77777777" w:rsidR="00AC40D4" w:rsidRPr="002C36C7" w:rsidRDefault="00AC40D4" w:rsidP="00DB71B9">
            <w:pPr>
              <w:rPr>
                <w:color w:val="000000"/>
              </w:rPr>
            </w:pPr>
            <w:r w:rsidRPr="002C36C7">
              <w:t>Opt Hold</w:t>
            </w:r>
          </w:p>
        </w:tc>
        <w:tc>
          <w:tcPr>
            <w:tcW w:w="3559" w:type="pct"/>
          </w:tcPr>
          <w:p w14:paraId="728552C8" w14:textId="307CA5E1" w:rsidR="00AC40D4" w:rsidRPr="003C71F8" w:rsidRDefault="00AC40D4" w:rsidP="00DB71B9">
            <w:r w:rsidRPr="000F184C">
              <w:t>Part of the Enrollment Verification process for an </w:t>
            </w:r>
            <w:proofErr w:type="spellStart"/>
            <w:r w:rsidRPr="000F184C">
              <w:t>EGWP</w:t>
            </w:r>
            <w:proofErr w:type="spellEnd"/>
            <w:r w:rsidRPr="000F184C">
              <w:t xml:space="preserve"> beneficiary.  Time provided to the beneficiary to confirm his/her plan choice.  </w:t>
            </w:r>
          </w:p>
        </w:tc>
      </w:tr>
      <w:tr w:rsidR="00AC40D4" w:rsidRPr="004E00B6" w14:paraId="3CFF64C9" w14:textId="77777777" w:rsidTr="009D24B3">
        <w:tc>
          <w:tcPr>
            <w:tcW w:w="1441" w:type="pct"/>
          </w:tcPr>
          <w:p w14:paraId="4ABB4220" w14:textId="77777777" w:rsidR="00AC40D4" w:rsidRPr="002C36C7" w:rsidRDefault="00AC40D4" w:rsidP="00DB71B9">
            <w:r w:rsidRPr="002C36C7">
              <w:t xml:space="preserve">Open Order </w:t>
            </w:r>
          </w:p>
        </w:tc>
        <w:tc>
          <w:tcPr>
            <w:tcW w:w="3559" w:type="pct"/>
          </w:tcPr>
          <w:p w14:paraId="0CE4B4F9" w14:textId="77777777" w:rsidR="00AC40D4" w:rsidRPr="000F184C" w:rsidRDefault="00AC40D4" w:rsidP="00DB71B9">
            <w:r>
              <w:t>An order that is in processing.</w:t>
            </w:r>
          </w:p>
        </w:tc>
      </w:tr>
      <w:tr w:rsidR="00AC40D4" w:rsidRPr="004E00B6" w14:paraId="58CDB732" w14:textId="77777777" w:rsidTr="009D24B3">
        <w:tc>
          <w:tcPr>
            <w:tcW w:w="1441" w:type="pct"/>
          </w:tcPr>
          <w:p w14:paraId="68DC3B1E" w14:textId="77777777" w:rsidR="00AC40D4" w:rsidRPr="002C36C7" w:rsidRDefault="00AC40D4" w:rsidP="00DB71B9">
            <w:pPr>
              <w:rPr>
                <w:color w:val="000000"/>
              </w:rPr>
            </w:pPr>
            <w:r w:rsidRPr="002C36C7">
              <w:t>Opt-Out Period</w:t>
            </w:r>
          </w:p>
        </w:tc>
        <w:tc>
          <w:tcPr>
            <w:tcW w:w="3559" w:type="pct"/>
          </w:tcPr>
          <w:p w14:paraId="76A5FC51" w14:textId="39E76494" w:rsidR="00AC40D4" w:rsidRPr="003C71F8" w:rsidRDefault="00AC40D4" w:rsidP="00DB71B9">
            <w:r w:rsidRPr="000F184C">
              <w:t>21-day window provided by an Employer/Union group to allow a retiree to decline enrollment into a PDP</w:t>
            </w:r>
            <w:r>
              <w:t>.</w:t>
            </w:r>
          </w:p>
        </w:tc>
      </w:tr>
      <w:tr w:rsidR="00AC40D4" w:rsidRPr="004E00B6" w14:paraId="71882E9A" w14:textId="77777777" w:rsidTr="009D24B3">
        <w:tc>
          <w:tcPr>
            <w:tcW w:w="1441" w:type="pct"/>
          </w:tcPr>
          <w:p w14:paraId="19E4163E" w14:textId="77777777" w:rsidR="00AC40D4" w:rsidRPr="002C36C7" w:rsidRDefault="00AC40D4" w:rsidP="00DB71B9">
            <w:pPr>
              <w:rPr>
                <w:rFonts w:cs="Arial"/>
              </w:rPr>
            </w:pPr>
            <w:r w:rsidRPr="002C36C7">
              <w:rPr>
                <w:color w:val="000000"/>
              </w:rPr>
              <w:t>Oral Claim</w:t>
            </w:r>
          </w:p>
        </w:tc>
        <w:tc>
          <w:tcPr>
            <w:tcW w:w="3559" w:type="pct"/>
          </w:tcPr>
          <w:p w14:paraId="5BFF7068" w14:textId="6CA386F9" w:rsidR="00AC40D4" w:rsidRPr="004E00B6" w:rsidRDefault="00AC40D4" w:rsidP="00DB71B9">
            <w:pPr>
              <w:rPr>
                <w:rFonts w:cs="Arial"/>
              </w:rPr>
            </w:pPr>
            <w:r w:rsidRPr="006B3934">
              <w:rPr>
                <w:rFonts w:cs="Arial"/>
              </w:rPr>
              <w:t>Member requests an appeal for a non-covered benefit.</w:t>
            </w:r>
          </w:p>
        </w:tc>
      </w:tr>
      <w:tr w:rsidR="00AC40D4" w:rsidRPr="004E00B6" w14:paraId="0AE91D9D" w14:textId="77777777" w:rsidTr="009D24B3">
        <w:tc>
          <w:tcPr>
            <w:tcW w:w="1441" w:type="pct"/>
          </w:tcPr>
          <w:p w14:paraId="52B17DFF" w14:textId="77777777" w:rsidR="00AC40D4" w:rsidRPr="002C36C7" w:rsidRDefault="00AC40D4" w:rsidP="00DB71B9">
            <w:pPr>
              <w:rPr>
                <w:rFonts w:cs="Arial"/>
              </w:rPr>
            </w:pPr>
            <w:r w:rsidRPr="002C36C7">
              <w:rPr>
                <w:color w:val="000000"/>
              </w:rPr>
              <w:t>Orange Book</w:t>
            </w:r>
          </w:p>
        </w:tc>
        <w:tc>
          <w:tcPr>
            <w:tcW w:w="3559" w:type="pct"/>
          </w:tcPr>
          <w:p w14:paraId="7E3B79FF" w14:textId="77777777" w:rsidR="00AC40D4" w:rsidRDefault="00AC40D4" w:rsidP="00DB71B9">
            <w:pPr>
              <w:rPr>
                <w:rFonts w:cs="Arial"/>
              </w:rPr>
            </w:pPr>
            <w:r>
              <w:rPr>
                <w:rFonts w:cs="Arial"/>
              </w:rPr>
              <w:t>P</w:t>
            </w:r>
            <w:r w:rsidRPr="006B3934">
              <w:rPr>
                <w:rFonts w:cs="Arial"/>
              </w:rPr>
              <w:t xml:space="preserve">ublication of </w:t>
            </w:r>
            <w:r w:rsidRPr="006B3934">
              <w:rPr>
                <w:bCs/>
              </w:rPr>
              <w:t>approved drug products with therapeutic equivalence evaluations</w:t>
            </w:r>
            <w:r w:rsidRPr="006B3934">
              <w:rPr>
                <w:rFonts w:cs="Arial"/>
              </w:rPr>
              <w:t xml:space="preserve"> (the List, commonly known as the Orange Book).  It identifies drug products approved on the basis of safety and effectiveness by the Food and Drug Administration (FDA) under the Federal Food, Drug, and Cosmetic Act (the Act).  </w:t>
            </w:r>
          </w:p>
          <w:p w14:paraId="4AC42E16" w14:textId="77777777" w:rsidR="00AC40D4" w:rsidRDefault="00AC40D4" w:rsidP="00DB71B9">
            <w:pPr>
              <w:rPr>
                <w:rFonts w:cs="Arial"/>
              </w:rPr>
            </w:pPr>
          </w:p>
          <w:p w14:paraId="6328E4F8" w14:textId="0F4100BE" w:rsidR="00AC40D4" w:rsidRDefault="00AC40D4" w:rsidP="00DB71B9">
            <w:pPr>
              <w:rPr>
                <w:rFonts w:cs="Arial"/>
              </w:rPr>
            </w:pPr>
            <w:r w:rsidRPr="006B3934">
              <w:rPr>
                <w:rFonts w:cs="Arial"/>
              </w:rPr>
              <w:t xml:space="preserve">DESI medications are not included in this publication.  The main criterion for the inclusion of any product is that the product is the subject of an application with an effective approval that has not been withdrawn for safety or efficacy reasons.  Inclusion of products on the List is independent of any current regulatory action through administrative or judicial means against a drug product.  In addition, the List contains therapeutic equivalence evaluations for approved multi-source prescription drug products.  These evaluations have been prepared to serve as public information and advice to state health agencies, </w:t>
            </w:r>
            <w:r w:rsidR="00696251" w:rsidRPr="006B3934">
              <w:rPr>
                <w:rFonts w:cs="Arial"/>
              </w:rPr>
              <w:t>prescribers,</w:t>
            </w:r>
            <w:r w:rsidRPr="006B3934">
              <w:rPr>
                <w:rFonts w:cs="Arial"/>
              </w:rPr>
              <w:t xml:space="preserve"> and pharmacists to promote public education in the area of drug product selection and to foster containment of health care costs.  Therapeutic equivalence evaluations in this publication are not official FDA actions affecting the legal status of products under the Act.</w:t>
            </w:r>
          </w:p>
          <w:p w14:paraId="423A3ED8" w14:textId="77777777" w:rsidR="003C71F8" w:rsidRDefault="003C71F8" w:rsidP="00DB71B9">
            <w:pPr>
              <w:rPr>
                <w:rFonts w:cs="Arial"/>
              </w:rPr>
            </w:pPr>
          </w:p>
          <w:p w14:paraId="70A5277F" w14:textId="589AB5B8" w:rsidR="00AC40D4" w:rsidRPr="004E00B6" w:rsidRDefault="00AC40D4" w:rsidP="00DB71B9">
            <w:pPr>
              <w:rPr>
                <w:rFonts w:cs="Arial"/>
              </w:rPr>
            </w:pPr>
            <w:r>
              <w:rPr>
                <w:rFonts w:cs="Arial"/>
              </w:rPr>
              <w:t xml:space="preserve">Refer to </w:t>
            </w:r>
            <w:r w:rsidRPr="003C71F8">
              <w:rPr>
                <w:rFonts w:cs="Arial"/>
              </w:rPr>
              <w:t>Orange Book Rating</w:t>
            </w:r>
            <w:r w:rsidR="003C71F8">
              <w:rPr>
                <w:rFonts w:cs="Arial"/>
              </w:rPr>
              <w:t>.</w:t>
            </w:r>
          </w:p>
        </w:tc>
      </w:tr>
      <w:tr w:rsidR="00AC40D4" w:rsidRPr="004E00B6" w14:paraId="116751DC" w14:textId="77777777" w:rsidTr="009D24B3">
        <w:tc>
          <w:tcPr>
            <w:tcW w:w="1441" w:type="pct"/>
          </w:tcPr>
          <w:p w14:paraId="26FD02C3" w14:textId="77777777" w:rsidR="00AC40D4" w:rsidRPr="002C36C7" w:rsidRDefault="00AC40D4" w:rsidP="00DB71B9">
            <w:pPr>
              <w:rPr>
                <w:rFonts w:cs="Arial"/>
              </w:rPr>
            </w:pPr>
            <w:bookmarkStart w:id="6" w:name="OrangeBookRating"/>
            <w:r w:rsidRPr="002C36C7">
              <w:rPr>
                <w:color w:val="000000"/>
              </w:rPr>
              <w:t>Orange Book Rating</w:t>
            </w:r>
            <w:bookmarkEnd w:id="6"/>
          </w:p>
        </w:tc>
        <w:tc>
          <w:tcPr>
            <w:tcW w:w="3559" w:type="pct"/>
          </w:tcPr>
          <w:p w14:paraId="535FC363" w14:textId="77777777" w:rsidR="00AC40D4" w:rsidRDefault="00AC40D4" w:rsidP="00DB71B9">
            <w:pPr>
              <w:rPr>
                <w:rFonts w:cs="Arial"/>
              </w:rPr>
            </w:pPr>
            <w:r w:rsidRPr="006B3934">
              <w:rPr>
                <w:rFonts w:cs="Arial"/>
              </w:rPr>
              <w:t>A rating system managed by the FDA with respect to a drug</w:t>
            </w:r>
            <w:r>
              <w:rPr>
                <w:rFonts w:cs="Arial"/>
              </w:rPr>
              <w:t>’</w:t>
            </w:r>
            <w:r w:rsidRPr="006B3934">
              <w:rPr>
                <w:rFonts w:cs="Arial"/>
              </w:rPr>
              <w:t xml:space="preserve">s therapeutic equivalence and bioequivalence compared to the </w:t>
            </w:r>
            <w:r>
              <w:rPr>
                <w:rFonts w:cs="Arial"/>
              </w:rPr>
              <w:t>“</w:t>
            </w:r>
            <w:r w:rsidRPr="006B3934">
              <w:rPr>
                <w:rFonts w:cs="Arial"/>
              </w:rPr>
              <w:t>brand</w:t>
            </w:r>
            <w:r>
              <w:rPr>
                <w:rFonts w:cs="Arial"/>
              </w:rPr>
              <w:t>”</w:t>
            </w:r>
            <w:r w:rsidRPr="006B3934">
              <w:rPr>
                <w:rFonts w:cs="Arial"/>
              </w:rPr>
              <w:t xml:space="preserve"> name.  States which utilize this rating system, called Orange Book States, allow substitution with only AB rated generic equivalents.  Refer to the Online First Data Bank </w:t>
            </w:r>
            <w:proofErr w:type="spellStart"/>
            <w:r w:rsidRPr="006B3934">
              <w:rPr>
                <w:rFonts w:cs="Arial"/>
              </w:rPr>
              <w:t>NDDF</w:t>
            </w:r>
            <w:proofErr w:type="spellEnd"/>
            <w:r w:rsidRPr="006B3934">
              <w:rPr>
                <w:rFonts w:cs="Arial"/>
              </w:rPr>
              <w:t xml:space="preserve"> Manual for detailed information.</w:t>
            </w:r>
          </w:p>
          <w:p w14:paraId="70822373" w14:textId="77777777" w:rsidR="003C71F8" w:rsidRDefault="003C71F8" w:rsidP="00DB71B9">
            <w:pPr>
              <w:rPr>
                <w:rFonts w:cs="Arial"/>
              </w:rPr>
            </w:pPr>
          </w:p>
          <w:p w14:paraId="37DF6D0D" w14:textId="53C56252" w:rsidR="00AC40D4" w:rsidRPr="004E00B6" w:rsidRDefault="00AC40D4" w:rsidP="00DB71B9">
            <w:pPr>
              <w:rPr>
                <w:rFonts w:cs="Arial"/>
              </w:rPr>
            </w:pPr>
            <w:r>
              <w:rPr>
                <w:rFonts w:cs="Arial"/>
              </w:rPr>
              <w:t>Refer to Orange Book.</w:t>
            </w:r>
          </w:p>
        </w:tc>
      </w:tr>
      <w:tr w:rsidR="00AC40D4" w:rsidRPr="004E00B6" w14:paraId="1BF34FEB" w14:textId="77777777" w:rsidTr="009D24B3">
        <w:tc>
          <w:tcPr>
            <w:tcW w:w="1441" w:type="pct"/>
          </w:tcPr>
          <w:p w14:paraId="6AA84B71" w14:textId="50604263" w:rsidR="00AC40D4" w:rsidRPr="002C36C7" w:rsidRDefault="00AC40D4" w:rsidP="00DB71B9">
            <w:pPr>
              <w:rPr>
                <w:color w:val="000000"/>
              </w:rPr>
            </w:pPr>
            <w:r w:rsidRPr="002C36C7">
              <w:rPr>
                <w:color w:val="000000"/>
              </w:rPr>
              <w:t>Order Not Yet Received</w:t>
            </w:r>
          </w:p>
          <w:p w14:paraId="55630F3B" w14:textId="77777777" w:rsidR="00AC40D4" w:rsidRPr="002C36C7" w:rsidRDefault="00AC40D4" w:rsidP="00DB71B9">
            <w:pPr>
              <w:rPr>
                <w:rFonts w:cs="Arial"/>
              </w:rPr>
            </w:pPr>
          </w:p>
        </w:tc>
        <w:tc>
          <w:tcPr>
            <w:tcW w:w="3559" w:type="pct"/>
          </w:tcPr>
          <w:p w14:paraId="544C3AD3" w14:textId="7B36EE87" w:rsidR="00AC40D4" w:rsidRDefault="00AC40D4" w:rsidP="00DB71B9">
            <w:pPr>
              <w:rPr>
                <w:rFonts w:cs="Arial"/>
              </w:rPr>
            </w:pPr>
            <w:r w:rsidRPr="00F86A41">
              <w:rPr>
                <w:rFonts w:cs="Arial"/>
              </w:rPr>
              <w:t>Order not</w:t>
            </w:r>
            <w:r w:rsidR="00A47A26">
              <w:rPr>
                <w:rFonts w:cs="Arial"/>
              </w:rPr>
              <w:t xml:space="preserve"> received or</w:t>
            </w:r>
            <w:r w:rsidRPr="00F86A41">
              <w:rPr>
                <w:rFonts w:cs="Arial"/>
              </w:rPr>
              <w:t xml:space="preserve"> displaying</w:t>
            </w:r>
            <w:r w:rsidR="0068331D">
              <w:rPr>
                <w:rFonts w:cs="Arial"/>
              </w:rPr>
              <w:t xml:space="preserve"> </w:t>
            </w:r>
            <w:r w:rsidR="00A93080">
              <w:rPr>
                <w:rFonts w:cs="Arial"/>
              </w:rPr>
              <w:t>in the system.</w:t>
            </w:r>
            <w:r w:rsidRPr="00F86A41">
              <w:rPr>
                <w:rFonts w:cs="Arial"/>
              </w:rPr>
              <w:t xml:space="preserve"> Refer to</w:t>
            </w:r>
            <w:r w:rsidR="00D6126C">
              <w:rPr>
                <w:rFonts w:cs="Arial"/>
              </w:rPr>
              <w:t xml:space="preserve"> </w:t>
            </w:r>
            <w:hyperlink r:id="rId12" w:anchor="!/view?docid=52dbbdad-7f7f-4930-bdb6-9a6c9a2f8cfb" w:history="1">
              <w:r w:rsidR="00D6126C" w:rsidRPr="006F0787">
                <w:rPr>
                  <w:rStyle w:val="Hyperlink"/>
                  <w:rFonts w:cs="Arial"/>
                </w:rPr>
                <w:t>Compass – Order Not Showing in System (</w:t>
              </w:r>
              <w:r w:rsidR="006F0787" w:rsidRPr="006F0787">
                <w:rPr>
                  <w:rStyle w:val="Hyperlink"/>
                  <w:rFonts w:cs="Arial"/>
                </w:rPr>
                <w:t>065174)</w:t>
              </w:r>
            </w:hyperlink>
            <w:r w:rsidR="006F0787">
              <w:rPr>
                <w:rFonts w:cs="Arial"/>
              </w:rPr>
              <w:t xml:space="preserve"> or</w:t>
            </w:r>
            <w:r w:rsidRPr="00F86A41">
              <w:rPr>
                <w:rFonts w:cs="Arial"/>
              </w:rPr>
              <w:t xml:space="preserve"> </w:t>
            </w:r>
            <w:hyperlink r:id="rId13" w:anchor="!/view?docid=d5f72caf-b0d3-49a4-9e28-725508eba4a5" w:history="1">
              <w:r w:rsidR="00955902" w:rsidRPr="00DB71B9">
                <w:rPr>
                  <w:rStyle w:val="Hyperlink"/>
                </w:rPr>
                <w:t>PeopleSafe</w:t>
              </w:r>
              <w:r w:rsidR="00894297" w:rsidRPr="00DB71B9">
                <w:rPr>
                  <w:rStyle w:val="Hyperlink"/>
                </w:rPr>
                <w:t xml:space="preserve"> – Order Not Showing in System (004757)</w:t>
              </w:r>
            </w:hyperlink>
            <w:r w:rsidRPr="00D45367">
              <w:rPr>
                <w:rFonts w:cs="Arial"/>
              </w:rPr>
              <w:t>.</w:t>
            </w:r>
          </w:p>
          <w:p w14:paraId="0B799C2E" w14:textId="77777777" w:rsidR="00AC40D4" w:rsidRDefault="00AC40D4" w:rsidP="00DB71B9">
            <w:pPr>
              <w:rPr>
                <w:rFonts w:cs="Arial"/>
              </w:rPr>
            </w:pPr>
          </w:p>
          <w:p w14:paraId="066CEE01" w14:textId="13408805" w:rsidR="00AC40D4" w:rsidRPr="00F86A41" w:rsidRDefault="00000593" w:rsidP="00DB71B9">
            <w:pPr>
              <w:rPr>
                <w:rFonts w:cs="Arial"/>
              </w:rPr>
            </w:pPr>
            <w:r>
              <w:rPr>
                <w:rFonts w:cs="Arial"/>
              </w:rPr>
              <w:t>Alerts/</w:t>
            </w:r>
            <w:r w:rsidR="00AC40D4" w:rsidRPr="00F86A41">
              <w:rPr>
                <w:rFonts w:cs="Arial"/>
              </w:rPr>
              <w:t xml:space="preserve">Stop Sees can be used on placed orders not showing on the </w:t>
            </w:r>
            <w:r w:rsidR="00E820D1">
              <w:rPr>
                <w:rFonts w:cs="Arial"/>
              </w:rPr>
              <w:t>Mail Order History</w:t>
            </w:r>
            <w:r w:rsidR="000016EE">
              <w:rPr>
                <w:rFonts w:cs="Arial"/>
              </w:rPr>
              <w:t xml:space="preserve"> Tab</w:t>
            </w:r>
            <w:r w:rsidR="00E820D1">
              <w:rPr>
                <w:rFonts w:cs="Arial"/>
              </w:rPr>
              <w:t xml:space="preserve"> (Compass) or </w:t>
            </w:r>
            <w:r w:rsidR="00AC40D4" w:rsidRPr="00F86A41">
              <w:rPr>
                <w:rFonts w:cs="Arial"/>
              </w:rPr>
              <w:t>Main Screen</w:t>
            </w:r>
            <w:r w:rsidR="000016EE">
              <w:rPr>
                <w:rFonts w:cs="Arial"/>
              </w:rPr>
              <w:t xml:space="preserve"> (PeopleSafe)</w:t>
            </w:r>
            <w:r w:rsidR="00AC40D4" w:rsidRPr="00F86A41">
              <w:rPr>
                <w:rFonts w:cs="Arial"/>
              </w:rPr>
              <w:t>.</w:t>
            </w:r>
          </w:p>
        </w:tc>
      </w:tr>
      <w:tr w:rsidR="00AC40D4" w:rsidRPr="004E00B6" w14:paraId="285982FF" w14:textId="77777777" w:rsidTr="009D24B3">
        <w:tc>
          <w:tcPr>
            <w:tcW w:w="1441" w:type="pct"/>
          </w:tcPr>
          <w:p w14:paraId="11F25CE7" w14:textId="77777777" w:rsidR="00AC40D4" w:rsidRPr="002C36C7" w:rsidRDefault="00AC40D4" w:rsidP="00DB71B9">
            <w:pPr>
              <w:rPr>
                <w:rFonts w:cs="Arial"/>
              </w:rPr>
            </w:pPr>
            <w:r w:rsidRPr="002C36C7">
              <w:rPr>
                <w:color w:val="000000"/>
              </w:rPr>
              <w:t>Outcomes</w:t>
            </w:r>
            <w:r w:rsidRPr="002C36C7" w:rsidDel="000B3A78">
              <w:rPr>
                <w:rFonts w:cs="Arial"/>
              </w:rPr>
              <w:t xml:space="preserve"> </w:t>
            </w:r>
          </w:p>
        </w:tc>
        <w:tc>
          <w:tcPr>
            <w:tcW w:w="3559" w:type="pct"/>
          </w:tcPr>
          <w:p w14:paraId="2CEA01F3" w14:textId="32C2AB31" w:rsidR="00AC40D4" w:rsidRPr="004E00B6" w:rsidRDefault="00AC40D4" w:rsidP="00DB71B9">
            <w:pPr>
              <w:rPr>
                <w:rFonts w:cs="Arial"/>
              </w:rPr>
            </w:pPr>
            <w:r w:rsidRPr="006B3934">
              <w:rPr>
                <w:rFonts w:cs="Arial"/>
              </w:rPr>
              <w:t xml:space="preserve">Clinical results achieved through a health care services and/or medication that may be positive, </w:t>
            </w:r>
            <w:r w:rsidR="00696251" w:rsidRPr="006B3934">
              <w:rPr>
                <w:rFonts w:cs="Arial"/>
              </w:rPr>
              <w:t>negative,</w:t>
            </w:r>
            <w:r w:rsidRPr="006B3934">
              <w:rPr>
                <w:rFonts w:cs="Arial"/>
              </w:rPr>
              <w:t xml:space="preserve"> or neutral in terms of success</w:t>
            </w:r>
            <w:r>
              <w:rPr>
                <w:rFonts w:cs="Arial"/>
              </w:rPr>
              <w:t>.</w:t>
            </w:r>
          </w:p>
        </w:tc>
      </w:tr>
      <w:tr w:rsidR="00AC40D4" w:rsidRPr="004E00B6" w14:paraId="7A771563" w14:textId="77777777" w:rsidTr="009D24B3">
        <w:tc>
          <w:tcPr>
            <w:tcW w:w="1441" w:type="pct"/>
          </w:tcPr>
          <w:p w14:paraId="50F6EB62" w14:textId="77777777" w:rsidR="00AC40D4" w:rsidRPr="002C36C7" w:rsidRDefault="00AC40D4" w:rsidP="00DB71B9">
            <w:pPr>
              <w:rPr>
                <w:rFonts w:cs="Arial"/>
              </w:rPr>
            </w:pPr>
            <w:r w:rsidRPr="002C36C7">
              <w:rPr>
                <w:color w:val="000000"/>
              </w:rPr>
              <w:t>Outcomes Research</w:t>
            </w:r>
          </w:p>
        </w:tc>
        <w:tc>
          <w:tcPr>
            <w:tcW w:w="3559" w:type="pct"/>
          </w:tcPr>
          <w:p w14:paraId="3B81B7DB" w14:textId="3DDEBA07" w:rsidR="00AC40D4" w:rsidRPr="004E00B6" w:rsidRDefault="00AC40D4" w:rsidP="00DB71B9">
            <w:pPr>
              <w:rPr>
                <w:rFonts w:cs="Arial"/>
              </w:rPr>
            </w:pPr>
            <w:r>
              <w:rPr>
                <w:rFonts w:cs="Arial"/>
              </w:rPr>
              <w:t>S</w:t>
            </w:r>
            <w:r w:rsidRPr="006B3934">
              <w:rPr>
                <w:rFonts w:cs="Arial"/>
              </w:rPr>
              <w:t>tudy of the results of medical care. The results can be costs, health status level, and absenteeism – any outcome for which a cause and effect relationship can be determined.  Typically outcomes research is conducted by disease state so as to find the most cost-effective means of care with the best result.</w:t>
            </w:r>
          </w:p>
        </w:tc>
      </w:tr>
      <w:tr w:rsidR="00AC40D4" w:rsidRPr="004E00B6" w14:paraId="0DD065E1" w14:textId="77777777" w:rsidTr="009D24B3">
        <w:tc>
          <w:tcPr>
            <w:tcW w:w="1441" w:type="pct"/>
          </w:tcPr>
          <w:p w14:paraId="50651BDA" w14:textId="77777777" w:rsidR="00AC40D4" w:rsidRPr="002C36C7" w:rsidRDefault="00AC40D4" w:rsidP="00DB71B9">
            <w:pPr>
              <w:rPr>
                <w:rFonts w:cs="Arial"/>
              </w:rPr>
            </w:pPr>
            <w:r w:rsidRPr="002C36C7">
              <w:rPr>
                <w:color w:val="000000"/>
              </w:rPr>
              <w:t>Outlier</w:t>
            </w:r>
            <w:r w:rsidRPr="002C36C7" w:rsidDel="000B3A78">
              <w:rPr>
                <w:rFonts w:cs="Arial"/>
              </w:rPr>
              <w:t xml:space="preserve"> </w:t>
            </w:r>
          </w:p>
        </w:tc>
        <w:tc>
          <w:tcPr>
            <w:tcW w:w="3559" w:type="pct"/>
          </w:tcPr>
          <w:p w14:paraId="2975231A" w14:textId="0F857FAC" w:rsidR="00AC40D4" w:rsidRPr="004E00B6" w:rsidRDefault="00AC40D4" w:rsidP="00DB71B9">
            <w:pPr>
              <w:rPr>
                <w:rFonts w:cs="Arial"/>
              </w:rPr>
            </w:pPr>
            <w:r w:rsidRPr="006B3934">
              <w:rPr>
                <w:rFonts w:cs="Arial"/>
              </w:rPr>
              <w:t>Prescriber, drug use, etc., that falls outside an average or normal range among the group or product(s) studies. These outlier’s are often responsible for high costs.</w:t>
            </w:r>
          </w:p>
        </w:tc>
      </w:tr>
    </w:tbl>
    <w:p w14:paraId="539D2DDB" w14:textId="77777777" w:rsidR="00D85161" w:rsidRDefault="00D85161" w:rsidP="00DB71B9">
      <w:pPr>
        <w:jc w:val="right"/>
      </w:pPr>
    </w:p>
    <w:p w14:paraId="33F45D28" w14:textId="486D4B8A" w:rsidR="00675566" w:rsidRPr="003D15F3" w:rsidRDefault="000E1B51" w:rsidP="00DB71B9">
      <w:pPr>
        <w:jc w:val="right"/>
        <w:rPr>
          <w:color w:val="FF0000"/>
        </w:rPr>
      </w:pPr>
      <w:hyperlink w:anchor="_top" w:history="1">
        <w:r w:rsidR="00675566" w:rsidRPr="000E1B51">
          <w:rPr>
            <w:rStyle w:val="Hyperlink"/>
          </w:rPr>
          <w:t>Top of the Document</w:t>
        </w:r>
      </w:hyperlink>
    </w:p>
    <w:p w14:paraId="0725317C" w14:textId="77777777" w:rsidR="00ED4CFD" w:rsidRPr="004E00B6" w:rsidRDefault="00ED4CFD" w:rsidP="00DB71B9">
      <w:pPr>
        <w:jc w:val="center"/>
        <w:rPr>
          <w:sz w:val="16"/>
          <w:szCs w:val="16"/>
        </w:rPr>
      </w:pPr>
      <w:bookmarkStart w:id="7" w:name="_P"/>
      <w:bookmarkEnd w:id="7"/>
      <w:r w:rsidRPr="004E00B6">
        <w:rPr>
          <w:sz w:val="16"/>
          <w:szCs w:val="16"/>
        </w:rPr>
        <w:t>Not To Be Reproduced Or Disclosed to Others Without Prior Written Approval</w:t>
      </w:r>
    </w:p>
    <w:p w14:paraId="38E8240F" w14:textId="77777777" w:rsidR="00ED4CFD" w:rsidRPr="00C247CB" w:rsidRDefault="00ED4CFD" w:rsidP="00DB71B9">
      <w:pPr>
        <w:jc w:val="center"/>
        <w:rPr>
          <w:b/>
          <w:color w:val="000000"/>
          <w:sz w:val="16"/>
          <w:szCs w:val="16"/>
        </w:rPr>
      </w:pPr>
      <w:r w:rsidRPr="004E00B6">
        <w:rPr>
          <w:b/>
          <w:color w:val="000000"/>
          <w:sz w:val="16"/>
          <w:szCs w:val="16"/>
        </w:rPr>
        <w:t>ELECTRONIC DATA = OFFICIAL VERSION – PAPER COPY – INFORMATIONAL ONLY</w:t>
      </w:r>
    </w:p>
    <w:p w14:paraId="3CBC2E43" w14:textId="2321B678" w:rsidR="00ED4CFD" w:rsidRPr="00A47CB1" w:rsidRDefault="00ED4CFD" w:rsidP="00DB71B9">
      <w:pPr>
        <w:jc w:val="right"/>
        <w:rPr>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8FC95" w14:textId="77777777" w:rsidR="0043600A" w:rsidRDefault="0043600A">
      <w:r>
        <w:separator/>
      </w:r>
    </w:p>
  </w:endnote>
  <w:endnote w:type="continuationSeparator" w:id="0">
    <w:p w14:paraId="1581D468" w14:textId="77777777" w:rsidR="0043600A" w:rsidRDefault="0043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499A9" w14:textId="77777777" w:rsidR="0043600A" w:rsidRDefault="0043600A">
      <w:r>
        <w:separator/>
      </w:r>
    </w:p>
  </w:footnote>
  <w:footnote w:type="continuationSeparator" w:id="0">
    <w:p w14:paraId="62AA4E95" w14:textId="77777777" w:rsidR="0043600A" w:rsidRDefault="00436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643C9C"/>
    <w:multiLevelType w:val="hybridMultilevel"/>
    <w:tmpl w:val="DCAC348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2"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5"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9"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0"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5"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9"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1"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63439118">
    <w:abstractNumId w:val="70"/>
  </w:num>
  <w:num w:numId="2" w16cid:durableId="68426295">
    <w:abstractNumId w:val="104"/>
  </w:num>
  <w:num w:numId="3" w16cid:durableId="2080471186">
    <w:abstractNumId w:val="83"/>
  </w:num>
  <w:num w:numId="4" w16cid:durableId="1128622003">
    <w:abstractNumId w:val="7"/>
  </w:num>
  <w:num w:numId="5" w16cid:durableId="1257707387">
    <w:abstractNumId w:val="44"/>
  </w:num>
  <w:num w:numId="6" w16cid:durableId="2006392988">
    <w:abstractNumId w:val="105"/>
  </w:num>
  <w:num w:numId="7" w16cid:durableId="1374890732">
    <w:abstractNumId w:val="77"/>
  </w:num>
  <w:num w:numId="8" w16cid:durableId="1996568625">
    <w:abstractNumId w:val="89"/>
  </w:num>
  <w:num w:numId="9" w16cid:durableId="2138450084">
    <w:abstractNumId w:val="87"/>
  </w:num>
  <w:num w:numId="10" w16cid:durableId="2031950917">
    <w:abstractNumId w:val="29"/>
  </w:num>
  <w:num w:numId="11" w16cid:durableId="1564834013">
    <w:abstractNumId w:val="106"/>
  </w:num>
  <w:num w:numId="12" w16cid:durableId="1684937115">
    <w:abstractNumId w:val="107"/>
  </w:num>
  <w:num w:numId="13" w16cid:durableId="1469514734">
    <w:abstractNumId w:val="136"/>
  </w:num>
  <w:num w:numId="14" w16cid:durableId="898251940">
    <w:abstractNumId w:val="140"/>
  </w:num>
  <w:num w:numId="15" w16cid:durableId="39136457">
    <w:abstractNumId w:val="1"/>
  </w:num>
  <w:num w:numId="16" w16cid:durableId="1122646869">
    <w:abstractNumId w:val="54"/>
  </w:num>
  <w:num w:numId="17" w16cid:durableId="1273241532">
    <w:abstractNumId w:val="131"/>
  </w:num>
  <w:num w:numId="18" w16cid:durableId="627245473">
    <w:abstractNumId w:val="94"/>
  </w:num>
  <w:num w:numId="19" w16cid:durableId="1887329268">
    <w:abstractNumId w:val="133"/>
  </w:num>
  <w:num w:numId="20" w16cid:durableId="2127043944">
    <w:abstractNumId w:val="56"/>
  </w:num>
  <w:num w:numId="21" w16cid:durableId="1673339599">
    <w:abstractNumId w:val="22"/>
  </w:num>
  <w:num w:numId="22" w16cid:durableId="1251232228">
    <w:abstractNumId w:val="48"/>
  </w:num>
  <w:num w:numId="23" w16cid:durableId="1537083018">
    <w:abstractNumId w:val="38"/>
  </w:num>
  <w:num w:numId="24" w16cid:durableId="1546023023">
    <w:abstractNumId w:val="101"/>
  </w:num>
  <w:num w:numId="25" w16cid:durableId="948776534">
    <w:abstractNumId w:val="80"/>
  </w:num>
  <w:num w:numId="26" w16cid:durableId="1846432965">
    <w:abstractNumId w:val="67"/>
  </w:num>
  <w:num w:numId="27" w16cid:durableId="1954440716">
    <w:abstractNumId w:val="10"/>
  </w:num>
  <w:num w:numId="28" w16cid:durableId="1986005344">
    <w:abstractNumId w:val="33"/>
  </w:num>
  <w:num w:numId="29" w16cid:durableId="1162502910">
    <w:abstractNumId w:val="97"/>
  </w:num>
  <w:num w:numId="30" w16cid:durableId="573323296">
    <w:abstractNumId w:val="0"/>
  </w:num>
  <w:num w:numId="31" w16cid:durableId="981035860">
    <w:abstractNumId w:val="26"/>
  </w:num>
  <w:num w:numId="32" w16cid:durableId="638152996">
    <w:abstractNumId w:val="117"/>
  </w:num>
  <w:num w:numId="33" w16cid:durableId="473569178">
    <w:abstractNumId w:val="118"/>
  </w:num>
  <w:num w:numId="34" w16cid:durableId="845748048">
    <w:abstractNumId w:val="45"/>
  </w:num>
  <w:num w:numId="35" w16cid:durableId="2038967132">
    <w:abstractNumId w:val="19"/>
  </w:num>
  <w:num w:numId="36" w16cid:durableId="179440280">
    <w:abstractNumId w:val="16"/>
  </w:num>
  <w:num w:numId="37" w16cid:durableId="144318143">
    <w:abstractNumId w:val="96"/>
  </w:num>
  <w:num w:numId="38" w16cid:durableId="96022455">
    <w:abstractNumId w:val="9"/>
  </w:num>
  <w:num w:numId="39" w16cid:durableId="1653172269">
    <w:abstractNumId w:val="127"/>
  </w:num>
  <w:num w:numId="40" w16cid:durableId="960498734">
    <w:abstractNumId w:val="126"/>
  </w:num>
  <w:num w:numId="41" w16cid:durableId="1005745772">
    <w:abstractNumId w:val="113"/>
  </w:num>
  <w:num w:numId="42" w16cid:durableId="16858170">
    <w:abstractNumId w:val="20"/>
  </w:num>
  <w:num w:numId="43" w16cid:durableId="1352418499">
    <w:abstractNumId w:val="13"/>
  </w:num>
  <w:num w:numId="44" w16cid:durableId="145627870">
    <w:abstractNumId w:val="51"/>
  </w:num>
  <w:num w:numId="45" w16cid:durableId="1907956490">
    <w:abstractNumId w:val="25"/>
  </w:num>
  <w:num w:numId="46" w16cid:durableId="1793788542">
    <w:abstractNumId w:val="27"/>
  </w:num>
  <w:num w:numId="47" w16cid:durableId="1423989574">
    <w:abstractNumId w:val="92"/>
  </w:num>
  <w:num w:numId="48" w16cid:durableId="1227374413">
    <w:abstractNumId w:val="128"/>
  </w:num>
  <w:num w:numId="49" w16cid:durableId="527959192">
    <w:abstractNumId w:val="122"/>
  </w:num>
  <w:num w:numId="50" w16cid:durableId="1241328466">
    <w:abstractNumId w:val="28"/>
  </w:num>
  <w:num w:numId="51" w16cid:durableId="41297648">
    <w:abstractNumId w:val="36"/>
  </w:num>
  <w:num w:numId="52" w16cid:durableId="996693610">
    <w:abstractNumId w:val="135"/>
  </w:num>
  <w:num w:numId="53" w16cid:durableId="180434561">
    <w:abstractNumId w:val="14"/>
  </w:num>
  <w:num w:numId="54" w16cid:durableId="2062091353">
    <w:abstractNumId w:val="49"/>
  </w:num>
  <w:num w:numId="55" w16cid:durableId="2007976483">
    <w:abstractNumId w:val="84"/>
  </w:num>
  <w:num w:numId="56" w16cid:durableId="1216549300">
    <w:abstractNumId w:val="68"/>
  </w:num>
  <w:num w:numId="57" w16cid:durableId="656343637">
    <w:abstractNumId w:val="4"/>
  </w:num>
  <w:num w:numId="58" w16cid:durableId="337004545">
    <w:abstractNumId w:val="52"/>
  </w:num>
  <w:num w:numId="59" w16cid:durableId="423111668">
    <w:abstractNumId w:val="86"/>
  </w:num>
  <w:num w:numId="60" w16cid:durableId="953905739">
    <w:abstractNumId w:val="111"/>
  </w:num>
  <w:num w:numId="61" w16cid:durableId="1192886436">
    <w:abstractNumId w:val="66"/>
  </w:num>
  <w:num w:numId="62" w16cid:durableId="1720282572">
    <w:abstractNumId w:val="62"/>
  </w:num>
  <w:num w:numId="63" w16cid:durableId="1679456331">
    <w:abstractNumId w:val="99"/>
  </w:num>
  <w:num w:numId="64" w16cid:durableId="1198546105">
    <w:abstractNumId w:val="63"/>
  </w:num>
  <w:num w:numId="65" w16cid:durableId="892229017">
    <w:abstractNumId w:val="61"/>
  </w:num>
  <w:num w:numId="66" w16cid:durableId="1709985281">
    <w:abstractNumId w:val="108"/>
  </w:num>
  <w:num w:numId="67" w16cid:durableId="1834567260">
    <w:abstractNumId w:val="112"/>
  </w:num>
  <w:num w:numId="68" w16cid:durableId="1763184010">
    <w:abstractNumId w:val="34"/>
  </w:num>
  <w:num w:numId="69" w16cid:durableId="1851948038">
    <w:abstractNumId w:val="6"/>
  </w:num>
  <w:num w:numId="70" w16cid:durableId="432357359">
    <w:abstractNumId w:val="110"/>
  </w:num>
  <w:num w:numId="71" w16cid:durableId="1262177034">
    <w:abstractNumId w:val="40"/>
  </w:num>
  <w:num w:numId="72" w16cid:durableId="1148937099">
    <w:abstractNumId w:val="137"/>
  </w:num>
  <w:num w:numId="73" w16cid:durableId="1554389536">
    <w:abstractNumId w:val="82"/>
  </w:num>
  <w:num w:numId="74" w16cid:durableId="126240548">
    <w:abstractNumId w:val="57"/>
  </w:num>
  <w:num w:numId="75" w16cid:durableId="142701953">
    <w:abstractNumId w:val="41"/>
  </w:num>
  <w:num w:numId="76" w16cid:durableId="659234289">
    <w:abstractNumId w:val="8"/>
  </w:num>
  <w:num w:numId="77" w16cid:durableId="356661032">
    <w:abstractNumId w:val="59"/>
  </w:num>
  <w:num w:numId="78" w16cid:durableId="786704902">
    <w:abstractNumId w:val="18"/>
  </w:num>
  <w:num w:numId="79" w16cid:durableId="1047527501">
    <w:abstractNumId w:val="78"/>
  </w:num>
  <w:num w:numId="80" w16cid:durableId="575165730">
    <w:abstractNumId w:val="85"/>
  </w:num>
  <w:num w:numId="81" w16cid:durableId="894049894">
    <w:abstractNumId w:val="134"/>
  </w:num>
  <w:num w:numId="82" w16cid:durableId="543057946">
    <w:abstractNumId w:val="23"/>
  </w:num>
  <w:num w:numId="83" w16cid:durableId="1078752688">
    <w:abstractNumId w:val="50"/>
  </w:num>
  <w:num w:numId="84" w16cid:durableId="153037381">
    <w:abstractNumId w:val="73"/>
  </w:num>
  <w:num w:numId="85" w16cid:durableId="479883069">
    <w:abstractNumId w:val="5"/>
  </w:num>
  <w:num w:numId="86" w16cid:durableId="2034108061">
    <w:abstractNumId w:val="69"/>
  </w:num>
  <w:num w:numId="87" w16cid:durableId="933365169">
    <w:abstractNumId w:val="11"/>
  </w:num>
  <w:num w:numId="88" w16cid:durableId="380521079">
    <w:abstractNumId w:val="46"/>
  </w:num>
  <w:num w:numId="89" w16cid:durableId="326518748">
    <w:abstractNumId w:val="47"/>
  </w:num>
  <w:num w:numId="90" w16cid:durableId="1667855974">
    <w:abstractNumId w:val="139"/>
  </w:num>
  <w:num w:numId="91" w16cid:durableId="936719668">
    <w:abstractNumId w:val="75"/>
  </w:num>
  <w:num w:numId="92" w16cid:durableId="1100832811">
    <w:abstractNumId w:val="2"/>
  </w:num>
  <w:num w:numId="93" w16cid:durableId="1609657223">
    <w:abstractNumId w:val="64"/>
  </w:num>
  <w:num w:numId="94" w16cid:durableId="387725184">
    <w:abstractNumId w:val="55"/>
  </w:num>
  <w:num w:numId="95" w16cid:durableId="1630938144">
    <w:abstractNumId w:val="91"/>
  </w:num>
  <w:num w:numId="96" w16cid:durableId="977609730">
    <w:abstractNumId w:val="39"/>
  </w:num>
  <w:num w:numId="97" w16cid:durableId="1063985728">
    <w:abstractNumId w:val="119"/>
  </w:num>
  <w:num w:numId="98" w16cid:durableId="1991472091">
    <w:abstractNumId w:val="76"/>
  </w:num>
  <w:num w:numId="99" w16cid:durableId="1285773462">
    <w:abstractNumId w:val="98"/>
  </w:num>
  <w:num w:numId="100" w16cid:durableId="281963909">
    <w:abstractNumId w:val="32"/>
  </w:num>
  <w:num w:numId="101" w16cid:durableId="806046390">
    <w:abstractNumId w:val="138"/>
  </w:num>
  <w:num w:numId="102" w16cid:durableId="2097898954">
    <w:abstractNumId w:val="130"/>
  </w:num>
  <w:num w:numId="103" w16cid:durableId="1776319204">
    <w:abstractNumId w:val="72"/>
  </w:num>
  <w:num w:numId="104" w16cid:durableId="230778430">
    <w:abstractNumId w:val="3"/>
  </w:num>
  <w:num w:numId="105" w16cid:durableId="1049570260">
    <w:abstractNumId w:val="81"/>
  </w:num>
  <w:num w:numId="106" w16cid:durableId="443576435">
    <w:abstractNumId w:val="95"/>
  </w:num>
  <w:num w:numId="107" w16cid:durableId="934287764">
    <w:abstractNumId w:val="102"/>
  </w:num>
  <w:num w:numId="108" w16cid:durableId="310669988">
    <w:abstractNumId w:val="60"/>
  </w:num>
  <w:num w:numId="109" w16cid:durableId="871185759">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621574306">
    <w:abstractNumId w:val="114"/>
  </w:num>
  <w:num w:numId="111" w16cid:durableId="592326263">
    <w:abstractNumId w:val="15"/>
  </w:num>
  <w:num w:numId="112" w16cid:durableId="1837110170">
    <w:abstractNumId w:val="109"/>
  </w:num>
  <w:num w:numId="113" w16cid:durableId="690684036">
    <w:abstractNumId w:val="42"/>
  </w:num>
  <w:num w:numId="114" w16cid:durableId="1814912016">
    <w:abstractNumId w:val="100"/>
  </w:num>
  <w:num w:numId="115" w16cid:durableId="960376790">
    <w:abstractNumId w:val="74"/>
  </w:num>
  <w:num w:numId="116" w16cid:durableId="1296522694">
    <w:abstractNumId w:val="65"/>
  </w:num>
  <w:num w:numId="117" w16cid:durableId="398140663">
    <w:abstractNumId w:val="90"/>
  </w:num>
  <w:num w:numId="118" w16cid:durableId="1507016598">
    <w:abstractNumId w:val="129"/>
  </w:num>
  <w:num w:numId="119" w16cid:durableId="760565562">
    <w:abstractNumId w:val="71"/>
  </w:num>
  <w:num w:numId="120" w16cid:durableId="1867988347">
    <w:abstractNumId w:val="125"/>
  </w:num>
  <w:num w:numId="121" w16cid:durableId="1296446968">
    <w:abstractNumId w:val="43"/>
  </w:num>
  <w:num w:numId="122" w16cid:durableId="1863934705">
    <w:abstractNumId w:val="132"/>
  </w:num>
  <w:num w:numId="123" w16cid:durableId="173348842">
    <w:abstractNumId w:val="115"/>
  </w:num>
  <w:num w:numId="124" w16cid:durableId="198209213">
    <w:abstractNumId w:val="88"/>
  </w:num>
  <w:num w:numId="125" w16cid:durableId="1068651992">
    <w:abstractNumId w:val="133"/>
  </w:num>
  <w:num w:numId="126" w16cid:durableId="85342832">
    <w:abstractNumId w:val="21"/>
  </w:num>
  <w:num w:numId="127" w16cid:durableId="206843618">
    <w:abstractNumId w:val="103"/>
  </w:num>
  <w:num w:numId="128" w16cid:durableId="941229729">
    <w:abstractNumId w:val="30"/>
  </w:num>
  <w:num w:numId="129" w16cid:durableId="2026638356">
    <w:abstractNumId w:val="37"/>
  </w:num>
  <w:num w:numId="130" w16cid:durableId="719397447">
    <w:abstractNumId w:val="35"/>
  </w:num>
  <w:num w:numId="131" w16cid:durableId="1530412124">
    <w:abstractNumId w:val="121"/>
  </w:num>
  <w:num w:numId="132" w16cid:durableId="1565485981">
    <w:abstractNumId w:val="116"/>
  </w:num>
  <w:num w:numId="133" w16cid:durableId="1817183054">
    <w:abstractNumId w:val="123"/>
  </w:num>
  <w:num w:numId="134" w16cid:durableId="497575404">
    <w:abstractNumId w:val="120"/>
  </w:num>
  <w:num w:numId="135" w16cid:durableId="360518103">
    <w:abstractNumId w:val="53"/>
  </w:num>
  <w:num w:numId="136" w16cid:durableId="1217546112">
    <w:abstractNumId w:val="58"/>
  </w:num>
  <w:num w:numId="137" w16cid:durableId="833960311">
    <w:abstractNumId w:val="24"/>
  </w:num>
  <w:num w:numId="138" w16cid:durableId="65541493">
    <w:abstractNumId w:val="12"/>
  </w:num>
  <w:num w:numId="139" w16cid:durableId="37317813">
    <w:abstractNumId w:val="79"/>
  </w:num>
  <w:num w:numId="140" w16cid:durableId="1276057950">
    <w:abstractNumId w:val="137"/>
  </w:num>
  <w:num w:numId="141" w16cid:durableId="1850942842">
    <w:abstractNumId w:val="82"/>
  </w:num>
  <w:num w:numId="142" w16cid:durableId="1493568750">
    <w:abstractNumId w:val="17"/>
  </w:num>
  <w:num w:numId="143" w16cid:durableId="756559686">
    <w:abstractNumId w:val="124"/>
  </w:num>
  <w:num w:numId="144" w16cid:durableId="1873229464">
    <w:abstractNumId w:val="31"/>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0593"/>
    <w:rsid w:val="000016EE"/>
    <w:rsid w:val="00002792"/>
    <w:rsid w:val="00003364"/>
    <w:rsid w:val="00003E79"/>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2C27"/>
    <w:rsid w:val="000A7970"/>
    <w:rsid w:val="000B03DF"/>
    <w:rsid w:val="000B0EE5"/>
    <w:rsid w:val="000B1E6F"/>
    <w:rsid w:val="000B1FB8"/>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1B51"/>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0E09"/>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53B"/>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4918"/>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0526"/>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3379"/>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27992"/>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57542"/>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547A"/>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B7AAA"/>
    <w:rsid w:val="003C003A"/>
    <w:rsid w:val="003C04D7"/>
    <w:rsid w:val="003C06CF"/>
    <w:rsid w:val="003C3A53"/>
    <w:rsid w:val="003C46C8"/>
    <w:rsid w:val="003C5063"/>
    <w:rsid w:val="003C5837"/>
    <w:rsid w:val="003C66D9"/>
    <w:rsid w:val="003C67D7"/>
    <w:rsid w:val="003C69B6"/>
    <w:rsid w:val="003C71F8"/>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1380"/>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3600A"/>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B748E"/>
    <w:rsid w:val="004C184C"/>
    <w:rsid w:val="004C280B"/>
    <w:rsid w:val="004C31E0"/>
    <w:rsid w:val="004C338F"/>
    <w:rsid w:val="004C59C7"/>
    <w:rsid w:val="004C647F"/>
    <w:rsid w:val="004C6753"/>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58EB"/>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2E9E"/>
    <w:rsid w:val="005D41FB"/>
    <w:rsid w:val="005D474D"/>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025"/>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331D"/>
    <w:rsid w:val="00684A2A"/>
    <w:rsid w:val="00684B06"/>
    <w:rsid w:val="00686C7B"/>
    <w:rsid w:val="00691C74"/>
    <w:rsid w:val="00691C97"/>
    <w:rsid w:val="0069312A"/>
    <w:rsid w:val="006959BE"/>
    <w:rsid w:val="00696251"/>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787"/>
    <w:rsid w:val="006F0949"/>
    <w:rsid w:val="006F1466"/>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59D"/>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359"/>
    <w:rsid w:val="0076344C"/>
    <w:rsid w:val="007639E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6E"/>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4297"/>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1B0B"/>
    <w:rsid w:val="008C2197"/>
    <w:rsid w:val="008C28D5"/>
    <w:rsid w:val="008C3204"/>
    <w:rsid w:val="008C3493"/>
    <w:rsid w:val="008C4E29"/>
    <w:rsid w:val="008C760D"/>
    <w:rsid w:val="008C77D3"/>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8F7BAA"/>
    <w:rsid w:val="009015B8"/>
    <w:rsid w:val="00902122"/>
    <w:rsid w:val="00902E07"/>
    <w:rsid w:val="00902EE9"/>
    <w:rsid w:val="0090383C"/>
    <w:rsid w:val="009044C2"/>
    <w:rsid w:val="0090482D"/>
    <w:rsid w:val="00904AD5"/>
    <w:rsid w:val="00906F0F"/>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5D35"/>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1EB9"/>
    <w:rsid w:val="00955269"/>
    <w:rsid w:val="00955902"/>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97DBD"/>
    <w:rsid w:val="009A0EF7"/>
    <w:rsid w:val="009A2795"/>
    <w:rsid w:val="009A4F5E"/>
    <w:rsid w:val="009A66D7"/>
    <w:rsid w:val="009A688C"/>
    <w:rsid w:val="009A7882"/>
    <w:rsid w:val="009B1178"/>
    <w:rsid w:val="009B1C3D"/>
    <w:rsid w:val="009B28A2"/>
    <w:rsid w:val="009B36DD"/>
    <w:rsid w:val="009B3EDF"/>
    <w:rsid w:val="009B4010"/>
    <w:rsid w:val="009B709C"/>
    <w:rsid w:val="009B732A"/>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24B3"/>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A26"/>
    <w:rsid w:val="00A47BD9"/>
    <w:rsid w:val="00A47CB1"/>
    <w:rsid w:val="00A5104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08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317"/>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54D8"/>
    <w:rsid w:val="00B46A95"/>
    <w:rsid w:val="00B46DC7"/>
    <w:rsid w:val="00B50DC3"/>
    <w:rsid w:val="00B5152B"/>
    <w:rsid w:val="00B516F3"/>
    <w:rsid w:val="00B519EF"/>
    <w:rsid w:val="00B535CF"/>
    <w:rsid w:val="00B5441D"/>
    <w:rsid w:val="00B54492"/>
    <w:rsid w:val="00B548B1"/>
    <w:rsid w:val="00B54C9B"/>
    <w:rsid w:val="00B55B81"/>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19BD"/>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207E"/>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5605"/>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5367"/>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26C"/>
    <w:rsid w:val="00D616D7"/>
    <w:rsid w:val="00D61F30"/>
    <w:rsid w:val="00D62FEE"/>
    <w:rsid w:val="00D64E81"/>
    <w:rsid w:val="00D64F21"/>
    <w:rsid w:val="00D65116"/>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161"/>
    <w:rsid w:val="00D85254"/>
    <w:rsid w:val="00D8531B"/>
    <w:rsid w:val="00D858E1"/>
    <w:rsid w:val="00D87929"/>
    <w:rsid w:val="00D8794D"/>
    <w:rsid w:val="00D90BC0"/>
    <w:rsid w:val="00D9300C"/>
    <w:rsid w:val="00D94A25"/>
    <w:rsid w:val="00D95D70"/>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1B9"/>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9FB"/>
    <w:rsid w:val="00DF5CE1"/>
    <w:rsid w:val="00DF67E3"/>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3A9F"/>
    <w:rsid w:val="00E6456A"/>
    <w:rsid w:val="00E64FFD"/>
    <w:rsid w:val="00E64FFE"/>
    <w:rsid w:val="00E664D6"/>
    <w:rsid w:val="00E66DC6"/>
    <w:rsid w:val="00E7226C"/>
    <w:rsid w:val="00E7237E"/>
    <w:rsid w:val="00E744DF"/>
    <w:rsid w:val="00E74A33"/>
    <w:rsid w:val="00E74D07"/>
    <w:rsid w:val="00E755C8"/>
    <w:rsid w:val="00E76C94"/>
    <w:rsid w:val="00E773C4"/>
    <w:rsid w:val="00E809CA"/>
    <w:rsid w:val="00E80AEF"/>
    <w:rsid w:val="00E81024"/>
    <w:rsid w:val="00E81C67"/>
    <w:rsid w:val="00E820D1"/>
    <w:rsid w:val="00E82F93"/>
    <w:rsid w:val="00E83962"/>
    <w:rsid w:val="00E83A0A"/>
    <w:rsid w:val="00E84E23"/>
    <w:rsid w:val="00E87251"/>
    <w:rsid w:val="00E926E1"/>
    <w:rsid w:val="00E92999"/>
    <w:rsid w:val="00E94460"/>
    <w:rsid w:val="00E94C36"/>
    <w:rsid w:val="00E94C3E"/>
    <w:rsid w:val="00E95A9F"/>
    <w:rsid w:val="00E95BCD"/>
    <w:rsid w:val="00E96BA9"/>
    <w:rsid w:val="00E97EC3"/>
    <w:rsid w:val="00EA00FA"/>
    <w:rsid w:val="00EA0B33"/>
    <w:rsid w:val="00EA160D"/>
    <w:rsid w:val="00EA2559"/>
    <w:rsid w:val="00EA39DB"/>
    <w:rsid w:val="00EA4A50"/>
    <w:rsid w:val="00EA4C02"/>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125E"/>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31F9"/>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6C21"/>
    <w:rsid w:val="00FD70DE"/>
    <w:rsid w:val="00FD797E"/>
    <w:rsid w:val="00FD79CB"/>
    <w:rsid w:val="00FD7EB8"/>
    <w:rsid w:val="00FE05CF"/>
    <w:rsid w:val="00FE2BA3"/>
    <w:rsid w:val="00FE2F1D"/>
    <w:rsid w:val="00FE2FBC"/>
    <w:rsid w:val="00FE3B4A"/>
    <w:rsid w:val="00FE4F7F"/>
    <w:rsid w:val="00FE693F"/>
    <w:rsid w:val="00FE6DED"/>
    <w:rsid w:val="00FE782A"/>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1B9"/>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78724167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48725271">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2.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1090</TotalTime>
  <Pages>1</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16489</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50</cp:revision>
  <dcterms:created xsi:type="dcterms:W3CDTF">2022-10-12T14:26:00Z</dcterms:created>
  <dcterms:modified xsi:type="dcterms:W3CDTF">2025-09-08T16:11:00Z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