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6C456068" w:rsidR="00524CDD" w:rsidRPr="00CC4BFE" w:rsidRDefault="008976F4" w:rsidP="0067793B">
      <w:pPr>
        <w:pStyle w:val="Heading1"/>
        <w:spacing w:before="120" w:after="120"/>
        <w:rPr>
          <w:rFonts w:ascii="Verdana" w:hAnsi="Verdana"/>
          <w:color w:val="auto"/>
          <w:sz w:val="36"/>
          <w:szCs w:val="36"/>
        </w:rPr>
      </w:pPr>
      <w:bookmarkStart w:id="0" w:name="OLE_LINK1"/>
      <w:bookmarkStart w:id="1" w:name="_top"/>
      <w:bookmarkEnd w:id="1"/>
      <w:r w:rsidRPr="3A9FDA4C">
        <w:rPr>
          <w:rFonts w:ascii="Verdana" w:hAnsi="Verdana"/>
          <w:color w:val="auto"/>
          <w:sz w:val="36"/>
          <w:szCs w:val="36"/>
        </w:rPr>
        <w:t>Customer Care Abbreviati</w:t>
      </w:r>
      <w:r w:rsidR="005D266A" w:rsidRPr="3A9FDA4C">
        <w:rPr>
          <w:rFonts w:ascii="Verdana" w:hAnsi="Verdana"/>
          <w:color w:val="auto"/>
          <w:sz w:val="36"/>
          <w:szCs w:val="36"/>
        </w:rPr>
        <w:t>ons</w:t>
      </w:r>
      <w:r w:rsidR="00CC4BFE" w:rsidRPr="3A9FDA4C">
        <w:rPr>
          <w:rFonts w:ascii="Verdana" w:hAnsi="Verdana"/>
          <w:color w:val="auto"/>
          <w:sz w:val="36"/>
          <w:szCs w:val="36"/>
        </w:rPr>
        <w:t xml:space="preserve">, </w:t>
      </w:r>
      <w:r w:rsidR="005D266A" w:rsidRPr="3A9FDA4C">
        <w:rPr>
          <w:rFonts w:ascii="Verdana" w:hAnsi="Verdana"/>
          <w:color w:val="auto"/>
          <w:sz w:val="36"/>
          <w:szCs w:val="36"/>
        </w:rPr>
        <w:t>Definitions</w:t>
      </w:r>
      <w:r w:rsidR="00CC4BFE" w:rsidRPr="3A9FDA4C">
        <w:rPr>
          <w:rFonts w:ascii="Verdana" w:hAnsi="Verdana"/>
          <w:color w:val="auto"/>
          <w:sz w:val="36"/>
          <w:szCs w:val="36"/>
        </w:rPr>
        <w:t xml:space="preserve"> and Terms</w:t>
      </w:r>
      <w:r w:rsidR="002F06C9" w:rsidRPr="3A9FDA4C">
        <w:rPr>
          <w:rFonts w:ascii="Verdana" w:hAnsi="Verdana"/>
          <w:color w:val="auto"/>
          <w:sz w:val="36"/>
          <w:szCs w:val="36"/>
        </w:rPr>
        <w:t xml:space="preserve"> </w:t>
      </w:r>
      <w:r w:rsidR="004B6B76" w:rsidRPr="3A9FDA4C">
        <w:rPr>
          <w:rFonts w:ascii="Verdana" w:hAnsi="Verdana"/>
          <w:color w:val="auto"/>
          <w:sz w:val="36"/>
          <w:szCs w:val="36"/>
        </w:rPr>
        <w:t>- S</w:t>
      </w:r>
    </w:p>
    <w:bookmarkEnd w:id="0"/>
    <w:p w14:paraId="018813C1" w14:textId="77777777" w:rsidR="00494AF4" w:rsidRPr="004E00B6" w:rsidRDefault="00494AF4" w:rsidP="0067793B">
      <w:pPr>
        <w:spacing w:before="120" w:after="120"/>
        <w:jc w:val="center"/>
        <w:rPr>
          <w:rFonts w:ascii="Verdana" w:hAnsi="Verdana"/>
          <w:color w:val="0000FF"/>
        </w:rPr>
      </w:pPr>
    </w:p>
    <w:p w14:paraId="274053D3" w14:textId="77777777" w:rsidR="00A260CD" w:rsidRDefault="00233B04" w:rsidP="0067793B">
      <w:pPr>
        <w:spacing w:before="120" w:after="120"/>
        <w:jc w:val="both"/>
        <w:rPr>
          <w:rFonts w:ascii="Verdana" w:hAnsi="Verdana"/>
          <w:b/>
          <w:color w:val="000000"/>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p>
    <w:p w14:paraId="16884553" w14:textId="77777777" w:rsidR="00A260CD" w:rsidRDefault="00A260CD" w:rsidP="0067793B">
      <w:pPr>
        <w:spacing w:before="120" w:after="120"/>
        <w:jc w:val="both"/>
        <w:rPr>
          <w:rFonts w:ascii="Verdana" w:hAnsi="Verdana"/>
          <w:b/>
          <w:color w:val="000000"/>
        </w:rPr>
      </w:pPr>
      <w:r>
        <w:rPr>
          <w:rFonts w:ascii="Verdana" w:hAnsi="Verdana"/>
          <w:b/>
          <w:color w:val="000000"/>
        </w:rPr>
        <w:t xml:space="preserve">Each Alpha section will have two separate </w:t>
      </w:r>
      <w:bookmarkStart w:id="2" w:name="OLE_LINK3"/>
      <w:r>
        <w:rPr>
          <w:rFonts w:ascii="Verdana" w:hAnsi="Verdana"/>
          <w:b/>
          <w:color w:val="000000"/>
        </w:rPr>
        <w:t>tables:</w:t>
      </w:r>
      <w:bookmarkEnd w:id="2"/>
    </w:p>
    <w:p w14:paraId="2777A60A" w14:textId="19B467F6" w:rsidR="00FA26FC" w:rsidRPr="0067793B" w:rsidRDefault="00A260CD" w:rsidP="0067793B">
      <w:pPr>
        <w:rPr>
          <w:rFonts w:ascii="Verdana" w:hAnsi="Verdana"/>
        </w:rPr>
      </w:pPr>
      <w:r w:rsidRPr="0067793B">
        <w:t xml:space="preserve"> </w:t>
      </w:r>
      <w:r w:rsidR="00FA26FC" w:rsidRPr="0067793B">
        <w:rPr>
          <w:rFonts w:ascii="Verdana" w:hAnsi="Verdana"/>
        </w:rPr>
        <w:t xml:space="preserve">1. </w:t>
      </w:r>
      <w:hyperlink w:anchor="abbrevtermdef" w:history="1">
        <w:r w:rsidR="00FA26FC" w:rsidRPr="00FA26FC">
          <w:rPr>
            <w:rStyle w:val="Hyperlink"/>
            <w:rFonts w:ascii="Verdana" w:hAnsi="Verdana"/>
          </w:rPr>
          <w:t>Abbreviation, Term, and Definition</w:t>
        </w:r>
      </w:hyperlink>
    </w:p>
    <w:p w14:paraId="440BD228" w14:textId="4FFBB095" w:rsidR="00A260CD" w:rsidRPr="00FA26FC" w:rsidRDefault="00FA26FC" w:rsidP="0067793B">
      <w:pPr>
        <w:ind w:left="72"/>
        <w:rPr>
          <w:rFonts w:ascii="Verdana" w:hAnsi="Verdana"/>
          <w:bCs/>
          <w:color w:val="000000"/>
          <w14:shadow w14:blurRad="50800" w14:dist="38100" w14:dir="2700000" w14:sx="100000" w14:sy="100000" w14:kx="0" w14:ky="0" w14:algn="tl">
            <w14:srgbClr w14:val="000000">
              <w14:alpha w14:val="60000"/>
            </w14:srgbClr>
          </w14:shadow>
        </w:rPr>
      </w:pPr>
      <w:r>
        <w:rPr>
          <w:rFonts w:ascii="Verdana" w:hAnsi="Verdana"/>
        </w:rPr>
        <w:t xml:space="preserve">2. </w:t>
      </w:r>
      <w:hyperlink w:anchor="termdeftable" w:history="1">
        <w:r w:rsidRPr="00FA26FC">
          <w:rPr>
            <w:rStyle w:val="Hyperlink"/>
            <w:rFonts w:ascii="Verdana" w:hAnsi="Verdana"/>
          </w:rPr>
          <w:t>Term and Definition</w:t>
        </w:r>
      </w:hyperlink>
    </w:p>
    <w:p w14:paraId="148A2299" w14:textId="77777777" w:rsidR="00A260CD" w:rsidRDefault="00A260CD" w:rsidP="0067793B">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p>
    <w:p w14:paraId="125E07CC" w14:textId="77777777" w:rsidR="00A260CD" w:rsidRDefault="00A260CD" w:rsidP="0067793B">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r>
        <w:rPr>
          <w:rFonts w:ascii="Verdana" w:hAnsi="Verdana"/>
          <w:b/>
          <w:color w:val="000000"/>
        </w:rPr>
        <w:t xml:space="preserve">Note: </w:t>
      </w:r>
      <w:r>
        <w:rPr>
          <w:rFonts w:ascii="Verdana" w:hAnsi="Verdana"/>
          <w:b/>
          <w:color w:val="000000"/>
          <w14:shadow w14:blurRad="50800" w14:dist="38100" w14:dir="2700000" w14:sx="100000" w14:sy="100000" w14:kx="0" w14:ky="0" w14:algn="tl">
            <w14:srgbClr w14:val="000000">
              <w14:alpha w14:val="60000"/>
            </w14:srgbClr>
          </w14:shadow>
        </w:rPr>
        <w:t xml:space="preserve"> </w:t>
      </w:r>
      <w:r>
        <w:rPr>
          <w:rFonts w:ascii="Verdana" w:hAnsi="Verdana"/>
        </w:rPr>
        <w:t>Terms are not to be duplicated in both lists.</w:t>
      </w:r>
    </w:p>
    <w:p w14:paraId="3C5DEA23" w14:textId="77777777" w:rsidR="00A260CD" w:rsidRDefault="00A260CD" w:rsidP="0067793B">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p>
    <w:p w14:paraId="79EC1010" w14:textId="77777777" w:rsidR="00A260CD" w:rsidRDefault="00A260CD" w:rsidP="0067793B">
      <w:pPr>
        <w:spacing w:before="120" w:after="120"/>
        <w:jc w:val="both"/>
        <w:rPr>
          <w:rFonts w:ascii="Verdana" w:hAnsi="Verdana"/>
          <w:b/>
        </w:rPr>
      </w:pPr>
      <w:r>
        <w:rPr>
          <w:rFonts w:ascii="Verdana" w:hAnsi="Verdana"/>
          <w:b/>
        </w:rPr>
        <w:t xml:space="preserve">Quicker Search Results:  Depress Ctrl+F </w:t>
      </w:r>
      <w:r>
        <w:rPr>
          <w:b/>
        </w:rPr>
        <w:t>→</w:t>
      </w:r>
      <w:r>
        <w:rPr>
          <w:rFonts w:ascii="Verdana" w:hAnsi="Verdana"/>
          <w:b/>
        </w:rPr>
        <w:t xml:space="preserve"> Type in Keyword </w:t>
      </w:r>
      <w:r>
        <w:rPr>
          <w:b/>
        </w:rPr>
        <w:t>→</w:t>
      </w:r>
      <w:r>
        <w:rPr>
          <w:rFonts w:ascii="Verdana" w:hAnsi="Verdana"/>
          <w:b/>
        </w:rPr>
        <w:t xml:space="preserve"> Click Find Next</w:t>
      </w:r>
    </w:p>
    <w:p w14:paraId="7D55850D" w14:textId="77777777" w:rsidR="00F25025" w:rsidRDefault="00F25025" w:rsidP="0067793B">
      <w:pPr>
        <w:spacing w:before="120" w:after="120"/>
        <w:jc w:val="both"/>
        <w:rPr>
          <w:rFonts w:ascii="Verdana" w:hAnsi="Verdana"/>
          <w:b/>
        </w:rPr>
      </w:pPr>
    </w:p>
    <w:tbl>
      <w:tblPr>
        <w:tblW w:w="498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513"/>
        <w:gridCol w:w="8450"/>
      </w:tblGrid>
      <w:tr w:rsidR="00FA26FC" w:rsidRPr="002A440D" w14:paraId="5987C5C6" w14:textId="77777777" w:rsidTr="00FA26FC">
        <w:tc>
          <w:tcPr>
            <w:tcW w:w="734" w:type="pct"/>
            <w:shd w:val="clear" w:color="auto" w:fill="D9D9D9" w:themeFill="background1" w:themeFillShade="D9"/>
          </w:tcPr>
          <w:p w14:paraId="58BAF5DD" w14:textId="28113D6C" w:rsidR="00EC35C6" w:rsidRPr="002A440D" w:rsidRDefault="00EC35C6" w:rsidP="00373C34">
            <w:pPr>
              <w:spacing w:before="120" w:after="120"/>
              <w:jc w:val="center"/>
              <w:rPr>
                <w:rFonts w:ascii="Verdana" w:hAnsi="Verdana" w:cs="Arial"/>
                <w:b/>
              </w:rPr>
            </w:pPr>
            <w:bookmarkStart w:id="3" w:name="_A_1"/>
            <w:bookmarkStart w:id="4" w:name="abbrevtermdef"/>
            <w:bookmarkEnd w:id="3"/>
            <w:r w:rsidRPr="002A440D">
              <w:rPr>
                <w:rFonts w:ascii="Verdana" w:hAnsi="Verdana" w:cs="Arial"/>
                <w:b/>
              </w:rPr>
              <w:t>Abbreviation</w:t>
            </w:r>
            <w:bookmarkEnd w:id="4"/>
          </w:p>
        </w:tc>
        <w:tc>
          <w:tcPr>
            <w:tcW w:w="983" w:type="pct"/>
            <w:shd w:val="clear" w:color="auto" w:fill="D9D9D9" w:themeFill="background1" w:themeFillShade="D9"/>
          </w:tcPr>
          <w:p w14:paraId="17770BC9" w14:textId="6BC0FBA8" w:rsidR="00EC35C6" w:rsidRPr="002A440D" w:rsidRDefault="00EC35C6" w:rsidP="00373C34">
            <w:pPr>
              <w:spacing w:before="120" w:after="120"/>
              <w:jc w:val="center"/>
              <w:rPr>
                <w:rFonts w:ascii="Verdana" w:hAnsi="Verdana" w:cs="Arial"/>
                <w:b/>
              </w:rPr>
            </w:pPr>
            <w:r w:rsidRPr="002A440D">
              <w:rPr>
                <w:rFonts w:ascii="Verdana" w:hAnsi="Verdana" w:cs="Arial"/>
                <w:b/>
              </w:rPr>
              <w:t>Term</w:t>
            </w:r>
          </w:p>
        </w:tc>
        <w:tc>
          <w:tcPr>
            <w:tcW w:w="3283" w:type="pct"/>
            <w:shd w:val="clear" w:color="auto" w:fill="D9D9D9" w:themeFill="background1" w:themeFillShade="D9"/>
          </w:tcPr>
          <w:p w14:paraId="4D0BD218" w14:textId="65833D36" w:rsidR="00EC35C6" w:rsidRPr="002A440D" w:rsidRDefault="00EC35C6" w:rsidP="00373C34">
            <w:pPr>
              <w:spacing w:before="120" w:after="120"/>
              <w:jc w:val="center"/>
              <w:rPr>
                <w:rFonts w:ascii="Verdana" w:hAnsi="Verdana" w:cs="Arial"/>
                <w:b/>
              </w:rPr>
            </w:pPr>
            <w:r w:rsidRPr="002A440D">
              <w:rPr>
                <w:rFonts w:ascii="Verdana" w:hAnsi="Verdana" w:cs="Arial"/>
                <w:b/>
              </w:rPr>
              <w:t>Definition</w:t>
            </w:r>
          </w:p>
        </w:tc>
      </w:tr>
      <w:tr w:rsidR="00FA26FC" w:rsidRPr="002A440D" w14:paraId="31D19726" w14:textId="77777777" w:rsidTr="00FA26FC">
        <w:tc>
          <w:tcPr>
            <w:tcW w:w="734" w:type="pct"/>
          </w:tcPr>
          <w:p w14:paraId="4D238789" w14:textId="77777777" w:rsidR="007D1ACB" w:rsidRPr="002A440D" w:rsidRDefault="007D1ACB" w:rsidP="00FA26FC">
            <w:pPr>
              <w:spacing w:before="120" w:after="120"/>
              <w:jc w:val="center"/>
              <w:rPr>
                <w:rFonts w:ascii="Verdana" w:hAnsi="Verdana" w:cs="Arial"/>
                <w:b/>
              </w:rPr>
            </w:pPr>
            <w:r w:rsidRPr="002A440D">
              <w:rPr>
                <w:rFonts w:ascii="Verdana" w:hAnsi="Verdana" w:cs="Arial"/>
                <w:b/>
              </w:rPr>
              <w:t>S/B</w:t>
            </w:r>
          </w:p>
        </w:tc>
        <w:tc>
          <w:tcPr>
            <w:tcW w:w="983" w:type="pct"/>
          </w:tcPr>
          <w:p w14:paraId="729307CD" w14:textId="1665BAB5" w:rsidR="007D1ACB" w:rsidRPr="002A440D" w:rsidRDefault="007D1ACB" w:rsidP="00373C34">
            <w:pPr>
              <w:spacing w:before="120" w:after="120"/>
              <w:rPr>
                <w:rFonts w:ascii="Verdana" w:hAnsi="Verdana" w:cs="Arial"/>
              </w:rPr>
            </w:pPr>
            <w:r w:rsidRPr="002A440D">
              <w:rPr>
                <w:rFonts w:ascii="Verdana" w:hAnsi="Verdana" w:cs="Arial"/>
              </w:rPr>
              <w:t>Should Be</w:t>
            </w:r>
          </w:p>
        </w:tc>
        <w:tc>
          <w:tcPr>
            <w:tcW w:w="3283" w:type="pct"/>
          </w:tcPr>
          <w:p w14:paraId="0D9F42C7" w14:textId="77777777" w:rsidR="007D1ACB" w:rsidRPr="002A440D" w:rsidRDefault="007D1ACB" w:rsidP="00373C34">
            <w:pPr>
              <w:spacing w:before="120" w:after="120"/>
              <w:rPr>
                <w:rFonts w:ascii="Verdana" w:hAnsi="Verdana" w:cs="Arial"/>
              </w:rPr>
            </w:pPr>
            <w:r w:rsidRPr="002A440D">
              <w:rPr>
                <w:rFonts w:ascii="Verdana" w:hAnsi="Verdana" w:cs="Arial"/>
              </w:rPr>
              <w:t>What something should be.</w:t>
            </w:r>
          </w:p>
        </w:tc>
      </w:tr>
      <w:tr w:rsidR="00FA26FC" w:rsidRPr="002A440D" w14:paraId="6FAB7531" w14:textId="77777777" w:rsidTr="00FA26FC">
        <w:tc>
          <w:tcPr>
            <w:tcW w:w="734" w:type="pct"/>
          </w:tcPr>
          <w:p w14:paraId="50A051E3" w14:textId="77777777" w:rsidR="007D1ACB" w:rsidRPr="002A440D" w:rsidRDefault="007D1ACB" w:rsidP="00FA26FC">
            <w:pPr>
              <w:spacing w:before="120" w:after="120"/>
              <w:jc w:val="center"/>
              <w:rPr>
                <w:rFonts w:ascii="Verdana" w:hAnsi="Verdana"/>
                <w:b/>
              </w:rPr>
            </w:pPr>
            <w:r w:rsidRPr="002A440D">
              <w:rPr>
                <w:rFonts w:ascii="Verdana" w:hAnsi="Verdana"/>
                <w:b/>
              </w:rPr>
              <w:t>S/O</w:t>
            </w:r>
          </w:p>
        </w:tc>
        <w:tc>
          <w:tcPr>
            <w:tcW w:w="983" w:type="pct"/>
          </w:tcPr>
          <w:p w14:paraId="31725D70" w14:textId="77777777" w:rsidR="007D1ACB" w:rsidRPr="004F7962" w:rsidRDefault="007D1ACB" w:rsidP="00373C34">
            <w:pPr>
              <w:spacing w:before="120" w:after="120"/>
              <w:rPr>
                <w:rFonts w:ascii="Verdana" w:hAnsi="Verdana"/>
              </w:rPr>
            </w:pPr>
            <w:r w:rsidRPr="004F7962">
              <w:rPr>
                <w:rFonts w:ascii="Verdana" w:hAnsi="Verdana"/>
              </w:rPr>
              <w:t>Screen Out</w:t>
            </w:r>
          </w:p>
        </w:tc>
        <w:tc>
          <w:tcPr>
            <w:tcW w:w="3283" w:type="pct"/>
          </w:tcPr>
          <w:p w14:paraId="7DEC5CA7" w14:textId="4AE1D89D" w:rsidR="007D1ACB" w:rsidRPr="004F7962" w:rsidRDefault="007D1ACB" w:rsidP="00373C34">
            <w:pPr>
              <w:spacing w:before="120" w:after="120"/>
              <w:rPr>
                <w:rFonts w:ascii="Verdana" w:hAnsi="Verdana"/>
              </w:rPr>
            </w:pPr>
            <w:r w:rsidRPr="004F7962">
              <w:rPr>
                <w:rFonts w:ascii="Verdana" w:hAnsi="Verdana"/>
              </w:rPr>
              <w:t>Used primarily in the conflict queue to indicate that a particular conflict did not require interaction or clarification with the prescriber.</w:t>
            </w:r>
          </w:p>
        </w:tc>
      </w:tr>
      <w:tr w:rsidR="00FA26FC" w:rsidRPr="002A440D" w14:paraId="2EF335F6" w14:textId="77777777" w:rsidTr="00FA26FC">
        <w:tc>
          <w:tcPr>
            <w:tcW w:w="734" w:type="pct"/>
          </w:tcPr>
          <w:p w14:paraId="1FBBC2D4" w14:textId="77777777" w:rsidR="007D1ACB" w:rsidRPr="002A440D" w:rsidRDefault="007D1ACB" w:rsidP="00FA26FC">
            <w:pPr>
              <w:spacing w:before="120" w:after="120"/>
              <w:jc w:val="center"/>
              <w:rPr>
                <w:rFonts w:ascii="Verdana" w:hAnsi="Verdana"/>
                <w:b/>
              </w:rPr>
            </w:pPr>
            <w:r w:rsidRPr="002A440D">
              <w:rPr>
                <w:rFonts w:ascii="Verdana" w:hAnsi="Verdana"/>
                <w:b/>
              </w:rPr>
              <w:t>S/ORD</w:t>
            </w:r>
          </w:p>
        </w:tc>
        <w:tc>
          <w:tcPr>
            <w:tcW w:w="983" w:type="pct"/>
          </w:tcPr>
          <w:p w14:paraId="012DF365" w14:textId="6AB630EA" w:rsidR="007D1ACB" w:rsidRPr="004F7962" w:rsidRDefault="009F6253" w:rsidP="00373C34">
            <w:pPr>
              <w:spacing w:before="120" w:after="120"/>
              <w:rPr>
                <w:rFonts w:ascii="Verdana" w:hAnsi="Verdana"/>
              </w:rPr>
            </w:pPr>
            <w:r w:rsidRPr="004F7962">
              <w:rPr>
                <w:rFonts w:ascii="Verdana" w:hAnsi="Verdana"/>
              </w:rPr>
              <w:t xml:space="preserve">Split </w:t>
            </w:r>
            <w:r w:rsidR="007D1ACB" w:rsidRPr="004F7962">
              <w:rPr>
                <w:rFonts w:ascii="Verdana" w:hAnsi="Verdana"/>
              </w:rPr>
              <w:t>Order</w:t>
            </w:r>
          </w:p>
        </w:tc>
        <w:tc>
          <w:tcPr>
            <w:tcW w:w="3283" w:type="pct"/>
          </w:tcPr>
          <w:p w14:paraId="3C3DEE7E" w14:textId="470C7BAF" w:rsidR="007D1ACB" w:rsidRPr="004F7962" w:rsidRDefault="007D1ACB" w:rsidP="00373C34">
            <w:pPr>
              <w:spacing w:before="120" w:after="120"/>
              <w:rPr>
                <w:rFonts w:ascii="Verdana" w:hAnsi="Verdana"/>
              </w:rPr>
            </w:pPr>
            <w:r w:rsidRPr="004F7962">
              <w:rPr>
                <w:rFonts w:ascii="Verdana" w:hAnsi="Verdana"/>
              </w:rPr>
              <w:t>Used to indicate that an item(s) was taken from one order and moved to another order.</w:t>
            </w:r>
          </w:p>
        </w:tc>
      </w:tr>
      <w:tr w:rsidR="00FA26FC" w:rsidRPr="002A440D" w14:paraId="0866C647" w14:textId="77777777" w:rsidTr="00FA26FC">
        <w:trPr>
          <w:trHeight w:val="647"/>
        </w:trPr>
        <w:tc>
          <w:tcPr>
            <w:tcW w:w="734" w:type="pct"/>
          </w:tcPr>
          <w:p w14:paraId="4369DE35" w14:textId="77777777" w:rsidR="007D1ACB" w:rsidRPr="002A440D" w:rsidRDefault="007D1ACB" w:rsidP="00FA26FC">
            <w:pPr>
              <w:spacing w:before="120" w:after="120"/>
              <w:jc w:val="center"/>
              <w:rPr>
                <w:rFonts w:ascii="Verdana" w:hAnsi="Verdana"/>
                <w:b/>
              </w:rPr>
            </w:pPr>
            <w:r w:rsidRPr="002A440D">
              <w:rPr>
                <w:rFonts w:ascii="Verdana" w:hAnsi="Verdana"/>
                <w:b/>
              </w:rPr>
              <w:t>S/P</w:t>
            </w:r>
          </w:p>
        </w:tc>
        <w:tc>
          <w:tcPr>
            <w:tcW w:w="983" w:type="pct"/>
          </w:tcPr>
          <w:p w14:paraId="4F7E67CD" w14:textId="6A7F6E1A" w:rsidR="007D1ACB" w:rsidRPr="004F7962" w:rsidRDefault="00A260CD" w:rsidP="00373C34">
            <w:pPr>
              <w:spacing w:before="120" w:after="120"/>
              <w:rPr>
                <w:rFonts w:ascii="Verdana" w:hAnsi="Verdana"/>
              </w:rPr>
            </w:pPr>
            <w:r w:rsidRPr="004F7962">
              <w:rPr>
                <w:rFonts w:ascii="Verdana" w:hAnsi="Verdana"/>
              </w:rPr>
              <w:t>Screen print</w:t>
            </w:r>
          </w:p>
        </w:tc>
        <w:tc>
          <w:tcPr>
            <w:tcW w:w="3283" w:type="pct"/>
          </w:tcPr>
          <w:p w14:paraId="3F61076D" w14:textId="77777777" w:rsidR="007D1ACB" w:rsidRPr="004F7962" w:rsidRDefault="007D1ACB" w:rsidP="00373C34">
            <w:pPr>
              <w:spacing w:before="120" w:after="120"/>
              <w:rPr>
                <w:rFonts w:ascii="Verdana" w:hAnsi="Verdana"/>
              </w:rPr>
            </w:pPr>
            <w:r w:rsidRPr="004F7962">
              <w:rPr>
                <w:rFonts w:ascii="Verdana" w:hAnsi="Verdana"/>
              </w:rPr>
              <w:t>A printed copy made of a computer screen, from PeopleSafe</w:t>
            </w:r>
            <w:r w:rsidRPr="004F7962">
              <w:rPr>
                <w:rFonts w:ascii="Verdana" w:hAnsi="Verdana"/>
                <w:noProof/>
              </w:rPr>
              <w:t>.</w:t>
            </w:r>
          </w:p>
        </w:tc>
      </w:tr>
      <w:tr w:rsidR="00FA26FC" w:rsidRPr="002A440D" w14:paraId="493B51F2" w14:textId="77777777" w:rsidTr="00FA26FC">
        <w:tc>
          <w:tcPr>
            <w:tcW w:w="734" w:type="pct"/>
          </w:tcPr>
          <w:p w14:paraId="0854D597" w14:textId="77777777" w:rsidR="007D1ACB" w:rsidRPr="002A440D" w:rsidRDefault="007D1ACB" w:rsidP="00FA26FC">
            <w:pPr>
              <w:spacing w:before="120" w:after="120"/>
              <w:jc w:val="center"/>
              <w:rPr>
                <w:rFonts w:ascii="Verdana" w:hAnsi="Verdana"/>
                <w:b/>
              </w:rPr>
            </w:pPr>
            <w:r w:rsidRPr="002A440D">
              <w:rPr>
                <w:rFonts w:ascii="Verdana" w:hAnsi="Verdana"/>
                <w:b/>
              </w:rPr>
              <w:t>SAT</w:t>
            </w:r>
          </w:p>
        </w:tc>
        <w:tc>
          <w:tcPr>
            <w:tcW w:w="983" w:type="pct"/>
          </w:tcPr>
          <w:p w14:paraId="4E3D38CA" w14:textId="3E55FC2D" w:rsidR="007D1ACB" w:rsidRPr="004F7962" w:rsidRDefault="007D1ACB" w:rsidP="00373C34">
            <w:pPr>
              <w:spacing w:before="120" w:after="120"/>
              <w:rPr>
                <w:rFonts w:ascii="Verdana" w:hAnsi="Verdana"/>
              </w:rPr>
            </w:pPr>
            <w:r w:rsidRPr="004F7962">
              <w:rPr>
                <w:rFonts w:ascii="Verdana" w:hAnsi="Verdana"/>
              </w:rPr>
              <w:t>San Antonio mail facility</w:t>
            </w:r>
          </w:p>
        </w:tc>
        <w:tc>
          <w:tcPr>
            <w:tcW w:w="3283" w:type="pct"/>
          </w:tcPr>
          <w:p w14:paraId="1DB87A5F" w14:textId="77777777" w:rsidR="007D1ACB" w:rsidRPr="004F7962" w:rsidRDefault="007D1ACB" w:rsidP="00373C34">
            <w:pPr>
              <w:spacing w:before="120" w:after="120"/>
              <w:rPr>
                <w:rFonts w:ascii="Verdana" w:hAnsi="Verdana"/>
              </w:rPr>
            </w:pPr>
            <w:r w:rsidRPr="004F7962">
              <w:rPr>
                <w:rFonts w:ascii="Verdana" w:hAnsi="Verdana"/>
              </w:rPr>
              <w:t xml:space="preserve">CVS Pharmacy distribution center located in San Antonio, TX </w:t>
            </w:r>
          </w:p>
        </w:tc>
      </w:tr>
      <w:tr w:rsidR="00FA26FC" w:rsidRPr="002A440D" w14:paraId="01B99A4E" w14:textId="77777777" w:rsidTr="00FA26FC">
        <w:tc>
          <w:tcPr>
            <w:tcW w:w="734" w:type="pct"/>
          </w:tcPr>
          <w:p w14:paraId="475ECC29" w14:textId="288AC14D" w:rsidR="007D1ACB" w:rsidRPr="002A440D" w:rsidRDefault="007D1ACB" w:rsidP="00FA26FC">
            <w:pPr>
              <w:spacing w:before="120" w:after="120"/>
              <w:jc w:val="center"/>
              <w:rPr>
                <w:rFonts w:ascii="Verdana" w:hAnsi="Verdana"/>
                <w:b/>
                <w:bCs/>
              </w:rPr>
            </w:pPr>
            <w:r w:rsidRPr="11BFC544">
              <w:rPr>
                <w:rFonts w:ascii="Verdana" w:hAnsi="Verdana"/>
                <w:b/>
                <w:bCs/>
              </w:rPr>
              <w:t>SC</w:t>
            </w:r>
          </w:p>
          <w:p w14:paraId="006BD59A" w14:textId="3D8E408F" w:rsidR="007D1ACB" w:rsidRPr="002A440D" w:rsidRDefault="007D1ACB" w:rsidP="00FA26FC">
            <w:pPr>
              <w:spacing w:before="120" w:after="120"/>
              <w:jc w:val="center"/>
              <w:rPr>
                <w:rFonts w:ascii="Verdana" w:hAnsi="Verdana"/>
                <w:b/>
                <w:bCs/>
              </w:rPr>
            </w:pPr>
          </w:p>
          <w:p w14:paraId="03C39D0A" w14:textId="4FEDA5A6" w:rsidR="007D1ACB" w:rsidRPr="002A440D" w:rsidRDefault="007D1ACB" w:rsidP="00FA26FC">
            <w:pPr>
              <w:spacing w:before="120" w:after="120"/>
              <w:jc w:val="center"/>
              <w:rPr>
                <w:rFonts w:ascii="Verdana" w:hAnsi="Verdana"/>
                <w:b/>
                <w:bCs/>
              </w:rPr>
            </w:pPr>
          </w:p>
        </w:tc>
        <w:tc>
          <w:tcPr>
            <w:tcW w:w="983" w:type="pct"/>
          </w:tcPr>
          <w:p w14:paraId="0A551B03" w14:textId="6261F9E2" w:rsidR="007D1ACB" w:rsidRPr="004F7962" w:rsidRDefault="007D1ACB" w:rsidP="00373C34">
            <w:pPr>
              <w:spacing w:before="120" w:after="120"/>
              <w:rPr>
                <w:rFonts w:ascii="Verdana" w:hAnsi="Verdana"/>
              </w:rPr>
            </w:pPr>
            <w:r w:rsidRPr="11BFC544">
              <w:rPr>
                <w:rFonts w:ascii="Verdana" w:hAnsi="Verdana"/>
              </w:rPr>
              <w:t>Screen Call or Send to Call</w:t>
            </w:r>
          </w:p>
          <w:p w14:paraId="0DE8E8BC" w14:textId="3EBED939" w:rsidR="007D1ACB" w:rsidRPr="004F7962" w:rsidRDefault="443F4E67" w:rsidP="00373C34">
            <w:pPr>
              <w:spacing w:before="120" w:after="120"/>
              <w:rPr>
                <w:rFonts w:ascii="Verdana" w:hAnsi="Verdana"/>
              </w:rPr>
            </w:pPr>
            <w:r w:rsidRPr="11BFC544">
              <w:rPr>
                <w:rFonts w:ascii="Verdana" w:hAnsi="Verdana"/>
              </w:rPr>
              <w:t>Ship Consent</w:t>
            </w:r>
          </w:p>
        </w:tc>
        <w:tc>
          <w:tcPr>
            <w:tcW w:w="3283" w:type="pct"/>
          </w:tcPr>
          <w:p w14:paraId="665548B2" w14:textId="3B382836" w:rsidR="007D1ACB" w:rsidRPr="004F7962" w:rsidRDefault="007D1ACB" w:rsidP="00373C34">
            <w:pPr>
              <w:spacing w:before="120" w:after="120"/>
              <w:rPr>
                <w:rFonts w:ascii="Verdana" w:hAnsi="Verdana"/>
              </w:rPr>
            </w:pPr>
            <w:r w:rsidRPr="11BFC544">
              <w:rPr>
                <w:rFonts w:ascii="Verdana" w:hAnsi="Verdana"/>
              </w:rPr>
              <w:t>Used to indicate that a particular conflict requires that the prescriber be contacted by telephone</w:t>
            </w:r>
            <w:r w:rsidR="0071506E" w:rsidRPr="11BFC544">
              <w:rPr>
                <w:rFonts w:ascii="Verdana" w:hAnsi="Verdana"/>
              </w:rPr>
              <w:t xml:space="preserve">. </w:t>
            </w:r>
          </w:p>
          <w:p w14:paraId="3B352AD9" w14:textId="089808C9" w:rsidR="007D1ACB" w:rsidRPr="004F7962" w:rsidRDefault="34F717D3" w:rsidP="00373C34">
            <w:pPr>
              <w:spacing w:before="120" w:after="120"/>
              <w:rPr>
                <w:rFonts w:ascii="Verdana" w:hAnsi="Verdana"/>
              </w:rPr>
            </w:pPr>
            <w:r w:rsidRPr="11BFC544">
              <w:rPr>
                <w:rFonts w:ascii="Verdana" w:hAnsi="Verdana"/>
              </w:rPr>
              <w:t>Consent provided by member to ship an order.</w:t>
            </w:r>
          </w:p>
        </w:tc>
      </w:tr>
      <w:tr w:rsidR="00FA26FC" w:rsidRPr="002A440D" w14:paraId="36D2EAD7" w14:textId="77777777" w:rsidTr="00FA26FC">
        <w:tc>
          <w:tcPr>
            <w:tcW w:w="734" w:type="pct"/>
          </w:tcPr>
          <w:p w14:paraId="48616326" w14:textId="77777777" w:rsidR="007D1ACB" w:rsidRPr="002A440D" w:rsidRDefault="007D1ACB" w:rsidP="00FA26FC">
            <w:pPr>
              <w:spacing w:before="120" w:after="120"/>
              <w:jc w:val="center"/>
              <w:rPr>
                <w:rFonts w:ascii="Verdana" w:hAnsi="Verdana"/>
                <w:b/>
              </w:rPr>
            </w:pPr>
            <w:r w:rsidRPr="002A440D">
              <w:rPr>
                <w:rFonts w:ascii="Verdana" w:hAnsi="Verdana"/>
                <w:b/>
              </w:rPr>
              <w:t>SCC</w:t>
            </w:r>
          </w:p>
        </w:tc>
        <w:tc>
          <w:tcPr>
            <w:tcW w:w="983" w:type="pct"/>
          </w:tcPr>
          <w:p w14:paraId="5B258737" w14:textId="69D3927E" w:rsidR="007D1ACB" w:rsidRPr="004F7962" w:rsidRDefault="007D1ACB" w:rsidP="00373C34">
            <w:pPr>
              <w:spacing w:before="120" w:after="120"/>
              <w:rPr>
                <w:rFonts w:ascii="Verdana" w:hAnsi="Verdana"/>
              </w:rPr>
            </w:pPr>
            <w:r w:rsidRPr="004F7962">
              <w:rPr>
                <w:rFonts w:ascii="Verdana" w:hAnsi="Verdana"/>
              </w:rPr>
              <w:t xml:space="preserve">Old: </w:t>
            </w:r>
            <w:r w:rsidR="00FA7DF3" w:rsidRPr="004F7962">
              <w:rPr>
                <w:rFonts w:ascii="Verdana" w:hAnsi="Verdana"/>
              </w:rPr>
              <w:t xml:space="preserve"> </w:t>
            </w:r>
            <w:r w:rsidRPr="004F7962">
              <w:rPr>
                <w:rFonts w:ascii="Verdana" w:hAnsi="Verdana"/>
              </w:rPr>
              <w:t xml:space="preserve">State and County Code </w:t>
            </w:r>
          </w:p>
          <w:p w14:paraId="49C134BA" w14:textId="77777777" w:rsidR="007D1ACB" w:rsidRPr="004F7962" w:rsidRDefault="007D1ACB" w:rsidP="00373C34">
            <w:pPr>
              <w:spacing w:before="120" w:after="120"/>
              <w:rPr>
                <w:rFonts w:ascii="Verdana" w:hAnsi="Verdana"/>
              </w:rPr>
            </w:pPr>
          </w:p>
          <w:p w14:paraId="1410A50E" w14:textId="76CE8F98" w:rsidR="007D1ACB" w:rsidRPr="004F7962" w:rsidRDefault="007D1ACB" w:rsidP="00373C34">
            <w:pPr>
              <w:spacing w:before="120" w:after="120"/>
              <w:rPr>
                <w:rFonts w:ascii="Verdana" w:hAnsi="Verdana"/>
              </w:rPr>
            </w:pPr>
            <w:r w:rsidRPr="004F7962">
              <w:rPr>
                <w:rFonts w:ascii="Verdana" w:hAnsi="Verdana"/>
              </w:rPr>
              <w:t xml:space="preserve">New: </w:t>
            </w:r>
            <w:r w:rsidR="00FA7DF3" w:rsidRPr="004F7962">
              <w:rPr>
                <w:rFonts w:ascii="Verdana" w:hAnsi="Verdana"/>
              </w:rPr>
              <w:t xml:space="preserve"> </w:t>
            </w:r>
            <w:r w:rsidRPr="004F7962">
              <w:rPr>
                <w:rFonts w:ascii="Verdana" w:hAnsi="Verdana"/>
              </w:rPr>
              <w:t>Submission Clarification Code</w:t>
            </w:r>
          </w:p>
        </w:tc>
        <w:tc>
          <w:tcPr>
            <w:tcW w:w="3283" w:type="pct"/>
          </w:tcPr>
          <w:p w14:paraId="497BDA2A" w14:textId="6AF8B1CF" w:rsidR="007D1ACB" w:rsidRPr="004F7962" w:rsidRDefault="007D1ACB" w:rsidP="00373C34">
            <w:pPr>
              <w:spacing w:before="120" w:after="120"/>
              <w:rPr>
                <w:rFonts w:ascii="Verdana" w:hAnsi="Verdana"/>
              </w:rPr>
            </w:pPr>
            <w:r w:rsidRPr="0067793B">
              <w:rPr>
                <w:rFonts w:ascii="Verdana" w:hAnsi="Verdana"/>
                <w:b/>
                <w:bCs/>
              </w:rPr>
              <w:t>Old:</w:t>
            </w:r>
            <w:r w:rsidR="002A440D">
              <w:rPr>
                <w:rFonts w:ascii="Verdana" w:hAnsi="Verdana"/>
              </w:rPr>
              <w:t xml:space="preserve"> </w:t>
            </w:r>
            <w:r w:rsidRPr="004F7962">
              <w:rPr>
                <w:rFonts w:ascii="Verdana" w:hAnsi="Verdana"/>
                <w:b/>
              </w:rPr>
              <w:t xml:space="preserve"> 2-digit</w:t>
            </w:r>
            <w:r w:rsidRPr="004F7962">
              <w:rPr>
                <w:rFonts w:ascii="Verdana" w:hAnsi="Verdana"/>
              </w:rPr>
              <w:t xml:space="preserve"> state code followed by </w:t>
            </w:r>
            <w:r w:rsidRPr="004F7962">
              <w:rPr>
                <w:rFonts w:ascii="Verdana" w:hAnsi="Verdana"/>
                <w:b/>
              </w:rPr>
              <w:t>3-digit county code</w:t>
            </w:r>
            <w:r w:rsidRPr="004F7962">
              <w:rPr>
                <w:rFonts w:ascii="Verdana" w:hAnsi="Verdana"/>
              </w:rPr>
              <w:t xml:space="preserve"> of residence. </w:t>
            </w:r>
          </w:p>
          <w:p w14:paraId="2F6D4B56" w14:textId="28FE67E8" w:rsidR="007D1ACB" w:rsidRPr="004F7962" w:rsidRDefault="007D1ACB" w:rsidP="00373C34">
            <w:pPr>
              <w:spacing w:before="120" w:after="120"/>
              <w:rPr>
                <w:rFonts w:ascii="Verdana" w:hAnsi="Verdana"/>
              </w:rPr>
            </w:pPr>
            <w:r w:rsidRPr="0067793B">
              <w:rPr>
                <w:rFonts w:ascii="Verdana" w:hAnsi="Verdana"/>
                <w:b/>
                <w:bCs/>
              </w:rPr>
              <w:t>New:</w:t>
            </w:r>
            <w:r w:rsidRPr="004F7962">
              <w:rPr>
                <w:rFonts w:ascii="Verdana" w:hAnsi="Verdana"/>
              </w:rPr>
              <w:t xml:space="preserve"> </w:t>
            </w:r>
            <w:r w:rsidR="002A440D">
              <w:rPr>
                <w:rFonts w:ascii="Verdana" w:hAnsi="Verdana"/>
              </w:rPr>
              <w:t xml:space="preserve"> </w:t>
            </w:r>
            <w:r w:rsidRPr="004F7962">
              <w:rPr>
                <w:rFonts w:ascii="Verdana" w:hAnsi="Verdana"/>
              </w:rPr>
              <w:t>A numeric code used by pharmacies that allows for overrides without the assistance of a CCR.</w:t>
            </w:r>
          </w:p>
          <w:p w14:paraId="0EEFE010" w14:textId="77777777" w:rsidR="007D1ACB" w:rsidRPr="0067793B" w:rsidRDefault="007D1ACB" w:rsidP="0067793B">
            <w:pPr>
              <w:pStyle w:val="ListParagraph"/>
              <w:numPr>
                <w:ilvl w:val="0"/>
                <w:numId w:val="147"/>
              </w:numPr>
              <w:spacing w:before="120" w:after="120"/>
              <w:ind w:left="432"/>
              <w:contextualSpacing w:val="0"/>
              <w:rPr>
                <w:rFonts w:ascii="Verdana" w:hAnsi="Verdana"/>
              </w:rPr>
            </w:pPr>
            <w:r w:rsidRPr="0067793B">
              <w:rPr>
                <w:rFonts w:ascii="Verdana" w:hAnsi="Verdana"/>
                <w:sz w:val="24"/>
                <w:szCs w:val="24"/>
              </w:rPr>
              <w:t>Vacation – 03</w:t>
            </w:r>
          </w:p>
          <w:p w14:paraId="237373AC" w14:textId="77777777" w:rsidR="007D1ACB" w:rsidRPr="0067793B" w:rsidRDefault="007D1ACB" w:rsidP="0067793B">
            <w:pPr>
              <w:pStyle w:val="ListParagraph"/>
              <w:numPr>
                <w:ilvl w:val="0"/>
                <w:numId w:val="147"/>
              </w:numPr>
              <w:spacing w:before="120" w:after="120"/>
              <w:ind w:left="432"/>
              <w:contextualSpacing w:val="0"/>
              <w:rPr>
                <w:rFonts w:ascii="Verdana" w:hAnsi="Verdana"/>
              </w:rPr>
            </w:pPr>
            <w:r w:rsidRPr="0067793B">
              <w:rPr>
                <w:rFonts w:ascii="Verdana" w:hAnsi="Verdana"/>
                <w:sz w:val="24"/>
                <w:szCs w:val="24"/>
              </w:rPr>
              <w:t>Lost/Stolen/Damaged – 04</w:t>
            </w:r>
          </w:p>
          <w:p w14:paraId="0D9F642E" w14:textId="367052D1" w:rsidR="007D1ACB" w:rsidRPr="0067793B" w:rsidRDefault="007D1ACB" w:rsidP="0067793B">
            <w:pPr>
              <w:pStyle w:val="ListParagraph"/>
              <w:numPr>
                <w:ilvl w:val="0"/>
                <w:numId w:val="147"/>
              </w:numPr>
              <w:spacing w:before="120" w:after="120"/>
              <w:ind w:left="432"/>
              <w:contextualSpacing w:val="0"/>
              <w:rPr>
                <w:rFonts w:ascii="Verdana" w:hAnsi="Verdana"/>
              </w:rPr>
            </w:pPr>
            <w:r w:rsidRPr="0067793B">
              <w:rPr>
                <w:rFonts w:ascii="Verdana" w:hAnsi="Verdana"/>
                <w:sz w:val="24"/>
                <w:szCs w:val="24"/>
              </w:rPr>
              <w:t>Dosage/Therapy Changed – 05</w:t>
            </w:r>
          </w:p>
        </w:tc>
      </w:tr>
      <w:tr w:rsidR="008F76B4" w:rsidRPr="002A440D" w14:paraId="15B64C35" w14:textId="77777777" w:rsidTr="00FA26FC">
        <w:trPr>
          <w:trHeight w:val="65"/>
        </w:trPr>
        <w:tc>
          <w:tcPr>
            <w:tcW w:w="734" w:type="pct"/>
            <w:vMerge w:val="restart"/>
          </w:tcPr>
          <w:p w14:paraId="1B93A1B8" w14:textId="1214FB1F" w:rsidR="00FA26FC" w:rsidRPr="002A440D" w:rsidRDefault="00FA26FC" w:rsidP="00373C34">
            <w:pPr>
              <w:spacing w:before="120" w:after="120"/>
              <w:jc w:val="center"/>
              <w:rPr>
                <w:rFonts w:ascii="Verdana" w:hAnsi="Verdana"/>
                <w:b/>
                <w:bCs/>
              </w:rPr>
            </w:pPr>
            <w:r w:rsidRPr="11BFC544">
              <w:rPr>
                <w:rFonts w:ascii="Verdana" w:hAnsi="Verdana"/>
                <w:b/>
                <w:bCs/>
              </w:rPr>
              <w:t>SCH</w:t>
            </w:r>
          </w:p>
          <w:p w14:paraId="112AFABC" w14:textId="1188B549" w:rsidR="00FA26FC" w:rsidRPr="002A440D" w:rsidRDefault="00FA26FC" w:rsidP="00373C34">
            <w:pPr>
              <w:spacing w:before="120" w:after="120"/>
              <w:jc w:val="center"/>
              <w:rPr>
                <w:rFonts w:ascii="Verdana" w:hAnsi="Verdana"/>
                <w:b/>
                <w:bCs/>
              </w:rPr>
            </w:pPr>
          </w:p>
          <w:p w14:paraId="12239BCA" w14:textId="61CA509A" w:rsidR="00FA26FC" w:rsidRPr="002A440D" w:rsidRDefault="00FA26FC" w:rsidP="00373C34">
            <w:pPr>
              <w:spacing w:before="120" w:after="120"/>
              <w:jc w:val="center"/>
              <w:rPr>
                <w:rFonts w:ascii="Verdana" w:hAnsi="Verdana"/>
                <w:b/>
                <w:bCs/>
              </w:rPr>
            </w:pPr>
          </w:p>
        </w:tc>
        <w:tc>
          <w:tcPr>
            <w:tcW w:w="983" w:type="pct"/>
          </w:tcPr>
          <w:p w14:paraId="2F631E12" w14:textId="29830E45" w:rsidR="00FA26FC" w:rsidRPr="004F7962" w:rsidRDefault="00FA26FC" w:rsidP="00373C34">
            <w:pPr>
              <w:spacing w:before="120" w:after="120"/>
              <w:rPr>
                <w:rFonts w:ascii="Verdana" w:hAnsi="Verdana"/>
              </w:rPr>
            </w:pPr>
            <w:r w:rsidRPr="11BFC544">
              <w:rPr>
                <w:rFonts w:ascii="Verdana" w:hAnsi="Verdana"/>
              </w:rPr>
              <w:t>Scheduled</w:t>
            </w:r>
          </w:p>
          <w:p w14:paraId="7B1C5485" w14:textId="23C73D3E" w:rsidR="00FA26FC" w:rsidRPr="004F7962" w:rsidRDefault="00FA26FC" w:rsidP="00373C34">
            <w:pPr>
              <w:spacing w:before="120" w:after="120"/>
              <w:rPr>
                <w:rFonts w:ascii="Verdana" w:hAnsi="Verdana"/>
              </w:rPr>
            </w:pPr>
          </w:p>
        </w:tc>
        <w:tc>
          <w:tcPr>
            <w:tcW w:w="3283" w:type="pct"/>
          </w:tcPr>
          <w:p w14:paraId="4FDB62E0" w14:textId="583FC83E" w:rsidR="00FA26FC" w:rsidRPr="004F7962" w:rsidRDefault="00FA26FC" w:rsidP="00373C34">
            <w:pPr>
              <w:spacing w:before="120" w:after="120"/>
              <w:rPr>
                <w:rFonts w:ascii="Verdana" w:hAnsi="Verdana"/>
              </w:rPr>
            </w:pPr>
            <w:r w:rsidRPr="004F7962">
              <w:rPr>
                <w:rFonts w:ascii="Verdana" w:hAnsi="Verdana"/>
              </w:rPr>
              <w:t xml:space="preserve">A few but not limited to all examples: </w:t>
            </w:r>
          </w:p>
          <w:p w14:paraId="223EB2EE" w14:textId="076C81B7" w:rsidR="00FA26FC" w:rsidRPr="002A440D" w:rsidRDefault="00FA26FC" w:rsidP="0067793B">
            <w:pPr>
              <w:pStyle w:val="ListParagraph"/>
              <w:numPr>
                <w:ilvl w:val="0"/>
                <w:numId w:val="145"/>
              </w:numPr>
              <w:spacing w:before="120" w:after="120"/>
              <w:ind w:left="432"/>
              <w:contextualSpacing w:val="0"/>
              <w:rPr>
                <w:rFonts w:ascii="Verdana" w:hAnsi="Verdana"/>
                <w:sz w:val="24"/>
                <w:szCs w:val="24"/>
              </w:rPr>
            </w:pPr>
            <w:r w:rsidRPr="002A440D">
              <w:rPr>
                <w:rFonts w:ascii="Verdana" w:hAnsi="Verdana"/>
                <w:sz w:val="24"/>
                <w:szCs w:val="24"/>
              </w:rPr>
              <w:t>Scheduled Shipping</w:t>
            </w:r>
          </w:p>
          <w:p w14:paraId="08E35EBE" w14:textId="731342DA" w:rsidR="00FA26FC" w:rsidRPr="002A440D" w:rsidRDefault="00FA26FC" w:rsidP="0067793B">
            <w:pPr>
              <w:pStyle w:val="ListParagraph"/>
              <w:numPr>
                <w:ilvl w:val="0"/>
                <w:numId w:val="145"/>
              </w:numPr>
              <w:spacing w:before="120" w:after="120"/>
              <w:ind w:left="432"/>
              <w:contextualSpacing w:val="0"/>
            </w:pPr>
            <w:r w:rsidRPr="11BFC544">
              <w:rPr>
                <w:rFonts w:ascii="Verdana" w:hAnsi="Verdana"/>
                <w:sz w:val="24"/>
                <w:szCs w:val="24"/>
              </w:rPr>
              <w:t>Scheduled Refill Reminders</w:t>
            </w:r>
          </w:p>
        </w:tc>
      </w:tr>
      <w:tr w:rsidR="008F76B4" w:rsidRPr="002A440D" w14:paraId="3BA01782" w14:textId="77777777" w:rsidTr="00FA26FC">
        <w:trPr>
          <w:trHeight w:val="64"/>
        </w:trPr>
        <w:tc>
          <w:tcPr>
            <w:tcW w:w="734" w:type="pct"/>
            <w:vMerge/>
          </w:tcPr>
          <w:p w14:paraId="0409A177" w14:textId="77777777" w:rsidR="00FA26FC" w:rsidRDefault="00FA26FC" w:rsidP="00373C34">
            <w:pPr>
              <w:spacing w:before="120" w:after="120"/>
              <w:jc w:val="center"/>
              <w:rPr>
                <w:noProof/>
              </w:rPr>
            </w:pPr>
          </w:p>
        </w:tc>
        <w:tc>
          <w:tcPr>
            <w:tcW w:w="983" w:type="pct"/>
          </w:tcPr>
          <w:p w14:paraId="00840D94" w14:textId="76511915" w:rsidR="00FA26FC" w:rsidRPr="11BFC544" w:rsidRDefault="00FA26FC" w:rsidP="00373C34">
            <w:pPr>
              <w:spacing w:before="120" w:after="120"/>
              <w:rPr>
                <w:rFonts w:ascii="Verdana" w:hAnsi="Verdana"/>
              </w:rPr>
            </w:pPr>
            <w:r w:rsidRPr="11BFC544">
              <w:rPr>
                <w:rFonts w:ascii="Verdana" w:hAnsi="Verdana"/>
              </w:rPr>
              <w:t>Ship Consent Hold</w:t>
            </w:r>
          </w:p>
        </w:tc>
        <w:tc>
          <w:tcPr>
            <w:tcW w:w="3283" w:type="pct"/>
          </w:tcPr>
          <w:p w14:paraId="650994D8" w14:textId="57CF27D6" w:rsidR="00FA26FC" w:rsidRPr="004F7962" w:rsidRDefault="00FA26FC" w:rsidP="00373C34">
            <w:pPr>
              <w:spacing w:before="120" w:after="120"/>
              <w:rPr>
                <w:rFonts w:ascii="Verdana" w:hAnsi="Verdana"/>
              </w:rPr>
            </w:pPr>
            <w:r w:rsidRPr="11BFC544">
              <w:rPr>
                <w:rFonts w:ascii="Verdana" w:hAnsi="Verdana"/>
              </w:rPr>
              <w:t>Med D - Reject hold at mail order requiring member consent to ship.</w:t>
            </w:r>
          </w:p>
        </w:tc>
      </w:tr>
      <w:tr w:rsidR="00FA26FC" w:rsidRPr="002A440D" w14:paraId="25833498" w14:textId="77777777" w:rsidTr="00FA26FC">
        <w:tc>
          <w:tcPr>
            <w:tcW w:w="734" w:type="pct"/>
          </w:tcPr>
          <w:p w14:paraId="54880170" w14:textId="77777777" w:rsidR="007D1ACB" w:rsidRPr="002A440D" w:rsidRDefault="007D1ACB" w:rsidP="00FA26FC">
            <w:pPr>
              <w:spacing w:before="120" w:after="120"/>
              <w:jc w:val="center"/>
              <w:rPr>
                <w:rFonts w:ascii="Verdana" w:eastAsia="Calibri" w:hAnsi="Verdana"/>
                <w:b/>
              </w:rPr>
            </w:pPr>
            <w:r w:rsidRPr="002A440D">
              <w:rPr>
                <w:rFonts w:ascii="Verdana" w:hAnsi="Verdana"/>
                <w:b/>
              </w:rPr>
              <w:t>ScripTalk</w:t>
            </w:r>
          </w:p>
        </w:tc>
        <w:tc>
          <w:tcPr>
            <w:tcW w:w="983" w:type="pct"/>
          </w:tcPr>
          <w:p w14:paraId="00ABFC89" w14:textId="77777777" w:rsidR="007D1ACB" w:rsidRPr="002A440D" w:rsidRDefault="007D1ACB" w:rsidP="00373C34">
            <w:pPr>
              <w:spacing w:before="120" w:after="120"/>
              <w:rPr>
                <w:rFonts w:ascii="Verdana" w:eastAsia="Calibri" w:hAnsi="Verdana"/>
              </w:rPr>
            </w:pPr>
            <w:r w:rsidRPr="004F7962">
              <w:rPr>
                <w:rFonts w:ascii="Verdana" w:hAnsi="Verdana"/>
              </w:rPr>
              <w:t>Talking prescription labels</w:t>
            </w:r>
          </w:p>
        </w:tc>
        <w:tc>
          <w:tcPr>
            <w:tcW w:w="3283" w:type="pct"/>
          </w:tcPr>
          <w:p w14:paraId="663F4D3E" w14:textId="47BDDC46" w:rsidR="007D1ACB" w:rsidRPr="002A440D" w:rsidRDefault="007D1ACB" w:rsidP="00373C34">
            <w:pPr>
              <w:spacing w:before="120" w:after="120"/>
              <w:rPr>
                <w:rFonts w:ascii="Verdana" w:hAnsi="Verdana"/>
              </w:rPr>
            </w:pPr>
            <w:r w:rsidRPr="004F7962">
              <w:rPr>
                <w:rFonts w:ascii="Verdana" w:hAnsi="Verdana"/>
              </w:rPr>
              <w:t>The ScripTalk labels provide a safe and convenient way to access information on prescription labels for individuals who are blind or visually impaired.</w:t>
            </w:r>
          </w:p>
        </w:tc>
      </w:tr>
      <w:tr w:rsidR="00FA26FC" w:rsidRPr="002A440D" w14:paraId="1F59751A" w14:textId="77777777" w:rsidTr="00FA26FC">
        <w:tc>
          <w:tcPr>
            <w:tcW w:w="734" w:type="pct"/>
          </w:tcPr>
          <w:p w14:paraId="3585625E" w14:textId="2D5DF006" w:rsidR="007D1ACB" w:rsidRPr="002A440D" w:rsidRDefault="007D1ACB" w:rsidP="00FA26FC">
            <w:pPr>
              <w:spacing w:before="120" w:after="120"/>
              <w:jc w:val="center"/>
              <w:rPr>
                <w:rFonts w:ascii="Verdana" w:hAnsi="Verdana"/>
                <w:b/>
              </w:rPr>
            </w:pPr>
            <w:r w:rsidRPr="002A440D">
              <w:rPr>
                <w:rFonts w:ascii="Verdana" w:hAnsi="Verdana"/>
                <w:b/>
              </w:rPr>
              <w:t>SDV</w:t>
            </w:r>
          </w:p>
        </w:tc>
        <w:tc>
          <w:tcPr>
            <w:tcW w:w="983" w:type="pct"/>
          </w:tcPr>
          <w:p w14:paraId="0EBD9547" w14:textId="4B518E52" w:rsidR="007D1ACB" w:rsidRPr="004F7962" w:rsidRDefault="007D1ACB" w:rsidP="00373C34">
            <w:pPr>
              <w:spacing w:before="120" w:after="120"/>
              <w:rPr>
                <w:rFonts w:ascii="Verdana" w:hAnsi="Verdana"/>
              </w:rPr>
            </w:pPr>
            <w:r w:rsidRPr="004F7962">
              <w:rPr>
                <w:rFonts w:ascii="Verdana" w:hAnsi="Verdana"/>
              </w:rPr>
              <w:t>Single Dose Vial</w:t>
            </w:r>
          </w:p>
        </w:tc>
        <w:tc>
          <w:tcPr>
            <w:tcW w:w="3283" w:type="pct"/>
          </w:tcPr>
          <w:p w14:paraId="1A147F04" w14:textId="19E0341E" w:rsidR="007D1ACB" w:rsidRPr="004F7962" w:rsidRDefault="00490036" w:rsidP="00373C34">
            <w:pPr>
              <w:spacing w:before="120" w:after="120"/>
              <w:rPr>
                <w:rFonts w:ascii="Verdana" w:hAnsi="Verdana"/>
              </w:rPr>
            </w:pPr>
            <w:r w:rsidRPr="004F7962">
              <w:rPr>
                <w:rFonts w:ascii="Verdana" w:hAnsi="Verdana"/>
              </w:rPr>
              <w:t>A vial of liquid medication that is meant to be used one time</w:t>
            </w:r>
            <w:r w:rsidR="00A95AD8" w:rsidRPr="004F7962">
              <w:rPr>
                <w:rFonts w:ascii="Verdana" w:hAnsi="Verdana"/>
              </w:rPr>
              <w:t>.</w:t>
            </w:r>
          </w:p>
        </w:tc>
      </w:tr>
      <w:tr w:rsidR="00FA26FC" w:rsidRPr="002A440D" w14:paraId="16AF64E3" w14:textId="77777777" w:rsidTr="00FA26FC">
        <w:tc>
          <w:tcPr>
            <w:tcW w:w="734" w:type="pct"/>
          </w:tcPr>
          <w:p w14:paraId="45EE2636" w14:textId="77777777" w:rsidR="007D1ACB" w:rsidRPr="002A440D" w:rsidRDefault="007D1ACB" w:rsidP="00FA26FC">
            <w:pPr>
              <w:spacing w:before="120" w:after="120"/>
              <w:jc w:val="center"/>
              <w:rPr>
                <w:rFonts w:ascii="Verdana" w:hAnsi="Verdana"/>
                <w:b/>
              </w:rPr>
            </w:pPr>
            <w:r w:rsidRPr="002A440D">
              <w:rPr>
                <w:rFonts w:ascii="Verdana" w:hAnsi="Verdana"/>
                <w:b/>
              </w:rPr>
              <w:t>Secty or Sec</w:t>
            </w:r>
          </w:p>
        </w:tc>
        <w:tc>
          <w:tcPr>
            <w:tcW w:w="983" w:type="pct"/>
          </w:tcPr>
          <w:p w14:paraId="5C3CAF32" w14:textId="77777777" w:rsidR="007D1ACB" w:rsidRPr="004F7962" w:rsidRDefault="007D1ACB" w:rsidP="00373C34">
            <w:pPr>
              <w:spacing w:before="120" w:after="120"/>
              <w:rPr>
                <w:rFonts w:ascii="Verdana" w:hAnsi="Verdana"/>
              </w:rPr>
            </w:pPr>
            <w:r w:rsidRPr="004F7962">
              <w:rPr>
                <w:rFonts w:ascii="Verdana" w:hAnsi="Verdana"/>
              </w:rPr>
              <w:t>Secretary</w:t>
            </w:r>
          </w:p>
        </w:tc>
        <w:tc>
          <w:tcPr>
            <w:tcW w:w="3283" w:type="pct"/>
          </w:tcPr>
          <w:p w14:paraId="427B7E77" w14:textId="260CCC8C" w:rsidR="007D1ACB" w:rsidRPr="004F7962" w:rsidRDefault="007D1ACB" w:rsidP="00373C34">
            <w:pPr>
              <w:spacing w:before="120" w:after="120"/>
              <w:rPr>
                <w:rFonts w:ascii="Verdana" w:hAnsi="Verdana"/>
              </w:rPr>
            </w:pPr>
            <w:r w:rsidRPr="004F7962">
              <w:rPr>
                <w:rFonts w:ascii="Verdana" w:hAnsi="Verdana"/>
              </w:rPr>
              <w:t>A person hired to do clerical work, such as handling correspondence, for a superior.</w:t>
            </w:r>
          </w:p>
        </w:tc>
      </w:tr>
      <w:tr w:rsidR="00FA26FC" w:rsidRPr="002A440D" w14:paraId="6FB068A3" w14:textId="77777777" w:rsidTr="00FA26FC">
        <w:tc>
          <w:tcPr>
            <w:tcW w:w="734" w:type="pct"/>
          </w:tcPr>
          <w:p w14:paraId="7CB33AEA" w14:textId="0A0A506A" w:rsidR="007D1ACB" w:rsidRPr="002A440D" w:rsidRDefault="007D1ACB" w:rsidP="00FA26FC">
            <w:pPr>
              <w:spacing w:before="120" w:after="120"/>
              <w:jc w:val="center"/>
              <w:rPr>
                <w:rFonts w:ascii="Verdana" w:hAnsi="Verdana"/>
                <w:b/>
                <w:bCs/>
              </w:rPr>
            </w:pPr>
            <w:r w:rsidRPr="11BFC544">
              <w:rPr>
                <w:rFonts w:ascii="Verdana" w:hAnsi="Verdana"/>
                <w:b/>
                <w:bCs/>
              </w:rPr>
              <w:t>SEP</w:t>
            </w:r>
          </w:p>
        </w:tc>
        <w:tc>
          <w:tcPr>
            <w:tcW w:w="983" w:type="pct"/>
          </w:tcPr>
          <w:p w14:paraId="02E81008" w14:textId="72C690F4" w:rsidR="007D1ACB" w:rsidRPr="002A440D" w:rsidRDefault="007D1ACB" w:rsidP="00373C34">
            <w:pPr>
              <w:spacing w:before="120" w:after="120"/>
              <w:rPr>
                <w:rFonts w:ascii="Verdana" w:hAnsi="Verdana" w:cs="Arial"/>
              </w:rPr>
            </w:pPr>
            <w:r w:rsidRPr="11BFC544">
              <w:rPr>
                <w:rFonts w:ascii="Verdana" w:hAnsi="Verdana" w:cs="Arial"/>
              </w:rPr>
              <w:t>Special E</w:t>
            </w:r>
            <w:r w:rsidR="0069637C" w:rsidRPr="11BFC544">
              <w:rPr>
                <w:rFonts w:ascii="Verdana" w:hAnsi="Verdana" w:cs="Arial"/>
              </w:rPr>
              <w:t>nrollment</w:t>
            </w:r>
            <w:r w:rsidRPr="11BFC544">
              <w:rPr>
                <w:rFonts w:ascii="Verdana" w:hAnsi="Verdana" w:cs="Arial"/>
              </w:rPr>
              <w:t xml:space="preserve"> Period</w:t>
            </w:r>
          </w:p>
        </w:tc>
        <w:tc>
          <w:tcPr>
            <w:tcW w:w="3283" w:type="pct"/>
          </w:tcPr>
          <w:p w14:paraId="0CFA0C24" w14:textId="1DC66C29" w:rsidR="007D1ACB" w:rsidRPr="002A440D" w:rsidRDefault="007D1ACB" w:rsidP="00373C34">
            <w:pPr>
              <w:spacing w:before="120" w:after="120"/>
              <w:rPr>
                <w:rFonts w:ascii="Verdana" w:hAnsi="Verdana"/>
              </w:rPr>
            </w:pPr>
            <w:r w:rsidRPr="11BFC544">
              <w:rPr>
                <w:rFonts w:ascii="Verdana" w:hAnsi="Verdana"/>
                <w:noProof/>
              </w:rPr>
              <w:t xml:space="preserve">The </w:t>
            </w:r>
            <w:r w:rsidRPr="11BFC544">
              <w:rPr>
                <w:rFonts w:ascii="Verdana" w:hAnsi="Verdana"/>
              </w:rPr>
              <w:t>period that a beneficiary can enroll and disenroll from a Part D plan based on special circumstances defined by the CMS.</w:t>
            </w:r>
          </w:p>
        </w:tc>
      </w:tr>
      <w:tr w:rsidR="00FA26FC" w:rsidRPr="002A440D" w14:paraId="543F4AF0" w14:textId="77777777" w:rsidTr="00FA26FC">
        <w:tc>
          <w:tcPr>
            <w:tcW w:w="734" w:type="pct"/>
          </w:tcPr>
          <w:p w14:paraId="5810192D" w14:textId="49F2851D" w:rsidR="00FA26FC" w:rsidRPr="11BFC544" w:rsidRDefault="00FA26FC" w:rsidP="00FA26FC">
            <w:pPr>
              <w:spacing w:before="120" w:after="120"/>
              <w:jc w:val="center"/>
              <w:rPr>
                <w:rFonts w:ascii="Verdana" w:hAnsi="Verdana"/>
                <w:b/>
                <w:bCs/>
              </w:rPr>
            </w:pPr>
            <w:r w:rsidRPr="11BFC544">
              <w:rPr>
                <w:rFonts w:ascii="Verdana" w:hAnsi="Verdana"/>
                <w:b/>
                <w:bCs/>
              </w:rPr>
              <w:t>SFC</w:t>
            </w:r>
          </w:p>
        </w:tc>
        <w:tc>
          <w:tcPr>
            <w:tcW w:w="983" w:type="pct"/>
          </w:tcPr>
          <w:p w14:paraId="7CA2B0C8" w14:textId="71B805F0" w:rsidR="00FA26FC" w:rsidRPr="11BFC544" w:rsidRDefault="00FA26FC" w:rsidP="00373C34">
            <w:pPr>
              <w:spacing w:before="120" w:after="120"/>
              <w:rPr>
                <w:rFonts w:ascii="Verdana" w:hAnsi="Verdana" w:cs="Arial"/>
              </w:rPr>
            </w:pPr>
            <w:r w:rsidRPr="11BFC544">
              <w:rPr>
                <w:rFonts w:ascii="Verdana" w:hAnsi="Verdana" w:cs="Arial"/>
              </w:rPr>
              <w:t>Sales Force Case</w:t>
            </w:r>
          </w:p>
        </w:tc>
        <w:tc>
          <w:tcPr>
            <w:tcW w:w="3280" w:type="pct"/>
          </w:tcPr>
          <w:p w14:paraId="0864D5E8" w14:textId="0D5E1C38" w:rsidR="00FA26FC" w:rsidRPr="11BFC544" w:rsidRDefault="00FA26FC" w:rsidP="00373C34">
            <w:pPr>
              <w:spacing w:before="120" w:after="120"/>
              <w:rPr>
                <w:rFonts w:ascii="Verdana" w:hAnsi="Verdana"/>
                <w:noProof/>
              </w:rPr>
            </w:pPr>
            <w:r w:rsidRPr="11BFC544">
              <w:rPr>
                <w:rFonts w:ascii="Verdana" w:hAnsi="Verdana"/>
              </w:rPr>
              <w:t>Input of an issue that needs to be resolved, used to track, and manage feedback, questions, or problems.</w:t>
            </w:r>
          </w:p>
        </w:tc>
      </w:tr>
      <w:tr w:rsidR="00FA26FC" w:rsidRPr="002A440D" w14:paraId="47693ED9" w14:textId="77777777" w:rsidTr="00FA26FC">
        <w:tc>
          <w:tcPr>
            <w:tcW w:w="734" w:type="pct"/>
          </w:tcPr>
          <w:p w14:paraId="5DAB31D2" w14:textId="77777777" w:rsidR="007D1ACB" w:rsidRPr="002A440D" w:rsidRDefault="007D1ACB" w:rsidP="00FA26FC">
            <w:pPr>
              <w:spacing w:before="120" w:after="120"/>
              <w:jc w:val="center"/>
              <w:rPr>
                <w:rFonts w:ascii="Verdana" w:hAnsi="Verdana"/>
                <w:b/>
              </w:rPr>
            </w:pPr>
            <w:r w:rsidRPr="002A440D">
              <w:rPr>
                <w:rFonts w:ascii="Verdana" w:hAnsi="Verdana"/>
                <w:b/>
              </w:rPr>
              <w:t>SFTP</w:t>
            </w:r>
          </w:p>
        </w:tc>
        <w:tc>
          <w:tcPr>
            <w:tcW w:w="983" w:type="pct"/>
          </w:tcPr>
          <w:p w14:paraId="0BA321D4" w14:textId="77777777" w:rsidR="007D1ACB" w:rsidRPr="002A440D" w:rsidRDefault="007D1ACB" w:rsidP="00373C34">
            <w:pPr>
              <w:spacing w:before="120" w:after="120"/>
              <w:rPr>
                <w:rFonts w:ascii="Verdana" w:hAnsi="Verdana"/>
              </w:rPr>
            </w:pPr>
            <w:r w:rsidRPr="002A440D">
              <w:rPr>
                <w:rFonts w:ascii="Verdana" w:hAnsi="Verdana"/>
              </w:rPr>
              <w:t xml:space="preserve">Secure Shell File Transfer Protocol </w:t>
            </w:r>
          </w:p>
        </w:tc>
        <w:tc>
          <w:tcPr>
            <w:tcW w:w="3283" w:type="pct"/>
          </w:tcPr>
          <w:p w14:paraId="0C558202" w14:textId="175C3312" w:rsidR="007D1ACB" w:rsidRPr="004F7962" w:rsidRDefault="007D1ACB" w:rsidP="00373C34">
            <w:pPr>
              <w:spacing w:before="120" w:after="120"/>
              <w:rPr>
                <w:rFonts w:ascii="Verdana" w:hAnsi="Verdana"/>
                <w:bCs/>
              </w:rPr>
            </w:pPr>
            <w:r w:rsidRPr="004F7962">
              <w:rPr>
                <w:rFonts w:ascii="Verdana" w:hAnsi="Verdana"/>
                <w:bCs/>
              </w:rPr>
              <w:t>A protocol used in computer programs to securely transfer files via SSH (Secure S</w:t>
            </w:r>
            <w:r w:rsidR="00FA26FC">
              <w:rPr>
                <w:rFonts w:ascii="Verdana" w:hAnsi="Verdana"/>
                <w:bCs/>
              </w:rPr>
              <w:t>h</w:t>
            </w:r>
            <w:r w:rsidRPr="004F7962">
              <w:rPr>
                <w:rFonts w:ascii="Verdana" w:hAnsi="Verdana"/>
                <w:bCs/>
              </w:rPr>
              <w:t>ell). This should not be confused with FTPS, which is largely considered inherently insecure.</w:t>
            </w:r>
          </w:p>
        </w:tc>
      </w:tr>
      <w:tr w:rsidR="00FA26FC" w:rsidRPr="002A440D" w14:paraId="3779693C" w14:textId="77777777" w:rsidTr="00FA26FC">
        <w:tc>
          <w:tcPr>
            <w:tcW w:w="734" w:type="pct"/>
          </w:tcPr>
          <w:p w14:paraId="2E966CDD" w14:textId="0F8BF454" w:rsidR="00263F14" w:rsidRPr="002A440D" w:rsidRDefault="00263F14" w:rsidP="00FA26FC">
            <w:pPr>
              <w:spacing w:before="120" w:after="120"/>
              <w:jc w:val="center"/>
              <w:rPr>
                <w:rFonts w:ascii="Verdana" w:hAnsi="Verdana"/>
                <w:b/>
              </w:rPr>
            </w:pPr>
            <w:r w:rsidRPr="002A440D">
              <w:rPr>
                <w:rFonts w:ascii="Verdana" w:hAnsi="Verdana"/>
                <w:b/>
              </w:rPr>
              <w:t>SGM</w:t>
            </w:r>
          </w:p>
        </w:tc>
        <w:tc>
          <w:tcPr>
            <w:tcW w:w="983" w:type="pct"/>
          </w:tcPr>
          <w:p w14:paraId="5BDB13C1" w14:textId="39660F2A" w:rsidR="00263F14" w:rsidRPr="002A440D" w:rsidRDefault="00263F14" w:rsidP="00373C34">
            <w:pPr>
              <w:spacing w:before="120" w:after="120"/>
              <w:rPr>
                <w:rFonts w:ascii="Verdana" w:hAnsi="Verdana"/>
              </w:rPr>
            </w:pPr>
            <w:r w:rsidRPr="004F7962">
              <w:rPr>
                <w:rFonts w:ascii="Verdana" w:hAnsi="Verdana"/>
              </w:rPr>
              <w:t xml:space="preserve">Specialty Guideline Management or </w:t>
            </w:r>
            <w:r w:rsidRPr="002A440D">
              <w:rPr>
                <w:rFonts w:ascii="Verdana" w:hAnsi="Verdana"/>
              </w:rPr>
              <w:t>Strategic Guideline Management</w:t>
            </w:r>
          </w:p>
        </w:tc>
        <w:tc>
          <w:tcPr>
            <w:tcW w:w="3283" w:type="pct"/>
          </w:tcPr>
          <w:p w14:paraId="7E91B92A" w14:textId="521796ED" w:rsidR="00263F14" w:rsidRPr="004F7962" w:rsidRDefault="00263F14" w:rsidP="00373C34">
            <w:pPr>
              <w:spacing w:before="120" w:after="120"/>
              <w:rPr>
                <w:rFonts w:ascii="Verdana" w:hAnsi="Verdana"/>
                <w:bCs/>
              </w:rPr>
            </w:pPr>
            <w:r w:rsidRPr="004F7962">
              <w:rPr>
                <w:rFonts w:ascii="Verdana" w:hAnsi="Verdana"/>
                <w:bCs/>
              </w:rPr>
              <w:t>Specialty Guideline Management. (SGM) Drug List. SGM is a comprehensive utilization management program that helps promote patient safety and ensure appropriate utilization of specialty medications.</w:t>
            </w:r>
          </w:p>
        </w:tc>
      </w:tr>
      <w:tr w:rsidR="00FA26FC" w:rsidRPr="002A440D" w14:paraId="6BF175B9" w14:textId="77777777" w:rsidTr="00FA26FC">
        <w:tc>
          <w:tcPr>
            <w:tcW w:w="734" w:type="pct"/>
          </w:tcPr>
          <w:p w14:paraId="55566304" w14:textId="0F6AB05F" w:rsidR="00263F14" w:rsidRPr="002A440D" w:rsidRDefault="00263F14" w:rsidP="00FA26FC">
            <w:pPr>
              <w:spacing w:before="120" w:after="120"/>
              <w:jc w:val="center"/>
              <w:rPr>
                <w:rFonts w:ascii="Verdana" w:hAnsi="Verdana"/>
                <w:b/>
              </w:rPr>
            </w:pPr>
            <w:r w:rsidRPr="004F7962">
              <w:rPr>
                <w:rFonts w:ascii="Verdana" w:hAnsi="Verdana"/>
                <w:b/>
                <w:bCs/>
              </w:rPr>
              <w:t>SHIP</w:t>
            </w:r>
          </w:p>
        </w:tc>
        <w:tc>
          <w:tcPr>
            <w:tcW w:w="983" w:type="pct"/>
          </w:tcPr>
          <w:p w14:paraId="589F75ED" w14:textId="77777777" w:rsidR="00263F14" w:rsidRPr="004F7962" w:rsidRDefault="00263F14" w:rsidP="00373C34">
            <w:pPr>
              <w:spacing w:before="120" w:after="120"/>
              <w:rPr>
                <w:rFonts w:ascii="Verdana" w:hAnsi="Verdana"/>
              </w:rPr>
            </w:pPr>
            <w:r w:rsidRPr="004F7962">
              <w:rPr>
                <w:rFonts w:ascii="Verdana" w:hAnsi="Verdana"/>
              </w:rPr>
              <w:t>State Health Insurance</w:t>
            </w:r>
          </w:p>
          <w:p w14:paraId="6E216425" w14:textId="787BE1A2" w:rsidR="00263F14" w:rsidRPr="002A440D" w:rsidRDefault="00263F14" w:rsidP="00373C34">
            <w:pPr>
              <w:spacing w:before="120" w:after="120"/>
              <w:rPr>
                <w:rFonts w:ascii="Verdana" w:hAnsi="Verdana"/>
              </w:rPr>
            </w:pPr>
            <w:r w:rsidRPr="004F7962">
              <w:rPr>
                <w:rFonts w:ascii="Verdana" w:hAnsi="Verdana"/>
              </w:rPr>
              <w:t>Assistance Program</w:t>
            </w:r>
          </w:p>
        </w:tc>
        <w:tc>
          <w:tcPr>
            <w:tcW w:w="3283" w:type="pct"/>
          </w:tcPr>
          <w:p w14:paraId="120BDB87" w14:textId="2D09B559" w:rsidR="00263F14" w:rsidRPr="004F7962" w:rsidRDefault="00263F14" w:rsidP="00373C34">
            <w:pPr>
              <w:spacing w:before="120" w:after="120"/>
              <w:rPr>
                <w:rFonts w:ascii="Verdana" w:hAnsi="Verdana"/>
              </w:rPr>
            </w:pPr>
            <w:r w:rsidRPr="004F7962">
              <w:rPr>
                <w:rFonts w:ascii="Verdana" w:hAnsi="Verdana"/>
              </w:rPr>
              <w:t>The SHIP is a national program funded by CMS that offers free one-on-one counseling and assistance via telephone or face-to-face interactive sessions to people with Medicare and their families.</w:t>
            </w:r>
          </w:p>
        </w:tc>
      </w:tr>
      <w:tr w:rsidR="00FA26FC" w:rsidRPr="002A440D" w14:paraId="73D03CBE" w14:textId="77777777" w:rsidTr="00FA26FC">
        <w:tc>
          <w:tcPr>
            <w:tcW w:w="734" w:type="pct"/>
          </w:tcPr>
          <w:p w14:paraId="61092254" w14:textId="4D062166" w:rsidR="00263F14" w:rsidRPr="002A440D" w:rsidRDefault="00263F14" w:rsidP="00FA26FC">
            <w:pPr>
              <w:spacing w:before="120" w:after="120"/>
              <w:jc w:val="center"/>
              <w:rPr>
                <w:rFonts w:ascii="Verdana" w:hAnsi="Verdana"/>
                <w:b/>
              </w:rPr>
            </w:pPr>
            <w:r w:rsidRPr="002A440D">
              <w:rPr>
                <w:rFonts w:ascii="Verdana" w:hAnsi="Verdana"/>
                <w:b/>
              </w:rPr>
              <w:t>SHIP’D</w:t>
            </w:r>
          </w:p>
        </w:tc>
        <w:tc>
          <w:tcPr>
            <w:tcW w:w="983" w:type="pct"/>
          </w:tcPr>
          <w:p w14:paraId="3676C962" w14:textId="703D3F89" w:rsidR="00263F14" w:rsidRPr="002A440D" w:rsidRDefault="00263F14" w:rsidP="00373C34">
            <w:pPr>
              <w:spacing w:before="120" w:after="120"/>
              <w:rPr>
                <w:rFonts w:ascii="Verdana" w:hAnsi="Verdana"/>
              </w:rPr>
            </w:pPr>
            <w:r w:rsidRPr="004F7962">
              <w:rPr>
                <w:rFonts w:ascii="Verdana" w:hAnsi="Verdana"/>
              </w:rPr>
              <w:t>Shipped</w:t>
            </w:r>
          </w:p>
        </w:tc>
        <w:tc>
          <w:tcPr>
            <w:tcW w:w="3283" w:type="pct"/>
          </w:tcPr>
          <w:p w14:paraId="0618786A" w14:textId="09EAA680" w:rsidR="00263F14" w:rsidRPr="004F7962" w:rsidRDefault="00263F14" w:rsidP="00373C34">
            <w:pPr>
              <w:spacing w:before="120" w:after="120"/>
              <w:rPr>
                <w:rFonts w:ascii="Verdana" w:hAnsi="Verdana"/>
              </w:rPr>
            </w:pPr>
            <w:r w:rsidRPr="004F7962">
              <w:rPr>
                <w:rFonts w:ascii="Verdana" w:hAnsi="Verdana"/>
              </w:rPr>
              <w:t>Indicates that an order/prescription was shipped to the member.</w:t>
            </w:r>
          </w:p>
        </w:tc>
      </w:tr>
      <w:tr w:rsidR="00FA26FC" w:rsidRPr="002A440D" w14:paraId="1F1BE808" w14:textId="77777777" w:rsidTr="00FA26FC">
        <w:tc>
          <w:tcPr>
            <w:tcW w:w="734" w:type="pct"/>
          </w:tcPr>
          <w:p w14:paraId="2B9CE68C" w14:textId="49A932D1" w:rsidR="007D1ACB" w:rsidRPr="002A440D" w:rsidRDefault="007D1ACB" w:rsidP="00FA26FC">
            <w:pPr>
              <w:spacing w:before="120" w:after="120"/>
              <w:jc w:val="center"/>
              <w:rPr>
                <w:rFonts w:ascii="Verdana" w:hAnsi="Verdana"/>
                <w:b/>
              </w:rPr>
            </w:pPr>
            <w:r w:rsidRPr="002A440D">
              <w:rPr>
                <w:rFonts w:ascii="Verdana" w:hAnsi="Verdana"/>
                <w:b/>
              </w:rPr>
              <w:t>SHMO</w:t>
            </w:r>
          </w:p>
        </w:tc>
        <w:tc>
          <w:tcPr>
            <w:tcW w:w="983" w:type="pct"/>
          </w:tcPr>
          <w:p w14:paraId="3D4548EC" w14:textId="77777777" w:rsidR="007D1ACB" w:rsidRPr="002A440D" w:rsidRDefault="007D1ACB" w:rsidP="00373C34">
            <w:pPr>
              <w:spacing w:before="120" w:after="120"/>
              <w:rPr>
                <w:rFonts w:ascii="Verdana" w:hAnsi="Verdana"/>
              </w:rPr>
            </w:pPr>
            <w:bookmarkStart w:id="5" w:name="OLE_LINK24"/>
            <w:r w:rsidRPr="002A440D">
              <w:rPr>
                <w:rFonts w:ascii="Verdana" w:hAnsi="Verdana"/>
              </w:rPr>
              <w:t xml:space="preserve">Social health Maintenance Organization </w:t>
            </w:r>
            <w:bookmarkEnd w:id="5"/>
          </w:p>
        </w:tc>
        <w:tc>
          <w:tcPr>
            <w:tcW w:w="3283" w:type="pct"/>
          </w:tcPr>
          <w:p w14:paraId="260B6B30" w14:textId="032196DC" w:rsidR="007D1ACB" w:rsidRPr="004F7962" w:rsidRDefault="00490036" w:rsidP="00373C34">
            <w:pPr>
              <w:spacing w:before="120" w:after="120"/>
              <w:rPr>
                <w:rFonts w:ascii="Verdana" w:hAnsi="Verdana"/>
                <w:bCs/>
              </w:rPr>
            </w:pPr>
            <w:r w:rsidRPr="004F7962">
              <w:rPr>
                <w:rFonts w:ascii="Verdana" w:hAnsi="Verdana"/>
                <w:bCs/>
              </w:rPr>
              <w:t xml:space="preserve">A health care insurance plan offering a complete range of coverage and benefits, </w:t>
            </w:r>
            <w:r w:rsidR="00A260CD" w:rsidRPr="004F7962">
              <w:rPr>
                <w:rFonts w:ascii="Verdana" w:hAnsi="Verdana"/>
                <w:bCs/>
              </w:rPr>
              <w:t>including</w:t>
            </w:r>
            <w:r w:rsidRPr="004F7962">
              <w:rPr>
                <w:rFonts w:ascii="Verdana" w:hAnsi="Verdana"/>
                <w:bCs/>
              </w:rPr>
              <w:t xml:space="preserve"> Personal care services, hearing aids, dental care, eyeglasses, prescription drug and chronic care benefits, short-term nursing home care and medical transportation services.</w:t>
            </w:r>
          </w:p>
        </w:tc>
      </w:tr>
      <w:tr w:rsidR="00FA26FC" w:rsidRPr="002A440D" w14:paraId="64E7A8F9" w14:textId="77777777" w:rsidTr="00FA26FC">
        <w:tc>
          <w:tcPr>
            <w:tcW w:w="734" w:type="pct"/>
          </w:tcPr>
          <w:p w14:paraId="425B148C" w14:textId="77777777" w:rsidR="007D1ACB" w:rsidRPr="002A440D" w:rsidRDefault="007D1ACB" w:rsidP="00FA26FC">
            <w:pPr>
              <w:spacing w:before="120" w:after="120"/>
              <w:jc w:val="center"/>
              <w:rPr>
                <w:rFonts w:ascii="Verdana" w:hAnsi="Verdana"/>
                <w:b/>
              </w:rPr>
            </w:pPr>
            <w:r w:rsidRPr="002A440D">
              <w:rPr>
                <w:rFonts w:ascii="Verdana" w:hAnsi="Verdana"/>
                <w:b/>
              </w:rPr>
              <w:t>SI</w:t>
            </w:r>
          </w:p>
        </w:tc>
        <w:tc>
          <w:tcPr>
            <w:tcW w:w="983" w:type="pct"/>
          </w:tcPr>
          <w:p w14:paraId="3B300A9D" w14:textId="77777777" w:rsidR="007D1ACB" w:rsidRPr="004F7962" w:rsidRDefault="007D1ACB" w:rsidP="00373C34">
            <w:pPr>
              <w:spacing w:before="120" w:after="120"/>
              <w:rPr>
                <w:rFonts w:ascii="Verdana" w:hAnsi="Verdana"/>
              </w:rPr>
            </w:pPr>
            <w:r w:rsidRPr="004F7962">
              <w:rPr>
                <w:rFonts w:ascii="Verdana" w:hAnsi="Verdana"/>
              </w:rPr>
              <w:t>Signature indicator</w:t>
            </w:r>
          </w:p>
        </w:tc>
        <w:tc>
          <w:tcPr>
            <w:tcW w:w="3283" w:type="pct"/>
          </w:tcPr>
          <w:p w14:paraId="41AB54F9" w14:textId="4489E165" w:rsidR="007D1ACB" w:rsidRPr="004F7962" w:rsidRDefault="007D1ACB" w:rsidP="00373C34">
            <w:pPr>
              <w:spacing w:before="120" w:after="120"/>
              <w:rPr>
                <w:rFonts w:ascii="Verdana" w:hAnsi="Verdana"/>
              </w:rPr>
            </w:pPr>
            <w:r w:rsidRPr="004F7962">
              <w:rPr>
                <w:rFonts w:ascii="Verdana" w:hAnsi="Verdana"/>
              </w:rPr>
              <w:t>Electronic Prescriptions for Controlled Substance messages that do not include a digital signature created with the prescriber’s individual private/signing key but instead have the digital signature indicator “SI</w:t>
            </w:r>
            <w:r w:rsidR="0071506E" w:rsidRPr="004F7962">
              <w:rPr>
                <w:rFonts w:ascii="Verdana" w:hAnsi="Verdana"/>
              </w:rPr>
              <w:t>,”</w:t>
            </w:r>
            <w:r w:rsidRPr="004F7962">
              <w:rPr>
                <w:rFonts w:ascii="Verdana" w:hAnsi="Verdana"/>
              </w:rPr>
              <w:t xml:space="preserve"> will be digitally signed by </w:t>
            </w:r>
            <w:r w:rsidR="00A260CD" w:rsidRPr="004F7962">
              <w:rPr>
                <w:rFonts w:ascii="Verdana" w:hAnsi="Verdana"/>
              </w:rPr>
              <w:t>Verizon,</w:t>
            </w:r>
            <w:r w:rsidRPr="004F7962">
              <w:rPr>
                <w:rFonts w:ascii="Verdana" w:hAnsi="Verdana"/>
              </w:rPr>
              <w:t xml:space="preserve"> and archived by the SureScripts network.</w:t>
            </w:r>
          </w:p>
        </w:tc>
      </w:tr>
      <w:tr w:rsidR="00FA26FC" w:rsidRPr="002A440D" w14:paraId="1B239302" w14:textId="77777777" w:rsidTr="00FA26FC">
        <w:tc>
          <w:tcPr>
            <w:tcW w:w="734" w:type="pct"/>
          </w:tcPr>
          <w:p w14:paraId="264A5477" w14:textId="471FE4D9" w:rsidR="007D1ACB" w:rsidRPr="002A440D" w:rsidRDefault="007D1ACB" w:rsidP="00373C34">
            <w:pPr>
              <w:spacing w:before="120" w:after="120"/>
              <w:jc w:val="center"/>
              <w:rPr>
                <w:rFonts w:ascii="Verdana" w:hAnsi="Verdana"/>
                <w:b/>
              </w:rPr>
            </w:pPr>
            <w:r w:rsidRPr="002A440D">
              <w:rPr>
                <w:rFonts w:ascii="Verdana" w:hAnsi="Verdana"/>
                <w:b/>
              </w:rPr>
              <w:t>SIG</w:t>
            </w:r>
          </w:p>
        </w:tc>
        <w:tc>
          <w:tcPr>
            <w:tcW w:w="983" w:type="pct"/>
          </w:tcPr>
          <w:p w14:paraId="1D58C4B1" w14:textId="475BAF31" w:rsidR="007D1ACB" w:rsidRPr="004F7962" w:rsidRDefault="007D1ACB" w:rsidP="00373C34">
            <w:pPr>
              <w:spacing w:before="120" w:after="120"/>
              <w:rPr>
                <w:rFonts w:ascii="Verdana" w:hAnsi="Verdana"/>
              </w:rPr>
            </w:pPr>
            <w:r w:rsidRPr="004F7962">
              <w:rPr>
                <w:rFonts w:ascii="Verdana" w:hAnsi="Verdana"/>
              </w:rPr>
              <w:t>Directions</w:t>
            </w:r>
          </w:p>
        </w:tc>
        <w:tc>
          <w:tcPr>
            <w:tcW w:w="3283" w:type="pct"/>
          </w:tcPr>
          <w:p w14:paraId="717E738B" w14:textId="1E9CB826" w:rsidR="007D1ACB" w:rsidRPr="004F7962" w:rsidRDefault="00490036" w:rsidP="00373C34">
            <w:pPr>
              <w:spacing w:before="120" w:after="120"/>
              <w:rPr>
                <w:rFonts w:ascii="Verdana" w:hAnsi="Verdana"/>
              </w:rPr>
            </w:pPr>
            <w:r w:rsidRPr="004F7962">
              <w:rPr>
                <w:rFonts w:ascii="Verdana" w:hAnsi="Verdana"/>
              </w:rPr>
              <w:t>Instructions for the use of a medication.</w:t>
            </w:r>
          </w:p>
        </w:tc>
      </w:tr>
      <w:tr w:rsidR="00FA26FC" w:rsidRPr="002A440D" w14:paraId="229F13F2" w14:textId="77777777" w:rsidTr="00FA26FC">
        <w:tc>
          <w:tcPr>
            <w:tcW w:w="734" w:type="pct"/>
          </w:tcPr>
          <w:p w14:paraId="3ECB82C7" w14:textId="77777777" w:rsidR="007D1ACB" w:rsidRPr="002A440D" w:rsidRDefault="007D1ACB" w:rsidP="00FA26FC">
            <w:pPr>
              <w:spacing w:before="120" w:after="120"/>
              <w:jc w:val="center"/>
              <w:rPr>
                <w:rFonts w:ascii="Verdana" w:hAnsi="Verdana"/>
                <w:b/>
              </w:rPr>
            </w:pPr>
            <w:r w:rsidRPr="002A440D">
              <w:rPr>
                <w:rFonts w:ascii="Verdana" w:hAnsi="Verdana"/>
                <w:b/>
              </w:rPr>
              <w:t>Sign</w:t>
            </w:r>
          </w:p>
        </w:tc>
        <w:tc>
          <w:tcPr>
            <w:tcW w:w="983" w:type="pct"/>
          </w:tcPr>
          <w:p w14:paraId="57BE3077" w14:textId="48867CF3" w:rsidR="007D1ACB" w:rsidRPr="004F7962" w:rsidRDefault="007D1ACB" w:rsidP="00373C34">
            <w:pPr>
              <w:spacing w:before="120" w:after="120"/>
              <w:rPr>
                <w:rFonts w:ascii="Verdana" w:hAnsi="Verdana"/>
              </w:rPr>
            </w:pPr>
            <w:r w:rsidRPr="004F7962">
              <w:rPr>
                <w:rFonts w:ascii="Verdana" w:hAnsi="Verdana"/>
              </w:rPr>
              <w:t>Signature</w:t>
            </w:r>
          </w:p>
        </w:tc>
        <w:tc>
          <w:tcPr>
            <w:tcW w:w="3283" w:type="pct"/>
          </w:tcPr>
          <w:p w14:paraId="36562A3C" w14:textId="77777777" w:rsidR="007D1ACB" w:rsidRPr="004F7962" w:rsidRDefault="007D1ACB" w:rsidP="00373C34">
            <w:pPr>
              <w:spacing w:before="120" w:after="120"/>
              <w:rPr>
                <w:rFonts w:ascii="Verdana" w:hAnsi="Verdana"/>
              </w:rPr>
            </w:pPr>
            <w:r w:rsidRPr="004F7962">
              <w:rPr>
                <w:rFonts w:ascii="Verdana" w:hAnsi="Verdana"/>
              </w:rPr>
              <w:t>A part of the prescription indicating written authorization.</w:t>
            </w:r>
          </w:p>
        </w:tc>
      </w:tr>
      <w:tr w:rsidR="00FA26FC" w:rsidRPr="002A440D" w14:paraId="12E88805" w14:textId="77777777" w:rsidTr="00FA26FC">
        <w:tc>
          <w:tcPr>
            <w:tcW w:w="734" w:type="pct"/>
          </w:tcPr>
          <w:p w14:paraId="4BCCDDB7" w14:textId="77777777" w:rsidR="007D1ACB" w:rsidRPr="002A440D" w:rsidRDefault="007D1ACB" w:rsidP="00FA26FC">
            <w:pPr>
              <w:spacing w:before="120" w:after="120"/>
              <w:jc w:val="center"/>
              <w:rPr>
                <w:rFonts w:ascii="Verdana" w:hAnsi="Verdana"/>
                <w:b/>
              </w:rPr>
            </w:pPr>
            <w:r w:rsidRPr="002A440D">
              <w:rPr>
                <w:rFonts w:ascii="Verdana" w:hAnsi="Verdana"/>
                <w:b/>
              </w:rPr>
              <w:t>SIQ</w:t>
            </w:r>
          </w:p>
        </w:tc>
        <w:tc>
          <w:tcPr>
            <w:tcW w:w="983" w:type="pct"/>
          </w:tcPr>
          <w:p w14:paraId="0D62952B" w14:textId="77777777" w:rsidR="007D1ACB" w:rsidRPr="004F7962" w:rsidRDefault="007D1ACB" w:rsidP="00373C34">
            <w:pPr>
              <w:spacing w:before="120" w:after="120"/>
              <w:rPr>
                <w:rFonts w:ascii="Verdana" w:hAnsi="Verdana"/>
              </w:rPr>
            </w:pPr>
            <w:r w:rsidRPr="004F7962">
              <w:rPr>
                <w:rFonts w:ascii="Verdana" w:hAnsi="Verdana"/>
              </w:rPr>
              <w:t>Sig in Question</w:t>
            </w:r>
          </w:p>
        </w:tc>
        <w:tc>
          <w:tcPr>
            <w:tcW w:w="3283" w:type="pct"/>
          </w:tcPr>
          <w:p w14:paraId="3DA8E1BB" w14:textId="3B2FFF7B" w:rsidR="007D1ACB" w:rsidRPr="004F7962" w:rsidRDefault="007D1ACB" w:rsidP="00373C34">
            <w:pPr>
              <w:spacing w:before="120" w:after="120"/>
              <w:rPr>
                <w:rFonts w:ascii="Verdana" w:hAnsi="Verdana"/>
              </w:rPr>
            </w:pPr>
            <w:r w:rsidRPr="004F7962">
              <w:rPr>
                <w:rFonts w:ascii="Verdana" w:hAnsi="Verdana"/>
              </w:rPr>
              <w:t>Directions in question.</w:t>
            </w:r>
          </w:p>
        </w:tc>
      </w:tr>
      <w:tr w:rsidR="00FA26FC" w:rsidRPr="002A440D" w14:paraId="424B5739" w14:textId="77777777" w:rsidTr="00FA26FC">
        <w:tc>
          <w:tcPr>
            <w:tcW w:w="734" w:type="pct"/>
          </w:tcPr>
          <w:p w14:paraId="0D70AAC5" w14:textId="77777777" w:rsidR="007D1ACB" w:rsidRPr="002A440D" w:rsidRDefault="007D1ACB" w:rsidP="00FA26FC">
            <w:pPr>
              <w:spacing w:before="120" w:after="120"/>
              <w:jc w:val="center"/>
              <w:rPr>
                <w:rFonts w:ascii="Verdana" w:hAnsi="Verdana"/>
                <w:b/>
              </w:rPr>
            </w:pPr>
            <w:r w:rsidRPr="002A440D">
              <w:rPr>
                <w:rFonts w:ascii="Verdana" w:hAnsi="Verdana"/>
                <w:b/>
              </w:rPr>
              <w:t>SLA</w:t>
            </w:r>
          </w:p>
        </w:tc>
        <w:tc>
          <w:tcPr>
            <w:tcW w:w="983" w:type="pct"/>
          </w:tcPr>
          <w:p w14:paraId="36540B74" w14:textId="77777777" w:rsidR="007D1ACB" w:rsidRPr="004F7962" w:rsidRDefault="007D1ACB" w:rsidP="00373C34">
            <w:pPr>
              <w:spacing w:before="120" w:after="120"/>
              <w:rPr>
                <w:rFonts w:ascii="Verdana" w:hAnsi="Verdana"/>
              </w:rPr>
            </w:pPr>
            <w:r w:rsidRPr="004F7962">
              <w:rPr>
                <w:rFonts w:ascii="Verdana" w:hAnsi="Verdana"/>
              </w:rPr>
              <w:t>Service Level Agreement</w:t>
            </w:r>
          </w:p>
        </w:tc>
        <w:tc>
          <w:tcPr>
            <w:tcW w:w="3283" w:type="pct"/>
          </w:tcPr>
          <w:p w14:paraId="588D5D91" w14:textId="66644EDB" w:rsidR="007D1ACB" w:rsidRPr="004F7962" w:rsidRDefault="007D1ACB" w:rsidP="00373C34">
            <w:pPr>
              <w:spacing w:before="120" w:after="120"/>
              <w:rPr>
                <w:rFonts w:ascii="Verdana" w:hAnsi="Verdana"/>
              </w:rPr>
            </w:pPr>
            <w:r w:rsidRPr="004F7962">
              <w:rPr>
                <w:rFonts w:ascii="Verdana" w:hAnsi="Verdana"/>
              </w:rPr>
              <w:t>Part of a service contract where a service is formally defined. Mostly referring to the delivery time and level of performance.</w:t>
            </w:r>
          </w:p>
        </w:tc>
      </w:tr>
      <w:tr w:rsidR="00FA26FC" w:rsidRPr="002A440D" w14:paraId="38351878" w14:textId="77777777" w:rsidTr="00FA26FC">
        <w:tc>
          <w:tcPr>
            <w:tcW w:w="734" w:type="pct"/>
          </w:tcPr>
          <w:p w14:paraId="5F5DED7D" w14:textId="726D6033" w:rsidR="007D1ACB" w:rsidRPr="002A440D" w:rsidRDefault="007D1ACB" w:rsidP="00FA26FC">
            <w:pPr>
              <w:spacing w:before="120" w:after="120"/>
              <w:jc w:val="center"/>
              <w:rPr>
                <w:rFonts w:ascii="Verdana" w:hAnsi="Verdana"/>
                <w:b/>
              </w:rPr>
            </w:pPr>
            <w:r w:rsidRPr="002A440D">
              <w:rPr>
                <w:rFonts w:ascii="Verdana" w:hAnsi="Verdana"/>
                <w:b/>
              </w:rPr>
              <w:t>SLMB</w:t>
            </w:r>
          </w:p>
        </w:tc>
        <w:tc>
          <w:tcPr>
            <w:tcW w:w="983" w:type="pct"/>
          </w:tcPr>
          <w:p w14:paraId="316CAEB3" w14:textId="77777777" w:rsidR="007D1ACB" w:rsidRPr="004F7962" w:rsidRDefault="007D1ACB" w:rsidP="00373C34">
            <w:pPr>
              <w:spacing w:before="120" w:after="120"/>
              <w:rPr>
                <w:rFonts w:ascii="Verdana" w:hAnsi="Verdana"/>
              </w:rPr>
            </w:pPr>
            <w:bookmarkStart w:id="6" w:name="OLE_LINK26"/>
            <w:r w:rsidRPr="004F7962">
              <w:rPr>
                <w:rFonts w:ascii="Verdana" w:hAnsi="Verdana"/>
              </w:rPr>
              <w:t xml:space="preserve">Specified Low Income Medicare Beneficiary Program </w:t>
            </w:r>
            <w:bookmarkEnd w:id="6"/>
          </w:p>
        </w:tc>
        <w:tc>
          <w:tcPr>
            <w:tcW w:w="3283" w:type="pct"/>
          </w:tcPr>
          <w:p w14:paraId="3176DE26" w14:textId="13B799DF" w:rsidR="007D1ACB" w:rsidRPr="004F7962" w:rsidRDefault="00C31276" w:rsidP="00373C34">
            <w:pPr>
              <w:spacing w:before="120" w:after="120"/>
              <w:rPr>
                <w:rFonts w:ascii="Verdana" w:hAnsi="Verdana"/>
              </w:rPr>
            </w:pPr>
            <w:r w:rsidRPr="002A440D">
              <w:rPr>
                <w:rFonts w:ascii="Verdana" w:hAnsi="Verdana"/>
                <w:shd w:val="clear" w:color="auto" w:fill="FFFFFF"/>
              </w:rPr>
              <w:t>The Specified Low-Income Medicare Beneficiary (SLMB) program </w:t>
            </w:r>
            <w:r w:rsidRPr="002A440D">
              <w:rPr>
                <w:rFonts w:ascii="Verdana" w:hAnsi="Verdana"/>
                <w:b/>
                <w:bCs/>
                <w:shd w:val="clear" w:color="auto" w:fill="FFFFFF"/>
              </w:rPr>
              <w:t>helps people with low income pay their Part B premiums</w:t>
            </w:r>
            <w:r w:rsidR="0071506E" w:rsidRPr="002A440D">
              <w:rPr>
                <w:rFonts w:ascii="Verdana" w:hAnsi="Verdana"/>
                <w:shd w:val="clear" w:color="auto" w:fill="FFFFFF"/>
              </w:rPr>
              <w:t xml:space="preserve">. </w:t>
            </w:r>
            <w:r w:rsidRPr="002A440D">
              <w:rPr>
                <w:rFonts w:ascii="Verdana" w:hAnsi="Verdana"/>
                <w:shd w:val="clear" w:color="auto" w:fill="FFFFFF"/>
              </w:rPr>
              <w:t>This premium would ordinarily be deducted from their monthly Social Security checks.</w:t>
            </w:r>
          </w:p>
        </w:tc>
      </w:tr>
      <w:tr w:rsidR="00FA26FC" w:rsidRPr="002A440D" w14:paraId="13FE4633" w14:textId="77777777" w:rsidTr="00FA26FC">
        <w:tc>
          <w:tcPr>
            <w:tcW w:w="734" w:type="pct"/>
          </w:tcPr>
          <w:p w14:paraId="67F88411" w14:textId="77777777" w:rsidR="007D1ACB" w:rsidRPr="002A440D" w:rsidRDefault="007D1ACB" w:rsidP="00FA26FC">
            <w:pPr>
              <w:spacing w:before="120" w:after="120"/>
              <w:jc w:val="center"/>
              <w:rPr>
                <w:rFonts w:ascii="Verdana" w:hAnsi="Verdana"/>
                <w:b/>
              </w:rPr>
            </w:pPr>
            <w:r w:rsidRPr="002A440D">
              <w:rPr>
                <w:rFonts w:ascii="Verdana" w:hAnsi="Verdana"/>
                <w:b/>
              </w:rPr>
              <w:t>SLN</w:t>
            </w:r>
          </w:p>
        </w:tc>
        <w:tc>
          <w:tcPr>
            <w:tcW w:w="983" w:type="pct"/>
          </w:tcPr>
          <w:p w14:paraId="43EF5D29" w14:textId="77777777" w:rsidR="007D1ACB" w:rsidRPr="004F7962" w:rsidRDefault="007D1ACB" w:rsidP="00373C34">
            <w:pPr>
              <w:spacing w:before="120" w:after="120"/>
              <w:rPr>
                <w:rFonts w:ascii="Verdana" w:hAnsi="Verdana"/>
              </w:rPr>
            </w:pPr>
            <w:r w:rsidRPr="004F7962">
              <w:rPr>
                <w:rFonts w:ascii="Verdana" w:hAnsi="Verdana"/>
              </w:rPr>
              <w:t>State License Number</w:t>
            </w:r>
          </w:p>
        </w:tc>
        <w:tc>
          <w:tcPr>
            <w:tcW w:w="3283" w:type="pct"/>
          </w:tcPr>
          <w:p w14:paraId="36C08D6C" w14:textId="0215AEF1" w:rsidR="007D1ACB" w:rsidRPr="004F7962" w:rsidRDefault="007D1ACB" w:rsidP="00373C34">
            <w:pPr>
              <w:spacing w:before="120" w:after="120"/>
              <w:rPr>
                <w:rFonts w:ascii="Verdana" w:hAnsi="Verdana"/>
              </w:rPr>
            </w:pPr>
            <w:r w:rsidRPr="004F7962">
              <w:rPr>
                <w:rFonts w:ascii="Verdana" w:hAnsi="Verdana"/>
              </w:rPr>
              <w:t>See CTP DPS</w:t>
            </w:r>
            <w:r w:rsidR="00A95AD8" w:rsidRPr="004F7962">
              <w:rPr>
                <w:rFonts w:ascii="Verdana" w:hAnsi="Verdana"/>
              </w:rPr>
              <w:t>.</w:t>
            </w:r>
          </w:p>
        </w:tc>
      </w:tr>
      <w:tr w:rsidR="00FA26FC" w:rsidRPr="002A440D" w14:paraId="2A7265E0" w14:textId="77777777" w:rsidTr="00FA26FC">
        <w:tc>
          <w:tcPr>
            <w:tcW w:w="734" w:type="pct"/>
          </w:tcPr>
          <w:p w14:paraId="69894DE2" w14:textId="2D9B3239" w:rsidR="006B685C" w:rsidRPr="002A440D" w:rsidRDefault="006B685C" w:rsidP="00FA26FC">
            <w:pPr>
              <w:spacing w:before="120" w:after="120"/>
              <w:jc w:val="center"/>
              <w:rPr>
                <w:rFonts w:ascii="Verdana" w:hAnsi="Verdana"/>
                <w:b/>
              </w:rPr>
            </w:pPr>
            <w:r w:rsidRPr="002A440D">
              <w:rPr>
                <w:rFonts w:ascii="Verdana" w:hAnsi="Verdana"/>
                <w:b/>
              </w:rPr>
              <w:t>SME</w:t>
            </w:r>
          </w:p>
        </w:tc>
        <w:tc>
          <w:tcPr>
            <w:tcW w:w="983" w:type="pct"/>
          </w:tcPr>
          <w:p w14:paraId="537DC399" w14:textId="0021E367" w:rsidR="006B685C" w:rsidRPr="004F7962" w:rsidRDefault="00FD4A1F" w:rsidP="00373C34">
            <w:pPr>
              <w:spacing w:before="120" w:after="120"/>
              <w:rPr>
                <w:rFonts w:ascii="Verdana" w:hAnsi="Verdana"/>
              </w:rPr>
            </w:pPr>
            <w:r w:rsidRPr="004F7962">
              <w:rPr>
                <w:rFonts w:ascii="Verdana" w:hAnsi="Verdana"/>
              </w:rPr>
              <w:t>Subject Matter Expert</w:t>
            </w:r>
          </w:p>
        </w:tc>
        <w:tc>
          <w:tcPr>
            <w:tcW w:w="3283" w:type="pct"/>
          </w:tcPr>
          <w:p w14:paraId="1AC59F06" w14:textId="3EA00557" w:rsidR="006B685C" w:rsidRPr="004F7962" w:rsidRDefault="00604D41" w:rsidP="00373C34">
            <w:pPr>
              <w:spacing w:before="120" w:after="120"/>
              <w:rPr>
                <w:rFonts w:ascii="Verdana" w:hAnsi="Verdana"/>
              </w:rPr>
            </w:pPr>
            <w:r>
              <w:rPr>
                <w:rFonts w:ascii="Verdana" w:hAnsi="Verdana"/>
              </w:rPr>
              <w:t>P</w:t>
            </w:r>
            <w:r w:rsidR="006A1D9A" w:rsidRPr="004F7962">
              <w:rPr>
                <w:rFonts w:ascii="Verdana" w:hAnsi="Verdana"/>
              </w:rPr>
              <w:t>rofessionals who have advanced knowledge in a specific field.</w:t>
            </w:r>
          </w:p>
        </w:tc>
      </w:tr>
      <w:tr w:rsidR="00FA26FC" w:rsidRPr="002A440D" w14:paraId="1EB0F457" w14:textId="77777777" w:rsidTr="00FA26FC">
        <w:tc>
          <w:tcPr>
            <w:tcW w:w="734" w:type="pct"/>
          </w:tcPr>
          <w:p w14:paraId="1CD7BD77" w14:textId="4FEBF819" w:rsidR="007D1ACB" w:rsidRPr="002A440D" w:rsidRDefault="007D1ACB" w:rsidP="00FA26FC">
            <w:pPr>
              <w:spacing w:before="120" w:after="120"/>
              <w:jc w:val="center"/>
              <w:rPr>
                <w:rFonts w:ascii="Verdana" w:hAnsi="Verdana"/>
                <w:b/>
              </w:rPr>
            </w:pPr>
            <w:r w:rsidRPr="002A440D">
              <w:rPr>
                <w:rFonts w:ascii="Verdana" w:hAnsi="Verdana"/>
                <w:b/>
              </w:rPr>
              <w:t>SMS</w:t>
            </w:r>
          </w:p>
          <w:p w14:paraId="1B8C34C8" w14:textId="2A99A7B5" w:rsidR="007D1ACB" w:rsidRPr="002A440D" w:rsidRDefault="007D1ACB" w:rsidP="00FA26FC">
            <w:pPr>
              <w:spacing w:before="120" w:after="120"/>
              <w:jc w:val="center"/>
              <w:rPr>
                <w:rFonts w:ascii="Verdana" w:hAnsi="Verdana"/>
                <w:b/>
              </w:rPr>
            </w:pPr>
          </w:p>
        </w:tc>
        <w:tc>
          <w:tcPr>
            <w:tcW w:w="983" w:type="pct"/>
          </w:tcPr>
          <w:p w14:paraId="6CD1991F" w14:textId="77777777" w:rsidR="007D1ACB" w:rsidRPr="004F7962" w:rsidRDefault="007D1ACB" w:rsidP="00373C34">
            <w:pPr>
              <w:spacing w:before="120" w:after="120"/>
              <w:rPr>
                <w:rFonts w:ascii="Verdana" w:hAnsi="Verdana"/>
              </w:rPr>
            </w:pPr>
            <w:bookmarkStart w:id="7" w:name="OLE_LINK27"/>
            <w:r w:rsidRPr="004F7962">
              <w:rPr>
                <w:rFonts w:ascii="Verdana" w:hAnsi="Verdana"/>
              </w:rPr>
              <w:t>Safety and Monitoring Solution</w:t>
            </w:r>
          </w:p>
          <w:bookmarkEnd w:id="7"/>
          <w:p w14:paraId="3FEC2A81" w14:textId="77777777" w:rsidR="007D1ACB" w:rsidRPr="004F7962" w:rsidRDefault="007D1ACB" w:rsidP="00373C34">
            <w:pPr>
              <w:spacing w:before="120" w:after="120"/>
              <w:rPr>
                <w:rFonts w:ascii="Verdana" w:hAnsi="Verdana"/>
              </w:rPr>
            </w:pPr>
          </w:p>
        </w:tc>
        <w:tc>
          <w:tcPr>
            <w:tcW w:w="3283" w:type="pct"/>
          </w:tcPr>
          <w:p w14:paraId="62277499" w14:textId="052DC905" w:rsidR="007D1ACB" w:rsidRPr="004F7962" w:rsidRDefault="00C31276" w:rsidP="00373C34">
            <w:pPr>
              <w:spacing w:before="120" w:after="120"/>
              <w:rPr>
                <w:rFonts w:ascii="Verdana" w:hAnsi="Verdana"/>
              </w:rPr>
            </w:pPr>
            <w:r w:rsidRPr="002A440D">
              <w:rPr>
                <w:rFonts w:ascii="Verdana" w:hAnsi="Verdana"/>
              </w:rPr>
              <w:t>The Safety and Monitoring Solution was developed to identify potential medication abuse/misuse of targeted drugs and potentially uncover fraudulent claims for appropriate intervention</w:t>
            </w:r>
            <w:r w:rsidR="0071506E" w:rsidRPr="002A440D">
              <w:rPr>
                <w:rFonts w:ascii="Verdana" w:hAnsi="Verdana"/>
              </w:rPr>
              <w:t xml:space="preserve">. </w:t>
            </w:r>
            <w:r w:rsidRPr="002A440D">
              <w:rPr>
                <w:rFonts w:ascii="Verdana" w:hAnsi="Verdana"/>
              </w:rPr>
              <w:t>The main focus of the current program is to ensure quality patient care and safety.</w:t>
            </w:r>
          </w:p>
        </w:tc>
      </w:tr>
      <w:tr w:rsidR="00FA26FC" w:rsidRPr="002A440D" w14:paraId="35C112C8" w14:textId="77777777" w:rsidTr="00FA26FC">
        <w:tc>
          <w:tcPr>
            <w:tcW w:w="734" w:type="pct"/>
          </w:tcPr>
          <w:p w14:paraId="059A7085" w14:textId="77777777" w:rsidR="007D1ACB" w:rsidRPr="002A440D" w:rsidRDefault="007D1ACB" w:rsidP="00FA26FC">
            <w:pPr>
              <w:spacing w:before="120" w:after="120"/>
              <w:jc w:val="center"/>
              <w:rPr>
                <w:rFonts w:ascii="Verdana" w:hAnsi="Verdana"/>
                <w:b/>
              </w:rPr>
            </w:pPr>
            <w:r w:rsidRPr="002A440D">
              <w:rPr>
                <w:rFonts w:ascii="Verdana" w:hAnsi="Verdana"/>
                <w:b/>
              </w:rPr>
              <w:t>SMST</w:t>
            </w:r>
          </w:p>
        </w:tc>
        <w:tc>
          <w:tcPr>
            <w:tcW w:w="983" w:type="pct"/>
          </w:tcPr>
          <w:p w14:paraId="10DB59AA" w14:textId="77777777" w:rsidR="007D1ACB" w:rsidRPr="004F7962" w:rsidRDefault="007D1ACB" w:rsidP="00373C34">
            <w:pPr>
              <w:spacing w:before="120" w:after="120"/>
              <w:rPr>
                <w:rFonts w:ascii="Verdana" w:hAnsi="Verdana"/>
              </w:rPr>
            </w:pPr>
            <w:r w:rsidRPr="004F7962">
              <w:rPr>
                <w:rFonts w:ascii="Verdana" w:hAnsi="Verdana"/>
              </w:rPr>
              <w:t xml:space="preserve">Specialized Member Services Team </w:t>
            </w:r>
          </w:p>
        </w:tc>
        <w:tc>
          <w:tcPr>
            <w:tcW w:w="3283" w:type="pct"/>
          </w:tcPr>
          <w:p w14:paraId="4A0B7CD7" w14:textId="77777777" w:rsidR="007D1ACB" w:rsidRPr="004F7962" w:rsidRDefault="007D1ACB" w:rsidP="00373C34">
            <w:pPr>
              <w:spacing w:before="120" w:after="120"/>
              <w:rPr>
                <w:rFonts w:ascii="Verdana" w:hAnsi="Verdana"/>
              </w:rPr>
            </w:pPr>
            <w:r w:rsidRPr="004F7962">
              <w:rPr>
                <w:rFonts w:ascii="Verdana" w:hAnsi="Verdana"/>
              </w:rPr>
              <w:t xml:space="preserve">Care support team will go live for SilverScript, EGWP and Health Plans only. This new team is called the Specialized Member Services Team (SMST). Their role will be to focus on addressing and reducing specific CTM/Grievance related situations to offer the best experience possible for our beneficiaries </w:t>
            </w:r>
          </w:p>
        </w:tc>
      </w:tr>
      <w:tr w:rsidR="00FA26FC" w:rsidRPr="002A440D" w14:paraId="41ACC54A" w14:textId="77777777" w:rsidTr="00FA26FC">
        <w:tc>
          <w:tcPr>
            <w:tcW w:w="734" w:type="pct"/>
          </w:tcPr>
          <w:p w14:paraId="4AFA51DB" w14:textId="77777777" w:rsidR="007D1ACB" w:rsidRPr="002A440D" w:rsidRDefault="007D1ACB" w:rsidP="00FA26FC">
            <w:pPr>
              <w:spacing w:before="120" w:after="120"/>
              <w:jc w:val="center"/>
              <w:rPr>
                <w:rFonts w:ascii="Verdana" w:hAnsi="Verdana"/>
                <w:b/>
              </w:rPr>
            </w:pPr>
            <w:r w:rsidRPr="002A440D">
              <w:rPr>
                <w:rFonts w:ascii="Verdana" w:hAnsi="Verdana"/>
                <w:b/>
              </w:rPr>
              <w:t>SNP</w:t>
            </w:r>
          </w:p>
        </w:tc>
        <w:tc>
          <w:tcPr>
            <w:tcW w:w="983" w:type="pct"/>
          </w:tcPr>
          <w:p w14:paraId="0023182D" w14:textId="77777777" w:rsidR="007D1ACB" w:rsidRPr="004F7962" w:rsidRDefault="007D1ACB" w:rsidP="00373C34">
            <w:pPr>
              <w:spacing w:before="120" w:after="120"/>
              <w:rPr>
                <w:rFonts w:ascii="Verdana" w:hAnsi="Verdana"/>
              </w:rPr>
            </w:pPr>
            <w:r w:rsidRPr="004F7962">
              <w:rPr>
                <w:rFonts w:ascii="Verdana" w:hAnsi="Verdana"/>
              </w:rPr>
              <w:t xml:space="preserve">Special Need Plan </w:t>
            </w:r>
          </w:p>
        </w:tc>
        <w:tc>
          <w:tcPr>
            <w:tcW w:w="3283" w:type="pct"/>
          </w:tcPr>
          <w:p w14:paraId="16AD83D1" w14:textId="77777777" w:rsidR="00FA26FC" w:rsidRDefault="007D1ACB" w:rsidP="00373C34">
            <w:pPr>
              <w:spacing w:before="120" w:after="120"/>
              <w:rPr>
                <w:rFonts w:ascii="Verdana" w:hAnsi="Verdana"/>
              </w:rPr>
            </w:pPr>
            <w:r w:rsidRPr="004F7962">
              <w:rPr>
                <w:rFonts w:ascii="Verdana" w:hAnsi="Verdana"/>
              </w:rPr>
              <w:t xml:space="preserve">SNPs provide focused and specialized health care for specific groups of people, such as those who have Medicare and Medicaid, who live in a nursing home, or have certain chronic medical conditions. (e.g., D-SNPs = Dual Eligible, I-SNPs = Individual, C-SNPs = Chronic)  </w:t>
            </w:r>
          </w:p>
          <w:p w14:paraId="7964062D" w14:textId="77777777" w:rsidR="00FA26FC" w:rsidRDefault="007D1ACB" w:rsidP="00373C34">
            <w:pPr>
              <w:spacing w:before="120" w:after="120"/>
              <w:rPr>
                <w:rFonts w:ascii="Verdana" w:hAnsi="Verdana"/>
              </w:rPr>
            </w:pPr>
            <w:r w:rsidRPr="004F7962">
              <w:rPr>
                <w:rFonts w:ascii="Verdana" w:hAnsi="Verdana"/>
              </w:rPr>
              <w:t xml:space="preserve">The fifteen SNP-specific chronic conditions approved for 2010 are: </w:t>
            </w:r>
            <w:r w:rsidR="00764D11">
              <w:rPr>
                <w:rFonts w:ascii="Verdana" w:hAnsi="Verdana"/>
              </w:rPr>
              <w:t xml:space="preserve"> </w:t>
            </w:r>
          </w:p>
          <w:p w14:paraId="7B5EF898" w14:textId="7126D4E7" w:rsidR="00FA26FC" w:rsidRPr="0067793B" w:rsidRDefault="007D1ACB"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Chronic alcohol and other drug dependence</w:t>
            </w:r>
          </w:p>
          <w:p w14:paraId="156ADF33" w14:textId="1BF05C0E"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ertain auto-immune disorders</w:t>
            </w:r>
          </w:p>
          <w:p w14:paraId="320EAE61" w14:textId="049C91A1"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 xml:space="preserve">ancer (excluding pre-cancer conditions) </w:t>
            </w:r>
          </w:p>
          <w:p w14:paraId="0CB5E23E" w14:textId="52C2C234"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ertain cardiovascular disorders</w:t>
            </w:r>
            <w:r w:rsidRPr="0067793B">
              <w:rPr>
                <w:rFonts w:ascii="Verdana" w:hAnsi="Verdana"/>
                <w:sz w:val="24"/>
                <w:szCs w:val="24"/>
              </w:rPr>
              <w:t xml:space="preserve"> / chronic heart failure</w:t>
            </w:r>
          </w:p>
          <w:p w14:paraId="044233CE" w14:textId="5EA0FB26"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D</w:t>
            </w:r>
            <w:r w:rsidR="007D1ACB" w:rsidRPr="0067793B">
              <w:rPr>
                <w:rFonts w:ascii="Verdana" w:hAnsi="Verdana"/>
                <w:sz w:val="24"/>
                <w:szCs w:val="24"/>
              </w:rPr>
              <w:t>ementia</w:t>
            </w:r>
            <w:r w:rsidRPr="0067793B">
              <w:rPr>
                <w:rFonts w:ascii="Verdana" w:hAnsi="Verdana"/>
                <w:sz w:val="24"/>
                <w:szCs w:val="24"/>
              </w:rPr>
              <w:t xml:space="preserve"> and certain Neurologic disorders</w:t>
            </w:r>
          </w:p>
          <w:p w14:paraId="0E45CA80" w14:textId="0FB310E9"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D</w:t>
            </w:r>
            <w:r w:rsidR="007D1ACB" w:rsidRPr="0067793B">
              <w:rPr>
                <w:rFonts w:ascii="Verdana" w:hAnsi="Verdana"/>
                <w:sz w:val="24"/>
                <w:szCs w:val="24"/>
              </w:rPr>
              <w:t>iabetes mellitus</w:t>
            </w:r>
          </w:p>
          <w:p w14:paraId="3D9A0F5E" w14:textId="414E3683"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E</w:t>
            </w:r>
            <w:r w:rsidR="007D1ACB" w:rsidRPr="0067793B">
              <w:rPr>
                <w:rFonts w:ascii="Verdana" w:hAnsi="Verdana"/>
                <w:sz w:val="24"/>
                <w:szCs w:val="24"/>
              </w:rPr>
              <w:t>nd-stage liver disease</w:t>
            </w:r>
            <w:r w:rsidRPr="0067793B">
              <w:rPr>
                <w:rFonts w:ascii="Verdana" w:hAnsi="Verdana"/>
                <w:sz w:val="24"/>
                <w:szCs w:val="24"/>
              </w:rPr>
              <w:t xml:space="preserve"> / End-stage renal disease requiring dialysis.</w:t>
            </w:r>
          </w:p>
          <w:p w14:paraId="16EC5DEB" w14:textId="10ACEAA7"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ertain hematologic disorders</w:t>
            </w:r>
          </w:p>
          <w:p w14:paraId="3138D87D" w14:textId="6ACE47BF" w:rsidR="00FA26FC" w:rsidRPr="0067793B" w:rsidRDefault="007D1ACB"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HIV/AIDS</w:t>
            </w:r>
          </w:p>
          <w:p w14:paraId="3EE5E813" w14:textId="347B2703"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ertain chronic lung disorders</w:t>
            </w:r>
          </w:p>
          <w:p w14:paraId="260205ED" w14:textId="295B9455" w:rsidR="00FA26FC"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C</w:t>
            </w:r>
            <w:r w:rsidR="007D1ACB" w:rsidRPr="0067793B">
              <w:rPr>
                <w:rFonts w:ascii="Verdana" w:hAnsi="Verdana"/>
                <w:sz w:val="24"/>
                <w:szCs w:val="24"/>
              </w:rPr>
              <w:t>ertain mental health disorders</w:t>
            </w:r>
          </w:p>
          <w:p w14:paraId="5D63331D" w14:textId="26A2DC15" w:rsidR="007D1ACB" w:rsidRPr="0067793B" w:rsidRDefault="00FA26FC" w:rsidP="0067793B">
            <w:pPr>
              <w:pStyle w:val="ListParagraph"/>
              <w:numPr>
                <w:ilvl w:val="0"/>
                <w:numId w:val="146"/>
              </w:numPr>
              <w:spacing w:before="120" w:after="120"/>
              <w:contextualSpacing w:val="0"/>
              <w:rPr>
                <w:rFonts w:ascii="Verdana" w:hAnsi="Verdana"/>
              </w:rPr>
            </w:pPr>
            <w:r w:rsidRPr="0067793B">
              <w:rPr>
                <w:rFonts w:ascii="Verdana" w:hAnsi="Verdana"/>
                <w:sz w:val="24"/>
                <w:szCs w:val="24"/>
              </w:rPr>
              <w:t>S</w:t>
            </w:r>
            <w:r w:rsidR="007D1ACB" w:rsidRPr="0067793B">
              <w:rPr>
                <w:rFonts w:ascii="Verdana" w:hAnsi="Verdana"/>
                <w:sz w:val="24"/>
                <w:szCs w:val="24"/>
              </w:rPr>
              <w:t>troke.</w:t>
            </w:r>
            <w:r w:rsidR="007D1ACB" w:rsidRPr="0067793B">
              <w:rPr>
                <w:rFonts w:ascii="Verdana" w:hAnsi="Verdana"/>
              </w:rPr>
              <w:t xml:space="preserve"> </w:t>
            </w:r>
          </w:p>
        </w:tc>
      </w:tr>
      <w:tr w:rsidR="00FA26FC" w:rsidRPr="002A440D" w14:paraId="300F30AD" w14:textId="77777777" w:rsidTr="00FA26FC">
        <w:tc>
          <w:tcPr>
            <w:tcW w:w="734" w:type="pct"/>
          </w:tcPr>
          <w:p w14:paraId="1C19835F" w14:textId="68B945CA" w:rsidR="007D1ACB" w:rsidRPr="002A440D" w:rsidRDefault="007D1ACB" w:rsidP="00FA26FC">
            <w:pPr>
              <w:spacing w:before="120" w:after="120"/>
              <w:jc w:val="center"/>
              <w:rPr>
                <w:rFonts w:ascii="Verdana" w:hAnsi="Verdana"/>
                <w:b/>
              </w:rPr>
            </w:pPr>
            <w:r w:rsidRPr="002A440D">
              <w:rPr>
                <w:rFonts w:ascii="Verdana" w:hAnsi="Verdana"/>
                <w:b/>
              </w:rPr>
              <w:t>SOA</w:t>
            </w:r>
          </w:p>
        </w:tc>
        <w:tc>
          <w:tcPr>
            <w:tcW w:w="983" w:type="pct"/>
          </w:tcPr>
          <w:p w14:paraId="19D1A509" w14:textId="77777777" w:rsidR="007D1ACB" w:rsidRPr="004F7962" w:rsidRDefault="007D1ACB" w:rsidP="00373C34">
            <w:pPr>
              <w:spacing w:before="120" w:after="120"/>
              <w:rPr>
                <w:rFonts w:ascii="Verdana" w:hAnsi="Verdana"/>
              </w:rPr>
            </w:pPr>
            <w:r w:rsidRPr="004F7962">
              <w:rPr>
                <w:rFonts w:ascii="Verdana" w:hAnsi="Verdana"/>
              </w:rPr>
              <w:t>Scope of Appointment</w:t>
            </w:r>
          </w:p>
        </w:tc>
        <w:tc>
          <w:tcPr>
            <w:tcW w:w="3283" w:type="pct"/>
          </w:tcPr>
          <w:p w14:paraId="1AB515BA" w14:textId="77777777" w:rsidR="007D1ACB" w:rsidRPr="004F7962" w:rsidRDefault="007D1ACB" w:rsidP="00373C34">
            <w:pPr>
              <w:spacing w:before="120" w:after="120"/>
              <w:rPr>
                <w:rFonts w:ascii="Verdana" w:hAnsi="Verdana"/>
              </w:rPr>
            </w:pPr>
            <w:r w:rsidRPr="004F7962">
              <w:rPr>
                <w:rFonts w:ascii="Verdana" w:hAnsi="Verdana"/>
              </w:rPr>
              <w:t xml:space="preserve">A form required by CMS which provides beneficiary agreement to discuss plan specific products which is required to be completed by the beneficiary and agent in advance of the face-to-face marketing appointment according to the rules defined in MMG Guidance Section 70.9.3. It is not required when an application has been mailed to the agent. </w:t>
            </w:r>
          </w:p>
        </w:tc>
      </w:tr>
      <w:tr w:rsidR="00FA26FC" w:rsidRPr="002A440D" w14:paraId="37D91132" w14:textId="77777777" w:rsidTr="00FA26FC">
        <w:tc>
          <w:tcPr>
            <w:tcW w:w="734" w:type="pct"/>
          </w:tcPr>
          <w:p w14:paraId="51CB27DA" w14:textId="77777777" w:rsidR="007D1ACB" w:rsidRPr="002A440D" w:rsidRDefault="007D1ACB" w:rsidP="00FA26FC">
            <w:pPr>
              <w:spacing w:before="120" w:after="120"/>
              <w:jc w:val="center"/>
              <w:rPr>
                <w:rFonts w:ascii="Verdana" w:hAnsi="Verdana"/>
                <w:b/>
              </w:rPr>
            </w:pPr>
            <w:r w:rsidRPr="002A440D">
              <w:rPr>
                <w:rFonts w:ascii="Verdana" w:hAnsi="Verdana"/>
                <w:b/>
              </w:rPr>
              <w:t>Soln</w:t>
            </w:r>
          </w:p>
        </w:tc>
        <w:tc>
          <w:tcPr>
            <w:tcW w:w="983" w:type="pct"/>
          </w:tcPr>
          <w:p w14:paraId="79C4A936" w14:textId="77777777" w:rsidR="007D1ACB" w:rsidRPr="004F7962" w:rsidRDefault="007D1ACB" w:rsidP="00373C34">
            <w:pPr>
              <w:spacing w:before="120" w:after="120"/>
              <w:rPr>
                <w:rFonts w:ascii="Verdana" w:hAnsi="Verdana"/>
              </w:rPr>
            </w:pPr>
            <w:r w:rsidRPr="004F7962">
              <w:rPr>
                <w:rFonts w:ascii="Verdana" w:hAnsi="Verdana"/>
              </w:rPr>
              <w:t>Solution</w:t>
            </w:r>
          </w:p>
        </w:tc>
        <w:tc>
          <w:tcPr>
            <w:tcW w:w="3283" w:type="pct"/>
          </w:tcPr>
          <w:p w14:paraId="77E8C4F6" w14:textId="45264916" w:rsidR="007D1ACB" w:rsidRPr="004F7962" w:rsidRDefault="007D1ACB" w:rsidP="00373C34">
            <w:pPr>
              <w:spacing w:before="120" w:after="120"/>
              <w:rPr>
                <w:rFonts w:ascii="Verdana" w:hAnsi="Verdana"/>
              </w:rPr>
            </w:pPr>
            <w:r w:rsidRPr="004F7962">
              <w:rPr>
                <w:rFonts w:ascii="Verdana" w:hAnsi="Verdana"/>
              </w:rPr>
              <w:t>A liquid preparation of medication; can be taken orally (by mouth), applied topically (on the skin), or instilled in the eye or ear.</w:t>
            </w:r>
          </w:p>
        </w:tc>
      </w:tr>
      <w:tr w:rsidR="00FA26FC" w:rsidRPr="002A440D" w14:paraId="20B6D160" w14:textId="77777777" w:rsidTr="00FA26FC">
        <w:tc>
          <w:tcPr>
            <w:tcW w:w="734" w:type="pct"/>
          </w:tcPr>
          <w:p w14:paraId="1D758083" w14:textId="77777777" w:rsidR="007D1ACB" w:rsidRPr="002A440D" w:rsidRDefault="007D1ACB" w:rsidP="00FA26FC">
            <w:pPr>
              <w:spacing w:before="120" w:after="120"/>
              <w:jc w:val="center"/>
              <w:rPr>
                <w:rFonts w:ascii="Verdana" w:hAnsi="Verdana"/>
                <w:b/>
              </w:rPr>
            </w:pPr>
            <w:r w:rsidRPr="002A440D">
              <w:rPr>
                <w:rFonts w:ascii="Verdana" w:hAnsi="Verdana"/>
                <w:b/>
              </w:rPr>
              <w:t>SOC</w:t>
            </w:r>
          </w:p>
        </w:tc>
        <w:tc>
          <w:tcPr>
            <w:tcW w:w="983" w:type="pct"/>
          </w:tcPr>
          <w:p w14:paraId="3FCFD0CC" w14:textId="77777777" w:rsidR="007D1ACB" w:rsidRPr="004F7962" w:rsidRDefault="007D1ACB" w:rsidP="00373C34">
            <w:pPr>
              <w:spacing w:before="120" w:after="120"/>
              <w:rPr>
                <w:rFonts w:ascii="Verdana" w:hAnsi="Verdana"/>
              </w:rPr>
            </w:pPr>
            <w:r w:rsidRPr="004F7962">
              <w:rPr>
                <w:rFonts w:ascii="Verdana" w:hAnsi="Verdana"/>
              </w:rPr>
              <w:t>Statement of Cost</w:t>
            </w:r>
          </w:p>
        </w:tc>
        <w:tc>
          <w:tcPr>
            <w:tcW w:w="3283" w:type="pct"/>
          </w:tcPr>
          <w:p w14:paraId="1F51D075" w14:textId="5177CD65" w:rsidR="007D1ACB" w:rsidRPr="004F7962" w:rsidRDefault="007D1ACB" w:rsidP="00373C34">
            <w:pPr>
              <w:spacing w:before="120" w:after="120"/>
              <w:rPr>
                <w:rFonts w:ascii="Verdana" w:hAnsi="Verdana"/>
              </w:rPr>
            </w:pPr>
            <w:r w:rsidRPr="004F7962">
              <w:rPr>
                <w:rFonts w:ascii="Verdana" w:hAnsi="Verdana"/>
              </w:rPr>
              <w:t>This document provides direction when a beneficiary is requesting claim information for a specific time period</w:t>
            </w:r>
            <w:r w:rsidR="0071506E" w:rsidRPr="004F7962">
              <w:rPr>
                <w:rFonts w:ascii="Verdana" w:hAnsi="Verdana"/>
              </w:rPr>
              <w:t xml:space="preserve">. </w:t>
            </w:r>
            <w:r w:rsidRPr="004F7962">
              <w:rPr>
                <w:rFonts w:ascii="Verdana" w:hAnsi="Verdana"/>
              </w:rPr>
              <w:t>This document provides both home delivery and Retail Service transactions.</w:t>
            </w:r>
          </w:p>
        </w:tc>
      </w:tr>
      <w:tr w:rsidR="00FA26FC" w:rsidRPr="002A440D" w14:paraId="20BFF1A4" w14:textId="77777777" w:rsidTr="00FA26FC">
        <w:tc>
          <w:tcPr>
            <w:tcW w:w="734" w:type="pct"/>
          </w:tcPr>
          <w:p w14:paraId="208B248C" w14:textId="77777777" w:rsidR="007D1ACB" w:rsidRPr="002A440D" w:rsidRDefault="007D1ACB" w:rsidP="00FA26FC">
            <w:pPr>
              <w:spacing w:before="120" w:after="120"/>
              <w:jc w:val="center"/>
              <w:rPr>
                <w:rFonts w:ascii="Verdana" w:hAnsi="Verdana"/>
                <w:b/>
              </w:rPr>
            </w:pPr>
            <w:r w:rsidRPr="002A440D">
              <w:rPr>
                <w:rFonts w:ascii="Verdana" w:hAnsi="Verdana"/>
                <w:b/>
              </w:rPr>
              <w:t>SOP</w:t>
            </w:r>
          </w:p>
        </w:tc>
        <w:tc>
          <w:tcPr>
            <w:tcW w:w="983" w:type="pct"/>
          </w:tcPr>
          <w:p w14:paraId="1505CC14" w14:textId="77777777" w:rsidR="007D1ACB" w:rsidRPr="004F7962" w:rsidRDefault="007D1ACB" w:rsidP="00373C34">
            <w:pPr>
              <w:spacing w:before="120" w:after="120"/>
              <w:rPr>
                <w:rFonts w:ascii="Verdana" w:hAnsi="Verdana"/>
              </w:rPr>
            </w:pPr>
            <w:r w:rsidRPr="004F7962">
              <w:rPr>
                <w:rFonts w:ascii="Verdana" w:hAnsi="Verdana"/>
              </w:rPr>
              <w:t>Standard Operating Procedure</w:t>
            </w:r>
          </w:p>
        </w:tc>
        <w:tc>
          <w:tcPr>
            <w:tcW w:w="3283" w:type="pct"/>
          </w:tcPr>
          <w:p w14:paraId="43BF662F" w14:textId="0AA576D0" w:rsidR="007D1ACB" w:rsidRPr="004F7962" w:rsidRDefault="007D1ACB" w:rsidP="00373C34">
            <w:pPr>
              <w:spacing w:before="120" w:after="120"/>
              <w:rPr>
                <w:rFonts w:ascii="Verdana" w:hAnsi="Verdana"/>
              </w:rPr>
            </w:pPr>
            <w:r w:rsidRPr="004F7962">
              <w:rPr>
                <w:rFonts w:ascii="Verdana" w:hAnsi="Verdana"/>
              </w:rPr>
              <w:t>Documents developed and reviewed by all pertinent departments and Compliance and Integrity giving the applicable users in the company direction for all company processes. They are reviewed annually.</w:t>
            </w:r>
          </w:p>
        </w:tc>
      </w:tr>
      <w:tr w:rsidR="00FA26FC" w:rsidRPr="002A440D" w14:paraId="5BB53E3A" w14:textId="77777777" w:rsidTr="00FA26FC">
        <w:tc>
          <w:tcPr>
            <w:tcW w:w="734" w:type="pct"/>
          </w:tcPr>
          <w:p w14:paraId="7EA5EEE0" w14:textId="26B7329F" w:rsidR="007D1ACB" w:rsidRPr="002A440D" w:rsidRDefault="007D1ACB" w:rsidP="00FA26FC">
            <w:pPr>
              <w:spacing w:before="120" w:after="120"/>
              <w:jc w:val="center"/>
              <w:rPr>
                <w:rFonts w:ascii="Verdana" w:hAnsi="Verdana"/>
                <w:b/>
              </w:rPr>
            </w:pPr>
            <w:r w:rsidRPr="004F7962">
              <w:rPr>
                <w:rFonts w:ascii="Verdana" w:hAnsi="Verdana"/>
                <w:b/>
              </w:rPr>
              <w:t>SPAP</w:t>
            </w:r>
          </w:p>
        </w:tc>
        <w:tc>
          <w:tcPr>
            <w:tcW w:w="983" w:type="pct"/>
          </w:tcPr>
          <w:p w14:paraId="668076B9" w14:textId="7CD76F47" w:rsidR="007D1ACB" w:rsidRPr="004F7962" w:rsidRDefault="007D1ACB" w:rsidP="00373C34">
            <w:pPr>
              <w:spacing w:before="120" w:after="120"/>
              <w:rPr>
                <w:rFonts w:ascii="Verdana" w:hAnsi="Verdana"/>
              </w:rPr>
            </w:pPr>
            <w:bookmarkStart w:id="8" w:name="OLE_LINK28"/>
            <w:r w:rsidRPr="004F7962">
              <w:rPr>
                <w:rFonts w:ascii="Verdana" w:hAnsi="Verdana"/>
              </w:rPr>
              <w:t>State Pharmaceutical Assistance Program</w:t>
            </w:r>
            <w:bookmarkEnd w:id="8"/>
          </w:p>
        </w:tc>
        <w:tc>
          <w:tcPr>
            <w:tcW w:w="3283" w:type="pct"/>
          </w:tcPr>
          <w:p w14:paraId="69577876" w14:textId="2254EEAF" w:rsidR="007D1ACB" w:rsidRPr="004F7962" w:rsidRDefault="009A0EF7" w:rsidP="00373C34">
            <w:pPr>
              <w:spacing w:before="120" w:after="120"/>
              <w:rPr>
                <w:rFonts w:ascii="Verdana" w:hAnsi="Verdana"/>
              </w:rPr>
            </w:pPr>
            <w:r w:rsidRPr="002A440D">
              <w:rPr>
                <w:rFonts w:ascii="Verdana" w:hAnsi="Verdana"/>
                <w:shd w:val="clear" w:color="auto" w:fill="FFFFFF"/>
              </w:rPr>
              <w:t>Some states offer a state pharmaceutical assistance program (SPAP) to help their residents pay for prescription drugs</w:t>
            </w:r>
            <w:r w:rsidR="00A95AD8" w:rsidRPr="002A440D">
              <w:rPr>
                <w:rFonts w:ascii="Verdana" w:hAnsi="Verdana"/>
                <w:shd w:val="clear" w:color="auto" w:fill="FFFFFF"/>
              </w:rPr>
              <w:t>.</w:t>
            </w:r>
          </w:p>
        </w:tc>
      </w:tr>
      <w:tr w:rsidR="00FA26FC" w:rsidRPr="002A440D" w14:paraId="657921B5" w14:textId="77777777" w:rsidTr="00FA26FC">
        <w:tc>
          <w:tcPr>
            <w:tcW w:w="734" w:type="pct"/>
          </w:tcPr>
          <w:p w14:paraId="53211E78" w14:textId="748DE087" w:rsidR="007D1ACB" w:rsidRPr="002A440D" w:rsidRDefault="007D1ACB" w:rsidP="00FA26FC">
            <w:pPr>
              <w:spacing w:before="120" w:after="120"/>
              <w:jc w:val="center"/>
              <w:rPr>
                <w:rFonts w:ascii="Verdana" w:hAnsi="Verdana"/>
                <w:b/>
              </w:rPr>
            </w:pPr>
            <w:r w:rsidRPr="002A440D">
              <w:rPr>
                <w:rFonts w:ascii="Verdana" w:hAnsi="Verdana"/>
                <w:b/>
              </w:rPr>
              <w:t>SPD</w:t>
            </w:r>
          </w:p>
        </w:tc>
        <w:tc>
          <w:tcPr>
            <w:tcW w:w="983" w:type="pct"/>
          </w:tcPr>
          <w:p w14:paraId="389AD4E9" w14:textId="77777777" w:rsidR="007D1ACB" w:rsidRPr="004F7962" w:rsidRDefault="007D1ACB" w:rsidP="00373C34">
            <w:pPr>
              <w:pStyle w:val="PlainText"/>
              <w:spacing w:before="120" w:after="120"/>
              <w:rPr>
                <w:rFonts w:ascii="Verdana" w:hAnsi="Verdana"/>
                <w:sz w:val="24"/>
                <w:szCs w:val="24"/>
                <w:lang w:val="en-US" w:eastAsia="en-US"/>
              </w:rPr>
            </w:pPr>
            <w:bookmarkStart w:id="9" w:name="OLE_LINK29"/>
            <w:r w:rsidRPr="004F7962">
              <w:rPr>
                <w:rFonts w:ascii="Verdana" w:hAnsi="Verdana"/>
                <w:sz w:val="24"/>
                <w:szCs w:val="24"/>
                <w:lang w:val="en-US" w:eastAsia="en-US"/>
              </w:rPr>
              <w:t>Summary Plan Description</w:t>
            </w:r>
          </w:p>
          <w:bookmarkEnd w:id="9"/>
          <w:p w14:paraId="26E6B707" w14:textId="77777777" w:rsidR="007D1ACB" w:rsidRPr="004F7962" w:rsidRDefault="007D1ACB" w:rsidP="00373C34">
            <w:pPr>
              <w:pStyle w:val="PlainText"/>
              <w:spacing w:before="120" w:after="120"/>
              <w:rPr>
                <w:rFonts w:ascii="Verdana" w:hAnsi="Verdana"/>
                <w:sz w:val="24"/>
                <w:szCs w:val="24"/>
                <w:lang w:val="en-US" w:eastAsia="en-US"/>
              </w:rPr>
            </w:pPr>
          </w:p>
        </w:tc>
        <w:tc>
          <w:tcPr>
            <w:tcW w:w="3283" w:type="pct"/>
          </w:tcPr>
          <w:p w14:paraId="7C084CD9" w14:textId="6BA83172" w:rsidR="007D1ACB" w:rsidRPr="004F7962" w:rsidRDefault="00A95AD8" w:rsidP="00373C34">
            <w:pPr>
              <w:pStyle w:val="PlainText"/>
              <w:spacing w:before="120" w:after="120"/>
              <w:rPr>
                <w:rFonts w:ascii="Verdana" w:hAnsi="Verdana"/>
                <w:sz w:val="24"/>
                <w:szCs w:val="24"/>
                <w:lang w:val="en-US" w:eastAsia="en-US"/>
              </w:rPr>
            </w:pPr>
            <w:r w:rsidRPr="002A440D">
              <w:rPr>
                <w:rFonts w:ascii="Verdana" w:hAnsi="Verdana" w:cs="Helvetica"/>
                <w:sz w:val="24"/>
                <w:szCs w:val="24"/>
                <w:shd w:val="clear" w:color="auto" w:fill="FFFFFF"/>
                <w:lang w:val="en-US"/>
              </w:rPr>
              <w:t>P</w:t>
            </w:r>
            <w:r w:rsidR="009A0EF7" w:rsidRPr="002A440D">
              <w:rPr>
                <w:rFonts w:ascii="Verdana" w:hAnsi="Verdana" w:cs="Helvetica"/>
                <w:sz w:val="24"/>
                <w:szCs w:val="24"/>
                <w:shd w:val="clear" w:color="auto" w:fill="FFFFFF"/>
              </w:rPr>
              <w:t xml:space="preserve">rovides field descriptions and information related to the Plan Summary, Accumulations, </w:t>
            </w:r>
            <w:r w:rsidR="00A260CD" w:rsidRPr="002A440D">
              <w:rPr>
                <w:rFonts w:ascii="Verdana" w:hAnsi="Verdana" w:cs="Helvetica"/>
                <w:sz w:val="24"/>
                <w:szCs w:val="24"/>
                <w:shd w:val="clear" w:color="auto" w:fill="FFFFFF"/>
              </w:rPr>
              <w:t>Specialty,</w:t>
            </w:r>
            <w:r w:rsidR="009A0EF7" w:rsidRPr="002A440D">
              <w:rPr>
                <w:rFonts w:ascii="Verdana" w:hAnsi="Verdana" w:cs="Helvetica"/>
                <w:sz w:val="24"/>
                <w:szCs w:val="24"/>
                <w:shd w:val="clear" w:color="auto" w:fill="FFFFFF"/>
              </w:rPr>
              <w:t xml:space="preserve"> and Override Summary screens for RxClaim members.</w:t>
            </w:r>
          </w:p>
        </w:tc>
      </w:tr>
      <w:tr w:rsidR="00FA26FC" w:rsidRPr="002A440D" w14:paraId="2F7EF3FF" w14:textId="77777777" w:rsidTr="00FA26FC">
        <w:tc>
          <w:tcPr>
            <w:tcW w:w="734" w:type="pct"/>
          </w:tcPr>
          <w:p w14:paraId="730F06C6" w14:textId="77777777" w:rsidR="007D1ACB" w:rsidRPr="002A440D" w:rsidRDefault="007D1ACB" w:rsidP="00FA26FC">
            <w:pPr>
              <w:spacing w:before="120" w:after="120"/>
              <w:jc w:val="center"/>
              <w:rPr>
                <w:rFonts w:ascii="Verdana" w:hAnsi="Verdana"/>
                <w:b/>
              </w:rPr>
            </w:pPr>
            <w:r w:rsidRPr="002A440D">
              <w:rPr>
                <w:rFonts w:ascii="Verdana" w:hAnsi="Verdana"/>
                <w:b/>
              </w:rPr>
              <w:t>SPI</w:t>
            </w:r>
          </w:p>
        </w:tc>
        <w:tc>
          <w:tcPr>
            <w:tcW w:w="983" w:type="pct"/>
          </w:tcPr>
          <w:p w14:paraId="3773BAC0" w14:textId="0D310F74" w:rsidR="007D1ACB" w:rsidRPr="004F7962" w:rsidRDefault="007D1ACB" w:rsidP="00373C34">
            <w:pPr>
              <w:spacing w:before="120" w:after="120"/>
              <w:rPr>
                <w:rFonts w:ascii="Verdana" w:hAnsi="Verdana"/>
              </w:rPr>
            </w:pPr>
            <w:r w:rsidRPr="004F7962">
              <w:rPr>
                <w:rFonts w:ascii="Verdana" w:hAnsi="Verdana"/>
              </w:rPr>
              <w:t>Surescripts Provider Identifier</w:t>
            </w:r>
          </w:p>
        </w:tc>
        <w:tc>
          <w:tcPr>
            <w:tcW w:w="3283" w:type="pct"/>
          </w:tcPr>
          <w:p w14:paraId="68055446" w14:textId="0E983893" w:rsidR="007D1ACB" w:rsidRPr="004F7962" w:rsidRDefault="007D1ACB" w:rsidP="00373C34">
            <w:pPr>
              <w:spacing w:before="120" w:after="120"/>
              <w:rPr>
                <w:rFonts w:ascii="Verdana" w:hAnsi="Verdana"/>
              </w:rPr>
            </w:pPr>
            <w:r w:rsidRPr="004F7962">
              <w:rPr>
                <w:rFonts w:ascii="Verdana" w:hAnsi="Verdana"/>
              </w:rPr>
              <w:t>Proprietary to SureScripts.</w:t>
            </w:r>
          </w:p>
        </w:tc>
      </w:tr>
      <w:tr w:rsidR="00FA26FC" w:rsidRPr="002A440D" w14:paraId="608BDF02" w14:textId="77777777" w:rsidTr="00FA26FC">
        <w:tc>
          <w:tcPr>
            <w:tcW w:w="734" w:type="pct"/>
          </w:tcPr>
          <w:p w14:paraId="34634D10" w14:textId="77777777" w:rsidR="007D1ACB" w:rsidRPr="002A440D" w:rsidRDefault="007D1ACB" w:rsidP="00FA26FC">
            <w:pPr>
              <w:spacing w:before="120" w:after="120"/>
              <w:jc w:val="center"/>
              <w:rPr>
                <w:rFonts w:ascii="Verdana" w:hAnsi="Verdana"/>
                <w:b/>
              </w:rPr>
            </w:pPr>
            <w:r w:rsidRPr="002A440D">
              <w:rPr>
                <w:rFonts w:ascii="Verdana" w:hAnsi="Verdana"/>
                <w:b/>
              </w:rPr>
              <w:t>SPH</w:t>
            </w:r>
          </w:p>
        </w:tc>
        <w:tc>
          <w:tcPr>
            <w:tcW w:w="983" w:type="pct"/>
          </w:tcPr>
          <w:p w14:paraId="609026F7" w14:textId="77777777" w:rsidR="007D1ACB" w:rsidRPr="004F7962" w:rsidRDefault="007D1ACB" w:rsidP="00373C34">
            <w:pPr>
              <w:spacing w:before="120" w:after="120"/>
              <w:rPr>
                <w:rFonts w:ascii="Verdana" w:hAnsi="Verdana"/>
              </w:rPr>
            </w:pPr>
            <w:r w:rsidRPr="004F7962">
              <w:rPr>
                <w:rFonts w:ascii="Verdana" w:hAnsi="Verdana"/>
              </w:rPr>
              <w:t>Special Handling</w:t>
            </w:r>
          </w:p>
        </w:tc>
        <w:tc>
          <w:tcPr>
            <w:tcW w:w="3283" w:type="pct"/>
          </w:tcPr>
          <w:p w14:paraId="7F93B4CB" w14:textId="1163FD47" w:rsidR="007D1ACB" w:rsidRPr="004F7962" w:rsidRDefault="007D1ACB" w:rsidP="00373C34">
            <w:pPr>
              <w:spacing w:before="120" w:after="120"/>
              <w:rPr>
                <w:rFonts w:ascii="Verdana" w:hAnsi="Verdana"/>
              </w:rPr>
            </w:pPr>
            <w:r w:rsidRPr="004F7962">
              <w:rPr>
                <w:rFonts w:ascii="Verdana" w:hAnsi="Verdana"/>
              </w:rPr>
              <w:t>A Prescription Entry exception queue where various types of prescriptions are sent for special processing.</w:t>
            </w:r>
          </w:p>
        </w:tc>
      </w:tr>
      <w:tr w:rsidR="00FA26FC" w:rsidRPr="002A440D" w14:paraId="2A8348F2" w14:textId="77777777" w:rsidTr="00FA26FC">
        <w:tc>
          <w:tcPr>
            <w:tcW w:w="734" w:type="pct"/>
          </w:tcPr>
          <w:p w14:paraId="70F734F4" w14:textId="77777777" w:rsidR="007D1ACB" w:rsidRPr="002A440D" w:rsidRDefault="007D1ACB" w:rsidP="00FA26FC">
            <w:pPr>
              <w:spacing w:before="120" w:after="120"/>
              <w:jc w:val="center"/>
              <w:rPr>
                <w:rFonts w:ascii="Verdana" w:hAnsi="Verdana"/>
                <w:b/>
              </w:rPr>
            </w:pPr>
            <w:r w:rsidRPr="002A440D">
              <w:rPr>
                <w:rFonts w:ascii="Verdana" w:hAnsi="Verdana"/>
                <w:b/>
              </w:rPr>
              <w:t>Spk w/</w:t>
            </w:r>
          </w:p>
        </w:tc>
        <w:tc>
          <w:tcPr>
            <w:tcW w:w="983" w:type="pct"/>
          </w:tcPr>
          <w:p w14:paraId="56B75DB0" w14:textId="77777777" w:rsidR="007D1ACB" w:rsidRPr="004F7962" w:rsidRDefault="007D1ACB" w:rsidP="00373C34">
            <w:pPr>
              <w:spacing w:before="120" w:after="120"/>
              <w:rPr>
                <w:rFonts w:ascii="Verdana" w:hAnsi="Verdana"/>
              </w:rPr>
            </w:pPr>
            <w:r w:rsidRPr="004F7962">
              <w:rPr>
                <w:rFonts w:ascii="Verdana" w:hAnsi="Verdana"/>
              </w:rPr>
              <w:t>Spoke With</w:t>
            </w:r>
          </w:p>
        </w:tc>
        <w:tc>
          <w:tcPr>
            <w:tcW w:w="3283" w:type="pct"/>
          </w:tcPr>
          <w:p w14:paraId="2752B1FF" w14:textId="2F1D77D5" w:rsidR="007D1ACB" w:rsidRPr="004F7962" w:rsidRDefault="007D1ACB" w:rsidP="00373C34">
            <w:pPr>
              <w:spacing w:before="120" w:after="120"/>
              <w:rPr>
                <w:rFonts w:ascii="Verdana" w:hAnsi="Verdana"/>
              </w:rPr>
            </w:pPr>
            <w:r w:rsidRPr="004F7962">
              <w:rPr>
                <w:rFonts w:ascii="Verdana" w:hAnsi="Verdana"/>
              </w:rPr>
              <w:t>Verbal communication between a representative and a second party.</w:t>
            </w:r>
          </w:p>
        </w:tc>
      </w:tr>
      <w:tr w:rsidR="00FA26FC" w:rsidRPr="002A440D" w14:paraId="74493231" w14:textId="77777777" w:rsidTr="00FA26FC">
        <w:trPr>
          <w:trHeight w:val="503"/>
        </w:trPr>
        <w:tc>
          <w:tcPr>
            <w:tcW w:w="734" w:type="pct"/>
          </w:tcPr>
          <w:p w14:paraId="0992466E" w14:textId="29F3F05C" w:rsidR="007D1ACB" w:rsidRPr="002A440D" w:rsidRDefault="007D1ACB" w:rsidP="00FA26FC">
            <w:pPr>
              <w:spacing w:before="120" w:after="120"/>
              <w:jc w:val="center"/>
              <w:rPr>
                <w:rFonts w:ascii="Verdana" w:hAnsi="Verdana"/>
                <w:b/>
              </w:rPr>
            </w:pPr>
            <w:r w:rsidRPr="002A440D">
              <w:rPr>
                <w:rFonts w:ascii="Verdana" w:hAnsi="Verdana"/>
                <w:b/>
              </w:rPr>
              <w:t>Sps</w:t>
            </w:r>
          </w:p>
        </w:tc>
        <w:tc>
          <w:tcPr>
            <w:tcW w:w="983" w:type="pct"/>
          </w:tcPr>
          <w:p w14:paraId="4BA4AD9F" w14:textId="77777777" w:rsidR="007D1ACB" w:rsidRPr="004F7962" w:rsidRDefault="007D1ACB" w:rsidP="00373C34">
            <w:pPr>
              <w:spacing w:before="120" w:after="120"/>
              <w:rPr>
                <w:rFonts w:ascii="Verdana" w:hAnsi="Verdana"/>
              </w:rPr>
            </w:pPr>
            <w:r w:rsidRPr="004F7962">
              <w:rPr>
                <w:rFonts w:ascii="Verdana" w:hAnsi="Verdana"/>
              </w:rPr>
              <w:t>Spouse</w:t>
            </w:r>
          </w:p>
        </w:tc>
        <w:tc>
          <w:tcPr>
            <w:tcW w:w="3283" w:type="pct"/>
          </w:tcPr>
          <w:p w14:paraId="07A5876E" w14:textId="541094B3" w:rsidR="007D1ACB" w:rsidRPr="004F7962" w:rsidRDefault="00490036" w:rsidP="00373C34">
            <w:pPr>
              <w:spacing w:before="120" w:after="120"/>
              <w:rPr>
                <w:rFonts w:ascii="Verdana" w:hAnsi="Verdana"/>
              </w:rPr>
            </w:pPr>
            <w:r w:rsidRPr="004F7962">
              <w:rPr>
                <w:rFonts w:ascii="Verdana" w:hAnsi="Verdana"/>
              </w:rPr>
              <w:t>The person on the account that is legally married to the member and is considered as secondary to the cardholder.</w:t>
            </w:r>
          </w:p>
        </w:tc>
      </w:tr>
      <w:tr w:rsidR="00FA26FC" w:rsidRPr="002A440D" w14:paraId="58408EFC" w14:textId="77777777" w:rsidTr="00FA26FC">
        <w:tc>
          <w:tcPr>
            <w:tcW w:w="734" w:type="pct"/>
          </w:tcPr>
          <w:p w14:paraId="37177A96" w14:textId="3E2506F8" w:rsidR="007D1ACB" w:rsidRPr="002A440D" w:rsidRDefault="007D1ACB" w:rsidP="00FA26FC">
            <w:pPr>
              <w:spacing w:before="120" w:after="120"/>
              <w:jc w:val="center"/>
              <w:rPr>
                <w:rFonts w:ascii="Verdana" w:hAnsi="Verdana"/>
                <w:b/>
              </w:rPr>
            </w:pPr>
            <w:r w:rsidRPr="002A440D">
              <w:rPr>
                <w:rFonts w:ascii="Verdana" w:hAnsi="Verdana"/>
                <w:b/>
              </w:rPr>
              <w:t>SR</w:t>
            </w:r>
          </w:p>
          <w:p w14:paraId="1AC69ED7" w14:textId="0E58B00C" w:rsidR="007D1ACB" w:rsidRPr="002A440D" w:rsidRDefault="007D1ACB" w:rsidP="00FA26FC">
            <w:pPr>
              <w:spacing w:before="120" w:after="120"/>
              <w:jc w:val="center"/>
              <w:rPr>
                <w:rFonts w:ascii="Verdana" w:hAnsi="Verdana"/>
                <w:b/>
              </w:rPr>
            </w:pPr>
          </w:p>
        </w:tc>
        <w:tc>
          <w:tcPr>
            <w:tcW w:w="983" w:type="pct"/>
          </w:tcPr>
          <w:p w14:paraId="50C8697C" w14:textId="77777777" w:rsidR="007D1ACB" w:rsidRPr="004F7962" w:rsidRDefault="007D1ACB" w:rsidP="00373C34">
            <w:pPr>
              <w:spacing w:before="120" w:after="120"/>
              <w:rPr>
                <w:rFonts w:ascii="Verdana" w:hAnsi="Verdana"/>
              </w:rPr>
            </w:pPr>
            <w:bookmarkStart w:id="10" w:name="OLE_LINK30"/>
            <w:bookmarkStart w:id="11" w:name="OLE_LINK31"/>
            <w:r w:rsidRPr="004F7962">
              <w:rPr>
                <w:rFonts w:ascii="Verdana" w:hAnsi="Verdana"/>
              </w:rPr>
              <w:t>Service Recovery</w:t>
            </w:r>
            <w:bookmarkEnd w:id="10"/>
            <w:bookmarkEnd w:id="11"/>
          </w:p>
        </w:tc>
        <w:tc>
          <w:tcPr>
            <w:tcW w:w="3283" w:type="pct"/>
          </w:tcPr>
          <w:p w14:paraId="3383898C" w14:textId="3794690E" w:rsidR="007D1ACB" w:rsidRPr="004F7962" w:rsidRDefault="009A0EF7" w:rsidP="00373C34">
            <w:pPr>
              <w:spacing w:before="120" w:after="120"/>
              <w:rPr>
                <w:rFonts w:ascii="Verdana" w:hAnsi="Verdana"/>
              </w:rPr>
            </w:pPr>
            <w:r w:rsidRPr="002A440D">
              <w:rPr>
                <w:rFonts w:ascii="Verdana" w:hAnsi="Verdana"/>
              </w:rPr>
              <w:t>Service Recovery is crucial to a service organization. This process maintains customer and client loyalty. The PBM’s SRU can reverse the negative perceptions and experiences of a member by focusing on the data provided within the SRU complaint</w:t>
            </w:r>
            <w:r w:rsidR="0071506E" w:rsidRPr="002A440D">
              <w:rPr>
                <w:rFonts w:ascii="Verdana" w:hAnsi="Verdana"/>
              </w:rPr>
              <w:t xml:space="preserve">. </w:t>
            </w:r>
            <w:r w:rsidRPr="002A440D">
              <w:rPr>
                <w:rFonts w:ascii="Verdana" w:hAnsi="Verdana"/>
              </w:rPr>
              <w:t>It is the supervisor’s responsibility to coach the representative</w:t>
            </w:r>
            <w:r w:rsidR="0071506E" w:rsidRPr="002A440D">
              <w:rPr>
                <w:rFonts w:ascii="Verdana" w:hAnsi="Verdana"/>
              </w:rPr>
              <w:t xml:space="preserve">. </w:t>
            </w:r>
            <w:r w:rsidRPr="002A440D">
              <w:rPr>
                <w:rFonts w:ascii="Verdana" w:hAnsi="Verdana"/>
              </w:rPr>
              <w:t>Through this coaching, a supervisor can effectively respond to member dissatisfaction and address any deficiencies with the call.</w:t>
            </w:r>
          </w:p>
        </w:tc>
      </w:tr>
      <w:tr w:rsidR="00FA26FC" w:rsidRPr="002A440D" w14:paraId="7B945418" w14:textId="77777777" w:rsidTr="00FA26FC">
        <w:tc>
          <w:tcPr>
            <w:tcW w:w="734" w:type="pct"/>
          </w:tcPr>
          <w:p w14:paraId="3FBA2C31" w14:textId="4EC1D556" w:rsidR="007D1ACB" w:rsidRPr="002A440D" w:rsidRDefault="007D1ACB" w:rsidP="00FA26FC">
            <w:pPr>
              <w:spacing w:before="120" w:after="120"/>
              <w:jc w:val="center"/>
              <w:rPr>
                <w:rFonts w:ascii="Verdana" w:hAnsi="Verdana"/>
                <w:b/>
              </w:rPr>
            </w:pPr>
            <w:r w:rsidRPr="004F7962">
              <w:rPr>
                <w:rFonts w:ascii="Verdana" w:hAnsi="Verdana"/>
                <w:b/>
              </w:rPr>
              <w:t>SRT</w:t>
            </w:r>
          </w:p>
        </w:tc>
        <w:tc>
          <w:tcPr>
            <w:tcW w:w="983" w:type="pct"/>
          </w:tcPr>
          <w:p w14:paraId="426C471A" w14:textId="2EC25827" w:rsidR="007D1ACB" w:rsidRPr="004F7962" w:rsidRDefault="007D1ACB" w:rsidP="00373C34">
            <w:pPr>
              <w:spacing w:before="120" w:after="120"/>
              <w:rPr>
                <w:rFonts w:ascii="Verdana" w:hAnsi="Verdana"/>
              </w:rPr>
            </w:pPr>
            <w:r w:rsidRPr="004F7962">
              <w:rPr>
                <w:rFonts w:ascii="Verdana" w:hAnsi="Verdana"/>
              </w:rPr>
              <w:t>Senior Team Customer Care Representative</w:t>
            </w:r>
          </w:p>
        </w:tc>
        <w:tc>
          <w:tcPr>
            <w:tcW w:w="3283" w:type="pct"/>
          </w:tcPr>
          <w:p w14:paraId="4EF08111" w14:textId="0E21B5EA" w:rsidR="007D1ACB" w:rsidRPr="004F7962" w:rsidRDefault="00490036" w:rsidP="00373C34">
            <w:pPr>
              <w:spacing w:before="120" w:after="120"/>
              <w:rPr>
                <w:rFonts w:ascii="Verdana" w:hAnsi="Verdana"/>
              </w:rPr>
            </w:pPr>
            <w:r w:rsidRPr="004F7962">
              <w:rPr>
                <w:rFonts w:ascii="Verdana" w:hAnsi="Verdana"/>
              </w:rPr>
              <w:t>Refer to Senior Customer Service Representative</w:t>
            </w:r>
          </w:p>
        </w:tc>
      </w:tr>
      <w:tr w:rsidR="00FA26FC" w:rsidRPr="002A440D" w14:paraId="393926DC" w14:textId="77777777" w:rsidTr="00FA26FC">
        <w:tc>
          <w:tcPr>
            <w:tcW w:w="734" w:type="pct"/>
          </w:tcPr>
          <w:p w14:paraId="046B24A5" w14:textId="77777777" w:rsidR="007D1ACB" w:rsidRPr="002A440D" w:rsidRDefault="007D1ACB" w:rsidP="00FA26FC">
            <w:pPr>
              <w:spacing w:before="120" w:after="120"/>
              <w:jc w:val="center"/>
              <w:rPr>
                <w:rFonts w:ascii="Verdana" w:hAnsi="Verdana"/>
                <w:b/>
              </w:rPr>
            </w:pPr>
            <w:r w:rsidRPr="002A440D">
              <w:rPr>
                <w:rFonts w:ascii="Verdana" w:hAnsi="Verdana"/>
                <w:b/>
              </w:rPr>
              <w:t>SrCCR</w:t>
            </w:r>
          </w:p>
        </w:tc>
        <w:tc>
          <w:tcPr>
            <w:tcW w:w="983" w:type="pct"/>
          </w:tcPr>
          <w:p w14:paraId="70B6D8A6" w14:textId="455FE522" w:rsidR="007D1ACB" w:rsidRPr="004F7962" w:rsidRDefault="007D1ACB" w:rsidP="00373C34">
            <w:pPr>
              <w:spacing w:before="120" w:after="120"/>
              <w:rPr>
                <w:rFonts w:ascii="Verdana" w:hAnsi="Verdana"/>
              </w:rPr>
            </w:pPr>
            <w:r w:rsidRPr="004F7962">
              <w:rPr>
                <w:rFonts w:ascii="Verdana" w:hAnsi="Verdana"/>
              </w:rPr>
              <w:t>Senior Customer Service Representative</w:t>
            </w:r>
          </w:p>
        </w:tc>
        <w:tc>
          <w:tcPr>
            <w:tcW w:w="3283" w:type="pct"/>
          </w:tcPr>
          <w:p w14:paraId="31A244E1" w14:textId="77777777" w:rsidR="007D1ACB" w:rsidRPr="004F7962" w:rsidRDefault="007D1ACB" w:rsidP="00373C34">
            <w:pPr>
              <w:spacing w:before="120" w:after="120"/>
              <w:rPr>
                <w:rFonts w:ascii="Verdana" w:hAnsi="Verdana"/>
              </w:rPr>
            </w:pPr>
            <w:r w:rsidRPr="004F7962">
              <w:rPr>
                <w:rFonts w:ascii="Verdana" w:hAnsi="Verdana"/>
              </w:rPr>
              <w:t>Lead CSR to whom front line staff brings issues to and who reports directly to Supervisor.</w:t>
            </w:r>
          </w:p>
        </w:tc>
      </w:tr>
      <w:tr w:rsidR="00FA26FC" w:rsidRPr="002A440D" w14:paraId="631B25E2" w14:textId="77777777" w:rsidTr="00FA26FC">
        <w:tc>
          <w:tcPr>
            <w:tcW w:w="734" w:type="pct"/>
          </w:tcPr>
          <w:p w14:paraId="7E4D91FF" w14:textId="7B667FCB" w:rsidR="00490036" w:rsidRPr="002A440D" w:rsidRDefault="00490036" w:rsidP="00FA26FC">
            <w:pPr>
              <w:spacing w:before="120" w:after="120"/>
              <w:jc w:val="center"/>
              <w:rPr>
                <w:rFonts w:ascii="Verdana" w:hAnsi="Verdana"/>
                <w:b/>
                <w:bCs/>
              </w:rPr>
            </w:pPr>
            <w:r w:rsidRPr="002A440D">
              <w:rPr>
                <w:rFonts w:ascii="Verdana" w:hAnsi="Verdana"/>
                <w:b/>
                <w:bCs/>
              </w:rPr>
              <w:t>SRU</w:t>
            </w:r>
            <w:r w:rsidR="727DAE55" w:rsidRPr="002A440D">
              <w:rPr>
                <w:rFonts w:ascii="Verdana" w:hAnsi="Verdana"/>
                <w:b/>
                <w:bCs/>
              </w:rPr>
              <w:t xml:space="preserve"> (Replaced </w:t>
            </w:r>
            <w:r w:rsidR="0326B9B2" w:rsidRPr="002A440D">
              <w:rPr>
                <w:rFonts w:ascii="Verdana" w:hAnsi="Verdana"/>
                <w:b/>
                <w:bCs/>
              </w:rPr>
              <w:t>with</w:t>
            </w:r>
            <w:r w:rsidR="727DAE55" w:rsidRPr="002A440D">
              <w:rPr>
                <w:rFonts w:ascii="Verdana" w:hAnsi="Verdana"/>
                <w:b/>
                <w:bCs/>
              </w:rPr>
              <w:t xml:space="preserve"> PRU)</w:t>
            </w:r>
          </w:p>
        </w:tc>
        <w:tc>
          <w:tcPr>
            <w:tcW w:w="983" w:type="pct"/>
          </w:tcPr>
          <w:p w14:paraId="00E6DE39" w14:textId="647B3345" w:rsidR="00490036" w:rsidRPr="004F7962" w:rsidRDefault="00490036" w:rsidP="00373C34">
            <w:pPr>
              <w:spacing w:before="120" w:after="120"/>
              <w:rPr>
                <w:rFonts w:ascii="Verdana" w:hAnsi="Verdana"/>
              </w:rPr>
            </w:pPr>
            <w:r w:rsidRPr="004F7962">
              <w:rPr>
                <w:rFonts w:ascii="Verdana" w:hAnsi="Verdana"/>
              </w:rPr>
              <w:t>Service Recovery Unit</w:t>
            </w:r>
            <w:r w:rsidR="22BD978A" w:rsidRPr="004F7962">
              <w:rPr>
                <w:rFonts w:ascii="Verdana" w:hAnsi="Verdana"/>
              </w:rPr>
              <w:t xml:space="preserve"> (Replaced </w:t>
            </w:r>
            <w:r w:rsidR="01243791" w:rsidRPr="004F7962">
              <w:rPr>
                <w:rFonts w:ascii="Verdana" w:hAnsi="Verdana"/>
              </w:rPr>
              <w:t>with</w:t>
            </w:r>
            <w:r w:rsidR="22BD978A" w:rsidRPr="004F7962">
              <w:rPr>
                <w:rFonts w:ascii="Verdana" w:hAnsi="Verdana"/>
              </w:rPr>
              <w:t xml:space="preserve"> Presidential Recovery Unit)</w:t>
            </w:r>
          </w:p>
        </w:tc>
        <w:tc>
          <w:tcPr>
            <w:tcW w:w="3283" w:type="pct"/>
          </w:tcPr>
          <w:p w14:paraId="5BF798F6" w14:textId="2348F880" w:rsidR="00490036" w:rsidRPr="004F7962" w:rsidRDefault="4574CF4C" w:rsidP="00373C34">
            <w:pPr>
              <w:spacing w:before="120" w:after="120" w:line="259" w:lineRule="auto"/>
              <w:rPr>
                <w:rFonts w:ascii="Verdana" w:hAnsi="Verdana"/>
              </w:rPr>
            </w:pPr>
            <w:r w:rsidRPr="004F7962">
              <w:rPr>
                <w:rFonts w:ascii="Verdana" w:hAnsi="Verdana"/>
              </w:rPr>
              <w:t>Replaced with Pres</w:t>
            </w:r>
            <w:r w:rsidR="14979824" w:rsidRPr="004F7962">
              <w:rPr>
                <w:rFonts w:ascii="Verdana" w:hAnsi="Verdana"/>
              </w:rPr>
              <w:t>i</w:t>
            </w:r>
            <w:r w:rsidRPr="004F7962">
              <w:rPr>
                <w:rFonts w:ascii="Verdana" w:hAnsi="Verdana"/>
              </w:rPr>
              <w:t xml:space="preserve">dential Recovery Unit. </w:t>
            </w:r>
          </w:p>
          <w:p w14:paraId="33E7EA7A" w14:textId="77777777" w:rsidR="00490036" w:rsidRPr="002A440D" w:rsidRDefault="00490036" w:rsidP="00373C34">
            <w:pPr>
              <w:spacing w:before="120" w:after="120"/>
              <w:rPr>
                <w:rFonts w:ascii="Verdana" w:hAnsi="Verdana"/>
                <w:noProof/>
              </w:rPr>
            </w:pPr>
          </w:p>
        </w:tc>
      </w:tr>
      <w:tr w:rsidR="00FA26FC" w:rsidRPr="002A440D" w14:paraId="419B545F" w14:textId="77777777" w:rsidTr="00FA26FC">
        <w:tc>
          <w:tcPr>
            <w:tcW w:w="734" w:type="pct"/>
          </w:tcPr>
          <w:p w14:paraId="60948576" w14:textId="77777777" w:rsidR="007D1ACB" w:rsidRPr="002A440D" w:rsidRDefault="007D1ACB" w:rsidP="00FA26FC">
            <w:pPr>
              <w:spacing w:before="120" w:after="120"/>
              <w:jc w:val="center"/>
              <w:rPr>
                <w:rFonts w:ascii="Verdana" w:hAnsi="Verdana"/>
                <w:b/>
              </w:rPr>
            </w:pPr>
            <w:r w:rsidRPr="002A440D">
              <w:rPr>
                <w:rFonts w:ascii="Verdana" w:hAnsi="Verdana"/>
                <w:b/>
              </w:rPr>
              <w:t>SSA</w:t>
            </w:r>
          </w:p>
        </w:tc>
        <w:tc>
          <w:tcPr>
            <w:tcW w:w="983" w:type="pct"/>
          </w:tcPr>
          <w:p w14:paraId="3CD0DAE8" w14:textId="77777777" w:rsidR="007D1ACB" w:rsidRPr="004F7962" w:rsidRDefault="007D1ACB" w:rsidP="00373C34">
            <w:pPr>
              <w:spacing w:before="120" w:after="120"/>
              <w:rPr>
                <w:rFonts w:ascii="Verdana" w:hAnsi="Verdana"/>
              </w:rPr>
            </w:pPr>
            <w:r w:rsidRPr="004F7962">
              <w:rPr>
                <w:rFonts w:ascii="Verdana" w:hAnsi="Verdana"/>
              </w:rPr>
              <w:t>Social Security Administration</w:t>
            </w:r>
          </w:p>
        </w:tc>
        <w:tc>
          <w:tcPr>
            <w:tcW w:w="3283" w:type="pct"/>
          </w:tcPr>
          <w:p w14:paraId="514AE761" w14:textId="50E1DA89" w:rsidR="007D1ACB" w:rsidRPr="004F7962" w:rsidRDefault="007D1ACB" w:rsidP="00373C34">
            <w:pPr>
              <w:spacing w:before="120" w:after="120"/>
              <w:rPr>
                <w:rFonts w:ascii="Verdana" w:hAnsi="Verdana"/>
              </w:rPr>
            </w:pPr>
            <w:r w:rsidRPr="004F7962">
              <w:rPr>
                <w:rFonts w:ascii="Verdana" w:hAnsi="Verdana"/>
              </w:rPr>
              <w:t>A government program that provides retirement benefits and economic assistance to persons faced with a disability.</w:t>
            </w:r>
          </w:p>
        </w:tc>
      </w:tr>
      <w:tr w:rsidR="00FA26FC" w:rsidRPr="002A440D" w14:paraId="09B4ADCF" w14:textId="77777777" w:rsidTr="00FA26FC">
        <w:tc>
          <w:tcPr>
            <w:tcW w:w="734" w:type="pct"/>
          </w:tcPr>
          <w:p w14:paraId="7F009C12" w14:textId="77777777" w:rsidR="007D1ACB" w:rsidRPr="002A440D" w:rsidRDefault="007D1ACB" w:rsidP="00FA26FC">
            <w:pPr>
              <w:spacing w:before="120" w:after="120"/>
              <w:jc w:val="center"/>
              <w:rPr>
                <w:rFonts w:ascii="Verdana" w:hAnsi="Verdana"/>
                <w:b/>
              </w:rPr>
            </w:pPr>
            <w:r w:rsidRPr="002A440D">
              <w:rPr>
                <w:rFonts w:ascii="Verdana" w:hAnsi="Verdana"/>
                <w:b/>
              </w:rPr>
              <w:t>SSA/RRB</w:t>
            </w:r>
          </w:p>
          <w:p w14:paraId="55705D64" w14:textId="26417ADF" w:rsidR="007D1ACB" w:rsidRPr="002A440D" w:rsidRDefault="007D1ACB" w:rsidP="00FA26FC">
            <w:pPr>
              <w:spacing w:before="120" w:after="120"/>
              <w:jc w:val="center"/>
              <w:rPr>
                <w:rFonts w:ascii="Verdana" w:hAnsi="Verdana"/>
                <w:b/>
              </w:rPr>
            </w:pPr>
          </w:p>
        </w:tc>
        <w:tc>
          <w:tcPr>
            <w:tcW w:w="983" w:type="pct"/>
          </w:tcPr>
          <w:p w14:paraId="52BBB319" w14:textId="77777777" w:rsidR="007D1ACB" w:rsidRPr="004F7962" w:rsidRDefault="007D1ACB" w:rsidP="00373C34">
            <w:pPr>
              <w:spacing w:before="120" w:after="120"/>
              <w:rPr>
                <w:rFonts w:ascii="Verdana" w:hAnsi="Verdana"/>
              </w:rPr>
            </w:pPr>
          </w:p>
        </w:tc>
        <w:tc>
          <w:tcPr>
            <w:tcW w:w="3283" w:type="pct"/>
          </w:tcPr>
          <w:p w14:paraId="05D2A3E5" w14:textId="77777777" w:rsidR="007D1ACB" w:rsidRPr="004F7962" w:rsidRDefault="007D1ACB" w:rsidP="00373C34">
            <w:pPr>
              <w:spacing w:before="120" w:after="120"/>
              <w:rPr>
                <w:rFonts w:ascii="Verdana" w:hAnsi="Verdana"/>
              </w:rPr>
            </w:pPr>
            <w:r w:rsidRPr="004F7962">
              <w:rPr>
                <w:rFonts w:ascii="Verdana" w:hAnsi="Verdana"/>
                <w:b/>
                <w:bCs/>
              </w:rPr>
              <w:t>SSA/RRB PWO Withholding</w:t>
            </w:r>
            <w:r w:rsidRPr="004F7962">
              <w:rPr>
                <w:rFonts w:ascii="Verdana" w:hAnsi="Verdana"/>
              </w:rPr>
              <w:t xml:space="preserve"> - Withholding of the Medicare Part D Premium from the beneficiary’s Social Security Administration (SSA) or Railroad Retirement Board (RRB) benefit.</w:t>
            </w:r>
          </w:p>
          <w:p w14:paraId="7CE64B8C"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 xml:space="preserve">The monthly premium is automatically withheld from the beneficiary’s monthly. </w:t>
            </w:r>
          </w:p>
          <w:p w14:paraId="29ED4561"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 xml:space="preserve">The beneficiary does NOT receive a monthly invoice statement. </w:t>
            </w:r>
          </w:p>
          <w:p w14:paraId="0E8B561C"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If the beneficiary has been terminated, otherwise disenrolled, had a balance due prior to the withholding effective date or a credit balance on file, a Premium Billing Statement may be sent on request.</w:t>
            </w:r>
          </w:p>
          <w:p w14:paraId="127328AC"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This payment method is subject to restriction and approval by the Social Security/Railroad Board and CMS.</w:t>
            </w:r>
          </w:p>
          <w:p w14:paraId="66EC004F"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Beneficiaries should continue to pay all monthly premium invoices until their request has been approved and is effective, requests can take 1 or more months for approval and processing.</w:t>
            </w:r>
          </w:p>
          <w:p w14:paraId="06D4CEE3" w14:textId="77777777" w:rsidR="007D1ACB" w:rsidRPr="004F7962" w:rsidRDefault="007D1ACB" w:rsidP="0067793B">
            <w:pPr>
              <w:pStyle w:val="ListParagraph"/>
              <w:numPr>
                <w:ilvl w:val="0"/>
                <w:numId w:val="102"/>
              </w:numPr>
              <w:spacing w:before="120" w:after="120"/>
              <w:ind w:left="432" w:hanging="360"/>
              <w:contextualSpacing w:val="0"/>
              <w:rPr>
                <w:rFonts w:ascii="Verdana" w:hAnsi="Verdana"/>
                <w:sz w:val="24"/>
                <w:szCs w:val="24"/>
              </w:rPr>
            </w:pPr>
            <w:r w:rsidRPr="004F7962">
              <w:rPr>
                <w:rFonts w:ascii="Verdana" w:hAnsi="Verdana"/>
                <w:sz w:val="24"/>
                <w:szCs w:val="24"/>
              </w:rPr>
              <w:t>SSA/RRB PWO Withholding changes may be initiated by the beneficiary or by CMS directly due to PBP changes or other beneficiary status changes within SSA/RRB or CMS.</w:t>
            </w:r>
          </w:p>
          <w:p w14:paraId="53B9606A" w14:textId="3E04AC4B" w:rsidR="007D1ACB" w:rsidRPr="002A440D" w:rsidRDefault="007D1ACB" w:rsidP="0067793B">
            <w:pPr>
              <w:pStyle w:val="ListParagraph"/>
              <w:numPr>
                <w:ilvl w:val="0"/>
                <w:numId w:val="102"/>
              </w:numPr>
              <w:spacing w:before="120" w:after="120"/>
              <w:ind w:left="432" w:hanging="360"/>
              <w:contextualSpacing w:val="0"/>
              <w:rPr>
                <w:rFonts w:ascii="Verdana" w:hAnsi="Verdana"/>
                <w:sz w:val="24"/>
                <w:szCs w:val="24"/>
              </w:rPr>
            </w:pPr>
            <w:r w:rsidRPr="002A440D">
              <w:rPr>
                <w:rFonts w:ascii="Verdana" w:hAnsi="Verdana"/>
                <w:sz w:val="24"/>
                <w:szCs w:val="24"/>
              </w:rPr>
              <w:t>This method is not available for beneficiaries enrolled in any EGWP plan (with a PBP in the 800 series), 100% LIS beneficiaries at or below benchmark, or individuals with a temporary HICN.</w:t>
            </w:r>
          </w:p>
        </w:tc>
      </w:tr>
      <w:tr w:rsidR="00FA26FC" w:rsidRPr="002A440D" w14:paraId="347BF68F" w14:textId="77777777" w:rsidTr="00FA26FC">
        <w:tc>
          <w:tcPr>
            <w:tcW w:w="734" w:type="pct"/>
          </w:tcPr>
          <w:p w14:paraId="1881C212" w14:textId="536B51B1" w:rsidR="00F46CAC" w:rsidRPr="002A440D" w:rsidRDefault="009446FA" w:rsidP="00FA26FC">
            <w:pPr>
              <w:spacing w:before="120" w:after="120"/>
              <w:jc w:val="center"/>
              <w:rPr>
                <w:rFonts w:ascii="Verdana" w:hAnsi="Verdana"/>
                <w:b/>
              </w:rPr>
            </w:pPr>
            <w:r w:rsidRPr="002A440D">
              <w:rPr>
                <w:rFonts w:ascii="Verdana" w:hAnsi="Verdana"/>
                <w:b/>
              </w:rPr>
              <w:t>SSB</w:t>
            </w:r>
          </w:p>
        </w:tc>
        <w:tc>
          <w:tcPr>
            <w:tcW w:w="983" w:type="pct"/>
          </w:tcPr>
          <w:p w14:paraId="44FEF6F1" w14:textId="1642F0B9" w:rsidR="00F46CAC" w:rsidRPr="004F7962" w:rsidRDefault="009446FA" w:rsidP="00373C34">
            <w:pPr>
              <w:spacing w:before="120" w:after="120"/>
              <w:rPr>
                <w:rFonts w:ascii="Verdana" w:hAnsi="Verdana"/>
              </w:rPr>
            </w:pPr>
            <w:r w:rsidRPr="004F7962">
              <w:rPr>
                <w:rFonts w:ascii="Verdana" w:hAnsi="Verdana"/>
              </w:rPr>
              <w:t>Saved Scan Batch</w:t>
            </w:r>
          </w:p>
        </w:tc>
        <w:tc>
          <w:tcPr>
            <w:tcW w:w="3283" w:type="pct"/>
          </w:tcPr>
          <w:p w14:paraId="0454638E" w14:textId="6298B470" w:rsidR="00F46CAC" w:rsidRPr="004F7962" w:rsidRDefault="009446FA" w:rsidP="00373C34">
            <w:pPr>
              <w:spacing w:before="120" w:after="120"/>
              <w:rPr>
                <w:rFonts w:ascii="Verdana" w:hAnsi="Verdana"/>
              </w:rPr>
            </w:pPr>
            <w:r w:rsidRPr="004F7962">
              <w:rPr>
                <w:rFonts w:ascii="Verdana" w:hAnsi="Verdana"/>
              </w:rPr>
              <w:t xml:space="preserve">Capture images of documents, which will include forms, checks, and prescriptions as they are scanned via the Kodak and IBML scanners. </w:t>
            </w:r>
          </w:p>
        </w:tc>
      </w:tr>
      <w:tr w:rsidR="00FA26FC" w:rsidRPr="002A440D" w14:paraId="0CED1F37" w14:textId="77777777" w:rsidTr="00FA26FC">
        <w:tc>
          <w:tcPr>
            <w:tcW w:w="734" w:type="pct"/>
          </w:tcPr>
          <w:p w14:paraId="1B7FC862" w14:textId="04ABD914" w:rsidR="007D1ACB" w:rsidRPr="002A440D" w:rsidRDefault="007D1ACB" w:rsidP="00FA26FC">
            <w:pPr>
              <w:spacing w:before="120" w:after="120"/>
              <w:jc w:val="center"/>
              <w:rPr>
                <w:rFonts w:ascii="Verdana" w:hAnsi="Verdana"/>
                <w:b/>
              </w:rPr>
            </w:pPr>
            <w:r w:rsidRPr="002A440D">
              <w:rPr>
                <w:rFonts w:ascii="Verdana" w:hAnsi="Verdana"/>
                <w:b/>
              </w:rPr>
              <w:t>SSC</w:t>
            </w:r>
          </w:p>
        </w:tc>
        <w:tc>
          <w:tcPr>
            <w:tcW w:w="983" w:type="pct"/>
          </w:tcPr>
          <w:p w14:paraId="2E068987" w14:textId="6AC5EE3D" w:rsidR="007D1ACB" w:rsidRPr="004F7962" w:rsidRDefault="007D1ACB" w:rsidP="00373C34">
            <w:pPr>
              <w:spacing w:before="120" w:after="120"/>
              <w:rPr>
                <w:rFonts w:ascii="Verdana" w:hAnsi="Verdana"/>
              </w:rPr>
            </w:pPr>
            <w:r w:rsidRPr="004F7962">
              <w:rPr>
                <w:rFonts w:ascii="Verdana" w:hAnsi="Verdana"/>
              </w:rPr>
              <w:t>STOP SEE comment</w:t>
            </w:r>
          </w:p>
        </w:tc>
        <w:tc>
          <w:tcPr>
            <w:tcW w:w="3283" w:type="pct"/>
          </w:tcPr>
          <w:p w14:paraId="4BD6DD1A" w14:textId="49CE0661" w:rsidR="007D1ACB" w:rsidRPr="004F7962" w:rsidRDefault="00490036" w:rsidP="00373C34">
            <w:pPr>
              <w:spacing w:before="120" w:after="120"/>
              <w:rPr>
                <w:rFonts w:ascii="Verdana" w:hAnsi="Verdana"/>
              </w:rPr>
            </w:pPr>
            <w:r w:rsidRPr="004F7962">
              <w:rPr>
                <w:rFonts w:ascii="Verdana" w:hAnsi="Verdana"/>
              </w:rPr>
              <w:t>A note that is left on the account in a way that forces it to pull up every time the account is open</w:t>
            </w:r>
            <w:r w:rsidR="0071506E" w:rsidRPr="004F7962">
              <w:rPr>
                <w:rFonts w:ascii="Verdana" w:hAnsi="Verdana"/>
              </w:rPr>
              <w:t xml:space="preserve">. </w:t>
            </w:r>
            <w:r w:rsidRPr="004F7962">
              <w:rPr>
                <w:rFonts w:ascii="Verdana" w:hAnsi="Verdana"/>
              </w:rPr>
              <w:t>Can be temporary or permanent.</w:t>
            </w:r>
          </w:p>
        </w:tc>
      </w:tr>
      <w:tr w:rsidR="00FA26FC" w:rsidRPr="002A440D" w14:paraId="0A02A000" w14:textId="77777777" w:rsidTr="00FA26FC">
        <w:tc>
          <w:tcPr>
            <w:tcW w:w="734" w:type="pct"/>
            <w:vMerge w:val="restart"/>
          </w:tcPr>
          <w:p w14:paraId="2F193706" w14:textId="0389897F" w:rsidR="00FA26FC" w:rsidRPr="002A440D" w:rsidRDefault="00FA26FC" w:rsidP="0067793B">
            <w:pPr>
              <w:spacing w:before="120" w:after="120"/>
              <w:jc w:val="center"/>
              <w:rPr>
                <w:rFonts w:ascii="Verdana" w:hAnsi="Verdana"/>
                <w:b/>
              </w:rPr>
            </w:pPr>
            <w:r w:rsidRPr="002A440D">
              <w:rPr>
                <w:rFonts w:ascii="Verdana" w:hAnsi="Verdana"/>
                <w:b/>
              </w:rPr>
              <w:t>SS</w:t>
            </w:r>
            <w:r>
              <w:rPr>
                <w:rFonts w:ascii="Verdana" w:hAnsi="Verdana"/>
                <w:b/>
              </w:rPr>
              <w:t>I</w:t>
            </w:r>
          </w:p>
          <w:p w14:paraId="7FD3429D" w14:textId="13386DB0" w:rsidR="00FA26FC" w:rsidRPr="002A440D" w:rsidRDefault="00FA26FC" w:rsidP="00FA26FC">
            <w:pPr>
              <w:spacing w:before="120" w:after="120"/>
              <w:jc w:val="center"/>
              <w:rPr>
                <w:rFonts w:ascii="Verdana" w:hAnsi="Verdana"/>
                <w:b/>
              </w:rPr>
            </w:pPr>
          </w:p>
        </w:tc>
        <w:tc>
          <w:tcPr>
            <w:tcW w:w="983" w:type="pct"/>
          </w:tcPr>
          <w:p w14:paraId="66AF85BB" w14:textId="77777777" w:rsidR="00FA26FC" w:rsidRPr="004F7962" w:rsidRDefault="00FA26FC" w:rsidP="00373C34">
            <w:pPr>
              <w:spacing w:before="120" w:after="120"/>
              <w:rPr>
                <w:rFonts w:ascii="Verdana" w:hAnsi="Verdana"/>
              </w:rPr>
            </w:pPr>
            <w:r w:rsidRPr="004F7962">
              <w:rPr>
                <w:rFonts w:ascii="Verdana" w:hAnsi="Verdana"/>
              </w:rPr>
              <w:t>SilverScript LLC</w:t>
            </w:r>
          </w:p>
        </w:tc>
        <w:tc>
          <w:tcPr>
            <w:tcW w:w="3283" w:type="pct"/>
          </w:tcPr>
          <w:p w14:paraId="7E11C013" w14:textId="428442B1" w:rsidR="00FA26FC" w:rsidRPr="004F7962" w:rsidRDefault="00FA26FC" w:rsidP="00373C34">
            <w:pPr>
              <w:spacing w:before="120" w:after="120"/>
              <w:rPr>
                <w:rFonts w:ascii="Verdana" w:hAnsi="Verdana"/>
              </w:rPr>
            </w:pPr>
            <w:r w:rsidRPr="004F7962">
              <w:rPr>
                <w:rFonts w:ascii="Verdana" w:hAnsi="Verdana"/>
              </w:rPr>
              <w:t>Our company that holds a contract for Medicare Services.</w:t>
            </w:r>
          </w:p>
        </w:tc>
      </w:tr>
      <w:tr w:rsidR="00FA26FC" w:rsidRPr="002A440D" w14:paraId="00EE7827" w14:textId="77777777" w:rsidTr="00FA26FC">
        <w:tc>
          <w:tcPr>
            <w:tcW w:w="734" w:type="pct"/>
            <w:vMerge/>
          </w:tcPr>
          <w:p w14:paraId="005D9FE4" w14:textId="77777777" w:rsidR="00FA26FC" w:rsidRPr="002A440D" w:rsidRDefault="00FA26FC" w:rsidP="00FA26FC">
            <w:pPr>
              <w:spacing w:before="120" w:after="120"/>
              <w:jc w:val="center"/>
              <w:rPr>
                <w:rFonts w:ascii="Verdana" w:hAnsi="Verdana"/>
                <w:b/>
              </w:rPr>
            </w:pPr>
          </w:p>
        </w:tc>
        <w:tc>
          <w:tcPr>
            <w:tcW w:w="983" w:type="pct"/>
          </w:tcPr>
          <w:p w14:paraId="22CB8DAD" w14:textId="77777777" w:rsidR="00FA26FC" w:rsidRPr="004F7962" w:rsidRDefault="00FA26FC" w:rsidP="00373C34">
            <w:pPr>
              <w:spacing w:before="120" w:after="120"/>
              <w:rPr>
                <w:rFonts w:ascii="Verdana" w:hAnsi="Verdana"/>
              </w:rPr>
            </w:pPr>
            <w:r w:rsidRPr="004F7962">
              <w:rPr>
                <w:rFonts w:ascii="Verdana" w:hAnsi="Verdana"/>
              </w:rPr>
              <w:t xml:space="preserve">Social Security Insurance </w:t>
            </w:r>
          </w:p>
        </w:tc>
        <w:tc>
          <w:tcPr>
            <w:tcW w:w="3283" w:type="pct"/>
          </w:tcPr>
          <w:p w14:paraId="7606E0E4" w14:textId="4B69F642" w:rsidR="00FA26FC" w:rsidRPr="004F7962" w:rsidRDefault="00FA26FC" w:rsidP="00373C34">
            <w:pPr>
              <w:spacing w:before="120" w:after="120"/>
              <w:rPr>
                <w:rFonts w:ascii="Verdana" w:hAnsi="Verdana"/>
              </w:rPr>
            </w:pPr>
            <w:r w:rsidRPr="004F7962">
              <w:rPr>
                <w:rFonts w:ascii="Verdana" w:hAnsi="Verdana"/>
              </w:rPr>
              <w:t xml:space="preserve">A Federal income supplement program designed to provide cash to meet basic needs for people who are aged, blind, and disabled who have little or no income. Source:  </w:t>
            </w:r>
            <w:hyperlink r:id="rId11" w:history="1">
              <w:r w:rsidRPr="004F7962">
                <w:rPr>
                  <w:rStyle w:val="Hyperlink"/>
                  <w:rFonts w:ascii="Verdana" w:hAnsi="Verdana"/>
                </w:rPr>
                <w:t>http://www.ssa.gov/ssi/</w:t>
              </w:r>
            </w:hyperlink>
            <w:r w:rsidRPr="004F7962">
              <w:rPr>
                <w:rFonts w:ascii="Verdana" w:hAnsi="Verdana"/>
              </w:rPr>
              <w:t xml:space="preserve">. </w:t>
            </w:r>
          </w:p>
        </w:tc>
      </w:tr>
      <w:tr w:rsidR="00FA26FC" w:rsidRPr="002A440D" w14:paraId="19C8CFA2" w14:textId="77777777" w:rsidTr="00FA26FC">
        <w:tc>
          <w:tcPr>
            <w:tcW w:w="734" w:type="pct"/>
          </w:tcPr>
          <w:p w14:paraId="5784243E" w14:textId="77777777" w:rsidR="007D1ACB" w:rsidRPr="002A440D" w:rsidRDefault="007D1ACB" w:rsidP="00FA26FC">
            <w:pPr>
              <w:spacing w:before="120" w:after="120"/>
              <w:jc w:val="center"/>
              <w:rPr>
                <w:rFonts w:ascii="Verdana" w:hAnsi="Verdana"/>
                <w:b/>
              </w:rPr>
            </w:pPr>
            <w:r w:rsidRPr="002A440D">
              <w:rPr>
                <w:rFonts w:ascii="Verdana" w:hAnsi="Verdana"/>
                <w:b/>
              </w:rPr>
              <w:t>SSIC</w:t>
            </w:r>
          </w:p>
        </w:tc>
        <w:tc>
          <w:tcPr>
            <w:tcW w:w="983" w:type="pct"/>
          </w:tcPr>
          <w:p w14:paraId="036F4195" w14:textId="77777777" w:rsidR="007D1ACB" w:rsidRPr="004F7962" w:rsidRDefault="007D1ACB" w:rsidP="00373C34">
            <w:pPr>
              <w:spacing w:before="120" w:after="120"/>
              <w:rPr>
                <w:rFonts w:ascii="Verdana" w:hAnsi="Verdana"/>
              </w:rPr>
            </w:pPr>
            <w:r w:rsidRPr="004F7962">
              <w:rPr>
                <w:rFonts w:ascii="Verdana" w:hAnsi="Verdana"/>
              </w:rPr>
              <w:t>SilverScript Insurance</w:t>
            </w:r>
          </w:p>
        </w:tc>
        <w:tc>
          <w:tcPr>
            <w:tcW w:w="3283" w:type="pct"/>
          </w:tcPr>
          <w:p w14:paraId="00B423AA" w14:textId="16935701" w:rsidR="007D1ACB" w:rsidRPr="004F7962" w:rsidRDefault="007D1ACB" w:rsidP="00373C34">
            <w:pPr>
              <w:spacing w:before="120" w:after="120"/>
              <w:rPr>
                <w:rFonts w:ascii="Verdana" w:hAnsi="Verdana"/>
              </w:rPr>
            </w:pPr>
            <w:r w:rsidRPr="004F7962">
              <w:rPr>
                <w:rFonts w:ascii="Verdana" w:hAnsi="Verdana"/>
              </w:rPr>
              <w:t>A CVS Health subsidiary that has contracted with Centers for Medicare and Medicaid Services (CMS) as a Medicare Part D Plan Sponsor</w:t>
            </w:r>
          </w:p>
        </w:tc>
      </w:tr>
      <w:tr w:rsidR="00FA26FC" w:rsidRPr="002A440D" w14:paraId="471A7B7D" w14:textId="77777777" w:rsidTr="00FA26FC">
        <w:tc>
          <w:tcPr>
            <w:tcW w:w="734" w:type="pct"/>
          </w:tcPr>
          <w:p w14:paraId="47D22709" w14:textId="356B55B2" w:rsidR="007D1ACB" w:rsidRPr="002A440D" w:rsidRDefault="007D1ACB" w:rsidP="00FA26FC">
            <w:pPr>
              <w:spacing w:before="120" w:after="120"/>
              <w:jc w:val="center"/>
              <w:rPr>
                <w:rFonts w:ascii="Verdana" w:hAnsi="Verdana"/>
                <w:b/>
              </w:rPr>
            </w:pPr>
            <w:r w:rsidRPr="002A440D">
              <w:rPr>
                <w:rFonts w:ascii="Verdana" w:hAnsi="Verdana"/>
                <w:b/>
              </w:rPr>
              <w:t>SSLLC</w:t>
            </w:r>
          </w:p>
        </w:tc>
        <w:tc>
          <w:tcPr>
            <w:tcW w:w="983" w:type="pct"/>
          </w:tcPr>
          <w:p w14:paraId="6430578D" w14:textId="77777777" w:rsidR="007D1ACB" w:rsidRPr="004F7962" w:rsidRDefault="007D1ACB" w:rsidP="00373C34">
            <w:pPr>
              <w:spacing w:before="120" w:after="120"/>
              <w:rPr>
                <w:rFonts w:ascii="Verdana" w:hAnsi="Verdana"/>
              </w:rPr>
            </w:pPr>
          </w:p>
        </w:tc>
        <w:tc>
          <w:tcPr>
            <w:tcW w:w="3283" w:type="pct"/>
          </w:tcPr>
          <w:p w14:paraId="2D9BA520" w14:textId="77777777" w:rsidR="007D1ACB" w:rsidRPr="004F7962" w:rsidRDefault="007D1ACB" w:rsidP="00373C34">
            <w:pPr>
              <w:spacing w:before="120" w:after="120"/>
              <w:rPr>
                <w:rFonts w:ascii="Verdana" w:hAnsi="Verdana"/>
              </w:rPr>
            </w:pPr>
            <w:r w:rsidRPr="004F7962">
              <w:rPr>
                <w:rFonts w:ascii="Verdana" w:hAnsi="Verdana"/>
              </w:rPr>
              <w:t xml:space="preserve">The former name of the CVS Caremark subsidiary that provides certain pharmacy benefit management services to Medicare Part D prescription drug plans, now called CVS Caremark Part D Services, L.L.C. </w:t>
            </w:r>
          </w:p>
        </w:tc>
      </w:tr>
      <w:tr w:rsidR="00FA26FC" w:rsidRPr="002A440D" w14:paraId="638C8EED" w14:textId="77777777" w:rsidTr="00FA26FC">
        <w:tc>
          <w:tcPr>
            <w:tcW w:w="734" w:type="pct"/>
          </w:tcPr>
          <w:p w14:paraId="5E005375" w14:textId="77777777" w:rsidR="007D1ACB" w:rsidRPr="002A440D" w:rsidRDefault="007D1ACB" w:rsidP="00FA26FC">
            <w:pPr>
              <w:spacing w:before="120" w:after="120"/>
              <w:jc w:val="center"/>
              <w:rPr>
                <w:rFonts w:ascii="Verdana" w:hAnsi="Verdana"/>
                <w:b/>
              </w:rPr>
            </w:pPr>
            <w:r w:rsidRPr="002A440D">
              <w:rPr>
                <w:rFonts w:ascii="Verdana" w:hAnsi="Verdana"/>
                <w:b/>
              </w:rPr>
              <w:t>SSN</w:t>
            </w:r>
          </w:p>
        </w:tc>
        <w:tc>
          <w:tcPr>
            <w:tcW w:w="983" w:type="pct"/>
          </w:tcPr>
          <w:p w14:paraId="4D8EA2AB" w14:textId="77777777" w:rsidR="007D1ACB" w:rsidRPr="004F7962" w:rsidRDefault="007D1ACB" w:rsidP="00373C34">
            <w:pPr>
              <w:spacing w:before="120" w:after="120"/>
              <w:rPr>
                <w:rFonts w:ascii="Verdana" w:hAnsi="Verdana"/>
              </w:rPr>
            </w:pPr>
            <w:r w:rsidRPr="004F7962">
              <w:rPr>
                <w:rFonts w:ascii="Verdana" w:hAnsi="Verdana"/>
              </w:rPr>
              <w:t>Social Security Number</w:t>
            </w:r>
          </w:p>
        </w:tc>
        <w:tc>
          <w:tcPr>
            <w:tcW w:w="3283" w:type="pct"/>
          </w:tcPr>
          <w:p w14:paraId="3FC42A03" w14:textId="232B5CB0" w:rsidR="007D1ACB" w:rsidRPr="004F7962" w:rsidRDefault="007D1ACB" w:rsidP="00373C34">
            <w:pPr>
              <w:spacing w:before="120" w:after="120"/>
              <w:rPr>
                <w:rFonts w:ascii="Verdana" w:hAnsi="Verdana"/>
              </w:rPr>
            </w:pPr>
            <w:r w:rsidRPr="004F7962">
              <w:rPr>
                <w:rFonts w:ascii="Verdana" w:hAnsi="Verdana"/>
              </w:rPr>
              <w:t>Assigned number that follows an individual through life from the time you are a year old until death</w:t>
            </w:r>
            <w:r w:rsidR="0071506E" w:rsidRPr="004F7962">
              <w:rPr>
                <w:rFonts w:ascii="Verdana" w:hAnsi="Verdana"/>
              </w:rPr>
              <w:t xml:space="preserve">. </w:t>
            </w:r>
            <w:r w:rsidRPr="004F7962">
              <w:rPr>
                <w:rFonts w:ascii="Verdana" w:hAnsi="Verdana"/>
              </w:rPr>
              <w:t xml:space="preserve">This number is a unique identification, which </w:t>
            </w:r>
            <w:r w:rsidRPr="004F7962">
              <w:rPr>
                <w:rFonts w:ascii="Verdana" w:hAnsi="Verdana"/>
                <w:iCs/>
              </w:rPr>
              <w:t>may</w:t>
            </w:r>
            <w:r w:rsidRPr="004F7962">
              <w:rPr>
                <w:rFonts w:ascii="Verdana" w:hAnsi="Verdana"/>
              </w:rPr>
              <w:t xml:space="preserve"> be used by our clients to identify a particular cardholder</w:t>
            </w:r>
            <w:r w:rsidR="0071506E" w:rsidRPr="004F7962">
              <w:rPr>
                <w:rFonts w:ascii="Verdana" w:hAnsi="Verdana"/>
              </w:rPr>
              <w:t xml:space="preserve">. </w:t>
            </w:r>
            <w:r w:rsidRPr="004F7962">
              <w:rPr>
                <w:rFonts w:ascii="Verdana" w:hAnsi="Verdana"/>
              </w:rPr>
              <w:t xml:space="preserve">Privacy compliance and confidentiality of this identifier must be maintained. </w:t>
            </w:r>
          </w:p>
        </w:tc>
      </w:tr>
      <w:tr w:rsidR="00FA26FC" w:rsidRPr="002A440D" w14:paraId="799358ED" w14:textId="77777777" w:rsidTr="00FA26FC">
        <w:tc>
          <w:tcPr>
            <w:tcW w:w="734" w:type="pct"/>
          </w:tcPr>
          <w:p w14:paraId="22541223" w14:textId="77777777" w:rsidR="007D1ACB" w:rsidRPr="002A440D" w:rsidRDefault="007D1ACB" w:rsidP="00FA26FC">
            <w:pPr>
              <w:spacing w:before="120" w:after="120"/>
              <w:jc w:val="center"/>
              <w:rPr>
                <w:rFonts w:ascii="Verdana" w:hAnsi="Verdana"/>
                <w:b/>
              </w:rPr>
            </w:pPr>
            <w:r w:rsidRPr="002A440D">
              <w:rPr>
                <w:rFonts w:ascii="Verdana" w:hAnsi="Verdana"/>
                <w:b/>
              </w:rPr>
              <w:t>STCOB</w:t>
            </w:r>
          </w:p>
        </w:tc>
        <w:tc>
          <w:tcPr>
            <w:tcW w:w="983" w:type="pct"/>
          </w:tcPr>
          <w:p w14:paraId="0E487BBF" w14:textId="77777777" w:rsidR="007D1ACB" w:rsidRPr="004F7962" w:rsidRDefault="007D1ACB" w:rsidP="00373C34">
            <w:pPr>
              <w:spacing w:before="120" w:after="120"/>
              <w:rPr>
                <w:rFonts w:ascii="Verdana" w:hAnsi="Verdana"/>
              </w:rPr>
            </w:pPr>
            <w:r w:rsidRPr="004F7962">
              <w:rPr>
                <w:rFonts w:ascii="Verdana" w:hAnsi="Verdana"/>
              </w:rPr>
              <w:t>Single Transaction Coordination of Benefits</w:t>
            </w:r>
          </w:p>
        </w:tc>
        <w:tc>
          <w:tcPr>
            <w:tcW w:w="3283" w:type="pct"/>
          </w:tcPr>
          <w:p w14:paraId="0DBFF641" w14:textId="77777777" w:rsidR="007D1ACB" w:rsidRPr="004F7962" w:rsidRDefault="007D1ACB" w:rsidP="00373C34">
            <w:pPr>
              <w:spacing w:before="120" w:after="120"/>
              <w:rPr>
                <w:rFonts w:ascii="Verdana" w:hAnsi="Verdana"/>
              </w:rPr>
            </w:pPr>
            <w:r w:rsidRPr="004F7962">
              <w:rPr>
                <w:rFonts w:ascii="Verdana" w:hAnsi="Verdana"/>
              </w:rPr>
              <w:t>Single Transaction Coordination of Benefits (STCOB) allows the pharmacy to submit one transaction that will essentially process a claim through the plan beneficiary’s primary and secondary insurance plans and return only one response to the pharmacy.</w:t>
            </w:r>
          </w:p>
          <w:p w14:paraId="1856C101" w14:textId="77777777" w:rsidR="007D1ACB" w:rsidRPr="004F7962" w:rsidRDefault="007D1ACB" w:rsidP="00373C34">
            <w:pPr>
              <w:tabs>
                <w:tab w:val="num" w:pos="720"/>
              </w:tabs>
              <w:spacing w:before="120" w:after="120"/>
              <w:ind w:left="160"/>
              <w:rPr>
                <w:rFonts w:ascii="Verdana" w:hAnsi="Verdana"/>
              </w:rPr>
            </w:pPr>
            <w:r w:rsidRPr="004F7962">
              <w:rPr>
                <w:rFonts w:ascii="Verdana" w:hAnsi="Verdana"/>
              </w:rPr>
              <w:t> </w:t>
            </w:r>
          </w:p>
          <w:p w14:paraId="02545D7E" w14:textId="69B17402" w:rsidR="007D1ACB" w:rsidRPr="004F7962" w:rsidRDefault="007D1ACB" w:rsidP="00373C34">
            <w:pPr>
              <w:spacing w:before="120" w:after="120"/>
              <w:rPr>
                <w:rFonts w:ascii="Verdana" w:hAnsi="Verdana"/>
              </w:rPr>
            </w:pPr>
            <w:r w:rsidRPr="004F7962">
              <w:rPr>
                <w:rFonts w:ascii="Verdana" w:hAnsi="Verdana"/>
              </w:rPr>
              <w:t>Since current functionality for Coordination of Benefits requires two transactions and results in two separate responses, the single transaction alternative is a much more attractive, highly anticipated option for both clients and pharmacies alike.</w:t>
            </w:r>
          </w:p>
        </w:tc>
      </w:tr>
      <w:tr w:rsidR="00FA26FC" w:rsidRPr="002A440D" w14:paraId="53A8D625" w14:textId="77777777" w:rsidTr="00FA26FC">
        <w:tc>
          <w:tcPr>
            <w:tcW w:w="734" w:type="pct"/>
          </w:tcPr>
          <w:p w14:paraId="24C7781C" w14:textId="6858BA5A" w:rsidR="007D1ACB" w:rsidRPr="002A440D" w:rsidRDefault="007D1ACB" w:rsidP="00FA26FC">
            <w:pPr>
              <w:spacing w:before="120" w:after="120"/>
              <w:jc w:val="center"/>
              <w:rPr>
                <w:rFonts w:ascii="Verdana" w:hAnsi="Verdana"/>
                <w:b/>
              </w:rPr>
            </w:pPr>
            <w:r w:rsidRPr="002A440D">
              <w:rPr>
                <w:rFonts w:ascii="Verdana" w:hAnsi="Verdana"/>
                <w:b/>
              </w:rPr>
              <w:t>STD</w:t>
            </w:r>
          </w:p>
        </w:tc>
        <w:tc>
          <w:tcPr>
            <w:tcW w:w="983" w:type="pct"/>
          </w:tcPr>
          <w:p w14:paraId="135785E5" w14:textId="138DDF63" w:rsidR="007D1ACB" w:rsidRPr="004F7962" w:rsidRDefault="007D1ACB" w:rsidP="00373C34">
            <w:pPr>
              <w:spacing w:before="120" w:after="120"/>
              <w:rPr>
                <w:rFonts w:ascii="Verdana" w:hAnsi="Verdana"/>
                <w:noProof/>
              </w:rPr>
            </w:pPr>
            <w:r w:rsidRPr="004F7962">
              <w:rPr>
                <w:rFonts w:ascii="Verdana" w:hAnsi="Verdana"/>
              </w:rPr>
              <w:t xml:space="preserve">Standard or </w:t>
            </w:r>
            <w:bookmarkStart w:id="12" w:name="OLE_LINK33"/>
            <w:bookmarkStart w:id="13" w:name="OLE_LINK34"/>
            <w:r w:rsidR="0071506E" w:rsidRPr="004F7962">
              <w:rPr>
                <w:rFonts w:ascii="Verdana" w:hAnsi="Verdana"/>
              </w:rPr>
              <w:t>Short-Term</w:t>
            </w:r>
            <w:r w:rsidRPr="004F7962">
              <w:rPr>
                <w:rFonts w:ascii="Verdana" w:hAnsi="Verdana"/>
              </w:rPr>
              <w:t xml:space="preserve"> Disability </w:t>
            </w:r>
            <w:r w:rsidRPr="004F7962">
              <w:rPr>
                <w:rFonts w:ascii="Verdana" w:hAnsi="Verdana"/>
                <w:noProof/>
              </w:rPr>
              <w:t xml:space="preserve"> </w:t>
            </w:r>
            <w:bookmarkEnd w:id="12"/>
            <w:bookmarkEnd w:id="13"/>
          </w:p>
          <w:p w14:paraId="1FB84CC1" w14:textId="77777777" w:rsidR="007D1ACB" w:rsidRPr="004F7962" w:rsidRDefault="007D1ACB" w:rsidP="00373C34">
            <w:pPr>
              <w:spacing w:before="120" w:after="120"/>
              <w:rPr>
                <w:rFonts w:ascii="Verdana" w:hAnsi="Verdana"/>
              </w:rPr>
            </w:pPr>
          </w:p>
        </w:tc>
        <w:tc>
          <w:tcPr>
            <w:tcW w:w="3283" w:type="pct"/>
          </w:tcPr>
          <w:p w14:paraId="7C65422E" w14:textId="2DC10CEC" w:rsidR="007D1ACB" w:rsidRPr="004F7962" w:rsidRDefault="00490036" w:rsidP="00373C34">
            <w:pPr>
              <w:spacing w:before="120" w:after="120"/>
              <w:rPr>
                <w:rFonts w:ascii="Verdana" w:hAnsi="Verdana"/>
              </w:rPr>
            </w:pPr>
            <w:r w:rsidRPr="004F7962">
              <w:rPr>
                <w:rFonts w:ascii="Verdana" w:hAnsi="Verdana"/>
              </w:rPr>
              <w:t xml:space="preserve">A type of insurance benefit that provides some compensation or income replacement for non-job-related injuries or illnesses that render you unable to work for a limited </w:t>
            </w:r>
            <w:r w:rsidR="00A260CD" w:rsidRPr="004F7962">
              <w:rPr>
                <w:rFonts w:ascii="Verdana" w:hAnsi="Verdana"/>
              </w:rPr>
              <w:t>time</w:t>
            </w:r>
            <w:r w:rsidRPr="004F7962">
              <w:rPr>
                <w:rFonts w:ascii="Verdana" w:hAnsi="Verdana"/>
              </w:rPr>
              <w:t>.</w:t>
            </w:r>
          </w:p>
        </w:tc>
      </w:tr>
      <w:tr w:rsidR="00FA26FC" w:rsidRPr="002A440D" w14:paraId="2451A0D7" w14:textId="77777777" w:rsidTr="00FA26FC">
        <w:tc>
          <w:tcPr>
            <w:tcW w:w="734" w:type="pct"/>
          </w:tcPr>
          <w:p w14:paraId="2E6BAF23" w14:textId="77777777" w:rsidR="007D1ACB" w:rsidRPr="002A440D" w:rsidRDefault="007D1ACB" w:rsidP="00FA26FC">
            <w:pPr>
              <w:spacing w:before="120" w:after="120"/>
              <w:jc w:val="center"/>
              <w:rPr>
                <w:rFonts w:ascii="Verdana" w:hAnsi="Verdana"/>
                <w:b/>
              </w:rPr>
            </w:pPr>
            <w:r w:rsidRPr="002A440D">
              <w:rPr>
                <w:rFonts w:ascii="Verdana" w:hAnsi="Verdana"/>
                <w:b/>
              </w:rPr>
              <w:t>STLP</w:t>
            </w:r>
          </w:p>
        </w:tc>
        <w:tc>
          <w:tcPr>
            <w:tcW w:w="983" w:type="pct"/>
          </w:tcPr>
          <w:p w14:paraId="742A923A" w14:textId="77777777" w:rsidR="007D1ACB" w:rsidRPr="004F7962" w:rsidRDefault="007D1ACB" w:rsidP="00373C34">
            <w:pPr>
              <w:spacing w:before="120" w:after="120"/>
              <w:rPr>
                <w:rFonts w:ascii="Verdana" w:hAnsi="Verdana"/>
              </w:rPr>
            </w:pPr>
            <w:r w:rsidRPr="004F7962">
              <w:rPr>
                <w:rFonts w:ascii="Verdana" w:hAnsi="Verdana"/>
              </w:rPr>
              <w:t>Single Transaction Link Primary</w:t>
            </w:r>
          </w:p>
        </w:tc>
        <w:tc>
          <w:tcPr>
            <w:tcW w:w="3283" w:type="pct"/>
          </w:tcPr>
          <w:p w14:paraId="37F74653" w14:textId="0D23606B" w:rsidR="007D1ACB" w:rsidRPr="004F7962" w:rsidRDefault="007D1ACB" w:rsidP="00373C34">
            <w:pPr>
              <w:spacing w:before="120" w:after="120"/>
              <w:rPr>
                <w:rFonts w:ascii="Verdana" w:hAnsi="Verdana"/>
                <w:noProof/>
              </w:rPr>
            </w:pPr>
            <w:r w:rsidRPr="004F7962">
              <w:rPr>
                <w:rFonts w:ascii="Verdana" w:hAnsi="Verdana"/>
                <w:noProof/>
              </w:rPr>
              <w:t>In RxClaim, this show that the plan is set up with the STL link so the claims automically pass through to the secondary and the P/S is to help determine which plan is being viewed:  (P)Primary or (S)Secondary.</w:t>
            </w:r>
          </w:p>
        </w:tc>
      </w:tr>
      <w:tr w:rsidR="00FA26FC" w:rsidRPr="002A440D" w14:paraId="0C3C3025" w14:textId="77777777" w:rsidTr="00FA26FC">
        <w:tc>
          <w:tcPr>
            <w:tcW w:w="734" w:type="pct"/>
          </w:tcPr>
          <w:p w14:paraId="6A9424E8" w14:textId="2EF1FDD1" w:rsidR="007D1ACB" w:rsidRPr="002A440D" w:rsidRDefault="007D1ACB" w:rsidP="0067793B">
            <w:pPr>
              <w:spacing w:before="120" w:after="120"/>
              <w:jc w:val="center"/>
              <w:rPr>
                <w:rFonts w:ascii="Verdana" w:hAnsi="Verdana"/>
                <w:noProof/>
              </w:rPr>
            </w:pPr>
          </w:p>
          <w:p w14:paraId="5058B917" w14:textId="77777777" w:rsidR="007D1ACB" w:rsidRPr="004F7962" w:rsidRDefault="007D1ACB" w:rsidP="00FA26FC">
            <w:pPr>
              <w:spacing w:before="120" w:after="120"/>
              <w:jc w:val="center"/>
              <w:rPr>
                <w:rFonts w:ascii="Verdana" w:hAnsi="Verdana"/>
                <w:b/>
                <w:noProof/>
              </w:rPr>
            </w:pPr>
            <w:r w:rsidRPr="004F7962">
              <w:rPr>
                <w:rFonts w:ascii="Verdana" w:hAnsi="Verdana"/>
                <w:b/>
                <w:noProof/>
              </w:rPr>
              <w:t>STLS</w:t>
            </w:r>
          </w:p>
        </w:tc>
        <w:tc>
          <w:tcPr>
            <w:tcW w:w="983" w:type="pct"/>
          </w:tcPr>
          <w:p w14:paraId="76C174E7" w14:textId="77777777" w:rsidR="007D1ACB" w:rsidRPr="004F7962" w:rsidRDefault="007D1ACB" w:rsidP="00373C34">
            <w:pPr>
              <w:spacing w:before="120" w:after="120"/>
              <w:rPr>
                <w:rFonts w:ascii="Verdana" w:hAnsi="Verdana"/>
              </w:rPr>
            </w:pPr>
            <w:r w:rsidRPr="004F7962">
              <w:rPr>
                <w:rFonts w:ascii="Verdana" w:hAnsi="Verdana"/>
              </w:rPr>
              <w:t>Single Transaction Link Secondary</w:t>
            </w:r>
          </w:p>
        </w:tc>
        <w:tc>
          <w:tcPr>
            <w:tcW w:w="3283" w:type="pct"/>
          </w:tcPr>
          <w:p w14:paraId="29571137" w14:textId="79BF60B9" w:rsidR="007D1ACB" w:rsidRPr="004F7962" w:rsidRDefault="007D1ACB" w:rsidP="00373C34">
            <w:pPr>
              <w:spacing w:before="120" w:after="120"/>
              <w:rPr>
                <w:rFonts w:ascii="Verdana" w:hAnsi="Verdana"/>
                <w:noProof/>
              </w:rPr>
            </w:pPr>
            <w:r w:rsidRPr="004F7962">
              <w:rPr>
                <w:rFonts w:ascii="Verdana" w:hAnsi="Verdana"/>
                <w:noProof/>
              </w:rPr>
              <w:t>In RxClaim, this show that the plan is set up with the STL link so the claims automically pass through to the secondary and the P/S is to help determine which plan is being viewed:  (P)Primary or (S)Secondary.</w:t>
            </w:r>
          </w:p>
        </w:tc>
      </w:tr>
      <w:tr w:rsidR="00FA26FC" w:rsidRPr="002A440D" w14:paraId="6C770B00" w14:textId="77777777" w:rsidTr="00FA26FC">
        <w:tc>
          <w:tcPr>
            <w:tcW w:w="734" w:type="pct"/>
          </w:tcPr>
          <w:p w14:paraId="7C0FA1A7" w14:textId="77777777" w:rsidR="007D1ACB" w:rsidRPr="002A440D" w:rsidRDefault="007D1ACB" w:rsidP="00FA26FC">
            <w:pPr>
              <w:spacing w:before="120" w:after="120"/>
              <w:jc w:val="center"/>
              <w:rPr>
                <w:rFonts w:ascii="Verdana" w:hAnsi="Verdana"/>
                <w:b/>
              </w:rPr>
            </w:pPr>
            <w:r w:rsidRPr="002A440D">
              <w:rPr>
                <w:rFonts w:ascii="Verdana" w:hAnsi="Verdana"/>
                <w:b/>
              </w:rPr>
              <w:t>STARS</w:t>
            </w:r>
          </w:p>
        </w:tc>
        <w:tc>
          <w:tcPr>
            <w:tcW w:w="983" w:type="pct"/>
          </w:tcPr>
          <w:p w14:paraId="2BEE2BD1" w14:textId="7AA86FCC" w:rsidR="007D1ACB" w:rsidRPr="004F7962" w:rsidRDefault="007D1ACB" w:rsidP="00373C34">
            <w:pPr>
              <w:spacing w:before="120" w:after="120"/>
              <w:rPr>
                <w:rFonts w:ascii="Verdana" w:hAnsi="Verdana"/>
              </w:rPr>
            </w:pPr>
            <w:r w:rsidRPr="004F7962">
              <w:rPr>
                <w:rFonts w:ascii="Verdana" w:hAnsi="Verdana"/>
              </w:rPr>
              <w:t>Siebel Tracking and Resolution System</w:t>
            </w:r>
          </w:p>
        </w:tc>
        <w:tc>
          <w:tcPr>
            <w:tcW w:w="3283" w:type="pct"/>
          </w:tcPr>
          <w:p w14:paraId="6B13AA3E" w14:textId="77777777" w:rsidR="007D1ACB" w:rsidRPr="004F7962" w:rsidRDefault="007D1ACB" w:rsidP="00373C34">
            <w:pPr>
              <w:spacing w:before="120" w:after="120"/>
              <w:rPr>
                <w:rFonts w:ascii="Verdana" w:hAnsi="Verdana"/>
              </w:rPr>
            </w:pPr>
            <w:r w:rsidRPr="004F7962">
              <w:rPr>
                <w:rFonts w:ascii="Verdana" w:hAnsi="Verdana"/>
              </w:rPr>
              <w:t>Database used in the AMOS facility.</w:t>
            </w:r>
          </w:p>
        </w:tc>
      </w:tr>
      <w:tr w:rsidR="00FA26FC" w:rsidRPr="002A440D" w14:paraId="1773A28F" w14:textId="77777777" w:rsidTr="00FA26FC">
        <w:tc>
          <w:tcPr>
            <w:tcW w:w="734" w:type="pct"/>
          </w:tcPr>
          <w:p w14:paraId="2DEDF038" w14:textId="77777777" w:rsidR="007D1ACB" w:rsidRPr="002A440D" w:rsidRDefault="007D1ACB" w:rsidP="00FA26FC">
            <w:pPr>
              <w:spacing w:before="120" w:after="120"/>
              <w:jc w:val="center"/>
              <w:rPr>
                <w:rFonts w:ascii="Verdana" w:hAnsi="Verdana"/>
                <w:b/>
              </w:rPr>
            </w:pPr>
            <w:r w:rsidRPr="002A440D">
              <w:rPr>
                <w:rFonts w:ascii="Verdana" w:hAnsi="Verdana"/>
                <w:b/>
              </w:rPr>
              <w:t>STAT</w:t>
            </w:r>
          </w:p>
        </w:tc>
        <w:tc>
          <w:tcPr>
            <w:tcW w:w="983" w:type="pct"/>
          </w:tcPr>
          <w:p w14:paraId="1C255981" w14:textId="77777777" w:rsidR="007D1ACB" w:rsidRPr="004F7962" w:rsidRDefault="007D1ACB" w:rsidP="00373C34">
            <w:pPr>
              <w:spacing w:before="120" w:after="120"/>
              <w:rPr>
                <w:rFonts w:ascii="Verdana" w:hAnsi="Verdana"/>
              </w:rPr>
            </w:pPr>
            <w:r w:rsidRPr="004F7962">
              <w:rPr>
                <w:rFonts w:ascii="Verdana" w:hAnsi="Verdana"/>
              </w:rPr>
              <w:t>Immediately</w:t>
            </w:r>
          </w:p>
        </w:tc>
        <w:tc>
          <w:tcPr>
            <w:tcW w:w="3283" w:type="pct"/>
          </w:tcPr>
          <w:p w14:paraId="4DB798F4" w14:textId="5001E2DE" w:rsidR="007D1ACB" w:rsidRPr="004F7962" w:rsidRDefault="007D1ACB" w:rsidP="00373C34">
            <w:pPr>
              <w:spacing w:before="120" w:after="120"/>
              <w:rPr>
                <w:rFonts w:ascii="Verdana" w:hAnsi="Verdana"/>
              </w:rPr>
            </w:pPr>
            <w:r w:rsidRPr="004F7962">
              <w:rPr>
                <w:rFonts w:ascii="Verdana" w:hAnsi="Verdana"/>
              </w:rPr>
              <w:t>Used primarily in prescription directions to indicate that something must be done immediately (</w:t>
            </w:r>
            <w:r w:rsidR="00A260CD" w:rsidRPr="004F7962">
              <w:rPr>
                <w:rFonts w:ascii="Verdana" w:hAnsi="Verdana"/>
              </w:rPr>
              <w:t>i.e.,</w:t>
            </w:r>
            <w:r w:rsidRPr="004F7962">
              <w:rPr>
                <w:rFonts w:ascii="Verdana" w:hAnsi="Verdana"/>
              </w:rPr>
              <w:t xml:space="preserve"> a medication dosage must be taken right away).</w:t>
            </w:r>
          </w:p>
        </w:tc>
      </w:tr>
      <w:tr w:rsidR="00FA26FC" w:rsidRPr="002A440D" w14:paraId="71BBF7C8" w14:textId="77777777" w:rsidTr="00FA26FC">
        <w:tc>
          <w:tcPr>
            <w:tcW w:w="734" w:type="pct"/>
          </w:tcPr>
          <w:p w14:paraId="4A2FFA3A" w14:textId="77777777" w:rsidR="007D1ACB" w:rsidRPr="002A440D" w:rsidRDefault="007D1ACB" w:rsidP="00FA26FC">
            <w:pPr>
              <w:spacing w:before="120" w:after="120"/>
              <w:jc w:val="center"/>
              <w:rPr>
                <w:rFonts w:ascii="Verdana" w:hAnsi="Verdana"/>
                <w:b/>
              </w:rPr>
            </w:pPr>
            <w:r w:rsidRPr="002A440D">
              <w:rPr>
                <w:rFonts w:ascii="Verdana" w:hAnsi="Verdana"/>
                <w:b/>
              </w:rPr>
              <w:t>Str</w:t>
            </w:r>
          </w:p>
        </w:tc>
        <w:tc>
          <w:tcPr>
            <w:tcW w:w="983" w:type="pct"/>
          </w:tcPr>
          <w:p w14:paraId="2D9F5857" w14:textId="77777777" w:rsidR="007D1ACB" w:rsidRPr="004F7962" w:rsidRDefault="007D1ACB" w:rsidP="00373C34">
            <w:pPr>
              <w:spacing w:before="120" w:after="120"/>
              <w:rPr>
                <w:rFonts w:ascii="Verdana" w:hAnsi="Verdana"/>
              </w:rPr>
            </w:pPr>
            <w:r w:rsidRPr="004F7962">
              <w:rPr>
                <w:rFonts w:ascii="Verdana" w:hAnsi="Verdana"/>
              </w:rPr>
              <w:t>Strength</w:t>
            </w:r>
          </w:p>
        </w:tc>
        <w:tc>
          <w:tcPr>
            <w:tcW w:w="3283" w:type="pct"/>
          </w:tcPr>
          <w:p w14:paraId="679C497C" w14:textId="18635C2B" w:rsidR="007D1ACB" w:rsidRPr="004F7962" w:rsidRDefault="007D1ACB" w:rsidP="00373C34">
            <w:pPr>
              <w:spacing w:before="120" w:after="120"/>
              <w:rPr>
                <w:rFonts w:ascii="Verdana" w:hAnsi="Verdana"/>
              </w:rPr>
            </w:pPr>
            <w:r w:rsidRPr="004F7962">
              <w:rPr>
                <w:rFonts w:ascii="Verdana" w:hAnsi="Verdana"/>
              </w:rPr>
              <w:t>A part of the prescription indicating the strength of the medication to be dispensed.</w:t>
            </w:r>
          </w:p>
        </w:tc>
      </w:tr>
      <w:tr w:rsidR="00FA26FC" w:rsidRPr="002A440D" w14:paraId="521FA9B2" w14:textId="77777777" w:rsidTr="00FA26FC">
        <w:tc>
          <w:tcPr>
            <w:tcW w:w="734" w:type="pct"/>
          </w:tcPr>
          <w:p w14:paraId="531D9669" w14:textId="14A2FCB7" w:rsidR="007D1ACB" w:rsidRPr="002A440D" w:rsidRDefault="007D1ACB" w:rsidP="00FA26FC">
            <w:pPr>
              <w:spacing w:before="120" w:after="120"/>
              <w:jc w:val="center"/>
              <w:rPr>
                <w:rFonts w:ascii="Verdana" w:hAnsi="Verdana"/>
                <w:b/>
              </w:rPr>
            </w:pPr>
            <w:r w:rsidRPr="002A440D">
              <w:rPr>
                <w:rFonts w:ascii="Verdana" w:hAnsi="Verdana"/>
                <w:b/>
              </w:rPr>
              <w:t>STS</w:t>
            </w:r>
          </w:p>
        </w:tc>
        <w:tc>
          <w:tcPr>
            <w:tcW w:w="983" w:type="pct"/>
          </w:tcPr>
          <w:p w14:paraId="39016152" w14:textId="38AEB44D" w:rsidR="007D1ACB" w:rsidRPr="004F7962" w:rsidRDefault="007D1ACB" w:rsidP="00373C34">
            <w:pPr>
              <w:spacing w:before="120" w:after="120"/>
              <w:rPr>
                <w:rFonts w:ascii="Verdana" w:hAnsi="Verdana"/>
              </w:rPr>
            </w:pPr>
            <w:r w:rsidRPr="004F7962">
              <w:rPr>
                <w:rFonts w:ascii="Verdana" w:hAnsi="Verdana"/>
              </w:rPr>
              <w:t>Status</w:t>
            </w:r>
          </w:p>
        </w:tc>
        <w:tc>
          <w:tcPr>
            <w:tcW w:w="3283" w:type="pct"/>
          </w:tcPr>
          <w:p w14:paraId="04FF52FF" w14:textId="62619559" w:rsidR="007D1ACB" w:rsidRPr="004F7962" w:rsidRDefault="00490036" w:rsidP="00373C34">
            <w:pPr>
              <w:spacing w:before="120" w:after="120"/>
              <w:rPr>
                <w:rFonts w:ascii="Verdana" w:hAnsi="Verdana"/>
              </w:rPr>
            </w:pPr>
            <w:r w:rsidRPr="004F7962">
              <w:rPr>
                <w:rFonts w:ascii="Verdana" w:hAnsi="Verdana"/>
              </w:rPr>
              <w:t>The current state of an order or prescription refill.</w:t>
            </w:r>
          </w:p>
        </w:tc>
      </w:tr>
      <w:tr w:rsidR="00FA26FC" w:rsidRPr="002A440D" w14:paraId="262AABDC" w14:textId="77777777" w:rsidTr="00FA26FC">
        <w:tc>
          <w:tcPr>
            <w:tcW w:w="734" w:type="pct"/>
          </w:tcPr>
          <w:p w14:paraId="23BE002F" w14:textId="40B8023E" w:rsidR="007D1ACB" w:rsidRPr="002A440D" w:rsidRDefault="007D1ACB" w:rsidP="00FA26FC">
            <w:pPr>
              <w:spacing w:before="120" w:after="120"/>
              <w:jc w:val="center"/>
              <w:rPr>
                <w:rFonts w:ascii="Verdana" w:hAnsi="Verdana"/>
                <w:b/>
                <w:bCs/>
              </w:rPr>
            </w:pPr>
            <w:r w:rsidRPr="11BFC544">
              <w:rPr>
                <w:rFonts w:ascii="Verdana" w:hAnsi="Verdana"/>
                <w:b/>
                <w:bCs/>
              </w:rPr>
              <w:t>SUB</w:t>
            </w:r>
          </w:p>
        </w:tc>
        <w:tc>
          <w:tcPr>
            <w:tcW w:w="983" w:type="pct"/>
          </w:tcPr>
          <w:p w14:paraId="4B19E1D7" w14:textId="4D823CBC" w:rsidR="007D1ACB" w:rsidRPr="004F7962" w:rsidRDefault="007D1ACB" w:rsidP="00373C34">
            <w:pPr>
              <w:spacing w:before="120" w:after="120"/>
              <w:rPr>
                <w:rFonts w:ascii="Verdana" w:hAnsi="Verdana"/>
              </w:rPr>
            </w:pPr>
            <w:r w:rsidRPr="11BFC544">
              <w:rPr>
                <w:rFonts w:ascii="Verdana" w:hAnsi="Verdana"/>
              </w:rPr>
              <w:t>Substitution</w:t>
            </w:r>
          </w:p>
        </w:tc>
        <w:tc>
          <w:tcPr>
            <w:tcW w:w="3283" w:type="pct"/>
          </w:tcPr>
          <w:p w14:paraId="1E791516" w14:textId="2FC1CE02" w:rsidR="007D1ACB" w:rsidRPr="004F7962" w:rsidRDefault="007D1ACB" w:rsidP="00373C34">
            <w:pPr>
              <w:spacing w:before="120" w:after="120"/>
              <w:rPr>
                <w:rFonts w:ascii="Verdana" w:hAnsi="Verdana"/>
              </w:rPr>
            </w:pPr>
            <w:r w:rsidRPr="11BFC544">
              <w:rPr>
                <w:rFonts w:ascii="Verdana" w:hAnsi="Verdana"/>
              </w:rPr>
              <w:t>When one medication is interchanged with another (different) medication or the generic for that same medication.</w:t>
            </w:r>
          </w:p>
        </w:tc>
      </w:tr>
      <w:tr w:rsidR="00FA26FC" w:rsidRPr="002A440D" w14:paraId="06F25DE2" w14:textId="77777777" w:rsidTr="00FA26FC">
        <w:tc>
          <w:tcPr>
            <w:tcW w:w="734" w:type="pct"/>
          </w:tcPr>
          <w:p w14:paraId="4E0FD99C" w14:textId="4BC5BE63" w:rsidR="007D1ACB" w:rsidRPr="002A440D" w:rsidRDefault="007D1ACB" w:rsidP="00FA26FC">
            <w:pPr>
              <w:spacing w:before="120" w:after="120"/>
              <w:jc w:val="center"/>
              <w:rPr>
                <w:rFonts w:ascii="Verdana" w:hAnsi="Verdana"/>
                <w:b/>
              </w:rPr>
            </w:pPr>
            <w:r w:rsidRPr="002A440D">
              <w:rPr>
                <w:rFonts w:ascii="Verdana" w:hAnsi="Verdana"/>
                <w:b/>
              </w:rPr>
              <w:t>Surv SPS</w:t>
            </w:r>
          </w:p>
        </w:tc>
        <w:tc>
          <w:tcPr>
            <w:tcW w:w="983" w:type="pct"/>
          </w:tcPr>
          <w:p w14:paraId="3A97BCC4" w14:textId="49950223" w:rsidR="007D1ACB" w:rsidRPr="004F7962" w:rsidRDefault="007D1ACB" w:rsidP="00373C34">
            <w:pPr>
              <w:spacing w:before="120" w:after="120"/>
              <w:rPr>
                <w:rFonts w:ascii="Verdana" w:hAnsi="Verdana"/>
              </w:rPr>
            </w:pPr>
            <w:r w:rsidRPr="004F7962">
              <w:rPr>
                <w:rFonts w:ascii="Verdana" w:hAnsi="Verdana"/>
              </w:rPr>
              <w:t>Surviving Spouse</w:t>
            </w:r>
          </w:p>
        </w:tc>
        <w:tc>
          <w:tcPr>
            <w:tcW w:w="3283" w:type="pct"/>
          </w:tcPr>
          <w:p w14:paraId="6A3178C0" w14:textId="6614EE98" w:rsidR="007D1ACB" w:rsidRPr="004F7962" w:rsidRDefault="00ED2382" w:rsidP="00373C34">
            <w:pPr>
              <w:spacing w:before="120" w:after="120"/>
              <w:rPr>
                <w:rFonts w:ascii="Verdana" w:hAnsi="Verdana"/>
              </w:rPr>
            </w:pPr>
            <w:r w:rsidRPr="004F7962">
              <w:rPr>
                <w:rFonts w:ascii="Verdana" w:hAnsi="Verdana"/>
              </w:rPr>
              <w:t>Partner of deceased</w:t>
            </w:r>
            <w:r w:rsidR="00A95AD8" w:rsidRPr="004F7962">
              <w:rPr>
                <w:rFonts w:ascii="Verdana" w:hAnsi="Verdana"/>
              </w:rPr>
              <w:t xml:space="preserve">. </w:t>
            </w:r>
          </w:p>
        </w:tc>
      </w:tr>
      <w:tr w:rsidR="00FA26FC" w:rsidRPr="002A440D" w14:paraId="502DDCFD" w14:textId="77777777" w:rsidTr="00FA26FC">
        <w:tc>
          <w:tcPr>
            <w:tcW w:w="734" w:type="pct"/>
          </w:tcPr>
          <w:p w14:paraId="1B084B72" w14:textId="77777777" w:rsidR="007D1ACB" w:rsidRPr="002A440D" w:rsidRDefault="007D1ACB" w:rsidP="00FA26FC">
            <w:pPr>
              <w:spacing w:before="120" w:after="120"/>
              <w:jc w:val="center"/>
              <w:rPr>
                <w:rFonts w:ascii="Verdana" w:hAnsi="Verdana"/>
                <w:b/>
              </w:rPr>
            </w:pPr>
            <w:r w:rsidRPr="002A440D">
              <w:rPr>
                <w:rFonts w:ascii="Verdana" w:hAnsi="Verdana"/>
                <w:b/>
              </w:rPr>
              <w:t>SX</w:t>
            </w:r>
          </w:p>
        </w:tc>
        <w:tc>
          <w:tcPr>
            <w:tcW w:w="983" w:type="pct"/>
          </w:tcPr>
          <w:p w14:paraId="28430B90" w14:textId="77777777" w:rsidR="007D1ACB" w:rsidRPr="004F7962" w:rsidRDefault="007D1ACB" w:rsidP="00373C34">
            <w:pPr>
              <w:spacing w:before="120" w:after="120"/>
              <w:rPr>
                <w:rFonts w:ascii="Verdana" w:hAnsi="Verdana"/>
              </w:rPr>
            </w:pPr>
            <w:r w:rsidRPr="004F7962">
              <w:rPr>
                <w:rFonts w:ascii="Verdana" w:hAnsi="Verdana"/>
              </w:rPr>
              <w:t>Symptoms</w:t>
            </w:r>
          </w:p>
        </w:tc>
        <w:tc>
          <w:tcPr>
            <w:tcW w:w="3283" w:type="pct"/>
          </w:tcPr>
          <w:p w14:paraId="61DF5788" w14:textId="0C9B42AB" w:rsidR="007D1ACB" w:rsidRPr="004F7962" w:rsidRDefault="007D1ACB" w:rsidP="00373C34">
            <w:pPr>
              <w:spacing w:before="120" w:after="120"/>
              <w:rPr>
                <w:rFonts w:ascii="Verdana" w:hAnsi="Verdana"/>
              </w:rPr>
            </w:pPr>
            <w:r w:rsidRPr="004F7962">
              <w:rPr>
                <w:rFonts w:ascii="Verdana" w:hAnsi="Verdana"/>
              </w:rPr>
              <w:t xml:space="preserve">Medical </w:t>
            </w:r>
            <w:r w:rsidR="0071506E" w:rsidRPr="004F7962">
              <w:rPr>
                <w:rFonts w:ascii="Verdana" w:hAnsi="Verdana"/>
              </w:rPr>
              <w:t>terminology:</w:t>
            </w:r>
            <w:r w:rsidRPr="004F7962">
              <w:rPr>
                <w:rFonts w:ascii="Verdana" w:hAnsi="Verdana"/>
              </w:rPr>
              <w:t xml:space="preserve"> </w:t>
            </w:r>
            <w:r w:rsidR="00FA7DF3" w:rsidRPr="004F7962">
              <w:rPr>
                <w:rFonts w:ascii="Verdana" w:hAnsi="Verdana"/>
              </w:rPr>
              <w:t xml:space="preserve"> </w:t>
            </w:r>
            <w:r w:rsidR="00764D11">
              <w:rPr>
                <w:rFonts w:ascii="Verdana" w:hAnsi="Verdana"/>
              </w:rPr>
              <w:t>A</w:t>
            </w:r>
            <w:r w:rsidRPr="004F7962">
              <w:rPr>
                <w:rFonts w:ascii="Verdana" w:hAnsi="Verdana"/>
              </w:rPr>
              <w:t>lso refers to a status of a prescription in resolve conflict, typically which indicates further follow-up is necessary.</w:t>
            </w:r>
          </w:p>
        </w:tc>
      </w:tr>
      <w:tr w:rsidR="00FA26FC" w:rsidRPr="002A440D" w14:paraId="52ECD6A6" w14:textId="77777777" w:rsidTr="00FA26FC">
        <w:tc>
          <w:tcPr>
            <w:tcW w:w="734" w:type="pct"/>
          </w:tcPr>
          <w:p w14:paraId="0A83B4EC" w14:textId="77777777" w:rsidR="007D1ACB" w:rsidRPr="002A440D" w:rsidRDefault="007D1ACB" w:rsidP="00FA26FC">
            <w:pPr>
              <w:spacing w:before="120" w:after="120"/>
              <w:jc w:val="center"/>
              <w:rPr>
                <w:rFonts w:ascii="Verdana" w:hAnsi="Verdana"/>
                <w:b/>
              </w:rPr>
            </w:pPr>
            <w:r w:rsidRPr="002A440D">
              <w:rPr>
                <w:rFonts w:ascii="Verdana" w:hAnsi="Verdana"/>
                <w:b/>
              </w:rPr>
              <w:t>SX Queue</w:t>
            </w:r>
          </w:p>
        </w:tc>
        <w:tc>
          <w:tcPr>
            <w:tcW w:w="983" w:type="pct"/>
          </w:tcPr>
          <w:p w14:paraId="79C0817F" w14:textId="77777777" w:rsidR="007D1ACB" w:rsidRPr="004F7962" w:rsidRDefault="007D1ACB" w:rsidP="00373C34">
            <w:pPr>
              <w:spacing w:before="120" w:after="120"/>
              <w:rPr>
                <w:rFonts w:ascii="Verdana" w:hAnsi="Verdana"/>
              </w:rPr>
            </w:pPr>
            <w:r w:rsidRPr="004F7962">
              <w:rPr>
                <w:rFonts w:ascii="Verdana" w:hAnsi="Verdana"/>
              </w:rPr>
              <w:t>Must Fax Queue</w:t>
            </w:r>
          </w:p>
        </w:tc>
        <w:tc>
          <w:tcPr>
            <w:tcW w:w="3283" w:type="pct"/>
          </w:tcPr>
          <w:p w14:paraId="2ADF487E" w14:textId="654D2FD6" w:rsidR="007D1ACB" w:rsidRPr="004F7962" w:rsidRDefault="007D1ACB" w:rsidP="00373C34">
            <w:pPr>
              <w:spacing w:before="120" w:after="120"/>
              <w:rPr>
                <w:rFonts w:ascii="Verdana" w:hAnsi="Verdana"/>
              </w:rPr>
            </w:pPr>
            <w:r w:rsidRPr="004F7962">
              <w:rPr>
                <w:rFonts w:ascii="Verdana" w:hAnsi="Verdana"/>
              </w:rPr>
              <w:t>Refer to MF.</w:t>
            </w:r>
          </w:p>
        </w:tc>
      </w:tr>
      <w:tr w:rsidR="00FA26FC" w:rsidRPr="002A440D" w14:paraId="09E7620A" w14:textId="77777777" w:rsidTr="00FA26FC">
        <w:tc>
          <w:tcPr>
            <w:tcW w:w="734" w:type="pct"/>
          </w:tcPr>
          <w:p w14:paraId="62F38614" w14:textId="77777777" w:rsidR="007D1ACB" w:rsidRPr="002A440D" w:rsidRDefault="007D1ACB" w:rsidP="00FA26FC">
            <w:pPr>
              <w:spacing w:before="120" w:after="120"/>
              <w:jc w:val="center"/>
              <w:rPr>
                <w:rFonts w:ascii="Verdana" w:hAnsi="Verdana"/>
                <w:b/>
              </w:rPr>
            </w:pPr>
            <w:r w:rsidRPr="002A440D">
              <w:rPr>
                <w:rFonts w:ascii="Verdana" w:hAnsi="Verdana"/>
                <w:b/>
              </w:rPr>
              <w:t>SWR</w:t>
            </w:r>
          </w:p>
          <w:p w14:paraId="336B9D0F" w14:textId="77777777" w:rsidR="007D1ACB" w:rsidRPr="002A440D" w:rsidRDefault="007D1ACB" w:rsidP="00FA26FC">
            <w:pPr>
              <w:spacing w:before="120" w:after="120"/>
              <w:jc w:val="center"/>
              <w:rPr>
                <w:rFonts w:ascii="Verdana" w:hAnsi="Verdana"/>
                <w:b/>
              </w:rPr>
            </w:pPr>
          </w:p>
        </w:tc>
        <w:tc>
          <w:tcPr>
            <w:tcW w:w="983" w:type="pct"/>
          </w:tcPr>
          <w:p w14:paraId="42752297" w14:textId="77777777" w:rsidR="007D1ACB" w:rsidRPr="004F7962" w:rsidRDefault="007D1ACB" w:rsidP="00373C34">
            <w:pPr>
              <w:spacing w:before="120" w:after="120"/>
              <w:rPr>
                <w:rFonts w:ascii="Verdana" w:hAnsi="Verdana"/>
              </w:rPr>
            </w:pPr>
            <w:r w:rsidRPr="004F7962">
              <w:rPr>
                <w:rFonts w:ascii="Verdana" w:hAnsi="Verdana"/>
              </w:rPr>
              <w:t>Software Release</w:t>
            </w:r>
          </w:p>
          <w:p w14:paraId="22BCC20A" w14:textId="77777777" w:rsidR="007D1ACB" w:rsidRPr="004F7962" w:rsidRDefault="007D1ACB" w:rsidP="00373C34">
            <w:pPr>
              <w:spacing w:before="120" w:after="120"/>
              <w:rPr>
                <w:rFonts w:ascii="Verdana" w:hAnsi="Verdana"/>
              </w:rPr>
            </w:pPr>
          </w:p>
        </w:tc>
        <w:tc>
          <w:tcPr>
            <w:tcW w:w="3283" w:type="pct"/>
          </w:tcPr>
          <w:p w14:paraId="3E6CC28A" w14:textId="5F718982" w:rsidR="007D1ACB" w:rsidRPr="004F7962" w:rsidRDefault="007D1ACB" w:rsidP="00373C34">
            <w:pPr>
              <w:spacing w:before="120" w:after="120"/>
              <w:rPr>
                <w:rFonts w:ascii="Verdana" w:hAnsi="Verdana"/>
              </w:rPr>
            </w:pPr>
            <w:r w:rsidRPr="004F7962">
              <w:rPr>
                <w:rFonts w:ascii="Verdana" w:hAnsi="Verdana"/>
              </w:rPr>
              <w:t>This is where enhancements are made to current processes that enables improved processing of members prescriptions</w:t>
            </w:r>
            <w:r w:rsidR="0071506E" w:rsidRPr="004F7962">
              <w:rPr>
                <w:rFonts w:ascii="Verdana" w:hAnsi="Verdana"/>
              </w:rPr>
              <w:t xml:space="preserve">. </w:t>
            </w:r>
            <w:r w:rsidRPr="004F7962">
              <w:rPr>
                <w:rFonts w:ascii="Verdana" w:hAnsi="Verdana"/>
              </w:rPr>
              <w:t>This occurs every even month beginning in February and the last release of the year is November</w:t>
            </w:r>
            <w:r w:rsidR="0071506E" w:rsidRPr="004F7962">
              <w:rPr>
                <w:rFonts w:ascii="Verdana" w:hAnsi="Verdana"/>
              </w:rPr>
              <w:t xml:space="preserve">. </w:t>
            </w:r>
          </w:p>
          <w:p w14:paraId="6D6FF7DB" w14:textId="77777777" w:rsidR="007D1ACB" w:rsidRPr="004F7962" w:rsidRDefault="007D1ACB" w:rsidP="00373C34">
            <w:pPr>
              <w:spacing w:before="120" w:after="120"/>
              <w:rPr>
                <w:rFonts w:ascii="Verdana" w:hAnsi="Verdana"/>
              </w:rPr>
            </w:pPr>
          </w:p>
          <w:p w14:paraId="22E01737" w14:textId="4860198A" w:rsidR="007D1ACB" w:rsidRPr="004F7962" w:rsidRDefault="007D1ACB" w:rsidP="00373C34">
            <w:pPr>
              <w:spacing w:before="120" w:after="120"/>
              <w:rPr>
                <w:rFonts w:ascii="Verdana" w:hAnsi="Verdana"/>
              </w:rPr>
            </w:pPr>
            <w:r w:rsidRPr="004F7962">
              <w:rPr>
                <w:rFonts w:ascii="Verdana" w:hAnsi="Verdana"/>
              </w:rPr>
              <w:t>No release occurs in December</w:t>
            </w:r>
            <w:r w:rsidR="0071506E" w:rsidRPr="004F7962">
              <w:rPr>
                <w:rFonts w:ascii="Verdana" w:hAnsi="Verdana"/>
              </w:rPr>
              <w:t xml:space="preserve">. </w:t>
            </w:r>
            <w:r w:rsidRPr="004F7962">
              <w:rPr>
                <w:rFonts w:ascii="Verdana" w:hAnsi="Verdana"/>
              </w:rPr>
              <w:t>On occasions there may be minor release on odd months beginning in March.</w:t>
            </w:r>
          </w:p>
        </w:tc>
      </w:tr>
    </w:tbl>
    <w:p w14:paraId="0CA8D0EF" w14:textId="77777777" w:rsidR="007D1ACB" w:rsidRPr="00463BE3" w:rsidRDefault="007D1ACB" w:rsidP="0067793B">
      <w:pPr>
        <w:spacing w:before="120" w:after="120"/>
      </w:pPr>
    </w:p>
    <w:p w14:paraId="52455A31" w14:textId="77777777" w:rsidR="00E55B3A" w:rsidRDefault="00E55B3A" w:rsidP="0067793B">
      <w:pPr>
        <w:spacing w:before="120" w:after="120"/>
      </w:pPr>
    </w:p>
    <w:p w14:paraId="49A1E9B5" w14:textId="5F773BEA" w:rsidR="00E55B3A" w:rsidRPr="0067793B" w:rsidRDefault="00FA26FC" w:rsidP="0067793B">
      <w:pPr>
        <w:spacing w:before="120" w:after="120"/>
        <w:jc w:val="right"/>
        <w:rPr>
          <w:rFonts w:ascii="Verdana" w:hAnsi="Verdana"/>
        </w:rPr>
      </w:pPr>
      <w:hyperlink w:anchor="_top" w:history="1">
        <w:r w:rsidRPr="0067793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9"/>
        <w:gridCol w:w="9891"/>
      </w:tblGrid>
      <w:tr w:rsidR="00FA26FC" w:rsidRPr="002A440D" w14:paraId="21349CD1" w14:textId="77777777" w:rsidTr="00F90719">
        <w:tc>
          <w:tcPr>
            <w:tcW w:w="1181" w:type="pct"/>
            <w:shd w:val="clear" w:color="auto" w:fill="D9D9D9" w:themeFill="background1" w:themeFillShade="D9"/>
          </w:tcPr>
          <w:p w14:paraId="4CF81D5B" w14:textId="37BC18CE" w:rsidR="00EC35C6" w:rsidRPr="00B37247" w:rsidRDefault="00EC35C6" w:rsidP="00373C34">
            <w:pPr>
              <w:spacing w:before="120" w:after="120"/>
              <w:jc w:val="center"/>
              <w:rPr>
                <w:rFonts w:ascii="Verdana" w:hAnsi="Verdana"/>
                <w:b/>
                <w:bCs/>
              </w:rPr>
            </w:pPr>
            <w:bookmarkStart w:id="14" w:name="termdeftable"/>
            <w:r w:rsidRPr="00B37247">
              <w:rPr>
                <w:rFonts w:ascii="Verdana" w:hAnsi="Verdana"/>
                <w:b/>
                <w:bCs/>
              </w:rPr>
              <w:t>Term</w:t>
            </w:r>
            <w:bookmarkEnd w:id="14"/>
          </w:p>
        </w:tc>
        <w:tc>
          <w:tcPr>
            <w:tcW w:w="3819" w:type="pct"/>
            <w:shd w:val="clear" w:color="auto" w:fill="D9D9D9" w:themeFill="background1" w:themeFillShade="D9"/>
          </w:tcPr>
          <w:p w14:paraId="658B0466" w14:textId="0AA5DEC3" w:rsidR="00EC35C6" w:rsidRPr="00B37247" w:rsidRDefault="00EC35C6" w:rsidP="00373C34">
            <w:pPr>
              <w:spacing w:before="120" w:after="120"/>
              <w:jc w:val="center"/>
              <w:rPr>
                <w:rFonts w:ascii="Verdana" w:hAnsi="Verdana"/>
                <w:b/>
                <w:bCs/>
              </w:rPr>
            </w:pPr>
            <w:r w:rsidRPr="00B37247">
              <w:rPr>
                <w:rFonts w:ascii="Verdana" w:hAnsi="Verdana"/>
                <w:b/>
                <w:bCs/>
              </w:rPr>
              <w:t>Definition</w:t>
            </w:r>
          </w:p>
        </w:tc>
      </w:tr>
      <w:tr w:rsidR="00FA26FC" w:rsidRPr="002A440D" w14:paraId="08A541F4" w14:textId="77777777" w:rsidTr="00F90719">
        <w:tc>
          <w:tcPr>
            <w:tcW w:w="1181" w:type="pct"/>
          </w:tcPr>
          <w:p w14:paraId="400EFDB5" w14:textId="0A3FD70F" w:rsidR="00FA26FC" w:rsidRPr="00B37247" w:rsidRDefault="00FA26FC" w:rsidP="00373C34">
            <w:pPr>
              <w:spacing w:before="120" w:after="120"/>
              <w:rPr>
                <w:rFonts w:ascii="Verdana" w:hAnsi="Verdana"/>
              </w:rPr>
            </w:pPr>
            <w:r>
              <w:rPr>
                <w:rFonts w:ascii="Verdana" w:hAnsi="Verdana"/>
              </w:rPr>
              <w:t>Sales Tax</w:t>
            </w:r>
          </w:p>
        </w:tc>
        <w:tc>
          <w:tcPr>
            <w:tcW w:w="3819" w:type="pct"/>
          </w:tcPr>
          <w:p w14:paraId="1A27EC69" w14:textId="6F6C1351" w:rsidR="00FA26FC" w:rsidRPr="00B37247" w:rsidRDefault="00FA26FC" w:rsidP="00373C34">
            <w:pPr>
              <w:spacing w:before="120" w:after="120"/>
              <w:rPr>
                <w:rFonts w:ascii="Verdana" w:hAnsi="Verdana"/>
              </w:rPr>
            </w:pPr>
            <w:r w:rsidRPr="004F7962">
              <w:rPr>
                <w:rFonts w:ascii="Verdana" w:hAnsi="Verdana"/>
              </w:rPr>
              <w:t>State and local taxes levied on the sale of prescription drugs</w:t>
            </w:r>
            <w:r>
              <w:rPr>
                <w:rFonts w:ascii="Verdana" w:hAnsi="Verdana"/>
              </w:rPr>
              <w:t>.</w:t>
            </w:r>
          </w:p>
        </w:tc>
      </w:tr>
      <w:tr w:rsidR="00FA26FC" w:rsidRPr="002A440D" w14:paraId="2EF78D83" w14:textId="77777777" w:rsidTr="00F90719">
        <w:tc>
          <w:tcPr>
            <w:tcW w:w="1181" w:type="pct"/>
          </w:tcPr>
          <w:p w14:paraId="514DBA9E" w14:textId="77777777" w:rsidR="00157785" w:rsidRPr="00B37247" w:rsidRDefault="00157785" w:rsidP="00373C34">
            <w:pPr>
              <w:spacing w:before="120" w:after="120"/>
              <w:rPr>
                <w:rFonts w:ascii="Verdana" w:hAnsi="Verdana"/>
              </w:rPr>
            </w:pPr>
            <w:r w:rsidRPr="00B37247">
              <w:rPr>
                <w:rFonts w:ascii="Verdana" w:hAnsi="Verdana"/>
              </w:rPr>
              <w:t>Schedule Drugs</w:t>
            </w:r>
          </w:p>
        </w:tc>
        <w:tc>
          <w:tcPr>
            <w:tcW w:w="3819" w:type="pct"/>
          </w:tcPr>
          <w:p w14:paraId="2DFD1485" w14:textId="16F3BFBA" w:rsidR="00157785" w:rsidRPr="00B37247" w:rsidRDefault="00157785" w:rsidP="00373C34">
            <w:pPr>
              <w:spacing w:before="120" w:after="120"/>
              <w:rPr>
                <w:rFonts w:ascii="Verdana" w:hAnsi="Verdana"/>
              </w:rPr>
            </w:pPr>
            <w:r w:rsidRPr="00B37247">
              <w:rPr>
                <w:rFonts w:ascii="Verdana" w:hAnsi="Verdana"/>
              </w:rPr>
              <w:t xml:space="preserve">A </w:t>
            </w:r>
            <w:r w:rsidR="00A260CD" w:rsidRPr="00B37247">
              <w:rPr>
                <w:rFonts w:ascii="Verdana" w:hAnsi="Verdana"/>
              </w:rPr>
              <w:t>one-character</w:t>
            </w:r>
            <w:r w:rsidRPr="00B37247">
              <w:rPr>
                <w:rFonts w:ascii="Verdana" w:hAnsi="Verdana"/>
              </w:rPr>
              <w:t xml:space="preserve"> code describing DEA classes for federally controlled drugs:</w:t>
            </w:r>
          </w:p>
          <w:p w14:paraId="6108F2FA" w14:textId="77777777" w:rsidR="00157785" w:rsidRPr="00B37247" w:rsidRDefault="00157785" w:rsidP="00373C34">
            <w:pPr>
              <w:spacing w:before="120" w:after="120"/>
              <w:rPr>
                <w:rFonts w:ascii="Verdana" w:hAnsi="Verdana"/>
              </w:rPr>
            </w:pPr>
            <w:r w:rsidRPr="00B37247">
              <w:rPr>
                <w:rFonts w:ascii="Verdana" w:hAnsi="Verdana"/>
              </w:rPr>
              <w:t>0 = DEA class zero</w:t>
            </w:r>
          </w:p>
          <w:p w14:paraId="2F5E57A8" w14:textId="77777777" w:rsidR="00157785" w:rsidRPr="00B37247" w:rsidRDefault="00157785" w:rsidP="00373C34">
            <w:pPr>
              <w:spacing w:before="120" w:after="120"/>
              <w:rPr>
                <w:rFonts w:ascii="Verdana" w:hAnsi="Verdana"/>
              </w:rPr>
            </w:pPr>
            <w:r w:rsidRPr="00B37247">
              <w:rPr>
                <w:rFonts w:ascii="Verdana" w:hAnsi="Verdana"/>
              </w:rPr>
              <w:t>1 = DEA class 1 (one)</w:t>
            </w:r>
          </w:p>
          <w:p w14:paraId="5155A504" w14:textId="77777777" w:rsidR="00157785" w:rsidRPr="00B37247" w:rsidRDefault="00157785" w:rsidP="00373C34">
            <w:pPr>
              <w:spacing w:before="120" w:after="120"/>
              <w:rPr>
                <w:rFonts w:ascii="Verdana" w:hAnsi="Verdana"/>
              </w:rPr>
            </w:pPr>
            <w:r w:rsidRPr="00B37247">
              <w:rPr>
                <w:rFonts w:ascii="Verdana" w:hAnsi="Verdana"/>
              </w:rPr>
              <w:t>2= DEA class 2 (two)</w:t>
            </w:r>
          </w:p>
          <w:p w14:paraId="5DA87440" w14:textId="77777777" w:rsidR="00157785" w:rsidRPr="00B37247" w:rsidRDefault="00157785" w:rsidP="00373C34">
            <w:pPr>
              <w:spacing w:before="120" w:after="120"/>
              <w:rPr>
                <w:rFonts w:ascii="Verdana" w:hAnsi="Verdana"/>
              </w:rPr>
            </w:pPr>
            <w:r w:rsidRPr="00B37247">
              <w:rPr>
                <w:rFonts w:ascii="Verdana" w:hAnsi="Verdana"/>
              </w:rPr>
              <w:t>3= DEA class 3 (three)</w:t>
            </w:r>
            <w:r w:rsidRPr="00B37247">
              <w:rPr>
                <w:rFonts w:ascii="Verdana" w:hAnsi="Verdana"/>
              </w:rPr>
              <w:tab/>
            </w:r>
          </w:p>
          <w:p w14:paraId="2280A760" w14:textId="77777777" w:rsidR="00157785" w:rsidRPr="00B37247" w:rsidRDefault="00157785" w:rsidP="00373C34">
            <w:pPr>
              <w:spacing w:before="120" w:after="120"/>
              <w:rPr>
                <w:rFonts w:ascii="Verdana" w:hAnsi="Verdana"/>
              </w:rPr>
            </w:pPr>
            <w:r w:rsidRPr="00B37247">
              <w:rPr>
                <w:rFonts w:ascii="Verdana" w:hAnsi="Verdana"/>
              </w:rPr>
              <w:t>4= DEA class 4 (four)</w:t>
            </w:r>
          </w:p>
          <w:p w14:paraId="3CA1C579" w14:textId="77777777" w:rsidR="00157785" w:rsidRPr="00B37247" w:rsidRDefault="00157785" w:rsidP="00373C34">
            <w:pPr>
              <w:spacing w:before="120" w:after="120"/>
              <w:rPr>
                <w:rFonts w:ascii="Verdana" w:hAnsi="Verdana"/>
              </w:rPr>
            </w:pPr>
            <w:r w:rsidRPr="00B37247">
              <w:rPr>
                <w:rFonts w:ascii="Verdana" w:hAnsi="Verdana"/>
              </w:rPr>
              <w:t>5= DEA class 5 (five)</w:t>
            </w:r>
          </w:p>
          <w:p w14:paraId="11DB8E87" w14:textId="2F51F303" w:rsidR="00157785" w:rsidRPr="00B37247" w:rsidRDefault="00157785" w:rsidP="00373C34">
            <w:pPr>
              <w:spacing w:before="120" w:after="120"/>
              <w:rPr>
                <w:rFonts w:ascii="Verdana" w:hAnsi="Verdana"/>
              </w:rPr>
            </w:pPr>
            <w:r w:rsidRPr="00B37247">
              <w:rPr>
                <w:rFonts w:ascii="Verdana" w:hAnsi="Verdana"/>
              </w:rPr>
              <w:t>Refer to Schedule Drugs, Controlled Drugs</w:t>
            </w:r>
          </w:p>
        </w:tc>
      </w:tr>
      <w:tr w:rsidR="00FA26FC" w:rsidRPr="002A440D" w14:paraId="74A663C8" w14:textId="77777777" w:rsidTr="00F90719">
        <w:tc>
          <w:tcPr>
            <w:tcW w:w="1181" w:type="pct"/>
          </w:tcPr>
          <w:p w14:paraId="4169C8FB" w14:textId="77777777" w:rsidR="00157785" w:rsidRPr="00B37247" w:rsidRDefault="00157785" w:rsidP="00373C34">
            <w:pPr>
              <w:spacing w:before="120" w:after="120"/>
              <w:rPr>
                <w:rFonts w:ascii="Verdana" w:hAnsi="Verdana"/>
              </w:rPr>
            </w:pPr>
            <w:r w:rsidRPr="00B37247">
              <w:rPr>
                <w:rFonts w:ascii="Verdana" w:hAnsi="Verdana"/>
              </w:rPr>
              <w:t>Secondary Coverage or Secondary Insurance</w:t>
            </w:r>
          </w:p>
          <w:p w14:paraId="1250192E" w14:textId="77777777" w:rsidR="00157785" w:rsidRPr="00B37247" w:rsidRDefault="00157785" w:rsidP="00373C34">
            <w:pPr>
              <w:spacing w:before="120" w:after="120"/>
              <w:rPr>
                <w:rFonts w:ascii="Verdana" w:hAnsi="Verdana"/>
              </w:rPr>
            </w:pPr>
          </w:p>
        </w:tc>
        <w:tc>
          <w:tcPr>
            <w:tcW w:w="3819" w:type="pct"/>
          </w:tcPr>
          <w:p w14:paraId="25E2C4F1" w14:textId="6D081165" w:rsidR="00157785" w:rsidRPr="00B37247" w:rsidRDefault="00157785" w:rsidP="00373C34">
            <w:pPr>
              <w:spacing w:before="120" w:after="120"/>
              <w:rPr>
                <w:rFonts w:ascii="Verdana" w:hAnsi="Verdana"/>
              </w:rPr>
            </w:pPr>
            <w:r w:rsidRPr="00B37247">
              <w:rPr>
                <w:rFonts w:ascii="Verdana" w:hAnsi="Verdana"/>
              </w:rPr>
              <w:t>Additional insurance that is used as a supplement to the primary insurance</w:t>
            </w:r>
            <w:r w:rsidR="0071506E" w:rsidRPr="00B37247">
              <w:rPr>
                <w:rFonts w:ascii="Verdana" w:hAnsi="Verdana"/>
              </w:rPr>
              <w:t xml:space="preserve">. </w:t>
            </w:r>
            <w:r w:rsidRPr="00B37247">
              <w:rPr>
                <w:rFonts w:ascii="Verdana" w:hAnsi="Verdana"/>
              </w:rPr>
              <w:t>An account must either be coded as Secondary Coverage or be coded as having Coordination of Benefits for the claim to process as secondary coverage.</w:t>
            </w:r>
          </w:p>
          <w:p w14:paraId="07AA131E" w14:textId="77777777" w:rsidR="00157785" w:rsidRPr="00B37247" w:rsidRDefault="00157785" w:rsidP="0067793B">
            <w:pPr>
              <w:numPr>
                <w:ilvl w:val="0"/>
                <w:numId w:val="48"/>
              </w:numPr>
              <w:spacing w:before="120" w:after="120"/>
              <w:ind w:left="432"/>
              <w:rPr>
                <w:rFonts w:ascii="Verdana" w:hAnsi="Verdana"/>
              </w:rPr>
            </w:pPr>
            <w:r w:rsidRPr="00B37247">
              <w:rPr>
                <w:rFonts w:ascii="Verdana" w:hAnsi="Verdana"/>
              </w:rPr>
              <w:t>If an account is coded as being secondary, all claims will reject if not processed through the primary account first.</w:t>
            </w:r>
          </w:p>
          <w:p w14:paraId="22AC16E7" w14:textId="5E61AC70" w:rsidR="00157785" w:rsidRPr="00B37247" w:rsidRDefault="00157785" w:rsidP="0067793B">
            <w:pPr>
              <w:numPr>
                <w:ilvl w:val="0"/>
                <w:numId w:val="48"/>
              </w:numPr>
              <w:spacing w:before="120" w:after="120"/>
              <w:ind w:left="432"/>
              <w:rPr>
                <w:rFonts w:ascii="Verdana" w:hAnsi="Verdana"/>
              </w:rPr>
            </w:pPr>
            <w:r w:rsidRPr="00B37247">
              <w:rPr>
                <w:rFonts w:ascii="Verdana" w:hAnsi="Verdana"/>
              </w:rPr>
              <w:t>If claims are processed through the primary account first, secondary claims will usually process for further reimbursement</w:t>
            </w:r>
            <w:r w:rsidR="0071506E" w:rsidRPr="00B37247">
              <w:rPr>
                <w:rFonts w:ascii="Verdana" w:hAnsi="Verdana"/>
              </w:rPr>
              <w:t xml:space="preserve">. </w:t>
            </w:r>
          </w:p>
          <w:p w14:paraId="353CB2DC" w14:textId="306FF221" w:rsidR="00157785" w:rsidRPr="00B37247" w:rsidRDefault="00157785" w:rsidP="00373C34">
            <w:pPr>
              <w:spacing w:before="120" w:after="120"/>
              <w:rPr>
                <w:rFonts w:ascii="Verdana" w:hAnsi="Verdana"/>
              </w:rPr>
            </w:pPr>
            <w:r w:rsidRPr="00B37247">
              <w:rPr>
                <w:rFonts w:ascii="Verdana" w:hAnsi="Verdana"/>
                <w:b/>
              </w:rPr>
              <w:t>Example:</w:t>
            </w:r>
            <w:r w:rsidRPr="00B37247">
              <w:rPr>
                <w:rFonts w:ascii="Verdana" w:hAnsi="Verdana"/>
              </w:rPr>
              <w:t xml:space="preserve">  Primary Insurance has a $50.00 copay and Secondary Insurance has a $35.00 copay</w:t>
            </w:r>
            <w:r w:rsidR="0071506E" w:rsidRPr="00B37247">
              <w:rPr>
                <w:rFonts w:ascii="Verdana" w:hAnsi="Verdana"/>
              </w:rPr>
              <w:t xml:space="preserve">. </w:t>
            </w:r>
            <w:r w:rsidRPr="00B37247">
              <w:rPr>
                <w:rFonts w:ascii="Verdana" w:hAnsi="Verdana"/>
              </w:rPr>
              <w:t>The secondary will reimburse $15.00, because the secondary coverage covered $15.00</w:t>
            </w:r>
            <w:r w:rsidR="0071506E" w:rsidRPr="00B37247">
              <w:rPr>
                <w:rFonts w:ascii="Verdana" w:hAnsi="Verdana"/>
              </w:rPr>
              <w:t xml:space="preserve">. </w:t>
            </w:r>
          </w:p>
        </w:tc>
      </w:tr>
      <w:tr w:rsidR="00FA26FC" w:rsidRPr="002A440D" w14:paraId="4DB8B072" w14:textId="77777777" w:rsidTr="00F90719">
        <w:tc>
          <w:tcPr>
            <w:tcW w:w="1181" w:type="pct"/>
          </w:tcPr>
          <w:p w14:paraId="257DDFD3" w14:textId="77777777" w:rsidR="00157785" w:rsidRPr="00B37247" w:rsidRDefault="00157785" w:rsidP="00373C34">
            <w:pPr>
              <w:spacing w:before="120" w:after="120"/>
              <w:rPr>
                <w:rFonts w:ascii="Verdana" w:hAnsi="Verdana"/>
              </w:rPr>
            </w:pPr>
            <w:r w:rsidRPr="00B37247">
              <w:rPr>
                <w:rFonts w:ascii="Verdana" w:hAnsi="Verdana"/>
              </w:rPr>
              <w:t>SecureCare</w:t>
            </w:r>
          </w:p>
        </w:tc>
        <w:tc>
          <w:tcPr>
            <w:tcW w:w="3819" w:type="pct"/>
          </w:tcPr>
          <w:p w14:paraId="4EE54C9B" w14:textId="44EB2B33" w:rsidR="00157785" w:rsidRPr="00B37247" w:rsidRDefault="00157785" w:rsidP="00373C34">
            <w:pPr>
              <w:spacing w:before="120" w:after="120"/>
              <w:rPr>
                <w:rFonts w:ascii="Verdana" w:hAnsi="Verdana" w:cs="Arial"/>
              </w:rPr>
            </w:pPr>
            <w:r w:rsidRPr="00B37247">
              <w:rPr>
                <w:rFonts w:ascii="Verdana" w:hAnsi="Verdana" w:cs="Arial"/>
              </w:rPr>
              <w:t>System generated and pharmacist reviewed to protect the safety of members and the integrity of plan design. Pharmacists may also modify or add programs according to their clinical judgment.</w:t>
            </w:r>
          </w:p>
        </w:tc>
      </w:tr>
      <w:tr w:rsidR="00FA26FC" w:rsidRPr="002A440D" w14:paraId="0A0C1C94" w14:textId="77777777" w:rsidTr="00F90719">
        <w:tc>
          <w:tcPr>
            <w:tcW w:w="1181" w:type="pct"/>
          </w:tcPr>
          <w:p w14:paraId="19569046" w14:textId="77777777" w:rsidR="00157785" w:rsidRPr="00B37247" w:rsidRDefault="00157785" w:rsidP="00373C34">
            <w:pPr>
              <w:spacing w:before="120" w:after="120"/>
              <w:rPr>
                <w:rFonts w:ascii="Verdana" w:hAnsi="Verdana"/>
              </w:rPr>
            </w:pPr>
            <w:r w:rsidRPr="00B37247">
              <w:rPr>
                <w:rFonts w:ascii="Verdana" w:hAnsi="Verdana"/>
              </w:rPr>
              <w:t xml:space="preserve">Service Area </w:t>
            </w:r>
          </w:p>
        </w:tc>
        <w:tc>
          <w:tcPr>
            <w:tcW w:w="3819" w:type="pct"/>
          </w:tcPr>
          <w:p w14:paraId="253EC533" w14:textId="608A9710" w:rsidR="00157785" w:rsidRPr="00B37247" w:rsidRDefault="00157785" w:rsidP="00373C34">
            <w:pPr>
              <w:spacing w:before="120" w:after="120"/>
              <w:rPr>
                <w:rFonts w:ascii="Verdana" w:hAnsi="Verdana"/>
              </w:rPr>
            </w:pPr>
            <w:r w:rsidRPr="0067793B">
              <w:rPr>
                <w:rFonts w:ascii="Verdana" w:hAnsi="Verdana"/>
                <w:b/>
                <w:bCs/>
              </w:rPr>
              <w:t>Old:</w:t>
            </w:r>
            <w:r w:rsidRPr="00B37247">
              <w:rPr>
                <w:rFonts w:ascii="Verdana" w:hAnsi="Verdana"/>
              </w:rPr>
              <w:t xml:space="preserve"> </w:t>
            </w:r>
            <w:r w:rsidR="00FA7DF3" w:rsidRPr="00B37247">
              <w:rPr>
                <w:rFonts w:ascii="Verdana" w:hAnsi="Verdana"/>
              </w:rPr>
              <w:t xml:space="preserve"> </w:t>
            </w:r>
            <w:r w:rsidRPr="00B37247">
              <w:rPr>
                <w:rFonts w:ascii="Verdana" w:hAnsi="Verdana"/>
              </w:rPr>
              <w:t>A defined geographic region established by CMS regulation in which a Part D plan has coverage.</w:t>
            </w:r>
          </w:p>
          <w:p w14:paraId="741FFBCF" w14:textId="74B85CC6" w:rsidR="00157785" w:rsidRPr="00B37247" w:rsidRDefault="00157785" w:rsidP="00373C34">
            <w:pPr>
              <w:spacing w:before="120" w:after="120"/>
              <w:rPr>
                <w:rFonts w:ascii="Verdana" w:hAnsi="Verdana"/>
              </w:rPr>
            </w:pPr>
            <w:r w:rsidRPr="0067793B">
              <w:rPr>
                <w:rFonts w:ascii="Verdana" w:hAnsi="Verdana"/>
                <w:b/>
                <w:bCs/>
              </w:rPr>
              <w:t>New:</w:t>
            </w:r>
            <w:r w:rsidR="00FA7DF3" w:rsidRPr="00B37247">
              <w:rPr>
                <w:rFonts w:ascii="Verdana" w:hAnsi="Verdana"/>
              </w:rPr>
              <w:t xml:space="preserve"> </w:t>
            </w:r>
            <w:r w:rsidRPr="00B37247">
              <w:rPr>
                <w:rFonts w:ascii="Verdana" w:hAnsi="Verdana"/>
              </w:rPr>
              <w:t xml:space="preserve"> Area where a Plan Sponsor will offer service. </w:t>
            </w:r>
          </w:p>
        </w:tc>
      </w:tr>
      <w:tr w:rsidR="00FA26FC" w:rsidRPr="002A440D" w14:paraId="42799A64" w14:textId="77777777" w:rsidTr="00F90719">
        <w:tc>
          <w:tcPr>
            <w:tcW w:w="1181" w:type="pct"/>
          </w:tcPr>
          <w:p w14:paraId="22A30BF0" w14:textId="77777777" w:rsidR="00157785" w:rsidRPr="00B37247" w:rsidRDefault="00157785" w:rsidP="00373C34">
            <w:pPr>
              <w:spacing w:before="120" w:after="120"/>
              <w:rPr>
                <w:rFonts w:ascii="Verdana" w:hAnsi="Verdana"/>
              </w:rPr>
            </w:pPr>
            <w:r w:rsidRPr="00B37247">
              <w:rPr>
                <w:rFonts w:ascii="Verdana" w:hAnsi="Verdana"/>
              </w:rPr>
              <w:t xml:space="preserve">Service Region </w:t>
            </w:r>
          </w:p>
        </w:tc>
        <w:tc>
          <w:tcPr>
            <w:tcW w:w="3819" w:type="pct"/>
          </w:tcPr>
          <w:p w14:paraId="7F8B1E61" w14:textId="0A3BF32A" w:rsidR="00157785" w:rsidRPr="00B37247" w:rsidRDefault="00157785" w:rsidP="00373C34">
            <w:pPr>
              <w:spacing w:before="120" w:after="120"/>
              <w:rPr>
                <w:rFonts w:ascii="Verdana" w:hAnsi="Verdana"/>
              </w:rPr>
            </w:pPr>
            <w:r w:rsidRPr="0067793B">
              <w:rPr>
                <w:rFonts w:ascii="Verdana" w:hAnsi="Verdana"/>
                <w:b/>
                <w:bCs/>
              </w:rPr>
              <w:t>Old:</w:t>
            </w:r>
            <w:r w:rsidRPr="00B37247">
              <w:rPr>
                <w:rFonts w:ascii="Verdana" w:hAnsi="Verdana"/>
              </w:rPr>
              <w:t xml:space="preserve"> </w:t>
            </w:r>
            <w:r w:rsidR="00FA7DF3" w:rsidRPr="00B37247">
              <w:rPr>
                <w:rFonts w:ascii="Verdana" w:hAnsi="Verdana"/>
              </w:rPr>
              <w:t xml:space="preserve"> </w:t>
            </w:r>
            <w:r w:rsidRPr="00B37247">
              <w:rPr>
                <w:rFonts w:ascii="Verdana" w:hAnsi="Verdana"/>
              </w:rPr>
              <w:t>Area where a Plan Sponsor will offer service</w:t>
            </w:r>
          </w:p>
          <w:p w14:paraId="1719590A" w14:textId="77EC7E71" w:rsidR="00157785" w:rsidRPr="00B37247" w:rsidRDefault="00157785" w:rsidP="00373C34">
            <w:pPr>
              <w:spacing w:before="120" w:after="120"/>
              <w:rPr>
                <w:rFonts w:ascii="Verdana" w:hAnsi="Verdana"/>
              </w:rPr>
            </w:pPr>
            <w:r w:rsidRPr="0067793B">
              <w:rPr>
                <w:rFonts w:ascii="Verdana" w:hAnsi="Verdana"/>
                <w:b/>
                <w:bCs/>
              </w:rPr>
              <w:t>New:</w:t>
            </w:r>
            <w:r w:rsidRPr="00B37247">
              <w:rPr>
                <w:rFonts w:ascii="Verdana" w:hAnsi="Verdana"/>
              </w:rPr>
              <w:t xml:space="preserve"> </w:t>
            </w:r>
            <w:r w:rsidR="00FA7DF3" w:rsidRPr="00B37247">
              <w:rPr>
                <w:rFonts w:ascii="Verdana" w:hAnsi="Verdana"/>
              </w:rPr>
              <w:t xml:space="preserve"> </w:t>
            </w:r>
            <w:r w:rsidRPr="00B37247">
              <w:rPr>
                <w:rFonts w:ascii="Verdana" w:hAnsi="Verdana"/>
              </w:rPr>
              <w:t xml:space="preserve">A defined geographic region established by CMS regulation in which a Part D plan has coverage. </w:t>
            </w:r>
          </w:p>
        </w:tc>
      </w:tr>
      <w:tr w:rsidR="00FA26FC" w:rsidRPr="002A440D" w14:paraId="48534C19" w14:textId="77777777" w:rsidTr="00F90719">
        <w:tc>
          <w:tcPr>
            <w:tcW w:w="1181" w:type="pct"/>
          </w:tcPr>
          <w:p w14:paraId="74BE042D" w14:textId="77777777" w:rsidR="00157785" w:rsidRPr="00B37247" w:rsidRDefault="00157785" w:rsidP="00373C34">
            <w:pPr>
              <w:spacing w:before="120" w:after="120"/>
              <w:rPr>
                <w:rFonts w:ascii="Verdana" w:hAnsi="Verdana"/>
              </w:rPr>
            </w:pPr>
            <w:r w:rsidRPr="00B37247">
              <w:rPr>
                <w:rFonts w:ascii="Verdana" w:hAnsi="Verdana"/>
              </w:rPr>
              <w:t>Self-Certification form</w:t>
            </w:r>
          </w:p>
        </w:tc>
        <w:tc>
          <w:tcPr>
            <w:tcW w:w="3819" w:type="pct"/>
          </w:tcPr>
          <w:p w14:paraId="4E1CF797" w14:textId="0F2792C5" w:rsidR="00157785" w:rsidRPr="00B37247" w:rsidRDefault="00157785" w:rsidP="00373C34">
            <w:pPr>
              <w:spacing w:before="120" w:after="120"/>
              <w:rPr>
                <w:rFonts w:ascii="Verdana" w:hAnsi="Verdana"/>
                <w:noProof/>
              </w:rPr>
            </w:pPr>
            <w:r w:rsidRPr="00B37247">
              <w:rPr>
                <w:rFonts w:ascii="Verdana" w:hAnsi="Verdana"/>
              </w:rPr>
              <w:t xml:space="preserve">A form used by the Eligible Organization (EO) to certify that the health coverage established, </w:t>
            </w:r>
            <w:r w:rsidR="0071506E" w:rsidRPr="00B37247">
              <w:rPr>
                <w:rFonts w:ascii="Verdana" w:hAnsi="Verdana"/>
              </w:rPr>
              <w:t>maintained,</w:t>
            </w:r>
            <w:r w:rsidR="00A260CD" w:rsidRPr="00B37247">
              <w:rPr>
                <w:rFonts w:ascii="Verdana" w:hAnsi="Verdana"/>
              </w:rPr>
              <w:t xml:space="preserve"> or</w:t>
            </w:r>
            <w:r w:rsidRPr="00B37247">
              <w:rPr>
                <w:rFonts w:ascii="Verdana" w:hAnsi="Verdana"/>
              </w:rPr>
              <w:t xml:space="preserve"> arranged by the EO qualifies for an accommodation with respect to the federal requirement to cover certain contraceptive services without cost sharing</w:t>
            </w:r>
            <w:r w:rsidR="0071506E" w:rsidRPr="00B37247">
              <w:rPr>
                <w:rFonts w:ascii="Verdana" w:hAnsi="Verdana"/>
              </w:rPr>
              <w:t xml:space="preserve">. </w:t>
            </w:r>
          </w:p>
        </w:tc>
      </w:tr>
      <w:tr w:rsidR="00FA26FC" w:rsidRPr="002A440D" w14:paraId="4D101EEB" w14:textId="77777777" w:rsidTr="00F90719">
        <w:tc>
          <w:tcPr>
            <w:tcW w:w="1181" w:type="pct"/>
          </w:tcPr>
          <w:p w14:paraId="63D9CCF0" w14:textId="77777777" w:rsidR="00157785" w:rsidRPr="00B37247" w:rsidRDefault="00157785" w:rsidP="00373C34">
            <w:pPr>
              <w:spacing w:before="120" w:after="120"/>
              <w:rPr>
                <w:rFonts w:ascii="Verdana" w:hAnsi="Verdana"/>
              </w:rPr>
            </w:pPr>
            <w:r w:rsidRPr="00B37247">
              <w:rPr>
                <w:rFonts w:ascii="Verdana" w:hAnsi="Verdana"/>
              </w:rPr>
              <w:t>Self-Insured</w:t>
            </w:r>
          </w:p>
        </w:tc>
        <w:tc>
          <w:tcPr>
            <w:tcW w:w="3819" w:type="pct"/>
          </w:tcPr>
          <w:p w14:paraId="359804B4" w14:textId="4697BC2B" w:rsidR="00157785" w:rsidRPr="00B37247" w:rsidRDefault="00157785" w:rsidP="00373C34">
            <w:pPr>
              <w:spacing w:before="120" w:after="120"/>
              <w:rPr>
                <w:rFonts w:ascii="Verdana" w:hAnsi="Verdana"/>
              </w:rPr>
            </w:pPr>
            <w:r w:rsidRPr="00B37247">
              <w:rPr>
                <w:rFonts w:ascii="Verdana" w:hAnsi="Verdana"/>
              </w:rPr>
              <w:t>Instead of purchasing insurance, a business designs its own benefit plan and is financially responsible</w:t>
            </w:r>
            <w:r w:rsidR="0071506E" w:rsidRPr="00B37247">
              <w:rPr>
                <w:rFonts w:ascii="Verdana" w:hAnsi="Verdana"/>
              </w:rPr>
              <w:t xml:space="preserve">. </w:t>
            </w:r>
          </w:p>
          <w:p w14:paraId="23F94E5A" w14:textId="77777777" w:rsidR="00157785" w:rsidRPr="00B37247" w:rsidRDefault="00157785" w:rsidP="00373C34">
            <w:pPr>
              <w:spacing w:before="120" w:after="120"/>
              <w:rPr>
                <w:rFonts w:ascii="Verdana" w:hAnsi="Verdana"/>
              </w:rPr>
            </w:pPr>
          </w:p>
          <w:p w14:paraId="2E3F87D2" w14:textId="3B593F5C" w:rsidR="00157785" w:rsidRPr="00B37247" w:rsidRDefault="00157785" w:rsidP="00373C34">
            <w:pPr>
              <w:spacing w:before="120" w:after="120"/>
              <w:rPr>
                <w:rFonts w:ascii="Verdana" w:hAnsi="Verdana"/>
              </w:rPr>
            </w:pPr>
            <w:r w:rsidRPr="00B37247">
              <w:rPr>
                <w:rFonts w:ascii="Verdana" w:hAnsi="Verdana" w:cs="Arial"/>
                <w:b/>
              </w:rPr>
              <w:t xml:space="preserve">Example: </w:t>
            </w:r>
            <w:r w:rsidR="00764D11">
              <w:rPr>
                <w:rFonts w:ascii="Verdana" w:hAnsi="Verdana" w:cs="Arial"/>
                <w:b/>
              </w:rPr>
              <w:t xml:space="preserve"> </w:t>
            </w:r>
            <w:r w:rsidRPr="00B37247">
              <w:rPr>
                <w:rFonts w:ascii="Verdana" w:hAnsi="Verdana"/>
              </w:rPr>
              <w:t>XYZ Company will insure their employees instead of purchasing insurance</w:t>
            </w:r>
            <w:r w:rsidR="0071506E" w:rsidRPr="00B37247">
              <w:rPr>
                <w:rFonts w:ascii="Verdana" w:hAnsi="Verdana"/>
              </w:rPr>
              <w:t xml:space="preserve">. </w:t>
            </w:r>
            <w:r w:rsidRPr="00B37247">
              <w:rPr>
                <w:rFonts w:ascii="Verdana" w:hAnsi="Verdana"/>
              </w:rPr>
              <w:t>XYZ Company will manage their employee’s health care and be financially responsible</w:t>
            </w:r>
            <w:r w:rsidR="0071506E" w:rsidRPr="00B37247">
              <w:rPr>
                <w:rFonts w:ascii="Verdana" w:hAnsi="Verdana"/>
              </w:rPr>
              <w:t xml:space="preserve">. </w:t>
            </w:r>
            <w:r w:rsidRPr="00B37247">
              <w:rPr>
                <w:rFonts w:ascii="Verdana" w:hAnsi="Verdana"/>
              </w:rPr>
              <w:t>XYZ Company may lose or make money, based on claims.</w:t>
            </w:r>
          </w:p>
          <w:p w14:paraId="7CA47B03" w14:textId="0A4D4D60" w:rsidR="00157785" w:rsidRPr="00B37247" w:rsidRDefault="00157785" w:rsidP="00373C34">
            <w:pPr>
              <w:spacing w:before="120" w:after="120"/>
              <w:rPr>
                <w:rFonts w:ascii="Verdana" w:hAnsi="Verdana"/>
              </w:rPr>
            </w:pPr>
            <w:r w:rsidRPr="00B37247">
              <w:rPr>
                <w:rFonts w:ascii="Verdana" w:hAnsi="Verdana"/>
              </w:rPr>
              <w:t>Clients that obtain benefits on a self-funded basis</w:t>
            </w:r>
            <w:r w:rsidR="0071506E" w:rsidRPr="00B37247">
              <w:rPr>
                <w:rFonts w:ascii="Verdana" w:hAnsi="Verdana"/>
              </w:rPr>
              <w:t xml:space="preserve">. </w:t>
            </w:r>
            <w:r w:rsidRPr="00B37247">
              <w:rPr>
                <w:rFonts w:ascii="Verdana" w:hAnsi="Verdana"/>
              </w:rPr>
              <w:t xml:space="preserve">The company assumes </w:t>
            </w:r>
            <w:r w:rsidR="00A260CD" w:rsidRPr="00B37247">
              <w:rPr>
                <w:rFonts w:ascii="Verdana" w:hAnsi="Verdana"/>
              </w:rPr>
              <w:t>all</w:t>
            </w:r>
            <w:r w:rsidRPr="00B37247">
              <w:rPr>
                <w:rFonts w:ascii="Verdana" w:hAnsi="Verdana"/>
              </w:rPr>
              <w:t xml:space="preserve"> the financial risk and liability that would normally be covered by an insurance company. We generally </w:t>
            </w:r>
            <w:r w:rsidR="00A260CD" w:rsidRPr="00B37247">
              <w:rPr>
                <w:rFonts w:ascii="Verdana" w:hAnsi="Verdana"/>
              </w:rPr>
              <w:t>require</w:t>
            </w:r>
            <w:r w:rsidRPr="00B37247">
              <w:rPr>
                <w:rFonts w:ascii="Verdana" w:hAnsi="Verdana"/>
              </w:rPr>
              <w:t xml:space="preserve"> a minimum of 500 or more lives (cardholders) before accepting a self-insured account.</w:t>
            </w:r>
          </w:p>
        </w:tc>
      </w:tr>
      <w:tr w:rsidR="00FA26FC" w:rsidRPr="002A440D" w14:paraId="464031BB" w14:textId="77777777" w:rsidTr="00F90719">
        <w:tc>
          <w:tcPr>
            <w:tcW w:w="1181" w:type="pct"/>
          </w:tcPr>
          <w:p w14:paraId="6B6AFB6B" w14:textId="77777777" w:rsidR="00157785" w:rsidRPr="00B37247" w:rsidRDefault="00157785" w:rsidP="00373C34">
            <w:pPr>
              <w:spacing w:before="120" w:after="120"/>
              <w:rPr>
                <w:rFonts w:ascii="Verdana" w:hAnsi="Verdana" w:cs="Arial"/>
              </w:rPr>
            </w:pPr>
            <w:r w:rsidRPr="00B37247">
              <w:rPr>
                <w:rFonts w:ascii="Verdana" w:hAnsi="Verdana" w:cs="Arial"/>
              </w:rPr>
              <w:t>Sensitive Information</w:t>
            </w:r>
          </w:p>
          <w:p w14:paraId="023C39E0" w14:textId="77777777" w:rsidR="00157785" w:rsidRPr="002A440D" w:rsidDel="00EE63A6" w:rsidRDefault="00157785" w:rsidP="00373C34">
            <w:pPr>
              <w:spacing w:before="120" w:after="120"/>
              <w:rPr>
                <w:rFonts w:ascii="Verdana" w:hAnsi="Verdana"/>
                <w:noProof/>
              </w:rPr>
            </w:pPr>
            <w:r w:rsidRPr="002A440D">
              <w:rPr>
                <w:rFonts w:ascii="Verdana" w:hAnsi="Verdana"/>
                <w:noProof/>
              </w:rPr>
              <w:t xml:space="preserve"> </w:t>
            </w:r>
          </w:p>
        </w:tc>
        <w:tc>
          <w:tcPr>
            <w:tcW w:w="3819" w:type="pct"/>
          </w:tcPr>
          <w:p w14:paraId="184C680B" w14:textId="16F6BFE7" w:rsidR="00157785" w:rsidRPr="00B37247" w:rsidDel="00EE63A6" w:rsidRDefault="00157785" w:rsidP="00373C34">
            <w:pPr>
              <w:spacing w:before="120" w:after="120"/>
              <w:rPr>
                <w:rFonts w:ascii="Verdana" w:hAnsi="Verdana"/>
              </w:rPr>
            </w:pPr>
            <w:r w:rsidRPr="00B37247">
              <w:rPr>
                <w:rFonts w:ascii="Verdana" w:hAnsi="Verdana"/>
              </w:rPr>
              <w:t>Includes any information (such as HIPAA, PHI, PCI, Plan Member Identification or Financial-related Information)</w:t>
            </w:r>
            <w:r w:rsidR="0071506E" w:rsidRPr="00B37247">
              <w:rPr>
                <w:rFonts w:ascii="Verdana" w:hAnsi="Verdana"/>
              </w:rPr>
              <w:t xml:space="preserve">. </w:t>
            </w:r>
            <w:r w:rsidRPr="00B37247">
              <w:rPr>
                <w:rFonts w:ascii="Verdana" w:hAnsi="Verdana"/>
              </w:rPr>
              <w:t>All Sensitive Information must be handled with the strictest confidence and security.</w:t>
            </w:r>
          </w:p>
        </w:tc>
      </w:tr>
      <w:tr w:rsidR="00FA26FC" w:rsidRPr="002A440D" w14:paraId="5B3DD36F" w14:textId="77777777" w:rsidTr="00F90719">
        <w:tc>
          <w:tcPr>
            <w:tcW w:w="1181" w:type="pct"/>
          </w:tcPr>
          <w:p w14:paraId="28D33064" w14:textId="7C60C131" w:rsidR="00157785" w:rsidRPr="00B37247" w:rsidRDefault="00157785" w:rsidP="00373C34">
            <w:pPr>
              <w:spacing w:before="120" w:after="120"/>
              <w:rPr>
                <w:rFonts w:ascii="Verdana" w:hAnsi="Verdana"/>
              </w:rPr>
            </w:pPr>
            <w:r w:rsidRPr="00B37247">
              <w:rPr>
                <w:rFonts w:ascii="Verdana" w:hAnsi="Verdana"/>
              </w:rPr>
              <w:t>Semafone</w:t>
            </w:r>
          </w:p>
        </w:tc>
        <w:tc>
          <w:tcPr>
            <w:tcW w:w="3819" w:type="pct"/>
          </w:tcPr>
          <w:p w14:paraId="48F43263" w14:textId="179FD528" w:rsidR="00157785" w:rsidRPr="00B37247" w:rsidRDefault="00157785" w:rsidP="00373C34">
            <w:pPr>
              <w:spacing w:before="120" w:after="120"/>
              <w:rPr>
                <w:rFonts w:ascii="Verdana" w:hAnsi="Verdana" w:cs="Arial"/>
              </w:rPr>
            </w:pPr>
            <w:r w:rsidRPr="00B37247">
              <w:rPr>
                <w:rFonts w:ascii="Verdana" w:hAnsi="Verdana"/>
              </w:rPr>
              <w:t xml:space="preserve">Secured Program to which Credit Cards are entered into </w:t>
            </w:r>
            <w:r w:rsidR="00FA26FC">
              <w:rPr>
                <w:rFonts w:ascii="Verdana" w:hAnsi="Verdana"/>
              </w:rPr>
              <w:t>the system.</w:t>
            </w:r>
          </w:p>
        </w:tc>
      </w:tr>
      <w:tr w:rsidR="00FA26FC" w:rsidRPr="002A440D" w14:paraId="261552CD" w14:textId="77777777" w:rsidTr="00F90719">
        <w:tc>
          <w:tcPr>
            <w:tcW w:w="1181" w:type="pct"/>
          </w:tcPr>
          <w:p w14:paraId="2550D7A6" w14:textId="77777777" w:rsidR="00157785" w:rsidRPr="00B37247" w:rsidRDefault="00157785" w:rsidP="00373C34">
            <w:pPr>
              <w:spacing w:before="120" w:after="120"/>
              <w:rPr>
                <w:rFonts w:ascii="Verdana" w:hAnsi="Verdana"/>
              </w:rPr>
            </w:pPr>
            <w:r w:rsidRPr="00B37247">
              <w:rPr>
                <w:rFonts w:ascii="Verdana" w:hAnsi="Verdana"/>
              </w:rPr>
              <w:t>Service Warranty Check</w:t>
            </w:r>
          </w:p>
        </w:tc>
        <w:tc>
          <w:tcPr>
            <w:tcW w:w="3819" w:type="pct"/>
          </w:tcPr>
          <w:p w14:paraId="7091D7EB" w14:textId="2CFDCE5F" w:rsidR="00157785" w:rsidRPr="00B37247" w:rsidRDefault="00157785" w:rsidP="00373C34">
            <w:pPr>
              <w:spacing w:before="120" w:after="120"/>
              <w:rPr>
                <w:rFonts w:ascii="Verdana" w:hAnsi="Verdana" w:cs="Arial"/>
              </w:rPr>
            </w:pPr>
            <w:r w:rsidRPr="00B37247">
              <w:rPr>
                <w:rFonts w:ascii="Verdana" w:hAnsi="Verdana" w:cs="Arial"/>
              </w:rPr>
              <w:t>Refund issued to the member, most often due to a claim processing incorrectly resulting in an overcharge to the member.</w:t>
            </w:r>
          </w:p>
        </w:tc>
      </w:tr>
      <w:tr w:rsidR="00FA26FC" w:rsidRPr="002A440D" w14:paraId="211BD28E" w14:textId="77777777" w:rsidTr="00F90719">
        <w:tc>
          <w:tcPr>
            <w:tcW w:w="1181" w:type="pct"/>
          </w:tcPr>
          <w:p w14:paraId="400EE6B5" w14:textId="77777777" w:rsidR="00157785" w:rsidRPr="00B37247" w:rsidRDefault="00157785" w:rsidP="00373C34">
            <w:pPr>
              <w:spacing w:before="120" w:after="120"/>
              <w:rPr>
                <w:rFonts w:ascii="Verdana" w:hAnsi="Verdana" w:cs="Arial"/>
              </w:rPr>
            </w:pPr>
            <w:r w:rsidRPr="00B37247">
              <w:rPr>
                <w:rFonts w:ascii="Verdana" w:hAnsi="Verdana"/>
              </w:rPr>
              <w:t>Settlement Codes</w:t>
            </w:r>
          </w:p>
        </w:tc>
        <w:tc>
          <w:tcPr>
            <w:tcW w:w="3819" w:type="pct"/>
          </w:tcPr>
          <w:p w14:paraId="4A510439" w14:textId="7C7427D3" w:rsidR="00157785" w:rsidRPr="00B37247" w:rsidRDefault="00157785" w:rsidP="00373C34">
            <w:pPr>
              <w:spacing w:before="120" w:after="120"/>
              <w:rPr>
                <w:rFonts w:ascii="Verdana" w:hAnsi="Verdana" w:cs="Arial"/>
              </w:rPr>
            </w:pPr>
            <w:r w:rsidRPr="00B37247">
              <w:rPr>
                <w:rFonts w:ascii="Verdana" w:hAnsi="Verdana" w:cs="Arial"/>
              </w:rPr>
              <w:t>Codes within the system that explain how a prescription claim was adjudicated.</w:t>
            </w:r>
          </w:p>
        </w:tc>
      </w:tr>
      <w:tr w:rsidR="00FA26FC" w:rsidRPr="002A440D" w14:paraId="5A72AB84" w14:textId="77777777" w:rsidTr="00F90719">
        <w:tc>
          <w:tcPr>
            <w:tcW w:w="1181" w:type="pct"/>
          </w:tcPr>
          <w:p w14:paraId="533E6815" w14:textId="125B6423" w:rsidR="00897AC1" w:rsidRPr="00B37247" w:rsidRDefault="00897AC1" w:rsidP="00373C34">
            <w:pPr>
              <w:spacing w:before="120" w:after="120"/>
              <w:rPr>
                <w:rFonts w:ascii="Verdana" w:hAnsi="Verdana"/>
              </w:rPr>
            </w:pPr>
            <w:r w:rsidRPr="00B37247">
              <w:rPr>
                <w:rFonts w:ascii="Verdana" w:hAnsi="Verdana"/>
              </w:rPr>
              <w:t>Shift Currency Credits</w:t>
            </w:r>
          </w:p>
        </w:tc>
        <w:tc>
          <w:tcPr>
            <w:tcW w:w="3819" w:type="pct"/>
          </w:tcPr>
          <w:p w14:paraId="1C2BE165" w14:textId="576A4437" w:rsidR="00897AC1" w:rsidRPr="00B37247" w:rsidRDefault="002A0EA2" w:rsidP="00373C34">
            <w:pPr>
              <w:spacing w:before="120" w:after="120"/>
              <w:rPr>
                <w:rFonts w:ascii="Verdana" w:hAnsi="Verdana" w:cs="Arial"/>
              </w:rPr>
            </w:pPr>
            <w:r w:rsidRPr="00B37247">
              <w:rPr>
                <w:rFonts w:ascii="Verdana" w:hAnsi="Verdana" w:cs="Arial"/>
              </w:rPr>
              <w:t>Within NICE,</w:t>
            </w:r>
            <w:r w:rsidR="00B5030E" w:rsidRPr="00B37247">
              <w:rPr>
                <w:rFonts w:ascii="Verdana" w:hAnsi="Verdana" w:cs="Arial"/>
              </w:rPr>
              <w:t xml:space="preserve"> </w:t>
            </w:r>
            <w:r w:rsidR="00474002" w:rsidRPr="00B37247">
              <w:rPr>
                <w:rFonts w:ascii="Verdana" w:hAnsi="Verdana"/>
              </w:rPr>
              <w:t>The number of stars indicates the number of shift currency credits earned for the interval.</w:t>
            </w:r>
          </w:p>
        </w:tc>
      </w:tr>
      <w:tr w:rsidR="00FA26FC" w:rsidRPr="002A440D" w14:paraId="12453B50" w14:textId="77777777" w:rsidTr="00F90719">
        <w:tc>
          <w:tcPr>
            <w:tcW w:w="1181" w:type="pct"/>
          </w:tcPr>
          <w:p w14:paraId="46B02FC4" w14:textId="77777777" w:rsidR="00157785" w:rsidRPr="00B37247" w:rsidRDefault="00157785" w:rsidP="00373C34">
            <w:pPr>
              <w:spacing w:before="120" w:after="120"/>
              <w:rPr>
                <w:rFonts w:ascii="Verdana" w:hAnsi="Verdana"/>
              </w:rPr>
            </w:pPr>
            <w:r w:rsidRPr="00B37247">
              <w:rPr>
                <w:rFonts w:ascii="Verdana" w:hAnsi="Verdana"/>
              </w:rPr>
              <w:t>Shoe Box Effect</w:t>
            </w:r>
          </w:p>
        </w:tc>
        <w:tc>
          <w:tcPr>
            <w:tcW w:w="3819" w:type="pct"/>
          </w:tcPr>
          <w:p w14:paraId="70255A33" w14:textId="7DAE5A2F" w:rsidR="00157785" w:rsidRPr="00B37247" w:rsidRDefault="00157785" w:rsidP="00373C34">
            <w:pPr>
              <w:spacing w:before="120" w:after="120"/>
              <w:rPr>
                <w:rFonts w:ascii="Verdana" w:hAnsi="Verdana"/>
                <w:bCs/>
              </w:rPr>
            </w:pPr>
            <w:r w:rsidRPr="00B37247">
              <w:rPr>
                <w:rFonts w:ascii="Verdana" w:hAnsi="Verdana"/>
                <w:bCs/>
              </w:rPr>
              <w:t>In a paper claims environment of indemnity care, plan members accumulate pharmacy receipts, but never actually submit those receipts for reimbursement</w:t>
            </w:r>
            <w:r w:rsidR="0071506E" w:rsidRPr="00B37247">
              <w:rPr>
                <w:rFonts w:ascii="Verdana" w:hAnsi="Verdana"/>
                <w:bCs/>
              </w:rPr>
              <w:t xml:space="preserve">. </w:t>
            </w:r>
          </w:p>
          <w:p w14:paraId="64025B39" w14:textId="77777777" w:rsidR="00157785" w:rsidRPr="00B37247" w:rsidRDefault="00157785" w:rsidP="00373C34">
            <w:pPr>
              <w:spacing w:before="120" w:after="120"/>
              <w:rPr>
                <w:rFonts w:ascii="Verdana" w:hAnsi="Verdana"/>
                <w:bCs/>
              </w:rPr>
            </w:pPr>
          </w:p>
          <w:p w14:paraId="4ABB6602" w14:textId="77DD5597" w:rsidR="00157785" w:rsidRPr="00B37247" w:rsidRDefault="00157785" w:rsidP="00373C34">
            <w:pPr>
              <w:spacing w:before="120" w:after="120"/>
              <w:rPr>
                <w:rFonts w:ascii="Verdana" w:hAnsi="Verdana"/>
                <w:bCs/>
              </w:rPr>
            </w:pPr>
            <w:r w:rsidRPr="00B37247">
              <w:rPr>
                <w:rFonts w:ascii="Verdana" w:hAnsi="Verdana"/>
                <w:bCs/>
              </w:rPr>
              <w:t xml:space="preserve">Health plans can make money and employers still pay premiums in such a system, versus a managed health care system where nearly all claims are filed electronically at the time of service in a pharmacy. </w:t>
            </w:r>
          </w:p>
        </w:tc>
      </w:tr>
      <w:tr w:rsidR="00FA26FC" w:rsidRPr="002A440D" w14:paraId="19D90762" w14:textId="77777777" w:rsidTr="00F90719">
        <w:tc>
          <w:tcPr>
            <w:tcW w:w="1181" w:type="pct"/>
          </w:tcPr>
          <w:p w14:paraId="17EA19E2" w14:textId="77777777" w:rsidR="00157785" w:rsidRPr="00B37247" w:rsidRDefault="00157785" w:rsidP="00373C34">
            <w:pPr>
              <w:spacing w:before="120" w:after="120"/>
              <w:rPr>
                <w:rFonts w:ascii="Verdana" w:hAnsi="Verdana"/>
              </w:rPr>
            </w:pPr>
            <w:r w:rsidRPr="00B37247">
              <w:rPr>
                <w:rFonts w:ascii="Verdana" w:hAnsi="Verdana"/>
              </w:rPr>
              <w:t>Shoe Boxing</w:t>
            </w:r>
          </w:p>
        </w:tc>
        <w:tc>
          <w:tcPr>
            <w:tcW w:w="3819" w:type="pct"/>
          </w:tcPr>
          <w:p w14:paraId="0AEFBCAF" w14:textId="74A91D5F" w:rsidR="00157785" w:rsidRPr="00B37247" w:rsidRDefault="00157785" w:rsidP="00373C34">
            <w:pPr>
              <w:spacing w:before="120" w:after="120"/>
              <w:rPr>
                <w:rFonts w:ascii="Verdana" w:hAnsi="Verdana"/>
                <w:bCs/>
              </w:rPr>
            </w:pPr>
            <w:r w:rsidRPr="00B37247">
              <w:rPr>
                <w:rFonts w:ascii="Verdana" w:hAnsi="Verdana"/>
                <w:bCs/>
              </w:rPr>
              <w:t>When members have prescription coverage, but for some reason pay cash for a prescription, hold on to the prescription receipt(s) and do not file their paper claims for reimbursement until much later in the year</w:t>
            </w:r>
            <w:r w:rsidR="0071506E" w:rsidRPr="00B37247">
              <w:rPr>
                <w:rFonts w:ascii="Verdana" w:hAnsi="Verdana"/>
                <w:bCs/>
              </w:rPr>
              <w:t xml:space="preserve">. </w:t>
            </w:r>
          </w:p>
          <w:p w14:paraId="2A26474A" w14:textId="77777777" w:rsidR="00157785" w:rsidRPr="00B37247" w:rsidRDefault="00157785" w:rsidP="00373C34">
            <w:pPr>
              <w:spacing w:before="120" w:after="120"/>
              <w:rPr>
                <w:rFonts w:ascii="Verdana" w:hAnsi="Verdana"/>
                <w:bCs/>
              </w:rPr>
            </w:pPr>
          </w:p>
          <w:p w14:paraId="4FEB884E" w14:textId="0B00005E" w:rsidR="00157785" w:rsidRPr="00B37247" w:rsidRDefault="00157785" w:rsidP="00373C34">
            <w:pPr>
              <w:spacing w:before="120" w:after="120"/>
              <w:rPr>
                <w:rFonts w:ascii="Verdana" w:hAnsi="Verdana"/>
                <w:bCs/>
              </w:rPr>
            </w:pPr>
            <w:r w:rsidRPr="00B37247">
              <w:rPr>
                <w:rFonts w:ascii="Verdana" w:hAnsi="Verdana"/>
                <w:bCs/>
              </w:rPr>
              <w:t>They tend to collect up their receipts and file the paper claims in large groupings instead of as the prescriptions are purchased.</w:t>
            </w:r>
          </w:p>
        </w:tc>
      </w:tr>
      <w:tr w:rsidR="00FA26FC" w:rsidRPr="002A440D" w14:paraId="094C428D" w14:textId="77777777" w:rsidTr="00F90719">
        <w:tc>
          <w:tcPr>
            <w:tcW w:w="1181" w:type="pct"/>
          </w:tcPr>
          <w:p w14:paraId="314EF735" w14:textId="77777777" w:rsidR="00157785" w:rsidRPr="00B37247" w:rsidRDefault="00157785" w:rsidP="00373C34">
            <w:pPr>
              <w:spacing w:before="120" w:after="120"/>
              <w:rPr>
                <w:rFonts w:ascii="Verdana" w:hAnsi="Verdana"/>
              </w:rPr>
            </w:pPr>
            <w:r w:rsidRPr="00B37247">
              <w:rPr>
                <w:rFonts w:ascii="Verdana" w:hAnsi="Verdana"/>
              </w:rPr>
              <w:t>Short Term Stop See</w:t>
            </w:r>
          </w:p>
          <w:p w14:paraId="3D6E7D67" w14:textId="77777777" w:rsidR="00157785" w:rsidRPr="00B37247" w:rsidRDefault="00157785" w:rsidP="00373C34">
            <w:pPr>
              <w:spacing w:before="120" w:after="120"/>
              <w:rPr>
                <w:rFonts w:ascii="Verdana" w:hAnsi="Verdana"/>
              </w:rPr>
            </w:pPr>
          </w:p>
        </w:tc>
        <w:tc>
          <w:tcPr>
            <w:tcW w:w="3819" w:type="pct"/>
          </w:tcPr>
          <w:p w14:paraId="369B9267" w14:textId="03691FD1" w:rsidR="00157785" w:rsidRPr="00B37247" w:rsidRDefault="00157785" w:rsidP="00373C34">
            <w:pPr>
              <w:spacing w:before="120" w:after="120"/>
              <w:rPr>
                <w:rFonts w:ascii="Verdana" w:hAnsi="Verdana"/>
                <w:bCs/>
              </w:rPr>
            </w:pPr>
            <w:r w:rsidRPr="00B37247">
              <w:rPr>
                <w:rFonts w:ascii="Verdana" w:hAnsi="Verdana" w:cs="Arial"/>
              </w:rPr>
              <w:t xml:space="preserve">These are Stop See comments entered for up to </w:t>
            </w:r>
            <w:r w:rsidR="00A260CD" w:rsidRPr="00B37247">
              <w:rPr>
                <w:rFonts w:ascii="Verdana" w:hAnsi="Verdana" w:cs="Arial"/>
              </w:rPr>
              <w:t>10-day</w:t>
            </w:r>
            <w:r w:rsidRPr="00B37247">
              <w:rPr>
                <w:rFonts w:ascii="Verdana" w:hAnsi="Verdana" w:cs="Arial"/>
              </w:rPr>
              <w:t xml:space="preserve"> duration. Used to communicate information to pharmacy operations </w:t>
            </w:r>
            <w:r w:rsidRPr="00B37247">
              <w:rPr>
                <w:rFonts w:ascii="Verdana" w:hAnsi="Verdana"/>
                <w:bCs/>
              </w:rPr>
              <w:t xml:space="preserve">on behalf of the plan member </w:t>
            </w:r>
            <w:r w:rsidRPr="00B37247">
              <w:rPr>
                <w:rFonts w:ascii="Verdana" w:hAnsi="Verdana"/>
                <w:bCs/>
                <w:iCs/>
              </w:rPr>
              <w:t>PRIOR</w:t>
            </w:r>
            <w:r w:rsidRPr="00B37247">
              <w:rPr>
                <w:rFonts w:ascii="Verdana" w:hAnsi="Verdana"/>
                <w:bCs/>
              </w:rPr>
              <w:t xml:space="preserve"> to the order being created.</w:t>
            </w:r>
          </w:p>
        </w:tc>
      </w:tr>
      <w:tr w:rsidR="00FA26FC" w:rsidRPr="002A440D" w14:paraId="646189E8" w14:textId="77777777" w:rsidTr="00F90719">
        <w:tc>
          <w:tcPr>
            <w:tcW w:w="1181" w:type="pct"/>
          </w:tcPr>
          <w:p w14:paraId="7B3CBDF7" w14:textId="77777777" w:rsidR="00157785" w:rsidRPr="00B37247" w:rsidRDefault="00157785" w:rsidP="00373C34">
            <w:pPr>
              <w:spacing w:before="120" w:after="120"/>
              <w:rPr>
                <w:rFonts w:ascii="Verdana" w:hAnsi="Verdana"/>
              </w:rPr>
            </w:pPr>
            <w:r w:rsidRPr="00B37247">
              <w:rPr>
                <w:rFonts w:ascii="Verdana" w:hAnsi="Verdana"/>
              </w:rPr>
              <w:t>Side Effects</w:t>
            </w:r>
          </w:p>
        </w:tc>
        <w:tc>
          <w:tcPr>
            <w:tcW w:w="3819" w:type="pct"/>
          </w:tcPr>
          <w:p w14:paraId="6450A404" w14:textId="4EAFB0E0" w:rsidR="00157785" w:rsidRPr="00B37247" w:rsidRDefault="00157785" w:rsidP="00373C34">
            <w:pPr>
              <w:spacing w:before="120" w:after="120"/>
              <w:rPr>
                <w:rFonts w:ascii="Verdana" w:hAnsi="Verdana"/>
                <w:bCs/>
              </w:rPr>
            </w:pPr>
            <w:r w:rsidRPr="00B37247">
              <w:rPr>
                <w:rFonts w:ascii="Verdana" w:hAnsi="Verdana"/>
                <w:bCs/>
              </w:rPr>
              <w:t>These are unintended consequences of a medication or treatment of a member</w:t>
            </w:r>
            <w:r w:rsidR="0071506E" w:rsidRPr="00B37247">
              <w:rPr>
                <w:rFonts w:ascii="Verdana" w:hAnsi="Verdana"/>
                <w:bCs/>
              </w:rPr>
              <w:t xml:space="preserve">. </w:t>
            </w:r>
            <w:r w:rsidRPr="00B37247">
              <w:rPr>
                <w:rFonts w:ascii="Verdana" w:hAnsi="Verdana"/>
                <w:bCs/>
              </w:rPr>
              <w:t>These effects may be clinically significant or not significant</w:t>
            </w:r>
            <w:r w:rsidR="0071506E" w:rsidRPr="00B37247">
              <w:rPr>
                <w:rFonts w:ascii="Verdana" w:hAnsi="Verdana"/>
                <w:bCs/>
              </w:rPr>
              <w:t xml:space="preserve">. </w:t>
            </w:r>
          </w:p>
          <w:p w14:paraId="04B10DE4" w14:textId="77777777" w:rsidR="00157785" w:rsidRPr="00B37247" w:rsidRDefault="00157785" w:rsidP="00373C34">
            <w:pPr>
              <w:spacing w:before="120" w:after="120"/>
              <w:rPr>
                <w:rFonts w:ascii="Verdana" w:hAnsi="Verdana"/>
                <w:bCs/>
              </w:rPr>
            </w:pPr>
          </w:p>
          <w:p w14:paraId="075F0C25" w14:textId="4A0F4939" w:rsidR="00157785" w:rsidRPr="00B37247" w:rsidRDefault="00157785" w:rsidP="00373C34">
            <w:pPr>
              <w:spacing w:before="120" w:after="120"/>
              <w:rPr>
                <w:rFonts w:ascii="Verdana" w:hAnsi="Verdana"/>
                <w:bCs/>
              </w:rPr>
            </w:pPr>
            <w:r w:rsidRPr="00B37247">
              <w:rPr>
                <w:rFonts w:ascii="Verdana" w:hAnsi="Verdana"/>
                <w:bCs/>
              </w:rPr>
              <w:t>Some side effects are utilized for their therapeutic effect, such as an antihistamine that causes drowsiness to induce sleep, but generally a side effect is to be avoided if possible.</w:t>
            </w:r>
          </w:p>
        </w:tc>
      </w:tr>
      <w:tr w:rsidR="00FA26FC" w:rsidRPr="002A440D" w14:paraId="27551D4C" w14:textId="77777777" w:rsidTr="00F90719">
        <w:tc>
          <w:tcPr>
            <w:tcW w:w="1181" w:type="pct"/>
          </w:tcPr>
          <w:p w14:paraId="2076B61D" w14:textId="0D537B10" w:rsidR="00157785" w:rsidRPr="00B37247" w:rsidRDefault="00157785" w:rsidP="00373C34">
            <w:pPr>
              <w:spacing w:before="120" w:after="120"/>
              <w:rPr>
                <w:rFonts w:ascii="Verdana" w:hAnsi="Verdana"/>
              </w:rPr>
            </w:pPr>
            <w:r w:rsidRPr="00B37247">
              <w:rPr>
                <w:rFonts w:ascii="Verdana" w:hAnsi="Verdana"/>
              </w:rPr>
              <w:t>Silverlink</w:t>
            </w:r>
          </w:p>
        </w:tc>
        <w:tc>
          <w:tcPr>
            <w:tcW w:w="3819" w:type="pct"/>
          </w:tcPr>
          <w:p w14:paraId="64B8F9D4" w14:textId="2B4AD332" w:rsidR="00157785" w:rsidRPr="00B37247" w:rsidRDefault="00157785" w:rsidP="00373C34">
            <w:pPr>
              <w:spacing w:before="120" w:after="120"/>
              <w:rPr>
                <w:rFonts w:ascii="Verdana" w:hAnsi="Verdana"/>
              </w:rPr>
            </w:pPr>
            <w:r w:rsidRPr="00B37247">
              <w:rPr>
                <w:rFonts w:ascii="Verdana" w:hAnsi="Verdana"/>
              </w:rPr>
              <w:t>Third party IVR vendor which has a HIPAA compliance corporate agreement with us specializing in healthcare communications.</w:t>
            </w:r>
          </w:p>
        </w:tc>
      </w:tr>
      <w:tr w:rsidR="00FA26FC" w:rsidRPr="002A440D" w14:paraId="65FB6FA3" w14:textId="77777777" w:rsidTr="00F90719">
        <w:tc>
          <w:tcPr>
            <w:tcW w:w="1181" w:type="pct"/>
          </w:tcPr>
          <w:p w14:paraId="47427FC2" w14:textId="77777777" w:rsidR="00157785" w:rsidRPr="00B37247" w:rsidRDefault="00157785" w:rsidP="00373C34">
            <w:pPr>
              <w:spacing w:before="120" w:after="120"/>
              <w:rPr>
                <w:rFonts w:ascii="Verdana" w:hAnsi="Verdana"/>
              </w:rPr>
            </w:pPr>
            <w:r w:rsidRPr="00B37247">
              <w:rPr>
                <w:rFonts w:ascii="Verdana" w:hAnsi="Verdana"/>
              </w:rPr>
              <w:t>Signature Log</w:t>
            </w:r>
          </w:p>
        </w:tc>
        <w:tc>
          <w:tcPr>
            <w:tcW w:w="3819" w:type="pct"/>
          </w:tcPr>
          <w:p w14:paraId="7C911C66" w14:textId="12A58951" w:rsidR="00157785" w:rsidRPr="00B37247" w:rsidRDefault="00157785" w:rsidP="00373C34">
            <w:pPr>
              <w:spacing w:before="120" w:after="120"/>
              <w:rPr>
                <w:rFonts w:ascii="Verdana" w:hAnsi="Verdana"/>
              </w:rPr>
            </w:pPr>
            <w:r w:rsidRPr="00B37247">
              <w:rPr>
                <w:rFonts w:ascii="Verdana" w:hAnsi="Verdana"/>
              </w:rPr>
              <w:t>List containing signatures of members who have used the pharmacy benefit card to purchase prescriptions</w:t>
            </w:r>
            <w:r w:rsidR="0071506E" w:rsidRPr="00B37247">
              <w:rPr>
                <w:rFonts w:ascii="Verdana" w:hAnsi="Verdana"/>
              </w:rPr>
              <w:t xml:space="preserve">. </w:t>
            </w:r>
            <w:r w:rsidRPr="00B37247">
              <w:rPr>
                <w:rFonts w:ascii="Verdana" w:hAnsi="Verdana"/>
              </w:rPr>
              <w:t>This log is maintained at plan member pharmacies who submit claims by computer-printed claim forms or by magnetic tape</w:t>
            </w:r>
            <w:r w:rsidR="0071506E" w:rsidRPr="00B37247">
              <w:rPr>
                <w:rFonts w:ascii="Verdana" w:hAnsi="Verdana"/>
              </w:rPr>
              <w:t xml:space="preserve">. </w:t>
            </w:r>
            <w:r w:rsidRPr="00B37247">
              <w:rPr>
                <w:rFonts w:ascii="Verdana" w:hAnsi="Verdana"/>
              </w:rPr>
              <w:t>Will be accessed in both State and PBM pharmacy audits.</w:t>
            </w:r>
          </w:p>
        </w:tc>
      </w:tr>
      <w:tr w:rsidR="00FA26FC" w:rsidRPr="002A440D" w14:paraId="16F33EA6" w14:textId="77777777" w:rsidTr="00F90719">
        <w:tc>
          <w:tcPr>
            <w:tcW w:w="1181" w:type="pct"/>
          </w:tcPr>
          <w:p w14:paraId="057251E6" w14:textId="77777777" w:rsidR="00157785" w:rsidRPr="00B37247" w:rsidRDefault="00157785" w:rsidP="00373C34">
            <w:pPr>
              <w:spacing w:before="120" w:after="120"/>
              <w:rPr>
                <w:rFonts w:ascii="Verdana" w:hAnsi="Verdana"/>
              </w:rPr>
            </w:pPr>
            <w:r w:rsidRPr="00B37247">
              <w:rPr>
                <w:rFonts w:ascii="Verdana" w:hAnsi="Verdana"/>
              </w:rPr>
              <w:t xml:space="preserve">SimpleDose </w:t>
            </w:r>
          </w:p>
        </w:tc>
        <w:tc>
          <w:tcPr>
            <w:tcW w:w="3819" w:type="pct"/>
          </w:tcPr>
          <w:p w14:paraId="0DBC96D6" w14:textId="3EA12488" w:rsidR="00157785" w:rsidRPr="00B37247" w:rsidRDefault="00157785" w:rsidP="00373C34">
            <w:pPr>
              <w:spacing w:before="120" w:after="120"/>
              <w:rPr>
                <w:rFonts w:ascii="Verdana" w:hAnsi="Verdana"/>
                <w:bCs/>
              </w:rPr>
            </w:pPr>
            <w:r w:rsidRPr="00B37247">
              <w:rPr>
                <w:rFonts w:ascii="Verdana" w:hAnsi="Verdana"/>
                <w:bCs/>
              </w:rPr>
              <w:t xml:space="preserve">Manage your Rx with SimpleDose™, presorted Rx packs at no added </w:t>
            </w:r>
            <w:r w:rsidR="00FA26FC" w:rsidRPr="00B37247">
              <w:rPr>
                <w:rFonts w:ascii="Verdana" w:hAnsi="Verdana"/>
                <w:bCs/>
              </w:rPr>
              <w:t>cost. *</w:t>
            </w:r>
            <w:r w:rsidRPr="00B37247">
              <w:rPr>
                <w:rFonts w:ascii="Verdana" w:hAnsi="Verdana"/>
                <w:bCs/>
              </w:rPr>
              <w:t xml:space="preserve"> Each box contains a 30</w:t>
            </w:r>
            <w:r w:rsidRPr="00B37247">
              <w:rPr>
                <w:rFonts w:ascii="Cambria Math" w:hAnsi="Cambria Math" w:cs="Cambria Math"/>
                <w:bCs/>
              </w:rPr>
              <w:t>‐</w:t>
            </w:r>
            <w:r w:rsidRPr="00B37247">
              <w:rPr>
                <w:rFonts w:ascii="Verdana" w:hAnsi="Verdana"/>
                <w:bCs/>
              </w:rPr>
              <w:t>day supply, delivered to your home* or local CVS Pharmacy</w:t>
            </w:r>
            <w:r w:rsidRPr="00B37247">
              <w:rPr>
                <w:rFonts w:ascii="Verdana" w:hAnsi="Verdana" w:cs="Verdana"/>
                <w:bCs/>
              </w:rPr>
              <w:t xml:space="preserve">® </w:t>
            </w:r>
            <w:r w:rsidR="0071506E" w:rsidRPr="00B37247">
              <w:rPr>
                <w:rFonts w:ascii="Verdana" w:hAnsi="Verdana" w:cs="Verdana"/>
                <w:bCs/>
              </w:rPr>
              <w:t>S</w:t>
            </w:r>
            <w:r w:rsidR="001967C0" w:rsidRPr="00B37247">
              <w:rPr>
                <w:rFonts w:ascii="Verdana" w:hAnsi="Verdana" w:cs="Verdana"/>
                <w:bCs/>
              </w:rPr>
              <w:t>imple</w:t>
            </w:r>
            <w:r w:rsidR="0071506E" w:rsidRPr="00B37247">
              <w:rPr>
                <w:rFonts w:ascii="Verdana" w:hAnsi="Verdana" w:cs="Verdana"/>
                <w:bCs/>
              </w:rPr>
              <w:t>D</w:t>
            </w:r>
            <w:r w:rsidR="001967C0" w:rsidRPr="00B37247">
              <w:rPr>
                <w:rFonts w:ascii="Verdana" w:hAnsi="Verdana" w:cs="Verdana"/>
                <w:bCs/>
              </w:rPr>
              <w:t>ose will be sunsetting 05/30/2023</w:t>
            </w:r>
            <w:r w:rsidR="00DE5D2B">
              <w:rPr>
                <w:rFonts w:ascii="Verdana" w:hAnsi="Verdana" w:cs="Verdana"/>
                <w:bCs/>
              </w:rPr>
              <w:t>.</w:t>
            </w:r>
          </w:p>
        </w:tc>
      </w:tr>
      <w:tr w:rsidR="00FA26FC" w:rsidRPr="002A440D" w14:paraId="69A33E6D" w14:textId="77777777" w:rsidTr="00F90719">
        <w:tc>
          <w:tcPr>
            <w:tcW w:w="1181" w:type="pct"/>
          </w:tcPr>
          <w:p w14:paraId="6B757083" w14:textId="77777777" w:rsidR="00157785" w:rsidRPr="00B37247" w:rsidRDefault="00157785" w:rsidP="00373C34">
            <w:pPr>
              <w:spacing w:before="120" w:after="120"/>
              <w:rPr>
                <w:rFonts w:ascii="Verdana" w:hAnsi="Verdana"/>
              </w:rPr>
            </w:pPr>
            <w:r w:rsidRPr="00B37247">
              <w:rPr>
                <w:rFonts w:ascii="Verdana" w:hAnsi="Verdana"/>
              </w:rPr>
              <w:t>Single Source</w:t>
            </w:r>
          </w:p>
        </w:tc>
        <w:tc>
          <w:tcPr>
            <w:tcW w:w="3819" w:type="pct"/>
          </w:tcPr>
          <w:p w14:paraId="6BA665FB" w14:textId="14A614C8" w:rsidR="00157785" w:rsidRPr="00B37247" w:rsidRDefault="00157785" w:rsidP="00373C34">
            <w:pPr>
              <w:spacing w:before="120" w:after="120"/>
              <w:rPr>
                <w:rFonts w:ascii="Verdana" w:hAnsi="Verdana"/>
                <w:bCs/>
              </w:rPr>
            </w:pPr>
            <w:r w:rsidRPr="00B37247">
              <w:rPr>
                <w:rFonts w:ascii="Verdana" w:hAnsi="Verdana"/>
                <w:bCs/>
              </w:rPr>
              <w:t>Used when a medication or drug can only be purchased from one source in the marketplace.</w:t>
            </w:r>
          </w:p>
        </w:tc>
      </w:tr>
      <w:tr w:rsidR="00FA26FC" w:rsidRPr="002A440D" w14:paraId="6939406E" w14:textId="77777777" w:rsidTr="00F90719">
        <w:tc>
          <w:tcPr>
            <w:tcW w:w="1181" w:type="pct"/>
          </w:tcPr>
          <w:p w14:paraId="0238D4A3" w14:textId="77777777" w:rsidR="00157785" w:rsidRPr="00B37247" w:rsidRDefault="00157785" w:rsidP="00373C34">
            <w:pPr>
              <w:spacing w:before="120" w:after="120"/>
              <w:rPr>
                <w:rFonts w:ascii="Verdana" w:hAnsi="Verdana"/>
              </w:rPr>
            </w:pPr>
            <w:r w:rsidRPr="00B37247">
              <w:rPr>
                <w:rFonts w:ascii="Verdana" w:hAnsi="Verdana"/>
              </w:rPr>
              <w:t>Single Use Address</w:t>
            </w:r>
          </w:p>
          <w:p w14:paraId="59423420" w14:textId="77777777" w:rsidR="00157785" w:rsidRPr="00B37247" w:rsidRDefault="00157785" w:rsidP="00373C34">
            <w:pPr>
              <w:autoSpaceDE w:val="0"/>
              <w:autoSpaceDN w:val="0"/>
              <w:adjustRightInd w:val="0"/>
              <w:spacing w:before="120" w:after="120"/>
              <w:rPr>
                <w:rFonts w:ascii="Verdana" w:hAnsi="Verdana" w:cs="Verdana"/>
              </w:rPr>
            </w:pPr>
          </w:p>
        </w:tc>
        <w:tc>
          <w:tcPr>
            <w:tcW w:w="3819" w:type="pct"/>
          </w:tcPr>
          <w:p w14:paraId="5BD69155" w14:textId="31CE0459" w:rsidR="00157785" w:rsidRPr="00B37247" w:rsidRDefault="00157785" w:rsidP="00373C34">
            <w:pPr>
              <w:autoSpaceDE w:val="0"/>
              <w:autoSpaceDN w:val="0"/>
              <w:adjustRightInd w:val="0"/>
              <w:spacing w:before="120" w:after="120"/>
              <w:rPr>
                <w:rFonts w:ascii="Verdana" w:hAnsi="Verdana" w:cs="Verdana"/>
              </w:rPr>
            </w:pPr>
            <w:r w:rsidRPr="00B37247">
              <w:rPr>
                <w:rFonts w:ascii="Verdana" w:hAnsi="Verdana" w:cs="Verdana"/>
              </w:rPr>
              <w:t>A single use address is a one-time address that can be added to an order</w:t>
            </w:r>
            <w:r w:rsidR="0071506E" w:rsidRPr="00B37247">
              <w:rPr>
                <w:rFonts w:ascii="Verdana" w:hAnsi="Verdana" w:cs="Verdana"/>
              </w:rPr>
              <w:t xml:space="preserve">. </w:t>
            </w:r>
            <w:r w:rsidRPr="00B37247">
              <w:rPr>
                <w:rFonts w:ascii="Verdana" w:hAnsi="Verdana" w:cs="Verdana"/>
              </w:rPr>
              <w:t>Single use addresses will not be stored as a member’s address.</w:t>
            </w:r>
          </w:p>
          <w:p w14:paraId="51925553" w14:textId="77777777" w:rsidR="00157785" w:rsidRPr="00B37247" w:rsidRDefault="00157785" w:rsidP="00373C34">
            <w:pPr>
              <w:autoSpaceDE w:val="0"/>
              <w:autoSpaceDN w:val="0"/>
              <w:adjustRightInd w:val="0"/>
              <w:spacing w:before="120" w:after="120"/>
              <w:rPr>
                <w:rFonts w:ascii="Verdana" w:hAnsi="Verdana" w:cs="Verdana"/>
              </w:rPr>
            </w:pPr>
          </w:p>
          <w:p w14:paraId="75E03D1F" w14:textId="77777777" w:rsidR="00157785" w:rsidRPr="00B37247" w:rsidRDefault="00157785" w:rsidP="00373C34">
            <w:pPr>
              <w:autoSpaceDE w:val="0"/>
              <w:autoSpaceDN w:val="0"/>
              <w:adjustRightInd w:val="0"/>
              <w:spacing w:before="120" w:after="120"/>
              <w:rPr>
                <w:rFonts w:ascii="Verdana" w:hAnsi="Verdana" w:cs="Verdana"/>
              </w:rPr>
            </w:pPr>
            <w:r w:rsidRPr="00B37247">
              <w:rPr>
                <w:rFonts w:ascii="Verdana" w:hAnsi="Verdana" w:cs="Verdana"/>
              </w:rPr>
              <w:t xml:space="preserve">Common examples of what a member may say to reveal a single Use Address type include:  </w:t>
            </w:r>
          </w:p>
          <w:p w14:paraId="3695C4A6" w14:textId="77777777" w:rsidR="00157785" w:rsidRPr="00B37247" w:rsidRDefault="00157785" w:rsidP="0067793B">
            <w:pPr>
              <w:numPr>
                <w:ilvl w:val="0"/>
                <w:numId w:val="43"/>
              </w:numPr>
              <w:autoSpaceDE w:val="0"/>
              <w:autoSpaceDN w:val="0"/>
              <w:adjustRightInd w:val="0"/>
              <w:spacing w:before="120" w:after="120"/>
              <w:ind w:left="432"/>
              <w:rPr>
                <w:rFonts w:ascii="Verdana" w:hAnsi="Verdana" w:cs="Verdana"/>
              </w:rPr>
            </w:pPr>
            <w:r w:rsidRPr="00B37247">
              <w:rPr>
                <w:rFonts w:ascii="Verdana" w:hAnsi="Verdana" w:cs="Verdana"/>
              </w:rPr>
              <w:t xml:space="preserve">“Ship/Send my order to…” </w:t>
            </w:r>
          </w:p>
          <w:p w14:paraId="2AA5EDD8" w14:textId="77777777" w:rsidR="00157785" w:rsidRPr="00B37247" w:rsidRDefault="00157785" w:rsidP="0067793B">
            <w:pPr>
              <w:numPr>
                <w:ilvl w:val="0"/>
                <w:numId w:val="43"/>
              </w:numPr>
              <w:autoSpaceDE w:val="0"/>
              <w:autoSpaceDN w:val="0"/>
              <w:adjustRightInd w:val="0"/>
              <w:spacing w:before="120" w:after="120"/>
              <w:ind w:left="432"/>
              <w:rPr>
                <w:rFonts w:ascii="Verdana" w:hAnsi="Verdana" w:cs="Verdana"/>
              </w:rPr>
            </w:pPr>
            <w:r w:rsidRPr="00B37247">
              <w:rPr>
                <w:rFonts w:ascii="Verdana" w:hAnsi="Verdana" w:cs="Verdana"/>
              </w:rPr>
              <w:t>“I am currently at…”</w:t>
            </w:r>
          </w:p>
          <w:p w14:paraId="3AA253A2" w14:textId="77777777" w:rsidR="00157785" w:rsidRPr="00B37247" w:rsidRDefault="00157785" w:rsidP="0067793B">
            <w:pPr>
              <w:numPr>
                <w:ilvl w:val="0"/>
                <w:numId w:val="43"/>
              </w:numPr>
              <w:autoSpaceDE w:val="0"/>
              <w:autoSpaceDN w:val="0"/>
              <w:adjustRightInd w:val="0"/>
              <w:spacing w:before="120" w:after="120"/>
              <w:ind w:left="432"/>
              <w:rPr>
                <w:rFonts w:ascii="Verdana" w:hAnsi="Verdana" w:cs="Verdana"/>
              </w:rPr>
            </w:pPr>
            <w:r w:rsidRPr="00B37247">
              <w:rPr>
                <w:rFonts w:ascii="Verdana" w:hAnsi="Verdana" w:cs="Verdana"/>
              </w:rPr>
              <w:t>“Use this address…”</w:t>
            </w:r>
          </w:p>
          <w:p w14:paraId="44C58983" w14:textId="4F038998" w:rsidR="00157785" w:rsidRPr="00B37247" w:rsidRDefault="58A8A785" w:rsidP="00373C34">
            <w:pPr>
              <w:spacing w:before="120" w:after="120"/>
              <w:rPr>
                <w:rFonts w:ascii="Verdana" w:hAnsi="Verdana"/>
              </w:rPr>
            </w:pPr>
            <w:r w:rsidRPr="27C5D7BF">
              <w:rPr>
                <w:rFonts w:ascii="Verdana" w:hAnsi="Verdana" w:cs="Verdana"/>
                <w:b/>
                <w:bCs/>
              </w:rPr>
              <w:t xml:space="preserve">Note:  </w:t>
            </w:r>
            <w:r w:rsidRPr="27C5D7BF">
              <w:rPr>
                <w:rFonts w:ascii="Verdana" w:hAnsi="Verdana" w:cs="Verdana"/>
              </w:rPr>
              <w:t xml:space="preserve">If member uses a Mail Order Form or sends in correspondence, </w:t>
            </w:r>
            <w:r w:rsidRPr="27C5D7BF">
              <w:rPr>
                <w:rFonts w:ascii="Verdana" w:hAnsi="Verdana"/>
              </w:rPr>
              <w:t>this request can be made by anyone placing an order on behalf of a member.</w:t>
            </w:r>
          </w:p>
        </w:tc>
      </w:tr>
      <w:tr w:rsidR="27C5D7BF" w14:paraId="6A738537" w14:textId="77777777" w:rsidTr="00F90719">
        <w:trPr>
          <w:trHeight w:val="300"/>
        </w:trPr>
        <w:tc>
          <w:tcPr>
            <w:tcW w:w="3059" w:type="dxa"/>
          </w:tcPr>
          <w:p w14:paraId="1295C233" w14:textId="41175394" w:rsidR="450A15DE" w:rsidRPr="003F35DA" w:rsidRDefault="00F90719" w:rsidP="00681F13">
            <w:pPr>
              <w:spacing w:before="120" w:after="120"/>
              <w:rPr>
                <w:rFonts w:ascii="Verdana" w:hAnsi="Verdana"/>
              </w:rPr>
            </w:pPr>
            <w:r>
              <w:rPr>
                <w:noProof/>
              </w:rPr>
              <w:drawing>
                <wp:inline distT="0" distB="0" distL="0" distR="0" wp14:anchorId="36EE32F4" wp14:editId="6B257A7A">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450A15DE" w:rsidRPr="003F35DA">
              <w:rPr>
                <w:rFonts w:ascii="Verdana" w:eastAsia="Verdana" w:hAnsi="Verdana" w:cs="Verdana"/>
              </w:rPr>
              <w:t>Situational drugs</w:t>
            </w:r>
          </w:p>
        </w:tc>
        <w:tc>
          <w:tcPr>
            <w:tcW w:w="9891" w:type="dxa"/>
          </w:tcPr>
          <w:p w14:paraId="4FDBCF3C" w14:textId="35AB9B6B" w:rsidR="450A15DE" w:rsidRPr="003F35DA" w:rsidRDefault="450A15DE" w:rsidP="00681F13">
            <w:pPr>
              <w:spacing w:before="120" w:after="120"/>
              <w:rPr>
                <w:rFonts w:ascii="Verdana" w:eastAsia="CVS Health Sans" w:hAnsi="Verdana" w:cs="CVS Health Sans"/>
              </w:rPr>
            </w:pPr>
            <w:r w:rsidRPr="003F35DA">
              <w:rPr>
                <w:rFonts w:ascii="Verdana" w:eastAsia="CVS Health Sans" w:hAnsi="Verdana" w:cs="CVS Health Sans"/>
              </w:rPr>
              <w:t>Situational drugs are medications that are prescribed for short-term or intermittent us based on a specific condition, event, or circumstance, rather than for ongoing, chronic treatment. These drugs are typically used to address acute symptoms, temporary health needs, or conditions that arise sporadically. Examples may include medications for migraines, anxiety before medical procedures, erectile dysfunction, motion sickness, or allergic reactions.</w:t>
            </w:r>
          </w:p>
          <w:p w14:paraId="075D9111" w14:textId="19654FED" w:rsidR="450A15DE" w:rsidRPr="003F35DA" w:rsidRDefault="450A15DE" w:rsidP="00681F13">
            <w:pPr>
              <w:spacing w:before="120" w:after="120"/>
              <w:rPr>
                <w:rFonts w:ascii="Verdana" w:eastAsia="CVS Health Sans" w:hAnsi="Verdana" w:cs="CVS Health Sans"/>
              </w:rPr>
            </w:pPr>
            <w:r w:rsidRPr="003F35DA">
              <w:rPr>
                <w:rFonts w:ascii="Verdana" w:eastAsia="CVS Health Sans" w:hAnsi="Verdana" w:cs="CVS Health Sans"/>
              </w:rPr>
              <w:t xml:space="preserve"> </w:t>
            </w:r>
          </w:p>
          <w:p w14:paraId="5AEAF0E6" w14:textId="6D7CA4E2" w:rsidR="27C5D7BF" w:rsidRPr="003F35DA" w:rsidRDefault="450A15DE" w:rsidP="00681F13">
            <w:pPr>
              <w:spacing w:before="120" w:after="120"/>
              <w:rPr>
                <w:rFonts w:ascii="Verdana" w:hAnsi="Verdana" w:cs="Verdana"/>
              </w:rPr>
            </w:pPr>
            <w:r w:rsidRPr="003F35DA">
              <w:rPr>
                <w:rFonts w:ascii="Verdana" w:eastAsia="CVS Health Sans" w:hAnsi="Verdana" w:cs="CVS Health Sans"/>
              </w:rPr>
              <w:t>Situational drugs are often evaluated differently from maintenance medications in terms of utilization patterns, clinical appropriateness, and coverage criteria.</w:t>
            </w:r>
          </w:p>
        </w:tc>
      </w:tr>
      <w:tr w:rsidR="00FA26FC" w:rsidRPr="002A440D" w14:paraId="60CC3E3C" w14:textId="77777777" w:rsidTr="00F90719">
        <w:tc>
          <w:tcPr>
            <w:tcW w:w="1181" w:type="pct"/>
          </w:tcPr>
          <w:p w14:paraId="5AE50539" w14:textId="77777777" w:rsidR="00157785" w:rsidRPr="003F35DA" w:rsidRDefault="00157785" w:rsidP="00373C34">
            <w:pPr>
              <w:spacing w:before="120" w:after="120"/>
              <w:rPr>
                <w:rFonts w:ascii="Verdana" w:hAnsi="Verdana"/>
              </w:rPr>
            </w:pPr>
            <w:r w:rsidRPr="003F35DA">
              <w:rPr>
                <w:rFonts w:ascii="Verdana" w:hAnsi="Verdana"/>
              </w:rPr>
              <w:t>Smart Card</w:t>
            </w:r>
          </w:p>
        </w:tc>
        <w:tc>
          <w:tcPr>
            <w:tcW w:w="3819" w:type="pct"/>
          </w:tcPr>
          <w:p w14:paraId="4DA57D7F" w14:textId="3FABEE92" w:rsidR="00157785" w:rsidRPr="003F35DA" w:rsidRDefault="00157785" w:rsidP="00373C34">
            <w:pPr>
              <w:spacing w:before="120" w:after="120"/>
              <w:rPr>
                <w:rFonts w:ascii="Verdana" w:hAnsi="Verdana"/>
                <w:bCs/>
              </w:rPr>
            </w:pPr>
            <w:r w:rsidRPr="003F35DA">
              <w:rPr>
                <w:rFonts w:ascii="Verdana" w:hAnsi="Verdana"/>
                <w:bCs/>
              </w:rPr>
              <w:t>Technology that allows for a computerized member record or administrative information to be coded onto a plastic card that may be accessed by authorized health care providers anywhere for routine or emergency services.</w:t>
            </w:r>
          </w:p>
        </w:tc>
      </w:tr>
      <w:tr w:rsidR="27C5D7BF" w14:paraId="020487D6" w14:textId="77777777" w:rsidTr="00F90719">
        <w:trPr>
          <w:trHeight w:val="300"/>
        </w:trPr>
        <w:tc>
          <w:tcPr>
            <w:tcW w:w="3059" w:type="dxa"/>
          </w:tcPr>
          <w:p w14:paraId="2B8553B1" w14:textId="076995A4" w:rsidR="63B0F338" w:rsidRPr="003F35DA" w:rsidRDefault="00F90719" w:rsidP="00681F13">
            <w:pPr>
              <w:spacing w:before="120" w:after="120"/>
              <w:rPr>
                <w:rFonts w:ascii="Verdana" w:hAnsi="Verdana"/>
              </w:rPr>
            </w:pPr>
            <w:r>
              <w:rPr>
                <w:noProof/>
              </w:rPr>
              <w:drawing>
                <wp:inline distT="0" distB="0" distL="0" distR="0" wp14:anchorId="789E5BFD" wp14:editId="6E3BE794">
                  <wp:extent cx="304762" cy="304762"/>
                  <wp:effectExtent l="0" t="0" r="635" b="635"/>
                  <wp:docPr id="1302634964" name="Picture 130263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3B0F338" w:rsidRPr="003F35DA">
              <w:rPr>
                <w:rFonts w:ascii="Verdana" w:hAnsi="Verdana"/>
              </w:rPr>
              <w:t>Smart PA</w:t>
            </w:r>
          </w:p>
        </w:tc>
        <w:tc>
          <w:tcPr>
            <w:tcW w:w="9891" w:type="dxa"/>
          </w:tcPr>
          <w:p w14:paraId="0CFAA290" w14:textId="13699E1D" w:rsidR="27C5D7BF" w:rsidRPr="003F35DA" w:rsidRDefault="001A734A" w:rsidP="00DE5D2B">
            <w:pPr>
              <w:spacing w:before="120" w:after="120"/>
              <w:rPr>
                <w:rFonts w:ascii="Verdana" w:hAnsi="Verdana"/>
              </w:rPr>
            </w:pPr>
            <w:r w:rsidRPr="001A734A">
              <w:rPr>
                <w:rFonts w:ascii="Verdana" w:eastAsia="CVS Health Sans" w:hAnsi="Verdana" w:cs="CVS Health Sans"/>
              </w:rPr>
              <w:t>Smart PA automates and streamlines the process of determining whether a prescription drug meets a set of predefined criteria for coverage. Smart PA evaluates claims in real-time against clinical rules. If criteria are not met, it flags the claim for manual review (Prior Authorization) or denial.</w:t>
            </w:r>
          </w:p>
        </w:tc>
      </w:tr>
      <w:tr w:rsidR="00FA26FC" w:rsidRPr="002A440D" w14:paraId="355FFCCC" w14:textId="77777777" w:rsidTr="00F90719">
        <w:tc>
          <w:tcPr>
            <w:tcW w:w="1181" w:type="pct"/>
          </w:tcPr>
          <w:p w14:paraId="57DD769D" w14:textId="77777777" w:rsidR="00157785" w:rsidRPr="00B37247" w:rsidRDefault="00157785" w:rsidP="00373C34">
            <w:pPr>
              <w:pStyle w:val="PlainText"/>
              <w:spacing w:before="120" w:after="120"/>
              <w:rPr>
                <w:rFonts w:ascii="Verdana" w:hAnsi="Verdana"/>
                <w:sz w:val="24"/>
                <w:szCs w:val="24"/>
                <w:lang w:val="en-US" w:eastAsia="en-US"/>
              </w:rPr>
            </w:pPr>
            <w:r w:rsidRPr="00B37247">
              <w:rPr>
                <w:rFonts w:ascii="Verdana" w:hAnsi="Verdana"/>
                <w:sz w:val="24"/>
                <w:szCs w:val="24"/>
              </w:rPr>
              <w:t>Specialty Biotech Product Management</w:t>
            </w:r>
          </w:p>
        </w:tc>
        <w:tc>
          <w:tcPr>
            <w:tcW w:w="3819" w:type="pct"/>
          </w:tcPr>
          <w:p w14:paraId="643A8DD4" w14:textId="2B30F357" w:rsidR="00157785" w:rsidRPr="00B37247" w:rsidRDefault="00157785" w:rsidP="00373C34">
            <w:pPr>
              <w:pStyle w:val="PlainText"/>
              <w:spacing w:before="120" w:after="120"/>
              <w:rPr>
                <w:rFonts w:ascii="Verdana" w:hAnsi="Verdana" w:cs="Arial"/>
                <w:sz w:val="24"/>
                <w:szCs w:val="24"/>
                <w:lang w:val="en-US" w:eastAsia="en-US"/>
              </w:rPr>
            </w:pPr>
            <w:r w:rsidRPr="00B37247">
              <w:rPr>
                <w:rFonts w:ascii="Verdana" w:hAnsi="Verdana" w:cs="Arial"/>
                <w:sz w:val="24"/>
                <w:szCs w:val="24"/>
                <w:lang w:val="en-US" w:eastAsia="en-US"/>
              </w:rPr>
              <w:t xml:space="preserve">This area optimally manages all aspects of biotech (biologically derived) injectable </w:t>
            </w:r>
            <w:r w:rsidR="00A260CD" w:rsidRPr="00B37247">
              <w:rPr>
                <w:rFonts w:ascii="Verdana" w:hAnsi="Verdana" w:cs="Arial"/>
                <w:sz w:val="24"/>
                <w:szCs w:val="24"/>
                <w:lang w:val="en-US" w:eastAsia="en-US"/>
              </w:rPr>
              <w:t>medication,</w:t>
            </w:r>
            <w:r w:rsidRPr="00B37247">
              <w:rPr>
                <w:rFonts w:ascii="Verdana" w:hAnsi="Verdana" w:cs="Arial"/>
                <w:sz w:val="24"/>
                <w:szCs w:val="24"/>
                <w:lang w:val="en-US" w:eastAsia="en-US"/>
              </w:rPr>
              <w:t xml:space="preserve"> resulting in a rapid and convenient delivery system as well as expertise in management of rare but costly disease.</w:t>
            </w:r>
          </w:p>
        </w:tc>
      </w:tr>
      <w:tr w:rsidR="00FA26FC" w:rsidRPr="002A440D" w14:paraId="686477A0" w14:textId="77777777" w:rsidTr="00F90719">
        <w:tc>
          <w:tcPr>
            <w:tcW w:w="1181" w:type="pct"/>
          </w:tcPr>
          <w:p w14:paraId="3170A2EC" w14:textId="77777777" w:rsidR="00157785" w:rsidRPr="00B37247" w:rsidRDefault="00157785" w:rsidP="00373C34">
            <w:pPr>
              <w:pStyle w:val="PlainText"/>
              <w:spacing w:before="120" w:after="120"/>
              <w:rPr>
                <w:rFonts w:ascii="Verdana" w:hAnsi="Verdana"/>
                <w:sz w:val="24"/>
                <w:szCs w:val="24"/>
                <w:lang w:val="en-US" w:eastAsia="en-US"/>
              </w:rPr>
            </w:pPr>
            <w:r w:rsidRPr="00B37247">
              <w:rPr>
                <w:rFonts w:ascii="Verdana" w:hAnsi="Verdana"/>
                <w:sz w:val="24"/>
                <w:szCs w:val="24"/>
              </w:rPr>
              <w:t>Specialty / Biotech Medications</w:t>
            </w:r>
          </w:p>
        </w:tc>
        <w:tc>
          <w:tcPr>
            <w:tcW w:w="3819" w:type="pct"/>
          </w:tcPr>
          <w:p w14:paraId="780B6667" w14:textId="5DED9718" w:rsidR="00157785" w:rsidRPr="00B37247" w:rsidRDefault="00157785" w:rsidP="00373C34">
            <w:pPr>
              <w:pStyle w:val="PlainText"/>
              <w:spacing w:before="120" w:after="120"/>
              <w:rPr>
                <w:rFonts w:ascii="Verdana" w:hAnsi="Verdana"/>
                <w:bCs/>
                <w:sz w:val="24"/>
                <w:szCs w:val="24"/>
                <w:lang w:val="en-US" w:eastAsia="en-US"/>
              </w:rPr>
            </w:pPr>
            <w:r w:rsidRPr="00B37247">
              <w:rPr>
                <w:rFonts w:ascii="Verdana" w:hAnsi="Verdana"/>
                <w:bCs/>
                <w:sz w:val="24"/>
                <w:szCs w:val="24"/>
                <w:lang w:val="en-US" w:eastAsia="en-US"/>
              </w:rPr>
              <w:t>Refers to a diverse group of expensive, biologically derived injectable medications prescribed for chronic illnesses such as multiple sclerosis, hepatitis C and hemophilia as well as some common diseases for arthritis</w:t>
            </w:r>
            <w:r w:rsidR="0071506E" w:rsidRPr="00B37247">
              <w:rPr>
                <w:rFonts w:ascii="Verdana" w:hAnsi="Verdana"/>
                <w:bCs/>
                <w:sz w:val="24"/>
                <w:szCs w:val="24"/>
                <w:lang w:val="en-US" w:eastAsia="en-US"/>
              </w:rPr>
              <w:t xml:space="preserve">. </w:t>
            </w:r>
            <w:r w:rsidRPr="00B37247">
              <w:rPr>
                <w:rFonts w:ascii="Verdana" w:hAnsi="Verdana"/>
                <w:bCs/>
                <w:sz w:val="24"/>
                <w:szCs w:val="24"/>
                <w:lang w:val="en-US" w:eastAsia="en-US"/>
              </w:rPr>
              <w:t>These medications often require special storage and handling and may not be readily available at the typical local retail pharmacy</w:t>
            </w:r>
            <w:r w:rsidR="0071506E" w:rsidRPr="00B37247">
              <w:rPr>
                <w:rFonts w:ascii="Verdana" w:hAnsi="Verdana"/>
                <w:bCs/>
                <w:sz w:val="24"/>
                <w:szCs w:val="24"/>
                <w:lang w:val="en-US" w:eastAsia="en-US"/>
              </w:rPr>
              <w:t xml:space="preserve">. </w:t>
            </w:r>
          </w:p>
        </w:tc>
      </w:tr>
      <w:tr w:rsidR="00FA26FC" w:rsidRPr="002A440D" w14:paraId="45A468E1" w14:textId="77777777" w:rsidTr="00F90719">
        <w:tc>
          <w:tcPr>
            <w:tcW w:w="1181" w:type="pct"/>
          </w:tcPr>
          <w:p w14:paraId="5C1C5A54" w14:textId="77777777" w:rsidR="00157785" w:rsidRPr="00B37247" w:rsidRDefault="00157785" w:rsidP="00373C34">
            <w:pPr>
              <w:spacing w:before="120" w:after="120"/>
              <w:rPr>
                <w:rFonts w:ascii="Verdana" w:hAnsi="Verdana"/>
                <w:noProof/>
              </w:rPr>
            </w:pPr>
            <w:r w:rsidRPr="00B37247">
              <w:rPr>
                <w:rFonts w:ascii="Verdana" w:hAnsi="Verdana"/>
              </w:rPr>
              <w:t>Specialty Copay Card Program</w:t>
            </w:r>
          </w:p>
          <w:p w14:paraId="46C24186" w14:textId="77777777" w:rsidR="00157785" w:rsidRPr="00B37247" w:rsidRDefault="00157785" w:rsidP="00373C34">
            <w:pPr>
              <w:spacing w:before="120" w:after="120"/>
              <w:rPr>
                <w:rFonts w:ascii="Verdana" w:hAnsi="Verdana"/>
              </w:rPr>
            </w:pPr>
          </w:p>
        </w:tc>
        <w:tc>
          <w:tcPr>
            <w:tcW w:w="3819" w:type="pct"/>
          </w:tcPr>
          <w:p w14:paraId="255898EF" w14:textId="56FE96F7" w:rsidR="00157785" w:rsidRPr="00B37247" w:rsidRDefault="00157785" w:rsidP="00373C34">
            <w:pPr>
              <w:spacing w:before="120" w:after="120"/>
              <w:rPr>
                <w:rFonts w:ascii="Verdana" w:hAnsi="Verdana" w:cs="Arial"/>
              </w:rPr>
            </w:pPr>
            <w:r w:rsidRPr="00B37247">
              <w:rPr>
                <w:rFonts w:ascii="Verdana" w:hAnsi="Verdana" w:cs="Arial"/>
              </w:rPr>
              <w:t>The CVS Specialty Copay Card program is a means to identify payments that are made on behalf of the patient by a manufacturer copay card for any medication dispensed by the CVS Specialty Pharmacy</w:t>
            </w:r>
            <w:r w:rsidR="0071506E" w:rsidRPr="00B37247">
              <w:rPr>
                <w:rFonts w:ascii="Verdana" w:hAnsi="Verdana" w:cs="Arial"/>
              </w:rPr>
              <w:t xml:space="preserve">. </w:t>
            </w:r>
          </w:p>
          <w:p w14:paraId="52EFC7D7" w14:textId="77777777" w:rsidR="00157785" w:rsidRPr="00B37247" w:rsidRDefault="00157785" w:rsidP="00373C34">
            <w:pPr>
              <w:spacing w:before="120" w:after="120"/>
              <w:rPr>
                <w:rFonts w:ascii="Verdana" w:hAnsi="Verdana" w:cs="Arial"/>
              </w:rPr>
            </w:pPr>
          </w:p>
          <w:p w14:paraId="53D253BA" w14:textId="25802095" w:rsidR="00157785" w:rsidRPr="00B37247" w:rsidRDefault="00157785" w:rsidP="00373C34">
            <w:pPr>
              <w:spacing w:before="120" w:after="120"/>
              <w:rPr>
                <w:rFonts w:ascii="Verdana" w:hAnsi="Verdana" w:cs="Arial"/>
              </w:rPr>
            </w:pPr>
            <w:r w:rsidRPr="00B37247">
              <w:rPr>
                <w:rFonts w:ascii="Verdana" w:hAnsi="Verdana" w:cs="Arial"/>
              </w:rPr>
              <w:t>It ensures that only true member out-of-pocket costs are applied to an accumulator (</w:t>
            </w:r>
            <w:r w:rsidR="00A260CD" w:rsidRPr="00B37247">
              <w:rPr>
                <w:rFonts w:ascii="Verdana" w:hAnsi="Verdana" w:cs="Arial"/>
              </w:rPr>
              <w:t>i.e.,</w:t>
            </w:r>
            <w:r w:rsidRPr="00B37247">
              <w:rPr>
                <w:rFonts w:ascii="Verdana" w:hAnsi="Verdana" w:cs="Arial"/>
              </w:rPr>
              <w:t xml:space="preserve"> deductible and/or maximum out of pocket) of our clients enrolled in the program. </w:t>
            </w:r>
          </w:p>
          <w:p w14:paraId="46E2F17E" w14:textId="77777777" w:rsidR="00157785" w:rsidRPr="00B37247" w:rsidRDefault="00157785" w:rsidP="00373C34">
            <w:pPr>
              <w:spacing w:before="120" w:after="120"/>
              <w:rPr>
                <w:rFonts w:ascii="Verdana" w:hAnsi="Verdana"/>
              </w:rPr>
            </w:pPr>
          </w:p>
          <w:p w14:paraId="0B575055" w14:textId="77777777" w:rsidR="00157785" w:rsidRPr="00B37247" w:rsidRDefault="00157785" w:rsidP="00373C34">
            <w:pPr>
              <w:spacing w:before="120" w:after="120"/>
              <w:rPr>
                <w:rFonts w:ascii="Verdana" w:hAnsi="Verdana"/>
              </w:rPr>
            </w:pPr>
            <w:r w:rsidRPr="00B37247">
              <w:rPr>
                <w:rFonts w:ascii="Verdana" w:hAnsi="Verdana"/>
              </w:rPr>
              <w:t xml:space="preserve">The CVS Specialty Copay Card Program began on </w:t>
            </w:r>
            <w:r w:rsidRPr="00B37247">
              <w:rPr>
                <w:rFonts w:ascii="Verdana" w:hAnsi="Verdana"/>
                <w:b/>
              </w:rPr>
              <w:t>January 1, 2017</w:t>
            </w:r>
            <w:r w:rsidRPr="00B37247">
              <w:rPr>
                <w:rFonts w:ascii="Verdana" w:hAnsi="Verdana"/>
              </w:rPr>
              <w:t>.</w:t>
            </w:r>
          </w:p>
          <w:p w14:paraId="2FB19363" w14:textId="77777777" w:rsidR="00157785" w:rsidRPr="00B37247" w:rsidRDefault="00157785" w:rsidP="00373C34">
            <w:pPr>
              <w:spacing w:before="120" w:after="120"/>
              <w:rPr>
                <w:rFonts w:ascii="Verdana" w:hAnsi="Verdana"/>
              </w:rPr>
            </w:pPr>
          </w:p>
          <w:p w14:paraId="48B7938D" w14:textId="0447DD00" w:rsidR="00157785" w:rsidRPr="00B37247" w:rsidRDefault="00157785" w:rsidP="00373C34">
            <w:pPr>
              <w:spacing w:before="120" w:after="120"/>
              <w:rPr>
                <w:rFonts w:ascii="Verdana" w:hAnsi="Verdana"/>
              </w:rPr>
            </w:pPr>
            <w:r w:rsidRPr="00B37247">
              <w:rPr>
                <w:rFonts w:ascii="Verdana" w:hAnsi="Verdana" w:cs="Arial"/>
              </w:rPr>
              <w:t>This program will be available only for Exclusive Specialty Clients as</w:t>
            </w:r>
            <w:r w:rsidRPr="00B37247">
              <w:rPr>
                <w:rFonts w:ascii="Verdana" w:hAnsi="Verdana"/>
              </w:rPr>
              <w:t xml:space="preserve"> not all clients will be participating</w:t>
            </w:r>
            <w:r w:rsidR="0071506E" w:rsidRPr="00B37247">
              <w:rPr>
                <w:rFonts w:ascii="Verdana" w:hAnsi="Verdana"/>
              </w:rPr>
              <w:t xml:space="preserve">. </w:t>
            </w:r>
            <w:r w:rsidRPr="00B37247">
              <w:rPr>
                <w:rFonts w:ascii="Verdana" w:hAnsi="Verdana"/>
              </w:rPr>
              <w:t xml:space="preserve">Each participating clients CIF will be updated individually. </w:t>
            </w:r>
          </w:p>
        </w:tc>
      </w:tr>
      <w:tr w:rsidR="00FA26FC" w:rsidRPr="002A440D" w14:paraId="01C8464F" w14:textId="77777777" w:rsidTr="00F90719">
        <w:tc>
          <w:tcPr>
            <w:tcW w:w="1181" w:type="pct"/>
          </w:tcPr>
          <w:p w14:paraId="0D42FF7D" w14:textId="77777777" w:rsidR="00157785" w:rsidRPr="00B37247" w:rsidRDefault="00157785" w:rsidP="00373C34">
            <w:pPr>
              <w:spacing w:before="120" w:after="120"/>
              <w:rPr>
                <w:rFonts w:ascii="Verdana" w:hAnsi="Verdana" w:cs="Arial"/>
              </w:rPr>
            </w:pPr>
            <w:r w:rsidRPr="00B37247">
              <w:rPr>
                <w:rFonts w:ascii="Verdana" w:hAnsi="Verdana"/>
              </w:rPr>
              <w:t>Specialty Pharmacy Service</w:t>
            </w:r>
          </w:p>
        </w:tc>
        <w:tc>
          <w:tcPr>
            <w:tcW w:w="3819" w:type="pct"/>
          </w:tcPr>
          <w:p w14:paraId="44295C57" w14:textId="5FCF8734" w:rsidR="00157785" w:rsidRPr="00B37247" w:rsidRDefault="00157785" w:rsidP="00373C34">
            <w:pPr>
              <w:pStyle w:val="PlainText"/>
              <w:spacing w:before="120" w:after="120"/>
              <w:rPr>
                <w:rFonts w:ascii="Verdana" w:hAnsi="Verdana" w:cs="Arial"/>
                <w:sz w:val="24"/>
                <w:szCs w:val="24"/>
                <w:lang w:val="en-US"/>
              </w:rPr>
            </w:pPr>
            <w:r w:rsidRPr="00B37247">
              <w:rPr>
                <w:rFonts w:ascii="Verdana" w:hAnsi="Verdana" w:cs="Arial"/>
                <w:sz w:val="24"/>
                <w:szCs w:val="24"/>
              </w:rPr>
              <w:t>A provider of biotech medications (primarily injectable) to individuals with chronic or genetic conditions</w:t>
            </w:r>
            <w:r w:rsidRPr="00B37247">
              <w:rPr>
                <w:rFonts w:ascii="Verdana" w:hAnsi="Verdana" w:cs="Arial"/>
                <w:sz w:val="24"/>
                <w:szCs w:val="24"/>
                <w:lang w:val="en-US"/>
              </w:rPr>
              <w:t>.</w:t>
            </w:r>
          </w:p>
        </w:tc>
      </w:tr>
      <w:tr w:rsidR="00FA26FC" w:rsidRPr="002A440D" w14:paraId="4D565364" w14:textId="77777777" w:rsidTr="00F90719">
        <w:tc>
          <w:tcPr>
            <w:tcW w:w="1181" w:type="pct"/>
          </w:tcPr>
          <w:p w14:paraId="1141A0BA" w14:textId="77777777" w:rsidR="00157785" w:rsidRPr="00B37247" w:rsidRDefault="00157785" w:rsidP="00373C34">
            <w:pPr>
              <w:pStyle w:val="PlainText"/>
              <w:spacing w:before="120" w:after="120"/>
              <w:rPr>
                <w:rFonts w:ascii="Verdana" w:hAnsi="Verdana"/>
                <w:sz w:val="24"/>
                <w:szCs w:val="24"/>
                <w:lang w:val="en-US" w:eastAsia="en-US"/>
              </w:rPr>
            </w:pPr>
            <w:r w:rsidRPr="00B37247">
              <w:rPr>
                <w:rFonts w:ascii="Verdana" w:hAnsi="Verdana"/>
                <w:sz w:val="24"/>
                <w:szCs w:val="24"/>
              </w:rPr>
              <w:t>Specialty Rx</w:t>
            </w:r>
          </w:p>
        </w:tc>
        <w:tc>
          <w:tcPr>
            <w:tcW w:w="3819" w:type="pct"/>
          </w:tcPr>
          <w:p w14:paraId="5EDFDE0C" w14:textId="2251421F" w:rsidR="00157785" w:rsidRPr="00B37247" w:rsidRDefault="00157785" w:rsidP="00373C34">
            <w:pPr>
              <w:pStyle w:val="PlainText"/>
              <w:spacing w:before="120" w:after="120"/>
              <w:rPr>
                <w:rFonts w:ascii="Verdana" w:hAnsi="Verdana"/>
                <w:sz w:val="24"/>
                <w:szCs w:val="24"/>
                <w:lang w:val="en-US" w:eastAsia="en-US"/>
              </w:rPr>
            </w:pPr>
            <w:r w:rsidRPr="00B37247">
              <w:rPr>
                <w:rFonts w:ascii="Verdana" w:hAnsi="Verdana"/>
                <w:sz w:val="24"/>
                <w:szCs w:val="24"/>
                <w:lang w:val="en-US" w:eastAsia="en-US"/>
              </w:rPr>
              <w:t>Specifies if specialty medications are allowed on the plan.</w:t>
            </w:r>
          </w:p>
        </w:tc>
      </w:tr>
      <w:tr w:rsidR="00FA26FC" w:rsidRPr="002A440D" w14:paraId="5DB1BBB2" w14:textId="77777777" w:rsidTr="00F90719">
        <w:tc>
          <w:tcPr>
            <w:tcW w:w="1181" w:type="pct"/>
          </w:tcPr>
          <w:p w14:paraId="1EEC7D83" w14:textId="6BE44BC8" w:rsidR="00157785" w:rsidRPr="00B37247" w:rsidRDefault="00157785" w:rsidP="00373C34">
            <w:pPr>
              <w:spacing w:before="120" w:after="120"/>
              <w:rPr>
                <w:rFonts w:ascii="Verdana" w:hAnsi="Verdana"/>
              </w:rPr>
            </w:pPr>
            <w:r w:rsidRPr="00B37247">
              <w:rPr>
                <w:rFonts w:ascii="Verdana" w:hAnsi="Verdana"/>
              </w:rPr>
              <w:t>Split Order</w:t>
            </w:r>
          </w:p>
        </w:tc>
        <w:tc>
          <w:tcPr>
            <w:tcW w:w="3819" w:type="pct"/>
          </w:tcPr>
          <w:p w14:paraId="68D8BC03" w14:textId="7345E398" w:rsidR="00157785" w:rsidRPr="00B37247" w:rsidRDefault="00157785" w:rsidP="00373C34">
            <w:pPr>
              <w:spacing w:before="120" w:after="120"/>
              <w:rPr>
                <w:rFonts w:ascii="Verdana" w:hAnsi="Verdana"/>
              </w:rPr>
            </w:pPr>
            <w:r w:rsidRPr="00B37247">
              <w:rPr>
                <w:rFonts w:ascii="Verdana" w:hAnsi="Verdana"/>
              </w:rPr>
              <w:t xml:space="preserve">An order is divided (split) if the order has multiple </w:t>
            </w:r>
            <w:r w:rsidR="00A260CD" w:rsidRPr="00B37247">
              <w:rPr>
                <w:rFonts w:ascii="Verdana" w:hAnsi="Verdana"/>
              </w:rPr>
              <w:t>prescriptions and</w:t>
            </w:r>
            <w:r w:rsidRPr="00B37247">
              <w:rPr>
                <w:rFonts w:ascii="Verdana" w:hAnsi="Verdana"/>
              </w:rPr>
              <w:t xml:space="preserve"> has been in house 5 days or more or if one of the medications is on backorder.</w:t>
            </w:r>
          </w:p>
        </w:tc>
      </w:tr>
      <w:tr w:rsidR="00FA26FC" w:rsidRPr="002A440D" w14:paraId="2EDD5441" w14:textId="77777777" w:rsidTr="00F90719">
        <w:tc>
          <w:tcPr>
            <w:tcW w:w="1181" w:type="pct"/>
          </w:tcPr>
          <w:p w14:paraId="55310658" w14:textId="77777777" w:rsidR="00157785" w:rsidRPr="00B37247" w:rsidRDefault="00157785" w:rsidP="00373C34">
            <w:pPr>
              <w:spacing w:before="120" w:after="120"/>
              <w:rPr>
                <w:rFonts w:ascii="Verdana" w:hAnsi="Verdana"/>
              </w:rPr>
            </w:pPr>
            <w:r w:rsidRPr="00B37247">
              <w:rPr>
                <w:rFonts w:ascii="Verdana" w:hAnsi="Verdana"/>
              </w:rPr>
              <w:t>Standard Packaging</w:t>
            </w:r>
          </w:p>
        </w:tc>
        <w:tc>
          <w:tcPr>
            <w:tcW w:w="3819" w:type="pct"/>
          </w:tcPr>
          <w:p w14:paraId="6277F420" w14:textId="1EC6085B" w:rsidR="00157785" w:rsidRPr="00B37247" w:rsidRDefault="00157785" w:rsidP="00373C34">
            <w:pPr>
              <w:spacing w:before="120" w:after="120"/>
              <w:rPr>
                <w:rFonts w:ascii="Verdana" w:hAnsi="Verdana"/>
              </w:rPr>
            </w:pPr>
            <w:r w:rsidRPr="00B37247">
              <w:rPr>
                <w:rFonts w:ascii="Verdana" w:hAnsi="Verdana"/>
              </w:rPr>
              <w:t>Drug product in which portions are removed for administration and dispensing</w:t>
            </w:r>
            <w:r w:rsidR="0071506E" w:rsidRPr="00B37247">
              <w:rPr>
                <w:rFonts w:ascii="Verdana" w:hAnsi="Verdana"/>
              </w:rPr>
              <w:t xml:space="preserve">. </w:t>
            </w:r>
            <w:r w:rsidRPr="00B37247">
              <w:rPr>
                <w:rFonts w:ascii="Verdana" w:hAnsi="Verdana"/>
              </w:rPr>
              <w:t>This portion does not have labeling for a single-dose unit.</w:t>
            </w:r>
          </w:p>
        </w:tc>
      </w:tr>
      <w:tr w:rsidR="00FA26FC" w:rsidRPr="002A440D" w14:paraId="0FDA6898" w14:textId="77777777" w:rsidTr="00F90719">
        <w:tc>
          <w:tcPr>
            <w:tcW w:w="1181" w:type="pct"/>
          </w:tcPr>
          <w:p w14:paraId="2B34A691" w14:textId="77777777" w:rsidR="00157785" w:rsidRPr="00B37247" w:rsidRDefault="00157785" w:rsidP="00373C34">
            <w:pPr>
              <w:spacing w:before="120" w:after="120"/>
              <w:rPr>
                <w:rFonts w:ascii="Verdana" w:hAnsi="Verdana"/>
              </w:rPr>
            </w:pPr>
            <w:r w:rsidRPr="00B37247">
              <w:rPr>
                <w:rFonts w:ascii="Verdana" w:hAnsi="Verdana"/>
              </w:rPr>
              <w:t>Staff/Staffed Time</w:t>
            </w:r>
          </w:p>
        </w:tc>
        <w:tc>
          <w:tcPr>
            <w:tcW w:w="3819" w:type="pct"/>
          </w:tcPr>
          <w:p w14:paraId="38682EDB" w14:textId="211270C7" w:rsidR="00157785" w:rsidRPr="00B37247" w:rsidRDefault="00157785" w:rsidP="00373C34">
            <w:pPr>
              <w:spacing w:before="120" w:after="120"/>
              <w:rPr>
                <w:rFonts w:ascii="Verdana" w:hAnsi="Verdana"/>
              </w:rPr>
            </w:pPr>
            <w:r w:rsidRPr="00B37247">
              <w:rPr>
                <w:rFonts w:ascii="Verdana" w:hAnsi="Verdana"/>
              </w:rPr>
              <w:t xml:space="preserve">Time logged into the phone for the corresponding split/skill; refer to the appropriate Logging into the Phone for your site. </w:t>
            </w:r>
          </w:p>
        </w:tc>
      </w:tr>
      <w:tr w:rsidR="00FA26FC" w:rsidRPr="002A440D" w14:paraId="79E3211E" w14:textId="77777777" w:rsidTr="00F90719">
        <w:tc>
          <w:tcPr>
            <w:tcW w:w="1181" w:type="pct"/>
          </w:tcPr>
          <w:p w14:paraId="05B50978" w14:textId="1815033E" w:rsidR="00157785" w:rsidRPr="00B37247" w:rsidRDefault="00157785" w:rsidP="00373C34">
            <w:pPr>
              <w:spacing w:before="120" w:after="120"/>
              <w:rPr>
                <w:rFonts w:ascii="Verdana" w:hAnsi="Verdana"/>
              </w:rPr>
            </w:pPr>
            <w:r w:rsidRPr="00B37247">
              <w:rPr>
                <w:rFonts w:ascii="Verdana" w:hAnsi="Verdana"/>
              </w:rPr>
              <w:t>Standard Eligibility</w:t>
            </w:r>
          </w:p>
          <w:p w14:paraId="0D38E610" w14:textId="77777777" w:rsidR="00157785" w:rsidRPr="00B37247" w:rsidRDefault="00157785" w:rsidP="00373C34">
            <w:pPr>
              <w:pStyle w:val="Dotbullet"/>
              <w:numPr>
                <w:ilvl w:val="0"/>
                <w:numId w:val="0"/>
              </w:numPr>
              <w:spacing w:before="120" w:after="120"/>
              <w:ind w:left="360"/>
              <w:rPr>
                <w:szCs w:val="24"/>
              </w:rPr>
            </w:pPr>
          </w:p>
        </w:tc>
        <w:tc>
          <w:tcPr>
            <w:tcW w:w="3819" w:type="pct"/>
          </w:tcPr>
          <w:p w14:paraId="5ADEA065" w14:textId="77777777" w:rsidR="00157785" w:rsidRPr="00B37247" w:rsidRDefault="00157785" w:rsidP="00373C34">
            <w:pPr>
              <w:pStyle w:val="Dotbullet"/>
              <w:numPr>
                <w:ilvl w:val="0"/>
                <w:numId w:val="0"/>
              </w:numPr>
              <w:spacing w:before="120" w:after="120"/>
              <w:rPr>
                <w:szCs w:val="24"/>
              </w:rPr>
            </w:pPr>
            <w:r w:rsidRPr="00B37247">
              <w:rPr>
                <w:b/>
                <w:szCs w:val="24"/>
              </w:rPr>
              <w:t>‘Standard Eligibility’</w:t>
            </w:r>
            <w:r w:rsidRPr="00B37247">
              <w:rPr>
                <w:szCs w:val="24"/>
              </w:rPr>
              <w:t xml:space="preserve"> will display next to </w:t>
            </w:r>
            <w:r w:rsidRPr="00B37247">
              <w:rPr>
                <w:b/>
                <w:szCs w:val="24"/>
              </w:rPr>
              <w:t>‘Eligible’</w:t>
            </w:r>
            <w:r w:rsidRPr="00B37247">
              <w:rPr>
                <w:szCs w:val="24"/>
              </w:rPr>
              <w:t xml:space="preserve"> for Cardholder.</w:t>
            </w:r>
          </w:p>
          <w:p w14:paraId="29BC1F74" w14:textId="77777777" w:rsidR="00157785" w:rsidRPr="00B37247" w:rsidRDefault="00157785" w:rsidP="0067793B">
            <w:pPr>
              <w:pStyle w:val="Dotbullet"/>
              <w:numPr>
                <w:ilvl w:val="0"/>
                <w:numId w:val="44"/>
              </w:numPr>
              <w:spacing w:before="120" w:after="120"/>
              <w:ind w:left="432"/>
              <w:rPr>
                <w:szCs w:val="24"/>
              </w:rPr>
            </w:pPr>
            <w:r w:rsidRPr="00B37247">
              <w:rPr>
                <w:szCs w:val="24"/>
              </w:rPr>
              <w:t xml:space="preserve">Family style coverage wherein family members may be covered, </w:t>
            </w:r>
            <w:r w:rsidRPr="00B37247">
              <w:rPr>
                <w:b/>
                <w:szCs w:val="24"/>
              </w:rPr>
              <w:t>only</w:t>
            </w:r>
            <w:r w:rsidRPr="00B37247">
              <w:rPr>
                <w:szCs w:val="24"/>
              </w:rPr>
              <w:t xml:space="preserve"> the cardholder needs to show as eligible.</w:t>
            </w:r>
          </w:p>
          <w:p w14:paraId="310F7A09" w14:textId="77777777" w:rsidR="00157785" w:rsidRPr="00B37247" w:rsidRDefault="00157785" w:rsidP="0067793B">
            <w:pPr>
              <w:pStyle w:val="Dotbullet"/>
              <w:numPr>
                <w:ilvl w:val="0"/>
                <w:numId w:val="44"/>
              </w:numPr>
              <w:spacing w:before="120" w:after="120"/>
              <w:ind w:left="432"/>
              <w:rPr>
                <w:szCs w:val="24"/>
              </w:rPr>
            </w:pPr>
            <w:r w:rsidRPr="00B37247">
              <w:rPr>
                <w:szCs w:val="24"/>
              </w:rPr>
              <w:t>Family members may show as termed, but still be covered.</w:t>
            </w:r>
          </w:p>
          <w:p w14:paraId="01DC422B" w14:textId="51751966" w:rsidR="00157785" w:rsidRPr="00B37247" w:rsidRDefault="00157785" w:rsidP="0067793B">
            <w:pPr>
              <w:pStyle w:val="Dotbullet"/>
              <w:numPr>
                <w:ilvl w:val="0"/>
                <w:numId w:val="44"/>
              </w:numPr>
              <w:spacing w:before="120" w:after="120"/>
              <w:ind w:left="432"/>
              <w:rPr>
                <w:szCs w:val="24"/>
              </w:rPr>
            </w:pPr>
            <w:r w:rsidRPr="00B37247">
              <w:rPr>
                <w:szCs w:val="24"/>
              </w:rPr>
              <w:t>Family members may have no line of eligibility, but still be covered</w:t>
            </w:r>
            <w:r w:rsidR="0071506E" w:rsidRPr="00B37247">
              <w:rPr>
                <w:szCs w:val="24"/>
              </w:rPr>
              <w:t xml:space="preserve">. </w:t>
            </w:r>
          </w:p>
        </w:tc>
      </w:tr>
      <w:tr w:rsidR="00FA26FC" w:rsidRPr="002A440D" w14:paraId="2802267C" w14:textId="77777777" w:rsidTr="00F90719">
        <w:tc>
          <w:tcPr>
            <w:tcW w:w="1181" w:type="pct"/>
          </w:tcPr>
          <w:p w14:paraId="0931AE8F" w14:textId="77777777" w:rsidR="00157785" w:rsidRPr="00B37247" w:rsidRDefault="00157785" w:rsidP="00373C34">
            <w:pPr>
              <w:spacing w:before="120" w:after="120"/>
              <w:rPr>
                <w:rFonts w:ascii="Verdana" w:hAnsi="Verdana"/>
              </w:rPr>
            </w:pPr>
            <w:r w:rsidRPr="00B37247">
              <w:rPr>
                <w:rFonts w:ascii="Verdana" w:hAnsi="Verdana"/>
              </w:rPr>
              <w:t xml:space="preserve">Star Rating System </w:t>
            </w:r>
          </w:p>
        </w:tc>
        <w:tc>
          <w:tcPr>
            <w:tcW w:w="3819" w:type="pct"/>
          </w:tcPr>
          <w:p w14:paraId="52024CDC" w14:textId="792A324B" w:rsidR="00157785" w:rsidRPr="00B37247" w:rsidRDefault="00157785" w:rsidP="00373C34">
            <w:pPr>
              <w:spacing w:before="120" w:after="120"/>
              <w:rPr>
                <w:rFonts w:ascii="Verdana" w:hAnsi="Verdana"/>
              </w:rPr>
            </w:pPr>
            <w:r w:rsidRPr="00B37247">
              <w:rPr>
                <w:rFonts w:ascii="Verdana" w:hAnsi="Verdana"/>
              </w:rPr>
              <w:t xml:space="preserve">For Medicare Part D plans, the Star Rating System (often referred to as the plan rating) uses data from a variety of sources when evaluating a plan’s performance and is made available to beneficiaries </w:t>
            </w:r>
            <w:r w:rsidR="00A260CD" w:rsidRPr="00B37247">
              <w:rPr>
                <w:rFonts w:ascii="Verdana" w:hAnsi="Verdana"/>
              </w:rPr>
              <w:t>to</w:t>
            </w:r>
            <w:r w:rsidRPr="00B37247">
              <w:rPr>
                <w:rFonts w:ascii="Verdana" w:hAnsi="Verdana"/>
              </w:rPr>
              <w:t xml:space="preserve"> help them make enrollment decisions</w:t>
            </w:r>
            <w:r w:rsidR="0071506E" w:rsidRPr="00B37247">
              <w:rPr>
                <w:rFonts w:ascii="Verdana" w:hAnsi="Verdana"/>
              </w:rPr>
              <w:t xml:space="preserve">. </w:t>
            </w:r>
            <w:r w:rsidRPr="00B37247">
              <w:rPr>
                <w:rFonts w:ascii="Verdana" w:hAnsi="Verdana"/>
              </w:rPr>
              <w:br/>
            </w:r>
            <w:r w:rsidRPr="00B37247">
              <w:rPr>
                <w:rFonts w:ascii="Verdana" w:hAnsi="Verdana"/>
              </w:rPr>
              <w:br/>
              <w:t>CMS uses a Star Rating System to rate the quality and performance of plans that offer Medicare Part C and Medicare Part D benefits. CMS uses data from a variety of sources when evaluating a plan’s performance and determining its star rating:</w:t>
            </w:r>
          </w:p>
          <w:p w14:paraId="3D4B7481"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Plan reported data (e.g., Exceptions, Appeals, Grievances)</w:t>
            </w:r>
          </w:p>
          <w:p w14:paraId="12C157E0"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1-800 Medicare complaint data</w:t>
            </w:r>
          </w:p>
          <w:p w14:paraId="1E54EC24"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Prescription Drug Event (PDE) data</w:t>
            </w:r>
          </w:p>
          <w:p w14:paraId="3AF3EAA9"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Independent Review Entity (IRE) data</w:t>
            </w:r>
          </w:p>
          <w:p w14:paraId="3A7E171B"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Monitoring studies (e.g., Call center)</w:t>
            </w:r>
          </w:p>
          <w:p w14:paraId="12494C1D" w14:textId="77777777" w:rsidR="00157785" w:rsidRPr="00B37247" w:rsidRDefault="00157785" w:rsidP="0067793B">
            <w:pPr>
              <w:numPr>
                <w:ilvl w:val="0"/>
                <w:numId w:val="111"/>
              </w:numPr>
              <w:spacing w:before="120" w:after="120"/>
              <w:ind w:left="432"/>
              <w:rPr>
                <w:rFonts w:ascii="Verdana" w:hAnsi="Verdana"/>
              </w:rPr>
            </w:pPr>
            <w:r w:rsidRPr="00B37247">
              <w:rPr>
                <w:rFonts w:ascii="Verdana" w:hAnsi="Verdana"/>
              </w:rPr>
              <w:t>Audit data</w:t>
            </w:r>
            <w:r w:rsidRPr="00B37247">
              <w:rPr>
                <w:rFonts w:ascii="Verdana" w:hAnsi="Verdana"/>
              </w:rPr>
              <w:br/>
            </w:r>
          </w:p>
          <w:p w14:paraId="20F9BE31" w14:textId="77777777" w:rsidR="00157785" w:rsidRPr="00B37247" w:rsidRDefault="00157785" w:rsidP="00373C34">
            <w:pPr>
              <w:spacing w:before="120" w:after="120"/>
              <w:rPr>
                <w:rFonts w:ascii="Verdana" w:hAnsi="Verdana"/>
              </w:rPr>
            </w:pPr>
            <w:r w:rsidRPr="00B37247">
              <w:rPr>
                <w:rFonts w:ascii="Verdana" w:hAnsi="Verdana"/>
              </w:rPr>
              <w:t xml:space="preserve">Additionally, CMS uses the plan ratings for oversight and monitoring purposes. It helps them determine which plans to audit. </w:t>
            </w:r>
          </w:p>
        </w:tc>
      </w:tr>
      <w:tr w:rsidR="00FA26FC" w:rsidRPr="002A440D" w14:paraId="6DC890AC" w14:textId="77777777" w:rsidTr="00F90719">
        <w:tc>
          <w:tcPr>
            <w:tcW w:w="1181" w:type="pct"/>
          </w:tcPr>
          <w:p w14:paraId="1B42DA89" w14:textId="77777777" w:rsidR="00157785" w:rsidRPr="00B37247" w:rsidRDefault="00157785" w:rsidP="00373C34">
            <w:pPr>
              <w:spacing w:before="120" w:after="120"/>
              <w:rPr>
                <w:rFonts w:ascii="Verdana" w:hAnsi="Verdana"/>
              </w:rPr>
            </w:pPr>
            <w:r w:rsidRPr="00B37247">
              <w:rPr>
                <w:rFonts w:ascii="Verdana" w:hAnsi="Verdana"/>
              </w:rPr>
              <w:t>State Code</w:t>
            </w:r>
          </w:p>
        </w:tc>
        <w:tc>
          <w:tcPr>
            <w:tcW w:w="3819" w:type="pct"/>
          </w:tcPr>
          <w:p w14:paraId="4D205E25" w14:textId="59F3B22B" w:rsidR="00157785" w:rsidRPr="00B37247" w:rsidRDefault="00157785" w:rsidP="00373C34">
            <w:pPr>
              <w:spacing w:before="120" w:after="120"/>
              <w:rPr>
                <w:rFonts w:ascii="Verdana" w:hAnsi="Verdana"/>
              </w:rPr>
            </w:pPr>
            <w:r w:rsidRPr="00B37247">
              <w:rPr>
                <w:rFonts w:ascii="Verdana" w:hAnsi="Verdana"/>
              </w:rPr>
              <w:t>Two-digit numeric code used by the computer to identify the state in which a prescription was filled.</w:t>
            </w:r>
          </w:p>
        </w:tc>
      </w:tr>
      <w:tr w:rsidR="00FA26FC" w:rsidRPr="002A440D" w14:paraId="77E162FA" w14:textId="77777777" w:rsidTr="00F90719">
        <w:tc>
          <w:tcPr>
            <w:tcW w:w="1181" w:type="pct"/>
          </w:tcPr>
          <w:p w14:paraId="6DA3D8AE" w14:textId="77777777" w:rsidR="00157785" w:rsidRPr="00B37247" w:rsidRDefault="00157785" w:rsidP="00373C34">
            <w:pPr>
              <w:spacing w:before="120" w:after="120"/>
              <w:rPr>
                <w:rFonts w:ascii="Verdana" w:hAnsi="Verdana"/>
              </w:rPr>
            </w:pPr>
            <w:r w:rsidRPr="00B37247">
              <w:rPr>
                <w:rFonts w:ascii="Verdana" w:hAnsi="Verdana"/>
              </w:rPr>
              <w:t xml:space="preserve">State and County Code </w:t>
            </w:r>
          </w:p>
        </w:tc>
        <w:tc>
          <w:tcPr>
            <w:tcW w:w="3819" w:type="pct"/>
          </w:tcPr>
          <w:p w14:paraId="41BC8259" w14:textId="02ABF528" w:rsidR="00157785" w:rsidRPr="00B37247" w:rsidRDefault="00157785" w:rsidP="00373C34">
            <w:pPr>
              <w:spacing w:before="120" w:after="120"/>
              <w:rPr>
                <w:rFonts w:ascii="Verdana" w:hAnsi="Verdana"/>
              </w:rPr>
            </w:pPr>
            <w:r w:rsidRPr="00B37247">
              <w:rPr>
                <w:rFonts w:ascii="Verdana" w:hAnsi="Verdana"/>
              </w:rPr>
              <w:t xml:space="preserve">Codes used to determine service area. Each state and county </w:t>
            </w:r>
            <w:r w:rsidR="00A260CD" w:rsidRPr="00B37247">
              <w:rPr>
                <w:rFonts w:ascii="Verdana" w:hAnsi="Verdana"/>
              </w:rPr>
              <w:t>have</w:t>
            </w:r>
            <w:r w:rsidRPr="00B37247">
              <w:rPr>
                <w:rFonts w:ascii="Verdana" w:hAnsi="Verdana"/>
              </w:rPr>
              <w:t xml:space="preserve"> an assigned numerical code. The codes are a 2-digit state code followed by 3-digit county code of residence. </w:t>
            </w:r>
          </w:p>
        </w:tc>
      </w:tr>
      <w:tr w:rsidR="00FA26FC" w:rsidRPr="002A440D" w14:paraId="0CCFC0FB" w14:textId="77777777" w:rsidTr="00F90719">
        <w:tc>
          <w:tcPr>
            <w:tcW w:w="1181" w:type="pct"/>
          </w:tcPr>
          <w:p w14:paraId="199FB012" w14:textId="77777777" w:rsidR="00157785" w:rsidRPr="00B37247" w:rsidRDefault="00157785" w:rsidP="00373C34">
            <w:pPr>
              <w:spacing w:before="120" w:after="120"/>
              <w:rPr>
                <w:rFonts w:ascii="Verdana" w:hAnsi="Verdana"/>
              </w:rPr>
            </w:pPr>
            <w:r w:rsidRPr="00B37247">
              <w:rPr>
                <w:rFonts w:ascii="Verdana" w:hAnsi="Verdana"/>
              </w:rPr>
              <w:t xml:space="preserve">Statement </w:t>
            </w:r>
          </w:p>
        </w:tc>
        <w:tc>
          <w:tcPr>
            <w:tcW w:w="3819" w:type="pct"/>
          </w:tcPr>
          <w:p w14:paraId="1E325ABD" w14:textId="77777777" w:rsidR="00157785" w:rsidRPr="00B37247" w:rsidRDefault="00157785" w:rsidP="00373C34">
            <w:pPr>
              <w:spacing w:before="120" w:after="120"/>
              <w:rPr>
                <w:rFonts w:ascii="Verdana" w:hAnsi="Verdana"/>
              </w:rPr>
            </w:pPr>
            <w:r w:rsidRPr="00B37247">
              <w:rPr>
                <w:rFonts w:ascii="Verdana" w:hAnsi="Verdana"/>
              </w:rPr>
              <w:t xml:space="preserve">A document setting out items of debit and credit between a bank or other organization and a customer. </w:t>
            </w:r>
          </w:p>
        </w:tc>
      </w:tr>
      <w:tr w:rsidR="00FA26FC" w:rsidRPr="002A440D" w14:paraId="6BA127FE" w14:textId="77777777" w:rsidTr="00F90719">
        <w:tc>
          <w:tcPr>
            <w:tcW w:w="1181" w:type="pct"/>
          </w:tcPr>
          <w:p w14:paraId="3BAAD04F" w14:textId="77777777" w:rsidR="006F0949" w:rsidRPr="00B37247" w:rsidRDefault="006F0949" w:rsidP="00373C34">
            <w:pPr>
              <w:spacing w:before="120" w:after="120"/>
              <w:rPr>
                <w:rFonts w:ascii="Verdana" w:hAnsi="Verdana"/>
              </w:rPr>
            </w:pPr>
            <w:r w:rsidRPr="00B37247">
              <w:rPr>
                <w:rFonts w:ascii="Verdana" w:hAnsi="Verdana"/>
              </w:rPr>
              <w:t>State Specific Validation for Controlled Substances</w:t>
            </w:r>
          </w:p>
        </w:tc>
        <w:tc>
          <w:tcPr>
            <w:tcW w:w="3819" w:type="pct"/>
          </w:tcPr>
          <w:p w14:paraId="43429028" w14:textId="4049CE6F" w:rsidR="006F0949" w:rsidRPr="00B37247" w:rsidRDefault="006F0949" w:rsidP="00373C34">
            <w:pPr>
              <w:spacing w:before="120" w:after="120"/>
              <w:rPr>
                <w:rFonts w:ascii="Verdana" w:hAnsi="Verdana"/>
              </w:rPr>
            </w:pPr>
            <w:r w:rsidRPr="00B37247">
              <w:rPr>
                <w:rFonts w:ascii="Verdana" w:hAnsi="Verdana"/>
              </w:rPr>
              <w:t>Each transaction with a DEA Schedule will have the NDC checked against the state rules of the prescriber state sending the transaction. Mail Order will have to determine the rules for the destination pharmacy.</w:t>
            </w:r>
          </w:p>
        </w:tc>
      </w:tr>
      <w:tr w:rsidR="00FA26FC" w:rsidRPr="002A440D" w14:paraId="3E0A7BD0" w14:textId="77777777" w:rsidTr="00F90719">
        <w:tc>
          <w:tcPr>
            <w:tcW w:w="1181" w:type="pct"/>
          </w:tcPr>
          <w:p w14:paraId="4ADB784E" w14:textId="77777777" w:rsidR="00157785" w:rsidRPr="00B37247" w:rsidRDefault="00157785" w:rsidP="00373C34">
            <w:pPr>
              <w:spacing w:before="120" w:after="120"/>
              <w:rPr>
                <w:rFonts w:ascii="Verdana" w:hAnsi="Verdana"/>
              </w:rPr>
            </w:pPr>
            <w:r w:rsidRPr="00B37247">
              <w:rPr>
                <w:rFonts w:ascii="Verdana" w:hAnsi="Verdana"/>
              </w:rPr>
              <w:t>Step Therapy</w:t>
            </w:r>
          </w:p>
        </w:tc>
        <w:tc>
          <w:tcPr>
            <w:tcW w:w="3819" w:type="pct"/>
          </w:tcPr>
          <w:p w14:paraId="6C4C1690" w14:textId="516B2733" w:rsidR="00157785" w:rsidRPr="00B37247" w:rsidRDefault="00157785" w:rsidP="00373C34">
            <w:pPr>
              <w:spacing w:before="120" w:after="120"/>
              <w:rPr>
                <w:rFonts w:ascii="Verdana" w:hAnsi="Verdana"/>
                <w:bCs/>
              </w:rPr>
            </w:pPr>
            <w:r w:rsidRPr="00B37247">
              <w:rPr>
                <w:rFonts w:ascii="Verdana" w:hAnsi="Verdana"/>
                <w:bCs/>
              </w:rPr>
              <w:t>Practice of utilizing the most cost-efficient way to treat a member via protocol that calls for using one therapy before proceeding to something more expensive or difficult to use</w:t>
            </w:r>
            <w:r w:rsidR="0071506E" w:rsidRPr="00B37247">
              <w:rPr>
                <w:rFonts w:ascii="Verdana" w:hAnsi="Verdana"/>
                <w:bCs/>
              </w:rPr>
              <w:t xml:space="preserve">. </w:t>
            </w:r>
            <w:r w:rsidRPr="00B37247">
              <w:rPr>
                <w:rFonts w:ascii="Verdana" w:hAnsi="Verdana"/>
                <w:bCs/>
              </w:rPr>
              <w:t>For example, this is the practice of initially treating a member with a lower cost, similarly effective antibiotic before trying a more expensive, yet no more effective one.</w:t>
            </w:r>
          </w:p>
        </w:tc>
      </w:tr>
      <w:tr w:rsidR="00FA26FC" w:rsidRPr="002A440D" w14:paraId="796D588E" w14:textId="77777777" w:rsidTr="00F90719">
        <w:tc>
          <w:tcPr>
            <w:tcW w:w="1181" w:type="pct"/>
          </w:tcPr>
          <w:p w14:paraId="3971B5A5" w14:textId="77777777" w:rsidR="00157785" w:rsidRPr="00B37247" w:rsidRDefault="00157785" w:rsidP="00373C34">
            <w:pPr>
              <w:spacing w:before="120" w:after="120"/>
              <w:rPr>
                <w:rFonts w:ascii="Verdana" w:hAnsi="Verdana"/>
              </w:rPr>
            </w:pPr>
            <w:r w:rsidRPr="00B37247">
              <w:rPr>
                <w:rFonts w:ascii="Verdana" w:hAnsi="Verdana"/>
              </w:rPr>
              <w:t>Step Therapy Exception</w:t>
            </w:r>
          </w:p>
        </w:tc>
        <w:tc>
          <w:tcPr>
            <w:tcW w:w="3819" w:type="pct"/>
          </w:tcPr>
          <w:p w14:paraId="220A1FA9" w14:textId="05F3BE39" w:rsidR="00157785" w:rsidRPr="00B37247" w:rsidRDefault="00157785" w:rsidP="00373C34">
            <w:pPr>
              <w:spacing w:before="120" w:after="120"/>
              <w:rPr>
                <w:rFonts w:ascii="Verdana" w:hAnsi="Verdana"/>
              </w:rPr>
            </w:pPr>
            <w:r w:rsidRPr="00B37247">
              <w:rPr>
                <w:rFonts w:ascii="Verdana" w:hAnsi="Verdana"/>
              </w:rPr>
              <w:t>A request for coverage of a medication that requires the beneficiary to try one or more similar lower cost medications to treat their condition before the plan will cover the prescribed medication</w:t>
            </w:r>
            <w:r w:rsidR="0071506E" w:rsidRPr="00B37247">
              <w:rPr>
                <w:rFonts w:ascii="Verdana" w:hAnsi="Verdana"/>
              </w:rPr>
              <w:t xml:space="preserve">. </w:t>
            </w:r>
          </w:p>
        </w:tc>
      </w:tr>
      <w:tr w:rsidR="00FA26FC" w:rsidRPr="002A440D" w14:paraId="41856090" w14:textId="77777777" w:rsidTr="00F90719">
        <w:tc>
          <w:tcPr>
            <w:tcW w:w="1181" w:type="pct"/>
          </w:tcPr>
          <w:p w14:paraId="427742AF" w14:textId="77777777" w:rsidR="00157785" w:rsidRPr="00B37247" w:rsidRDefault="00157785" w:rsidP="00373C34">
            <w:pPr>
              <w:spacing w:before="120" w:after="120"/>
              <w:rPr>
                <w:rFonts w:ascii="Verdana" w:hAnsi="Verdana"/>
              </w:rPr>
            </w:pPr>
            <w:r w:rsidRPr="00B37247">
              <w:rPr>
                <w:rFonts w:ascii="Verdana" w:hAnsi="Verdana"/>
              </w:rPr>
              <w:t>Stop Loss</w:t>
            </w:r>
          </w:p>
        </w:tc>
        <w:tc>
          <w:tcPr>
            <w:tcW w:w="3819" w:type="pct"/>
          </w:tcPr>
          <w:p w14:paraId="3E5AEEBB" w14:textId="5D9EA178" w:rsidR="00157785" w:rsidRPr="00B37247" w:rsidRDefault="00157785" w:rsidP="00373C34">
            <w:pPr>
              <w:spacing w:before="120" w:after="120"/>
              <w:rPr>
                <w:rFonts w:ascii="Verdana" w:hAnsi="Verdana"/>
              </w:rPr>
            </w:pPr>
            <w:r w:rsidRPr="00B37247">
              <w:rPr>
                <w:rFonts w:ascii="Verdana" w:hAnsi="Verdana"/>
              </w:rPr>
              <w:t xml:space="preserve">Amount a cardholder pays out-of-pocket until coinsurance is raised, </w:t>
            </w:r>
            <w:r w:rsidR="00A260CD" w:rsidRPr="00B37247">
              <w:rPr>
                <w:rFonts w:ascii="Verdana" w:hAnsi="Verdana"/>
              </w:rPr>
              <w:t>reduced,</w:t>
            </w:r>
            <w:r w:rsidRPr="00B37247">
              <w:rPr>
                <w:rFonts w:ascii="Verdana" w:hAnsi="Verdana"/>
              </w:rPr>
              <w:t xml:space="preserve"> or eliminated, as specified by the plan provisions.</w:t>
            </w:r>
          </w:p>
        </w:tc>
      </w:tr>
      <w:tr w:rsidR="00FA26FC" w:rsidRPr="002A440D" w14:paraId="42F9ADE5" w14:textId="77777777" w:rsidTr="00F90719">
        <w:tc>
          <w:tcPr>
            <w:tcW w:w="1181" w:type="pct"/>
          </w:tcPr>
          <w:p w14:paraId="01631DCA" w14:textId="77777777" w:rsidR="00157785" w:rsidRPr="00B37247" w:rsidRDefault="00157785" w:rsidP="00373C34">
            <w:pPr>
              <w:spacing w:before="120" w:after="120"/>
              <w:rPr>
                <w:rFonts w:ascii="Verdana" w:hAnsi="Verdana"/>
              </w:rPr>
            </w:pPr>
            <w:r w:rsidRPr="00B37247">
              <w:rPr>
                <w:rFonts w:ascii="Verdana" w:hAnsi="Verdana"/>
              </w:rPr>
              <w:t xml:space="preserve">Submitted Rate </w:t>
            </w:r>
          </w:p>
        </w:tc>
        <w:tc>
          <w:tcPr>
            <w:tcW w:w="3819" w:type="pct"/>
          </w:tcPr>
          <w:p w14:paraId="527A902B" w14:textId="77777777" w:rsidR="00157785" w:rsidRPr="00B37247" w:rsidRDefault="00157785" w:rsidP="00373C34">
            <w:pPr>
              <w:spacing w:before="120" w:after="120"/>
              <w:rPr>
                <w:rFonts w:ascii="Verdana" w:hAnsi="Verdana"/>
              </w:rPr>
            </w:pPr>
            <w:r w:rsidRPr="00B37247">
              <w:rPr>
                <w:rFonts w:ascii="Verdana" w:hAnsi="Verdana"/>
              </w:rPr>
              <w:t xml:space="preserve">The retail cost of the medication without insurance being applied. </w:t>
            </w:r>
          </w:p>
        </w:tc>
      </w:tr>
      <w:tr w:rsidR="00FA26FC" w:rsidRPr="002A440D" w14:paraId="4A7B1C81" w14:textId="77777777" w:rsidTr="00F90719">
        <w:tc>
          <w:tcPr>
            <w:tcW w:w="1181" w:type="pct"/>
          </w:tcPr>
          <w:p w14:paraId="780147D6" w14:textId="77777777" w:rsidR="00157785" w:rsidRPr="00B37247" w:rsidRDefault="00157785" w:rsidP="00373C34">
            <w:pPr>
              <w:spacing w:before="120" w:after="120"/>
              <w:rPr>
                <w:rFonts w:ascii="Verdana" w:hAnsi="Verdana"/>
              </w:rPr>
            </w:pPr>
            <w:r w:rsidRPr="00B37247">
              <w:rPr>
                <w:rFonts w:ascii="Verdana" w:hAnsi="Verdana"/>
              </w:rPr>
              <w:t xml:space="preserve">Subsidies/Subsidized Coverage </w:t>
            </w:r>
          </w:p>
          <w:p w14:paraId="642DD00E" w14:textId="77777777" w:rsidR="00157785" w:rsidRPr="00B37247" w:rsidRDefault="00157785" w:rsidP="00373C34">
            <w:pPr>
              <w:spacing w:before="120" w:after="120"/>
              <w:rPr>
                <w:rFonts w:ascii="Verdana" w:hAnsi="Verdana"/>
              </w:rPr>
            </w:pPr>
          </w:p>
        </w:tc>
        <w:tc>
          <w:tcPr>
            <w:tcW w:w="3819" w:type="pct"/>
          </w:tcPr>
          <w:p w14:paraId="4C9397E8" w14:textId="4C123A59" w:rsidR="00157785" w:rsidRPr="00B37247" w:rsidRDefault="00157785" w:rsidP="00373C34">
            <w:pPr>
              <w:spacing w:before="120" w:after="120"/>
              <w:rPr>
                <w:rFonts w:ascii="Verdana" w:hAnsi="Verdana"/>
              </w:rPr>
            </w:pPr>
            <w:r w:rsidRPr="00B37247">
              <w:rPr>
                <w:rFonts w:ascii="Verdana" w:hAnsi="Verdana"/>
              </w:rPr>
              <w:t>Refers to provisions in the Affordable Care Act (ACA) to lower premiums and cost-sharing obligations for people with low and modest incomes.</w:t>
            </w:r>
          </w:p>
          <w:p w14:paraId="72554F35" w14:textId="77777777" w:rsidR="00A95AD8" w:rsidRPr="00B37247" w:rsidRDefault="00A95AD8" w:rsidP="00373C34">
            <w:pPr>
              <w:spacing w:before="120" w:after="120"/>
              <w:rPr>
                <w:rFonts w:ascii="Verdana" w:hAnsi="Verdana"/>
              </w:rPr>
            </w:pPr>
          </w:p>
          <w:p w14:paraId="55376B8F" w14:textId="026740C0" w:rsidR="00157785" w:rsidRPr="00B37247" w:rsidRDefault="00157785" w:rsidP="0067793B">
            <w:pPr>
              <w:spacing w:before="120" w:after="120"/>
              <w:ind w:left="72"/>
              <w:rPr>
                <w:rFonts w:ascii="Verdana" w:hAnsi="Verdana"/>
              </w:rPr>
            </w:pPr>
            <w:r w:rsidRPr="00B37247">
              <w:rPr>
                <w:rFonts w:ascii="Verdana" w:hAnsi="Verdana"/>
              </w:rPr>
              <w:t xml:space="preserve">• </w:t>
            </w:r>
            <w:r w:rsidR="00FA26FC">
              <w:rPr>
                <w:rFonts w:ascii="Verdana" w:hAnsi="Verdana"/>
              </w:rPr>
              <w:t xml:space="preserve"> </w:t>
            </w:r>
            <w:r w:rsidRPr="00B37247">
              <w:rPr>
                <w:rFonts w:ascii="Verdana" w:hAnsi="Verdana"/>
                <w:b/>
              </w:rPr>
              <w:t>Premium Subsidy Tax Credits</w:t>
            </w:r>
            <w:r w:rsidRPr="00B37247">
              <w:rPr>
                <w:rFonts w:ascii="Verdana" w:hAnsi="Verdana"/>
              </w:rPr>
              <w:t xml:space="preserve"> – Individuals and families with household incomes between 100 and 400 percent of the federal poverty level (FPL) are eligible for a tax credit when they enroll through an Exchange</w:t>
            </w:r>
            <w:r w:rsidR="0071506E" w:rsidRPr="00B37247">
              <w:rPr>
                <w:rFonts w:ascii="Verdana" w:hAnsi="Verdana"/>
              </w:rPr>
              <w:t xml:space="preserve">. </w:t>
            </w:r>
            <w:r w:rsidRPr="00B37247">
              <w:rPr>
                <w:rFonts w:ascii="Verdana" w:hAnsi="Verdana"/>
              </w:rPr>
              <w:t>According to 2013 Poverty Guidelines, 400 percent of the federal poverty level is approximately $45,960 for an individual and $94,200 for a family of four.</w:t>
            </w:r>
          </w:p>
          <w:p w14:paraId="3B4FF666" w14:textId="77777777" w:rsidR="00A95AD8" w:rsidRPr="00B37247" w:rsidRDefault="00A95AD8" w:rsidP="00373C34">
            <w:pPr>
              <w:spacing w:before="120" w:after="120"/>
              <w:rPr>
                <w:rFonts w:ascii="Verdana" w:hAnsi="Verdana"/>
              </w:rPr>
            </w:pPr>
          </w:p>
          <w:p w14:paraId="3426AB01" w14:textId="6492CACA" w:rsidR="00157785" w:rsidRPr="00B37247" w:rsidRDefault="00157785" w:rsidP="0067793B">
            <w:pPr>
              <w:spacing w:before="120" w:after="120"/>
              <w:ind w:left="72"/>
              <w:rPr>
                <w:rFonts w:ascii="Verdana" w:hAnsi="Verdana"/>
              </w:rPr>
            </w:pPr>
            <w:r w:rsidRPr="00B37247">
              <w:rPr>
                <w:rFonts w:ascii="Verdana" w:hAnsi="Verdana"/>
              </w:rPr>
              <w:t xml:space="preserve">• </w:t>
            </w:r>
            <w:r w:rsidR="00FA26FC">
              <w:rPr>
                <w:rFonts w:ascii="Verdana" w:hAnsi="Verdana"/>
              </w:rPr>
              <w:t xml:space="preserve"> </w:t>
            </w:r>
            <w:r w:rsidRPr="00B37247">
              <w:rPr>
                <w:rFonts w:ascii="Verdana" w:hAnsi="Verdana"/>
                <w:b/>
              </w:rPr>
              <w:t>Cost Sharing Subsidies</w:t>
            </w:r>
            <w:r w:rsidRPr="00B37247">
              <w:rPr>
                <w:rFonts w:ascii="Verdana" w:hAnsi="Verdana"/>
              </w:rPr>
              <w:t xml:space="preserve"> – For individuals and families with household incomes at or below 250 percent of the federal poverty level, the ACA limits the amount they </w:t>
            </w:r>
            <w:r w:rsidR="00A260CD" w:rsidRPr="00B37247">
              <w:rPr>
                <w:rFonts w:ascii="Verdana" w:hAnsi="Verdana"/>
              </w:rPr>
              <w:t>must</w:t>
            </w:r>
            <w:r w:rsidRPr="00B37247">
              <w:rPr>
                <w:rFonts w:ascii="Verdana" w:hAnsi="Verdana"/>
              </w:rPr>
              <w:t xml:space="preserve"> spend of their own money (“out of pocket”) on their health care, when they enroll in a silver level plan through an Exchange</w:t>
            </w:r>
            <w:r w:rsidR="0071506E" w:rsidRPr="00B37247">
              <w:rPr>
                <w:rFonts w:ascii="Verdana" w:hAnsi="Verdana"/>
              </w:rPr>
              <w:t xml:space="preserve">. </w:t>
            </w:r>
            <w:r w:rsidRPr="00B37247">
              <w:rPr>
                <w:rFonts w:ascii="Verdana" w:hAnsi="Verdana"/>
              </w:rPr>
              <w:t>According to 2013 Poverty Guidelines, 250 percent of the federal poverty level is approximately $28,725 for an individual and $58,875 for a family of four</w:t>
            </w:r>
            <w:r w:rsidR="0071506E" w:rsidRPr="00B37247">
              <w:rPr>
                <w:rFonts w:ascii="Verdana" w:hAnsi="Verdana"/>
              </w:rPr>
              <w:t xml:space="preserve">. </w:t>
            </w:r>
            <w:r w:rsidRPr="00B37247">
              <w:rPr>
                <w:rFonts w:ascii="Verdana" w:hAnsi="Verdana"/>
              </w:rPr>
              <w:t>How will this be presented in PeopleSafe</w:t>
            </w:r>
            <w:r w:rsidR="0071506E" w:rsidRPr="00B37247">
              <w:rPr>
                <w:rFonts w:ascii="Verdana" w:hAnsi="Verdana"/>
              </w:rPr>
              <w:t xml:space="preserve">? </w:t>
            </w:r>
            <w:r w:rsidRPr="00B37247">
              <w:rPr>
                <w:rFonts w:ascii="Verdana" w:hAnsi="Verdana"/>
              </w:rPr>
              <w:t>Will this be like LICS for Med D and all the issues members bring up about it</w:t>
            </w:r>
            <w:r w:rsidR="0071506E" w:rsidRPr="00B37247">
              <w:rPr>
                <w:rFonts w:ascii="Verdana" w:hAnsi="Verdana"/>
              </w:rPr>
              <w:t xml:space="preserve">? </w:t>
            </w:r>
            <w:r w:rsidRPr="00B37247">
              <w:rPr>
                <w:rFonts w:ascii="Verdana" w:hAnsi="Verdana"/>
              </w:rPr>
              <w:t>Or will it be transparent… you have one cost subsidy per year, won’t change, so the plan is set up with the appropriate copays.</w:t>
            </w:r>
          </w:p>
        </w:tc>
      </w:tr>
      <w:tr w:rsidR="00FA26FC" w:rsidRPr="002A440D" w14:paraId="2F1A25B1" w14:textId="77777777" w:rsidTr="00F90719">
        <w:tc>
          <w:tcPr>
            <w:tcW w:w="1181" w:type="pct"/>
          </w:tcPr>
          <w:p w14:paraId="7A513CF5" w14:textId="77777777" w:rsidR="00157785" w:rsidRPr="00B37247" w:rsidRDefault="00157785" w:rsidP="00373C34">
            <w:pPr>
              <w:spacing w:before="120" w:after="120"/>
              <w:rPr>
                <w:rFonts w:ascii="Verdana" w:hAnsi="Verdana"/>
              </w:rPr>
            </w:pPr>
            <w:r w:rsidRPr="00B37247">
              <w:rPr>
                <w:rFonts w:ascii="Verdana" w:hAnsi="Verdana"/>
              </w:rPr>
              <w:t>Submitted Incentive Fee</w:t>
            </w:r>
          </w:p>
        </w:tc>
        <w:tc>
          <w:tcPr>
            <w:tcW w:w="3819" w:type="pct"/>
          </w:tcPr>
          <w:p w14:paraId="2442BB5A" w14:textId="3F6957B5" w:rsidR="00157785" w:rsidRPr="00B37247" w:rsidRDefault="00157785" w:rsidP="00373C34">
            <w:pPr>
              <w:spacing w:before="120" w:after="120"/>
              <w:rPr>
                <w:rFonts w:ascii="Verdana" w:hAnsi="Verdana"/>
              </w:rPr>
            </w:pPr>
            <w:r w:rsidRPr="00B37247">
              <w:rPr>
                <w:rFonts w:ascii="Verdana" w:hAnsi="Verdana"/>
              </w:rPr>
              <w:t>For vaccine claims that include and administration fee for a provider’s administration of the vaccine to a beneficiary, the submitted incentive fee is the administration fee submitted on the claim for the provider’s service.</w:t>
            </w:r>
          </w:p>
        </w:tc>
      </w:tr>
      <w:tr w:rsidR="00FA26FC" w:rsidRPr="002A440D" w14:paraId="1E17DD9A" w14:textId="77777777" w:rsidTr="00F90719">
        <w:tc>
          <w:tcPr>
            <w:tcW w:w="1181" w:type="pct"/>
          </w:tcPr>
          <w:p w14:paraId="321C7EE9" w14:textId="77777777" w:rsidR="00157785" w:rsidRPr="00B37247" w:rsidRDefault="00157785" w:rsidP="00373C34">
            <w:pPr>
              <w:spacing w:before="120" w:after="120"/>
              <w:rPr>
                <w:rFonts w:ascii="Verdana" w:hAnsi="Verdana"/>
              </w:rPr>
            </w:pPr>
            <w:r w:rsidRPr="00B37247">
              <w:rPr>
                <w:rFonts w:ascii="Verdana" w:hAnsi="Verdana"/>
              </w:rPr>
              <w:t>Submitted Ingredient Cost</w:t>
            </w:r>
          </w:p>
        </w:tc>
        <w:tc>
          <w:tcPr>
            <w:tcW w:w="3819" w:type="pct"/>
          </w:tcPr>
          <w:p w14:paraId="735BA6B8" w14:textId="10D6A1A6" w:rsidR="00157785" w:rsidRPr="00B37247" w:rsidRDefault="00157785" w:rsidP="00373C34">
            <w:pPr>
              <w:spacing w:before="120" w:after="120"/>
              <w:rPr>
                <w:rFonts w:ascii="Verdana" w:hAnsi="Verdana"/>
              </w:rPr>
            </w:pPr>
            <w:r w:rsidRPr="00B37247">
              <w:rPr>
                <w:rFonts w:ascii="Verdana" w:hAnsi="Verdana"/>
              </w:rPr>
              <w:t>Amount submitted by the pharmacist for claim reimbursement. Does not include dispensing fee.</w:t>
            </w:r>
          </w:p>
        </w:tc>
      </w:tr>
      <w:tr w:rsidR="00FA26FC" w:rsidRPr="002A440D" w14:paraId="4927CEBB" w14:textId="77777777" w:rsidTr="00F90719">
        <w:tc>
          <w:tcPr>
            <w:tcW w:w="1181" w:type="pct"/>
          </w:tcPr>
          <w:p w14:paraId="6B09F432" w14:textId="77777777" w:rsidR="00157785" w:rsidRPr="00B37247" w:rsidRDefault="00157785" w:rsidP="00373C34">
            <w:pPr>
              <w:spacing w:before="120" w:after="120"/>
              <w:rPr>
                <w:rFonts w:ascii="Verdana" w:hAnsi="Verdana"/>
              </w:rPr>
            </w:pPr>
            <w:r w:rsidRPr="00B37247">
              <w:rPr>
                <w:rFonts w:ascii="Verdana" w:hAnsi="Verdana"/>
              </w:rPr>
              <w:t>Submitted Minus copay</w:t>
            </w:r>
          </w:p>
        </w:tc>
        <w:tc>
          <w:tcPr>
            <w:tcW w:w="3819" w:type="pct"/>
          </w:tcPr>
          <w:p w14:paraId="67447ACC" w14:textId="1FF9432F" w:rsidR="00157785" w:rsidRPr="00B37247" w:rsidRDefault="00157785" w:rsidP="00373C34">
            <w:pPr>
              <w:spacing w:before="120" w:after="120"/>
              <w:rPr>
                <w:rFonts w:ascii="Verdana" w:hAnsi="Verdana"/>
              </w:rPr>
            </w:pPr>
            <w:r w:rsidRPr="00B37247">
              <w:rPr>
                <w:rFonts w:ascii="Verdana" w:hAnsi="Verdana"/>
              </w:rPr>
              <w:t>An amount of money for a claim submitted with a special customer location code set up for this type of situations or entering a pa to make a claim pay at the exact submitted dollar minus the members co-pay</w:t>
            </w:r>
            <w:r w:rsidR="0071506E" w:rsidRPr="00B37247">
              <w:rPr>
                <w:rFonts w:ascii="Verdana" w:hAnsi="Verdana"/>
              </w:rPr>
              <w:t xml:space="preserve">. </w:t>
            </w:r>
            <w:r w:rsidRPr="00B37247">
              <w:rPr>
                <w:rFonts w:ascii="Verdana" w:hAnsi="Verdana"/>
              </w:rPr>
              <w:t>No calculating.</w:t>
            </w:r>
          </w:p>
        </w:tc>
      </w:tr>
      <w:tr w:rsidR="00FA26FC" w:rsidRPr="002A440D" w14:paraId="30080E31" w14:textId="77777777" w:rsidTr="00F90719">
        <w:tc>
          <w:tcPr>
            <w:tcW w:w="1181" w:type="pct"/>
          </w:tcPr>
          <w:p w14:paraId="122EBF2E" w14:textId="77777777" w:rsidR="00157785" w:rsidRPr="00B37247" w:rsidRDefault="00157785" w:rsidP="00373C34">
            <w:pPr>
              <w:spacing w:before="120" w:after="120"/>
              <w:rPr>
                <w:rFonts w:ascii="Verdana" w:hAnsi="Verdana"/>
              </w:rPr>
            </w:pPr>
            <w:r w:rsidRPr="00B37247">
              <w:rPr>
                <w:rFonts w:ascii="Verdana" w:hAnsi="Verdana"/>
              </w:rPr>
              <w:t>Suffix Assignment</w:t>
            </w:r>
          </w:p>
        </w:tc>
        <w:tc>
          <w:tcPr>
            <w:tcW w:w="3819" w:type="pct"/>
          </w:tcPr>
          <w:p w14:paraId="2668F6C5" w14:textId="62D8601B" w:rsidR="00157785" w:rsidRPr="00B37247" w:rsidRDefault="00157785" w:rsidP="00373C34">
            <w:pPr>
              <w:spacing w:before="120" w:after="120"/>
              <w:rPr>
                <w:rFonts w:ascii="Verdana" w:hAnsi="Verdana"/>
              </w:rPr>
            </w:pPr>
            <w:r w:rsidRPr="00B37247">
              <w:rPr>
                <w:rFonts w:ascii="Verdana" w:hAnsi="Verdana"/>
              </w:rPr>
              <w:t>Special coding that controls the suffix assignment for plan members and their dependents</w:t>
            </w:r>
            <w:r w:rsidR="0071506E" w:rsidRPr="00B37247">
              <w:rPr>
                <w:rFonts w:ascii="Verdana" w:hAnsi="Verdana"/>
              </w:rPr>
              <w:t xml:space="preserve">. </w:t>
            </w:r>
            <w:r w:rsidRPr="00B37247">
              <w:rPr>
                <w:rFonts w:ascii="Verdana" w:hAnsi="Verdana"/>
              </w:rPr>
              <w:t xml:space="preserve">Normally, the primary cardholder is either 00 or 01, the spouse 02, and the dependents 03, 04, 05, </w:t>
            </w:r>
            <w:r w:rsidR="0071506E" w:rsidRPr="00B37247">
              <w:rPr>
                <w:rFonts w:ascii="Verdana" w:hAnsi="Verdana"/>
              </w:rPr>
              <w:t>etc</w:t>
            </w:r>
            <w:r w:rsidR="00FA26FC">
              <w:rPr>
                <w:rFonts w:ascii="Verdana" w:hAnsi="Verdana"/>
              </w:rPr>
              <w:t>etera.</w:t>
            </w:r>
            <w:r w:rsidR="0071506E" w:rsidRPr="00B37247">
              <w:rPr>
                <w:rFonts w:ascii="Verdana" w:hAnsi="Verdana"/>
              </w:rPr>
              <w:t xml:space="preserve"> </w:t>
            </w:r>
          </w:p>
          <w:p w14:paraId="23CF99BE" w14:textId="77777777" w:rsidR="00157785" w:rsidRPr="00B37247" w:rsidRDefault="00157785" w:rsidP="00373C34">
            <w:pPr>
              <w:spacing w:before="120" w:after="120"/>
              <w:rPr>
                <w:rFonts w:ascii="Verdana" w:hAnsi="Verdana"/>
              </w:rPr>
            </w:pPr>
          </w:p>
          <w:p w14:paraId="20712794" w14:textId="3CA8F8C3" w:rsidR="00157785" w:rsidRPr="00B37247" w:rsidRDefault="00157785" w:rsidP="00373C34">
            <w:pPr>
              <w:spacing w:before="120" w:after="120"/>
              <w:rPr>
                <w:rFonts w:ascii="Verdana" w:hAnsi="Verdana"/>
              </w:rPr>
            </w:pPr>
            <w:r w:rsidRPr="00B37247">
              <w:rPr>
                <w:rFonts w:ascii="Verdana" w:hAnsi="Verdana"/>
              </w:rPr>
              <w:t>For clients that have "match" eligibility processing, it is important that the original suffix assignment is maintained for each plan member.</w:t>
            </w:r>
          </w:p>
        </w:tc>
      </w:tr>
      <w:tr w:rsidR="00FA26FC" w:rsidRPr="002A440D" w14:paraId="284181EF" w14:textId="77777777" w:rsidTr="00F90719">
        <w:tc>
          <w:tcPr>
            <w:tcW w:w="1181" w:type="pct"/>
          </w:tcPr>
          <w:p w14:paraId="44B30ACB" w14:textId="0AEBD01E" w:rsidR="00FA26FC" w:rsidRDefault="00FA26FC" w:rsidP="00373C34">
            <w:pPr>
              <w:spacing w:before="120" w:after="120"/>
              <w:rPr>
                <w:rFonts w:ascii="Verdana" w:hAnsi="Verdana"/>
              </w:rPr>
            </w:pPr>
            <w:r>
              <w:rPr>
                <w:rFonts w:ascii="Verdana" w:hAnsi="Verdana"/>
              </w:rPr>
              <w:t>Support Task</w:t>
            </w:r>
          </w:p>
          <w:p w14:paraId="2F5AEEE9" w14:textId="34EFC891" w:rsidR="00FA26FC" w:rsidRPr="00B37247" w:rsidRDefault="00FA26FC" w:rsidP="00373C34">
            <w:pPr>
              <w:spacing w:before="120" w:after="120"/>
              <w:rPr>
                <w:rFonts w:ascii="Verdana" w:hAnsi="Verdana"/>
              </w:rPr>
            </w:pPr>
            <w:r>
              <w:rPr>
                <w:rFonts w:ascii="Verdana" w:hAnsi="Verdana"/>
              </w:rPr>
              <w:t>(</w:t>
            </w:r>
            <w:r w:rsidRPr="11BFC544">
              <w:rPr>
                <w:rFonts w:ascii="Verdana" w:hAnsi="Verdana"/>
              </w:rPr>
              <w:t>Formerly Resolution Manager Task in PeopleSafe</w:t>
            </w:r>
            <w:r>
              <w:rPr>
                <w:rFonts w:ascii="Verdana" w:hAnsi="Verdana"/>
              </w:rPr>
              <w:t>)</w:t>
            </w:r>
          </w:p>
        </w:tc>
        <w:tc>
          <w:tcPr>
            <w:tcW w:w="3819" w:type="pct"/>
          </w:tcPr>
          <w:p w14:paraId="4E8C3A55" w14:textId="64809B30" w:rsidR="00FA26FC" w:rsidRPr="00B37247" w:rsidRDefault="00FA26FC" w:rsidP="00373C34">
            <w:pPr>
              <w:spacing w:before="120" w:after="120"/>
              <w:rPr>
                <w:rFonts w:ascii="Verdana" w:hAnsi="Verdana"/>
              </w:rPr>
            </w:pPr>
            <w:r w:rsidRPr="00FA26FC">
              <w:rPr>
                <w:rFonts w:ascii="Verdana" w:hAnsi="Verdana"/>
              </w:rPr>
              <w:t>Task request used when automation fails or is necessary based on the specific need/request of the member.</w:t>
            </w:r>
          </w:p>
        </w:tc>
      </w:tr>
      <w:tr w:rsidR="00FA26FC" w:rsidRPr="002A440D" w14:paraId="2EB524B6" w14:textId="77777777" w:rsidTr="00F90719">
        <w:tc>
          <w:tcPr>
            <w:tcW w:w="1181" w:type="pct"/>
          </w:tcPr>
          <w:p w14:paraId="5F79B56E" w14:textId="227CB023" w:rsidR="002A4CCC" w:rsidRPr="00B37247" w:rsidRDefault="002A4CCC" w:rsidP="00373C34">
            <w:pPr>
              <w:spacing w:before="120" w:after="120"/>
              <w:rPr>
                <w:rFonts w:ascii="Verdana" w:hAnsi="Verdana"/>
              </w:rPr>
            </w:pPr>
            <w:r w:rsidRPr="00B37247">
              <w:rPr>
                <w:rFonts w:ascii="Verdana" w:hAnsi="Verdana"/>
              </w:rPr>
              <w:t>Surcharge</w:t>
            </w:r>
          </w:p>
        </w:tc>
        <w:tc>
          <w:tcPr>
            <w:tcW w:w="3819" w:type="pct"/>
          </w:tcPr>
          <w:p w14:paraId="5B322B54" w14:textId="5272C50C" w:rsidR="002A4CCC" w:rsidRPr="00B37247" w:rsidRDefault="00B14EDE" w:rsidP="00373C34">
            <w:pPr>
              <w:spacing w:before="120" w:after="120"/>
              <w:rPr>
                <w:rFonts w:ascii="Verdana" w:hAnsi="Verdana"/>
              </w:rPr>
            </w:pPr>
            <w:r w:rsidRPr="00B37247">
              <w:rPr>
                <w:rFonts w:ascii="Verdana" w:hAnsi="Verdana"/>
              </w:rPr>
              <w:t>An additional charge, or fee that is added to the cost of a good or service beyond the initially quoted price</w:t>
            </w:r>
            <w:r w:rsidR="00961037" w:rsidRPr="00B37247">
              <w:rPr>
                <w:rFonts w:ascii="Verdana" w:hAnsi="Verdana"/>
              </w:rPr>
              <w:t>.</w:t>
            </w:r>
          </w:p>
        </w:tc>
      </w:tr>
      <w:tr w:rsidR="00FA26FC" w:rsidRPr="002A440D" w14:paraId="28539DF9" w14:textId="77777777" w:rsidTr="00F90719">
        <w:tc>
          <w:tcPr>
            <w:tcW w:w="1181" w:type="pct"/>
          </w:tcPr>
          <w:p w14:paraId="0898B0B7" w14:textId="77777777" w:rsidR="00157785" w:rsidRPr="00B37247" w:rsidRDefault="00157785" w:rsidP="00373C34">
            <w:pPr>
              <w:spacing w:before="120" w:after="120"/>
              <w:rPr>
                <w:rFonts w:ascii="Verdana" w:hAnsi="Verdana"/>
              </w:rPr>
            </w:pPr>
            <w:r w:rsidRPr="00B37247">
              <w:rPr>
                <w:rFonts w:ascii="Verdana" w:hAnsi="Verdana"/>
              </w:rPr>
              <w:t>SureScripts</w:t>
            </w:r>
          </w:p>
        </w:tc>
        <w:tc>
          <w:tcPr>
            <w:tcW w:w="3819" w:type="pct"/>
          </w:tcPr>
          <w:p w14:paraId="36E91EE9" w14:textId="6644F776" w:rsidR="00157785" w:rsidRPr="00B37247" w:rsidRDefault="00157785" w:rsidP="00373C34">
            <w:pPr>
              <w:spacing w:before="120" w:after="120"/>
              <w:rPr>
                <w:rFonts w:ascii="Verdana" w:hAnsi="Verdana"/>
              </w:rPr>
            </w:pPr>
            <w:r w:rsidRPr="00B37247">
              <w:rPr>
                <w:rFonts w:ascii="Verdana" w:hAnsi="Verdana"/>
              </w:rPr>
              <w:t>Connects prescribers through their choice of e-prescribing software to payers and pharmacies.</w:t>
            </w:r>
          </w:p>
        </w:tc>
      </w:tr>
      <w:tr w:rsidR="00FA26FC" w:rsidRPr="002A440D" w14:paraId="4599144C" w14:textId="77777777" w:rsidTr="00F90719">
        <w:tc>
          <w:tcPr>
            <w:tcW w:w="1181" w:type="pct"/>
          </w:tcPr>
          <w:p w14:paraId="2A6C1E29" w14:textId="7118A557" w:rsidR="00157785" w:rsidRPr="00B37247" w:rsidRDefault="00A260CD" w:rsidP="00373C34">
            <w:pPr>
              <w:spacing w:before="120" w:after="120"/>
              <w:rPr>
                <w:rFonts w:ascii="Verdana" w:hAnsi="Verdana"/>
              </w:rPr>
            </w:pPr>
            <w:r w:rsidRPr="00B37247">
              <w:rPr>
                <w:rFonts w:ascii="Verdana" w:hAnsi="Verdana"/>
              </w:rPr>
              <w:t>Suppression</w:t>
            </w:r>
          </w:p>
        </w:tc>
        <w:tc>
          <w:tcPr>
            <w:tcW w:w="3819" w:type="pct"/>
          </w:tcPr>
          <w:p w14:paraId="10CDE363" w14:textId="77777777" w:rsidR="00157785" w:rsidRPr="00B37247" w:rsidRDefault="00157785" w:rsidP="00373C34">
            <w:pPr>
              <w:spacing w:before="120" w:after="120"/>
              <w:rPr>
                <w:rFonts w:ascii="Verdana" w:hAnsi="Verdana"/>
              </w:rPr>
            </w:pPr>
            <w:r w:rsidRPr="00B37247">
              <w:rPr>
                <w:rFonts w:ascii="Verdana" w:hAnsi="Verdana"/>
              </w:rPr>
              <w:t>Restricting the formation of a clinical divert</w:t>
            </w:r>
          </w:p>
        </w:tc>
      </w:tr>
      <w:tr w:rsidR="00FA26FC" w:rsidRPr="002A440D" w14:paraId="6588C3AC" w14:textId="77777777" w:rsidTr="00F90719">
        <w:tc>
          <w:tcPr>
            <w:tcW w:w="1181" w:type="pct"/>
          </w:tcPr>
          <w:p w14:paraId="73F6897E" w14:textId="77777777" w:rsidR="00157785" w:rsidRPr="00B37247" w:rsidRDefault="00157785" w:rsidP="00373C34">
            <w:pPr>
              <w:spacing w:before="120" w:after="120"/>
              <w:rPr>
                <w:rFonts w:ascii="Verdana" w:hAnsi="Verdana"/>
              </w:rPr>
            </w:pPr>
            <w:r w:rsidRPr="00B37247">
              <w:rPr>
                <w:rFonts w:ascii="Verdana" w:hAnsi="Verdana"/>
              </w:rPr>
              <w:t>Synopsis</w:t>
            </w:r>
          </w:p>
        </w:tc>
        <w:tc>
          <w:tcPr>
            <w:tcW w:w="3819" w:type="pct"/>
          </w:tcPr>
          <w:p w14:paraId="76318A04" w14:textId="571E0192" w:rsidR="00157785" w:rsidRPr="00B37247" w:rsidRDefault="00157785" w:rsidP="00373C34">
            <w:pPr>
              <w:spacing w:before="120" w:after="120"/>
              <w:rPr>
                <w:rFonts w:ascii="Verdana" w:hAnsi="Verdana"/>
              </w:rPr>
            </w:pPr>
            <w:r w:rsidRPr="00B37247">
              <w:rPr>
                <w:rFonts w:ascii="Verdana" w:hAnsi="Verdana"/>
              </w:rPr>
              <w:t>Condensed version or summary of the subject.</w:t>
            </w:r>
          </w:p>
        </w:tc>
      </w:tr>
      <w:tr w:rsidR="00FA26FC" w:rsidRPr="002A440D" w14:paraId="4AF0B543" w14:textId="77777777" w:rsidTr="00F90719">
        <w:tc>
          <w:tcPr>
            <w:tcW w:w="1181" w:type="pct"/>
          </w:tcPr>
          <w:p w14:paraId="6286EDD2" w14:textId="77777777" w:rsidR="00157785" w:rsidRPr="00B37247" w:rsidRDefault="00157785" w:rsidP="00373C34">
            <w:pPr>
              <w:spacing w:before="120" w:after="120"/>
              <w:rPr>
                <w:rFonts w:ascii="Verdana" w:hAnsi="Verdana"/>
              </w:rPr>
            </w:pPr>
            <w:r w:rsidRPr="00B37247">
              <w:rPr>
                <w:rFonts w:ascii="Verdana" w:hAnsi="Verdana"/>
              </w:rPr>
              <w:t>Syringes</w:t>
            </w:r>
          </w:p>
        </w:tc>
        <w:tc>
          <w:tcPr>
            <w:tcW w:w="3819" w:type="pct"/>
          </w:tcPr>
          <w:p w14:paraId="5D48BFBE" w14:textId="2C4C60E3" w:rsidR="00157785" w:rsidRPr="00B37247" w:rsidRDefault="00157785" w:rsidP="00373C34">
            <w:pPr>
              <w:spacing w:before="120" w:after="120"/>
              <w:rPr>
                <w:rFonts w:ascii="Verdana" w:hAnsi="Verdana"/>
              </w:rPr>
            </w:pPr>
            <w:r w:rsidRPr="00B37247">
              <w:rPr>
                <w:rFonts w:ascii="Verdana" w:hAnsi="Verdana"/>
              </w:rPr>
              <w:t>Devices (whether glass or plastic) which are intended for delivery of medications through the skin</w:t>
            </w:r>
            <w:r w:rsidR="0071506E" w:rsidRPr="00B37247">
              <w:rPr>
                <w:rFonts w:ascii="Verdana" w:hAnsi="Verdana"/>
              </w:rPr>
              <w:t xml:space="preserve">. </w:t>
            </w:r>
            <w:r w:rsidRPr="00B37247">
              <w:rPr>
                <w:rFonts w:ascii="Verdana" w:hAnsi="Verdana"/>
              </w:rPr>
              <w:t xml:space="preserve">A needle must also be attached to these products </w:t>
            </w:r>
            <w:r w:rsidR="00A260CD" w:rsidRPr="00B37247">
              <w:rPr>
                <w:rFonts w:ascii="Verdana" w:hAnsi="Verdana"/>
              </w:rPr>
              <w:t>to</w:t>
            </w:r>
            <w:r w:rsidRPr="00B37247">
              <w:rPr>
                <w:rFonts w:ascii="Verdana" w:hAnsi="Verdana"/>
              </w:rPr>
              <w:t xml:space="preserve"> puncture the skin.</w:t>
            </w:r>
          </w:p>
        </w:tc>
      </w:tr>
    </w:tbl>
    <w:p w14:paraId="0F66B1FF" w14:textId="77777777" w:rsidR="00CB65FF" w:rsidRPr="004E00B6" w:rsidRDefault="00CB65FF" w:rsidP="0067793B">
      <w:pPr>
        <w:spacing w:before="120" w:after="120"/>
        <w:rPr>
          <w:rFonts w:ascii="Verdana" w:hAnsi="Verdana"/>
          <w:sz w:val="20"/>
          <w:szCs w:val="20"/>
        </w:rPr>
      </w:pPr>
    </w:p>
    <w:p w14:paraId="7BF25923" w14:textId="77777777" w:rsidR="00D87929" w:rsidRPr="004E00B6" w:rsidRDefault="00D87929" w:rsidP="0067793B">
      <w:pPr>
        <w:spacing w:before="120" w:after="120"/>
        <w:jc w:val="right"/>
        <w:rPr>
          <w:rFonts w:ascii="Verdana" w:hAnsi="Verdana"/>
          <w:sz w:val="20"/>
          <w:szCs w:val="20"/>
        </w:rPr>
      </w:pPr>
    </w:p>
    <w:p w14:paraId="1B528B74" w14:textId="455A9208" w:rsidR="00675566" w:rsidRPr="003D15F3" w:rsidRDefault="00DE5D2B" w:rsidP="0067793B">
      <w:pPr>
        <w:spacing w:before="120" w:after="120"/>
        <w:jc w:val="right"/>
        <w:rPr>
          <w:rFonts w:ascii="Verdana" w:hAnsi="Verdana"/>
          <w:color w:val="FF0000"/>
        </w:rPr>
      </w:pPr>
      <w:hyperlink w:anchor="_top" w:history="1">
        <w:r w:rsidR="00675566" w:rsidRPr="00DE5D2B">
          <w:rPr>
            <w:rStyle w:val="Hyperlink"/>
            <w:rFonts w:ascii="Verdana" w:hAnsi="Verdana"/>
          </w:rPr>
          <w:t>Top of the Document</w:t>
        </w:r>
      </w:hyperlink>
    </w:p>
    <w:p w14:paraId="48BC9ECE" w14:textId="77777777" w:rsidR="00ED4CFD" w:rsidRPr="004E00B6" w:rsidRDefault="00ED4CFD" w:rsidP="0067793B">
      <w:pPr>
        <w:spacing w:before="120" w:after="120"/>
        <w:jc w:val="center"/>
        <w:rPr>
          <w:rFonts w:ascii="Verdana" w:hAnsi="Verdana"/>
          <w:sz w:val="16"/>
          <w:szCs w:val="16"/>
        </w:rPr>
      </w:pPr>
    </w:p>
    <w:p w14:paraId="0725317C" w14:textId="6B2BCE86" w:rsidR="00ED4CFD" w:rsidRPr="004E00B6" w:rsidRDefault="00ED4CFD" w:rsidP="0067793B">
      <w:pPr>
        <w:spacing w:before="120" w:after="120"/>
        <w:jc w:val="center"/>
        <w:rPr>
          <w:rFonts w:ascii="Verdana" w:hAnsi="Verdana"/>
          <w:sz w:val="16"/>
          <w:szCs w:val="16"/>
        </w:rPr>
      </w:pPr>
      <w:r w:rsidRPr="004E00B6">
        <w:rPr>
          <w:rFonts w:ascii="Verdana" w:hAnsi="Verdana"/>
          <w:sz w:val="16"/>
          <w:szCs w:val="16"/>
        </w:rPr>
        <w:t xml:space="preserve">Not </w:t>
      </w:r>
      <w:r w:rsidR="00A260CD">
        <w:rPr>
          <w:rFonts w:ascii="Verdana" w:hAnsi="Verdana"/>
          <w:sz w:val="16"/>
          <w:szCs w:val="16"/>
        </w:rPr>
        <w:t>t</w:t>
      </w:r>
      <w:r w:rsidRPr="004E00B6">
        <w:rPr>
          <w:rFonts w:ascii="Verdana" w:hAnsi="Verdana"/>
          <w:sz w:val="16"/>
          <w:szCs w:val="16"/>
        </w:rPr>
        <w:t xml:space="preserve">o Be Reproduced </w:t>
      </w:r>
      <w:r w:rsidR="00A260CD">
        <w:rPr>
          <w:rFonts w:ascii="Verdana" w:hAnsi="Verdana"/>
          <w:sz w:val="16"/>
          <w:szCs w:val="16"/>
        </w:rPr>
        <w:t>o</w:t>
      </w:r>
      <w:r w:rsidRPr="004E00B6">
        <w:rPr>
          <w:rFonts w:ascii="Verdana" w:hAnsi="Verdana"/>
          <w:sz w:val="16"/>
          <w:szCs w:val="16"/>
        </w:rPr>
        <w:t>r Disclosed to Others Without Prior Written Approval</w:t>
      </w:r>
    </w:p>
    <w:p w14:paraId="38E8240F" w14:textId="77777777" w:rsidR="00ED4CFD" w:rsidRPr="00C247CB" w:rsidRDefault="00ED4CFD" w:rsidP="0067793B">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67793B">
      <w:pPr>
        <w:spacing w:before="120" w:after="120"/>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8F56D" w14:textId="77777777" w:rsidR="00DD504E" w:rsidRDefault="00DD504E">
      <w:r>
        <w:separator/>
      </w:r>
    </w:p>
  </w:endnote>
  <w:endnote w:type="continuationSeparator" w:id="0">
    <w:p w14:paraId="2226286C" w14:textId="77777777" w:rsidR="00DD504E" w:rsidRDefault="00DD504E">
      <w:r>
        <w:continuationSeparator/>
      </w:r>
    </w:p>
  </w:endnote>
  <w:endnote w:type="continuationNotice" w:id="1">
    <w:p w14:paraId="13DA60D5" w14:textId="77777777" w:rsidR="00DD504E" w:rsidRDefault="00DD5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VS Health Sans">
    <w:panose1 w:val="020B0504020202020204"/>
    <w:charset w:val="00"/>
    <w:family w:val="swiss"/>
    <w:pitch w:val="variable"/>
    <w:sig w:usb0="A000006F" w:usb1="40000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2273F" w14:textId="77777777" w:rsidR="00DD504E" w:rsidRDefault="00DD504E">
      <w:r>
        <w:separator/>
      </w:r>
    </w:p>
  </w:footnote>
  <w:footnote w:type="continuationSeparator" w:id="0">
    <w:p w14:paraId="516BCD8C" w14:textId="77777777" w:rsidR="00DD504E" w:rsidRDefault="00DD504E">
      <w:r>
        <w:continuationSeparator/>
      </w:r>
    </w:p>
  </w:footnote>
  <w:footnote w:type="continuationNotice" w:id="1">
    <w:p w14:paraId="73A1754A" w14:textId="77777777" w:rsidR="00DD504E" w:rsidRDefault="00DD50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79C4CE0A"/>
    <w:lvl w:ilvl="0">
      <w:start w:val="1"/>
      <w:numFmt w:val="bullet"/>
      <w:pStyle w:val="Dotbullet"/>
      <w:lvlText w:val=""/>
      <w:lvlJc w:val="left"/>
      <w:pPr>
        <w:tabs>
          <w:tab w:val="num" w:pos="360"/>
        </w:tabs>
        <w:ind w:left="360" w:hanging="360"/>
      </w:pPr>
      <w:rPr>
        <w:rFonts w:ascii="Symbol" w:hAnsi="Symbol" w:hint="default"/>
        <w:b/>
        <w:bCs/>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31FAC2C0"/>
    <w:lvl w:ilvl="0" w:tplc="F17E1FD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D7706F94"/>
    <w:lvl w:ilvl="0" w:tplc="02C6C276">
      <w:start w:val="1"/>
      <w:numFmt w:val="bullet"/>
      <w:lvlText w:val=""/>
      <w:lvlJc w:val="left"/>
      <w:pPr>
        <w:ind w:left="360" w:hanging="360"/>
      </w:pPr>
      <w:rPr>
        <w:rFonts w:ascii="Symbol" w:hAnsi="Symbol" w:hint="default"/>
        <w:b/>
        <w:bCs/>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4DC434B"/>
    <w:multiLevelType w:val="hybridMultilevel"/>
    <w:tmpl w:val="1B6E8B80"/>
    <w:lvl w:ilvl="0" w:tplc="58C4D41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61AE2D09"/>
    <w:multiLevelType w:val="hybridMultilevel"/>
    <w:tmpl w:val="BEF8E844"/>
    <w:lvl w:ilvl="0" w:tplc="2AEE5A26">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6"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55A6F26"/>
    <w:multiLevelType w:val="multilevel"/>
    <w:tmpl w:val="B192D84C"/>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0"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1"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6"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3E439DB"/>
    <w:multiLevelType w:val="hybridMultilevel"/>
    <w:tmpl w:val="C234BCEC"/>
    <w:lvl w:ilvl="0" w:tplc="580672F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 w15:restartNumberingAfterBreak="0">
    <w:nsid w:val="7521407A"/>
    <w:multiLevelType w:val="hybridMultilevel"/>
    <w:tmpl w:val="9C76C188"/>
    <w:lvl w:ilvl="0" w:tplc="26DADF86">
      <w:start w:val="1"/>
      <w:numFmt w:val="bullet"/>
      <w:lvlText w:val=""/>
      <w:lvlJc w:val="left"/>
      <w:pPr>
        <w:ind w:left="750" w:hanging="360"/>
      </w:pPr>
      <w:rPr>
        <w:rFonts w:ascii="Symbol" w:hAnsi="Symbol" w:hint="default"/>
        <w:b/>
        <w:bCs/>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1"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7AE2430"/>
    <w:multiLevelType w:val="hybridMultilevel"/>
    <w:tmpl w:val="105C07E8"/>
    <w:lvl w:ilvl="0" w:tplc="04090001">
      <w:start w:val="1"/>
      <w:numFmt w:val="bullet"/>
      <w:lvlText w:val=""/>
      <w:lvlJc w:val="left"/>
      <w:pPr>
        <w:ind w:left="1440" w:hanging="72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3"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9459472">
    <w:abstractNumId w:val="69"/>
  </w:num>
  <w:num w:numId="2" w16cid:durableId="393283733">
    <w:abstractNumId w:val="105"/>
  </w:num>
  <w:num w:numId="3" w16cid:durableId="482620150">
    <w:abstractNumId w:val="82"/>
  </w:num>
  <w:num w:numId="4" w16cid:durableId="1924757361">
    <w:abstractNumId w:val="7"/>
  </w:num>
  <w:num w:numId="5" w16cid:durableId="2140569159">
    <w:abstractNumId w:val="43"/>
  </w:num>
  <w:num w:numId="6" w16cid:durableId="1883983619">
    <w:abstractNumId w:val="106"/>
  </w:num>
  <w:num w:numId="7" w16cid:durableId="866452088">
    <w:abstractNumId w:val="76"/>
  </w:num>
  <w:num w:numId="8" w16cid:durableId="1976643690">
    <w:abstractNumId w:val="88"/>
  </w:num>
  <w:num w:numId="9" w16cid:durableId="754980871">
    <w:abstractNumId w:val="86"/>
  </w:num>
  <w:num w:numId="10" w16cid:durableId="520899541">
    <w:abstractNumId w:val="29"/>
  </w:num>
  <w:num w:numId="11" w16cid:durableId="2056804980">
    <w:abstractNumId w:val="107"/>
  </w:num>
  <w:num w:numId="12" w16cid:durableId="1200239628">
    <w:abstractNumId w:val="108"/>
  </w:num>
  <w:num w:numId="13" w16cid:durableId="207838387">
    <w:abstractNumId w:val="138"/>
  </w:num>
  <w:num w:numId="14" w16cid:durableId="1289123118">
    <w:abstractNumId w:val="142"/>
  </w:num>
  <w:num w:numId="15" w16cid:durableId="513149978">
    <w:abstractNumId w:val="1"/>
  </w:num>
  <w:num w:numId="16" w16cid:durableId="746659190">
    <w:abstractNumId w:val="53"/>
  </w:num>
  <w:num w:numId="17" w16cid:durableId="391000362">
    <w:abstractNumId w:val="133"/>
  </w:num>
  <w:num w:numId="18" w16cid:durableId="849637037">
    <w:abstractNumId w:val="94"/>
  </w:num>
  <w:num w:numId="19" w16cid:durableId="1400203270">
    <w:abstractNumId w:val="135"/>
  </w:num>
  <w:num w:numId="20" w16cid:durableId="62027997">
    <w:abstractNumId w:val="55"/>
  </w:num>
  <w:num w:numId="21" w16cid:durableId="1765878682">
    <w:abstractNumId w:val="22"/>
  </w:num>
  <w:num w:numId="22" w16cid:durableId="1048140338">
    <w:abstractNumId w:val="47"/>
  </w:num>
  <w:num w:numId="23" w16cid:durableId="1353646168">
    <w:abstractNumId w:val="37"/>
  </w:num>
  <w:num w:numId="24" w16cid:durableId="833256758">
    <w:abstractNumId w:val="101"/>
  </w:num>
  <w:num w:numId="25" w16cid:durableId="1756435227">
    <w:abstractNumId w:val="79"/>
  </w:num>
  <w:num w:numId="26" w16cid:durableId="1047217520">
    <w:abstractNumId w:val="66"/>
  </w:num>
  <w:num w:numId="27" w16cid:durableId="292567980">
    <w:abstractNumId w:val="10"/>
  </w:num>
  <w:num w:numId="28" w16cid:durableId="1122965605">
    <w:abstractNumId w:val="32"/>
  </w:num>
  <w:num w:numId="29" w16cid:durableId="1916813803">
    <w:abstractNumId w:val="97"/>
  </w:num>
  <w:num w:numId="30" w16cid:durableId="506211662">
    <w:abstractNumId w:val="0"/>
  </w:num>
  <w:num w:numId="31" w16cid:durableId="444351210">
    <w:abstractNumId w:val="26"/>
  </w:num>
  <w:num w:numId="32" w16cid:durableId="1011293849">
    <w:abstractNumId w:val="118"/>
  </w:num>
  <w:num w:numId="33" w16cid:durableId="1073813038">
    <w:abstractNumId w:val="119"/>
  </w:num>
  <w:num w:numId="34" w16cid:durableId="268858031">
    <w:abstractNumId w:val="44"/>
  </w:num>
  <w:num w:numId="35" w16cid:durableId="1798714279">
    <w:abstractNumId w:val="19"/>
  </w:num>
  <w:num w:numId="36" w16cid:durableId="956568709">
    <w:abstractNumId w:val="16"/>
  </w:num>
  <w:num w:numId="37" w16cid:durableId="341780518">
    <w:abstractNumId w:val="96"/>
  </w:num>
  <w:num w:numId="38" w16cid:durableId="1942835919">
    <w:abstractNumId w:val="9"/>
  </w:num>
  <w:num w:numId="39" w16cid:durableId="1009139161">
    <w:abstractNumId w:val="129"/>
  </w:num>
  <w:num w:numId="40" w16cid:durableId="669993021">
    <w:abstractNumId w:val="127"/>
  </w:num>
  <w:num w:numId="41" w16cid:durableId="775708337">
    <w:abstractNumId w:val="114"/>
  </w:num>
  <w:num w:numId="42" w16cid:durableId="294722517">
    <w:abstractNumId w:val="20"/>
  </w:num>
  <w:num w:numId="43" w16cid:durableId="1709377547">
    <w:abstractNumId w:val="13"/>
  </w:num>
  <w:num w:numId="44" w16cid:durableId="486433795">
    <w:abstractNumId w:val="50"/>
  </w:num>
  <w:num w:numId="45" w16cid:durableId="1428500392">
    <w:abstractNumId w:val="25"/>
  </w:num>
  <w:num w:numId="46" w16cid:durableId="1926306514">
    <w:abstractNumId w:val="27"/>
  </w:num>
  <w:num w:numId="47" w16cid:durableId="1423991142">
    <w:abstractNumId w:val="92"/>
  </w:num>
  <w:num w:numId="48" w16cid:durableId="144979317">
    <w:abstractNumId w:val="130"/>
  </w:num>
  <w:num w:numId="49" w16cid:durableId="1573809383">
    <w:abstractNumId w:val="123"/>
  </w:num>
  <w:num w:numId="50" w16cid:durableId="1388335902">
    <w:abstractNumId w:val="28"/>
  </w:num>
  <w:num w:numId="51" w16cid:durableId="1843661907">
    <w:abstractNumId w:val="35"/>
  </w:num>
  <w:num w:numId="52" w16cid:durableId="2007979065">
    <w:abstractNumId w:val="137"/>
  </w:num>
  <w:num w:numId="53" w16cid:durableId="1583291923">
    <w:abstractNumId w:val="14"/>
  </w:num>
  <w:num w:numId="54" w16cid:durableId="1182011201">
    <w:abstractNumId w:val="48"/>
  </w:num>
  <w:num w:numId="55" w16cid:durableId="288364852">
    <w:abstractNumId w:val="83"/>
  </w:num>
  <w:num w:numId="56" w16cid:durableId="696780514">
    <w:abstractNumId w:val="67"/>
  </w:num>
  <w:num w:numId="57" w16cid:durableId="32851408">
    <w:abstractNumId w:val="4"/>
  </w:num>
  <w:num w:numId="58" w16cid:durableId="916013847">
    <w:abstractNumId w:val="51"/>
  </w:num>
  <w:num w:numId="59" w16cid:durableId="807894861">
    <w:abstractNumId w:val="85"/>
  </w:num>
  <w:num w:numId="60" w16cid:durableId="1750955002">
    <w:abstractNumId w:val="112"/>
  </w:num>
  <w:num w:numId="61" w16cid:durableId="2138259433">
    <w:abstractNumId w:val="65"/>
  </w:num>
  <w:num w:numId="62" w16cid:durableId="1465151533">
    <w:abstractNumId w:val="61"/>
  </w:num>
  <w:num w:numId="63" w16cid:durableId="1195967067">
    <w:abstractNumId w:val="99"/>
  </w:num>
  <w:num w:numId="64" w16cid:durableId="1159540912">
    <w:abstractNumId w:val="62"/>
  </w:num>
  <w:num w:numId="65" w16cid:durableId="1755206751">
    <w:abstractNumId w:val="60"/>
  </w:num>
  <w:num w:numId="66" w16cid:durableId="204610061">
    <w:abstractNumId w:val="109"/>
  </w:num>
  <w:num w:numId="67" w16cid:durableId="4678062">
    <w:abstractNumId w:val="113"/>
  </w:num>
  <w:num w:numId="68" w16cid:durableId="1835291538">
    <w:abstractNumId w:val="33"/>
  </w:num>
  <w:num w:numId="69" w16cid:durableId="204757056">
    <w:abstractNumId w:val="6"/>
  </w:num>
  <w:num w:numId="70" w16cid:durableId="1320570585">
    <w:abstractNumId w:val="111"/>
  </w:num>
  <w:num w:numId="71" w16cid:durableId="1440175192">
    <w:abstractNumId w:val="39"/>
  </w:num>
  <w:num w:numId="72" w16cid:durableId="2018653304">
    <w:abstractNumId w:val="139"/>
  </w:num>
  <w:num w:numId="73" w16cid:durableId="171646027">
    <w:abstractNumId w:val="81"/>
  </w:num>
  <w:num w:numId="74" w16cid:durableId="1075586126">
    <w:abstractNumId w:val="56"/>
  </w:num>
  <w:num w:numId="75" w16cid:durableId="856162888">
    <w:abstractNumId w:val="40"/>
  </w:num>
  <w:num w:numId="76" w16cid:durableId="1493905940">
    <w:abstractNumId w:val="8"/>
  </w:num>
  <w:num w:numId="77" w16cid:durableId="394091841">
    <w:abstractNumId w:val="58"/>
  </w:num>
  <w:num w:numId="78" w16cid:durableId="798494688">
    <w:abstractNumId w:val="18"/>
  </w:num>
  <w:num w:numId="79" w16cid:durableId="1750498418">
    <w:abstractNumId w:val="77"/>
  </w:num>
  <w:num w:numId="80" w16cid:durableId="1672443256">
    <w:abstractNumId w:val="84"/>
  </w:num>
  <w:num w:numId="81" w16cid:durableId="409547332">
    <w:abstractNumId w:val="136"/>
  </w:num>
  <w:num w:numId="82" w16cid:durableId="917052790">
    <w:abstractNumId w:val="23"/>
  </w:num>
  <w:num w:numId="83" w16cid:durableId="1901095324">
    <w:abstractNumId w:val="49"/>
  </w:num>
  <w:num w:numId="84" w16cid:durableId="382557178">
    <w:abstractNumId w:val="72"/>
  </w:num>
  <w:num w:numId="85" w16cid:durableId="633869073">
    <w:abstractNumId w:val="5"/>
  </w:num>
  <w:num w:numId="86" w16cid:durableId="1958948895">
    <w:abstractNumId w:val="68"/>
  </w:num>
  <w:num w:numId="87" w16cid:durableId="2081754716">
    <w:abstractNumId w:val="11"/>
  </w:num>
  <w:num w:numId="88" w16cid:durableId="293801229">
    <w:abstractNumId w:val="45"/>
  </w:num>
  <w:num w:numId="89" w16cid:durableId="1919247576">
    <w:abstractNumId w:val="46"/>
  </w:num>
  <w:num w:numId="90" w16cid:durableId="448940121">
    <w:abstractNumId w:val="141"/>
  </w:num>
  <w:num w:numId="91" w16cid:durableId="1189375312">
    <w:abstractNumId w:val="74"/>
  </w:num>
  <w:num w:numId="92" w16cid:durableId="1123302056">
    <w:abstractNumId w:val="2"/>
  </w:num>
  <w:num w:numId="93" w16cid:durableId="1255286847">
    <w:abstractNumId w:val="63"/>
  </w:num>
  <w:num w:numId="94" w16cid:durableId="1780905017">
    <w:abstractNumId w:val="54"/>
  </w:num>
  <w:num w:numId="95" w16cid:durableId="2086680112">
    <w:abstractNumId w:val="90"/>
  </w:num>
  <w:num w:numId="96" w16cid:durableId="1210023925">
    <w:abstractNumId w:val="38"/>
  </w:num>
  <w:num w:numId="97" w16cid:durableId="1482841808">
    <w:abstractNumId w:val="120"/>
  </w:num>
  <w:num w:numId="98" w16cid:durableId="1444493454">
    <w:abstractNumId w:val="75"/>
  </w:num>
  <w:num w:numId="99" w16cid:durableId="1149899633">
    <w:abstractNumId w:val="98"/>
  </w:num>
  <w:num w:numId="100" w16cid:durableId="59599336">
    <w:abstractNumId w:val="31"/>
  </w:num>
  <w:num w:numId="101" w16cid:durableId="1340547956">
    <w:abstractNumId w:val="140"/>
  </w:num>
  <w:num w:numId="102" w16cid:durableId="1487016508">
    <w:abstractNumId w:val="132"/>
  </w:num>
  <w:num w:numId="103" w16cid:durableId="906458507">
    <w:abstractNumId w:val="71"/>
  </w:num>
  <w:num w:numId="104" w16cid:durableId="1150486867">
    <w:abstractNumId w:val="3"/>
  </w:num>
  <w:num w:numId="105" w16cid:durableId="1192376635">
    <w:abstractNumId w:val="80"/>
  </w:num>
  <w:num w:numId="106" w16cid:durableId="136731796">
    <w:abstractNumId w:val="95"/>
  </w:num>
  <w:num w:numId="107" w16cid:durableId="824323572">
    <w:abstractNumId w:val="103"/>
  </w:num>
  <w:num w:numId="108" w16cid:durableId="985210131">
    <w:abstractNumId w:val="59"/>
  </w:num>
  <w:num w:numId="109" w16cid:durableId="1587567547">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267150456">
    <w:abstractNumId w:val="115"/>
  </w:num>
  <w:num w:numId="111" w16cid:durableId="1997801205">
    <w:abstractNumId w:val="15"/>
  </w:num>
  <w:num w:numId="112" w16cid:durableId="1955358933">
    <w:abstractNumId w:val="110"/>
  </w:num>
  <w:num w:numId="113" w16cid:durableId="1200512876">
    <w:abstractNumId w:val="41"/>
  </w:num>
  <w:num w:numId="114" w16cid:durableId="1763064610">
    <w:abstractNumId w:val="100"/>
  </w:num>
  <w:num w:numId="115" w16cid:durableId="869100558">
    <w:abstractNumId w:val="73"/>
  </w:num>
  <w:num w:numId="116" w16cid:durableId="210851467">
    <w:abstractNumId w:val="64"/>
  </w:num>
  <w:num w:numId="117" w16cid:durableId="1398282442">
    <w:abstractNumId w:val="89"/>
  </w:num>
  <w:num w:numId="118" w16cid:durableId="118495059">
    <w:abstractNumId w:val="131"/>
  </w:num>
  <w:num w:numId="119" w16cid:durableId="1459299926">
    <w:abstractNumId w:val="70"/>
  </w:num>
  <w:num w:numId="120" w16cid:durableId="1511333268">
    <w:abstractNumId w:val="126"/>
  </w:num>
  <w:num w:numId="121" w16cid:durableId="104884562">
    <w:abstractNumId w:val="42"/>
  </w:num>
  <w:num w:numId="122" w16cid:durableId="599215491">
    <w:abstractNumId w:val="134"/>
  </w:num>
  <w:num w:numId="123" w16cid:durableId="273563694">
    <w:abstractNumId w:val="116"/>
  </w:num>
  <w:num w:numId="124" w16cid:durableId="240261662">
    <w:abstractNumId w:val="87"/>
  </w:num>
  <w:num w:numId="125" w16cid:durableId="47382907">
    <w:abstractNumId w:val="135"/>
  </w:num>
  <w:num w:numId="126" w16cid:durableId="855652194">
    <w:abstractNumId w:val="21"/>
  </w:num>
  <w:num w:numId="127" w16cid:durableId="1402288821">
    <w:abstractNumId w:val="104"/>
  </w:num>
  <w:num w:numId="128" w16cid:durableId="160049153">
    <w:abstractNumId w:val="30"/>
  </w:num>
  <w:num w:numId="129" w16cid:durableId="498691225">
    <w:abstractNumId w:val="36"/>
  </w:num>
  <w:num w:numId="130" w16cid:durableId="2031712094">
    <w:abstractNumId w:val="34"/>
  </w:num>
  <w:num w:numId="131" w16cid:durableId="943194522">
    <w:abstractNumId w:val="122"/>
  </w:num>
  <w:num w:numId="132" w16cid:durableId="362437653">
    <w:abstractNumId w:val="117"/>
  </w:num>
  <w:num w:numId="133" w16cid:durableId="144395218">
    <w:abstractNumId w:val="124"/>
  </w:num>
  <w:num w:numId="134" w16cid:durableId="684988989">
    <w:abstractNumId w:val="121"/>
  </w:num>
  <w:num w:numId="135" w16cid:durableId="1601599834">
    <w:abstractNumId w:val="52"/>
  </w:num>
  <w:num w:numId="136" w16cid:durableId="1184826325">
    <w:abstractNumId w:val="57"/>
  </w:num>
  <w:num w:numId="137" w16cid:durableId="1220942413">
    <w:abstractNumId w:val="24"/>
  </w:num>
  <w:num w:numId="138" w16cid:durableId="769736602">
    <w:abstractNumId w:val="12"/>
  </w:num>
  <w:num w:numId="139" w16cid:durableId="823279017">
    <w:abstractNumId w:val="78"/>
  </w:num>
  <w:num w:numId="140" w16cid:durableId="1418021292">
    <w:abstractNumId w:val="139"/>
  </w:num>
  <w:num w:numId="141" w16cid:durableId="1635677748">
    <w:abstractNumId w:val="81"/>
  </w:num>
  <w:num w:numId="142" w16cid:durableId="1185512068">
    <w:abstractNumId w:val="17"/>
  </w:num>
  <w:num w:numId="143" w16cid:durableId="1882204131">
    <w:abstractNumId w:val="125"/>
  </w:num>
  <w:num w:numId="144" w16cid:durableId="129251809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40056337">
    <w:abstractNumId w:val="128"/>
  </w:num>
  <w:num w:numId="146" w16cid:durableId="582107265">
    <w:abstractNumId w:val="91"/>
  </w:num>
  <w:num w:numId="147" w16cid:durableId="286745495">
    <w:abstractNumId w:val="10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137C"/>
    <w:rsid w:val="000227E2"/>
    <w:rsid w:val="00023194"/>
    <w:rsid w:val="00024E1A"/>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2F9"/>
    <w:rsid w:val="00090565"/>
    <w:rsid w:val="00090879"/>
    <w:rsid w:val="00090B98"/>
    <w:rsid w:val="00090BC9"/>
    <w:rsid w:val="0009241D"/>
    <w:rsid w:val="00093AB8"/>
    <w:rsid w:val="000941B9"/>
    <w:rsid w:val="0009696D"/>
    <w:rsid w:val="00096E75"/>
    <w:rsid w:val="000A05D9"/>
    <w:rsid w:val="000A0934"/>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05D3"/>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070F0"/>
    <w:rsid w:val="00111035"/>
    <w:rsid w:val="00111C18"/>
    <w:rsid w:val="0011275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3630"/>
    <w:rsid w:val="001540E4"/>
    <w:rsid w:val="001541C7"/>
    <w:rsid w:val="00155DEB"/>
    <w:rsid w:val="00157785"/>
    <w:rsid w:val="001602C6"/>
    <w:rsid w:val="00161DAC"/>
    <w:rsid w:val="0016221B"/>
    <w:rsid w:val="0016273A"/>
    <w:rsid w:val="00163116"/>
    <w:rsid w:val="00167B21"/>
    <w:rsid w:val="00167CED"/>
    <w:rsid w:val="00167F5E"/>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67C0"/>
    <w:rsid w:val="00197F3D"/>
    <w:rsid w:val="001A0C09"/>
    <w:rsid w:val="001A2FB4"/>
    <w:rsid w:val="001A36CF"/>
    <w:rsid w:val="001A386D"/>
    <w:rsid w:val="001A3FCC"/>
    <w:rsid w:val="001A446E"/>
    <w:rsid w:val="001A5527"/>
    <w:rsid w:val="001A561F"/>
    <w:rsid w:val="001A60A3"/>
    <w:rsid w:val="001A734A"/>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C43A8"/>
    <w:rsid w:val="001D0693"/>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0EA2"/>
    <w:rsid w:val="002A180D"/>
    <w:rsid w:val="002A3B83"/>
    <w:rsid w:val="002A440D"/>
    <w:rsid w:val="002A4437"/>
    <w:rsid w:val="002A4CCC"/>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E7FE7"/>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05D"/>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2AEF"/>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3C34"/>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6DFF"/>
    <w:rsid w:val="003E7859"/>
    <w:rsid w:val="003E7B74"/>
    <w:rsid w:val="003E7D51"/>
    <w:rsid w:val="003F03BE"/>
    <w:rsid w:val="003F0922"/>
    <w:rsid w:val="003F2BCC"/>
    <w:rsid w:val="003F35DA"/>
    <w:rsid w:val="003F59DB"/>
    <w:rsid w:val="003F5DFD"/>
    <w:rsid w:val="003F5E35"/>
    <w:rsid w:val="003F72DB"/>
    <w:rsid w:val="00404816"/>
    <w:rsid w:val="00405C60"/>
    <w:rsid w:val="00405CC9"/>
    <w:rsid w:val="00406DB5"/>
    <w:rsid w:val="00410D46"/>
    <w:rsid w:val="004121A5"/>
    <w:rsid w:val="0041240B"/>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505"/>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5C0"/>
    <w:rsid w:val="00456C4E"/>
    <w:rsid w:val="00456F41"/>
    <w:rsid w:val="0045711B"/>
    <w:rsid w:val="0045780A"/>
    <w:rsid w:val="00457EAE"/>
    <w:rsid w:val="00460203"/>
    <w:rsid w:val="00460722"/>
    <w:rsid w:val="004612D8"/>
    <w:rsid w:val="00461A82"/>
    <w:rsid w:val="00462E23"/>
    <w:rsid w:val="00462E9D"/>
    <w:rsid w:val="004644C3"/>
    <w:rsid w:val="0046461C"/>
    <w:rsid w:val="00466D24"/>
    <w:rsid w:val="004674BD"/>
    <w:rsid w:val="00471F16"/>
    <w:rsid w:val="00473750"/>
    <w:rsid w:val="00473C32"/>
    <w:rsid w:val="00473C5E"/>
    <w:rsid w:val="00474002"/>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B6B7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03F1"/>
    <w:rsid w:val="004F7221"/>
    <w:rsid w:val="004F7962"/>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B08"/>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0CB"/>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0D1"/>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4D4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1DF0"/>
    <w:rsid w:val="0064290A"/>
    <w:rsid w:val="00642926"/>
    <w:rsid w:val="00643126"/>
    <w:rsid w:val="00644E7C"/>
    <w:rsid w:val="00645492"/>
    <w:rsid w:val="00645F68"/>
    <w:rsid w:val="006472E6"/>
    <w:rsid w:val="0064734C"/>
    <w:rsid w:val="00650634"/>
    <w:rsid w:val="00652F46"/>
    <w:rsid w:val="00653DA2"/>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7793B"/>
    <w:rsid w:val="00680781"/>
    <w:rsid w:val="00680C5C"/>
    <w:rsid w:val="00680D12"/>
    <w:rsid w:val="0068162D"/>
    <w:rsid w:val="00681F13"/>
    <w:rsid w:val="006824AE"/>
    <w:rsid w:val="00684A2A"/>
    <w:rsid w:val="00684B06"/>
    <w:rsid w:val="00686C7B"/>
    <w:rsid w:val="00691C74"/>
    <w:rsid w:val="00691C97"/>
    <w:rsid w:val="0069312A"/>
    <w:rsid w:val="006959BE"/>
    <w:rsid w:val="0069637C"/>
    <w:rsid w:val="006A0076"/>
    <w:rsid w:val="006A0481"/>
    <w:rsid w:val="006A1D9A"/>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85C"/>
    <w:rsid w:val="006B6B6D"/>
    <w:rsid w:val="006B715B"/>
    <w:rsid w:val="006B7523"/>
    <w:rsid w:val="006C3958"/>
    <w:rsid w:val="006C4483"/>
    <w:rsid w:val="006C5FF7"/>
    <w:rsid w:val="006D09FF"/>
    <w:rsid w:val="006D15FC"/>
    <w:rsid w:val="006D1F7F"/>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2AB3"/>
    <w:rsid w:val="00704AF2"/>
    <w:rsid w:val="00705146"/>
    <w:rsid w:val="00705631"/>
    <w:rsid w:val="00706591"/>
    <w:rsid w:val="00707590"/>
    <w:rsid w:val="00707774"/>
    <w:rsid w:val="0071063A"/>
    <w:rsid w:val="007118FF"/>
    <w:rsid w:val="00711EDD"/>
    <w:rsid w:val="007140A6"/>
    <w:rsid w:val="00714B11"/>
    <w:rsid w:val="00714B8D"/>
    <w:rsid w:val="00714FC3"/>
    <w:rsid w:val="0071506E"/>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37B30"/>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67C9"/>
    <w:rsid w:val="00757DE6"/>
    <w:rsid w:val="0076110B"/>
    <w:rsid w:val="00761653"/>
    <w:rsid w:val="00761BC5"/>
    <w:rsid w:val="00762A47"/>
    <w:rsid w:val="00762C77"/>
    <w:rsid w:val="0076344C"/>
    <w:rsid w:val="00763935"/>
    <w:rsid w:val="00764D11"/>
    <w:rsid w:val="007666DD"/>
    <w:rsid w:val="0076767D"/>
    <w:rsid w:val="00767853"/>
    <w:rsid w:val="00767C80"/>
    <w:rsid w:val="0077073C"/>
    <w:rsid w:val="00770A8D"/>
    <w:rsid w:val="00770F0C"/>
    <w:rsid w:val="007711BA"/>
    <w:rsid w:val="007719B2"/>
    <w:rsid w:val="00771E5C"/>
    <w:rsid w:val="007724CB"/>
    <w:rsid w:val="00772E5E"/>
    <w:rsid w:val="00774A7F"/>
    <w:rsid w:val="007751F2"/>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6706"/>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1FC5"/>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2C13"/>
    <w:rsid w:val="00883078"/>
    <w:rsid w:val="008841A4"/>
    <w:rsid w:val="00885383"/>
    <w:rsid w:val="00885729"/>
    <w:rsid w:val="0088699A"/>
    <w:rsid w:val="00890E8C"/>
    <w:rsid w:val="0089269E"/>
    <w:rsid w:val="00896182"/>
    <w:rsid w:val="008976F4"/>
    <w:rsid w:val="00897AC1"/>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8F76B4"/>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608"/>
    <w:rsid w:val="00940A2E"/>
    <w:rsid w:val="00940BB0"/>
    <w:rsid w:val="0094146F"/>
    <w:rsid w:val="009418C6"/>
    <w:rsid w:val="00941BB5"/>
    <w:rsid w:val="00942291"/>
    <w:rsid w:val="00942407"/>
    <w:rsid w:val="0094299E"/>
    <w:rsid w:val="00942D87"/>
    <w:rsid w:val="009441E4"/>
    <w:rsid w:val="009446FA"/>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037"/>
    <w:rsid w:val="0096151A"/>
    <w:rsid w:val="009619DB"/>
    <w:rsid w:val="009622CF"/>
    <w:rsid w:val="009627DB"/>
    <w:rsid w:val="0096455F"/>
    <w:rsid w:val="00964D7A"/>
    <w:rsid w:val="00964E9D"/>
    <w:rsid w:val="00965884"/>
    <w:rsid w:val="0096590E"/>
    <w:rsid w:val="009659F2"/>
    <w:rsid w:val="00967195"/>
    <w:rsid w:val="009674C8"/>
    <w:rsid w:val="00967F3C"/>
    <w:rsid w:val="00971D57"/>
    <w:rsid w:val="00974346"/>
    <w:rsid w:val="0097458D"/>
    <w:rsid w:val="0097481B"/>
    <w:rsid w:val="00975349"/>
    <w:rsid w:val="009755D4"/>
    <w:rsid w:val="00975C48"/>
    <w:rsid w:val="00975E1C"/>
    <w:rsid w:val="009771B4"/>
    <w:rsid w:val="0097752B"/>
    <w:rsid w:val="00977ABE"/>
    <w:rsid w:val="009806B5"/>
    <w:rsid w:val="009812BA"/>
    <w:rsid w:val="00981736"/>
    <w:rsid w:val="009820F9"/>
    <w:rsid w:val="0098222A"/>
    <w:rsid w:val="0098373A"/>
    <w:rsid w:val="00983770"/>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0E5E"/>
    <w:rsid w:val="009D14C0"/>
    <w:rsid w:val="009D1561"/>
    <w:rsid w:val="009D2102"/>
    <w:rsid w:val="009D3E31"/>
    <w:rsid w:val="009D521B"/>
    <w:rsid w:val="009D6B35"/>
    <w:rsid w:val="009D6FD7"/>
    <w:rsid w:val="009D74C5"/>
    <w:rsid w:val="009D77AC"/>
    <w:rsid w:val="009E1512"/>
    <w:rsid w:val="009E23A4"/>
    <w:rsid w:val="009E24E9"/>
    <w:rsid w:val="009E2FD7"/>
    <w:rsid w:val="009E33EB"/>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253"/>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0CD"/>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2B07"/>
    <w:rsid w:val="00B0332E"/>
    <w:rsid w:val="00B04C53"/>
    <w:rsid w:val="00B04C7D"/>
    <w:rsid w:val="00B073A3"/>
    <w:rsid w:val="00B10176"/>
    <w:rsid w:val="00B10EC2"/>
    <w:rsid w:val="00B1137C"/>
    <w:rsid w:val="00B11DF8"/>
    <w:rsid w:val="00B12727"/>
    <w:rsid w:val="00B1305F"/>
    <w:rsid w:val="00B1476F"/>
    <w:rsid w:val="00B14EDE"/>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1C9"/>
    <w:rsid w:val="00B3251F"/>
    <w:rsid w:val="00B33A73"/>
    <w:rsid w:val="00B34F67"/>
    <w:rsid w:val="00B37247"/>
    <w:rsid w:val="00B377CA"/>
    <w:rsid w:val="00B37A75"/>
    <w:rsid w:val="00B37C83"/>
    <w:rsid w:val="00B41D1C"/>
    <w:rsid w:val="00B42BD9"/>
    <w:rsid w:val="00B43338"/>
    <w:rsid w:val="00B4339F"/>
    <w:rsid w:val="00B46A95"/>
    <w:rsid w:val="00B46DC7"/>
    <w:rsid w:val="00B5030E"/>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EA1"/>
    <w:rsid w:val="00B91F5A"/>
    <w:rsid w:val="00B92265"/>
    <w:rsid w:val="00B92B4B"/>
    <w:rsid w:val="00B92FBD"/>
    <w:rsid w:val="00B93477"/>
    <w:rsid w:val="00B93CC9"/>
    <w:rsid w:val="00B956D9"/>
    <w:rsid w:val="00B95E80"/>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6834"/>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6C8F"/>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28"/>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2A7F"/>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26DB"/>
    <w:rsid w:val="00CB40BB"/>
    <w:rsid w:val="00CB4965"/>
    <w:rsid w:val="00CB4B07"/>
    <w:rsid w:val="00CB5B1D"/>
    <w:rsid w:val="00CB65FF"/>
    <w:rsid w:val="00CC1AE1"/>
    <w:rsid w:val="00CC2209"/>
    <w:rsid w:val="00CC2958"/>
    <w:rsid w:val="00CC44B4"/>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530"/>
    <w:rsid w:val="00D07B96"/>
    <w:rsid w:val="00D102FF"/>
    <w:rsid w:val="00D1062A"/>
    <w:rsid w:val="00D14907"/>
    <w:rsid w:val="00D16686"/>
    <w:rsid w:val="00D17C56"/>
    <w:rsid w:val="00D17CE4"/>
    <w:rsid w:val="00D20E02"/>
    <w:rsid w:val="00D21E42"/>
    <w:rsid w:val="00D21E84"/>
    <w:rsid w:val="00D226FE"/>
    <w:rsid w:val="00D22D79"/>
    <w:rsid w:val="00D2338D"/>
    <w:rsid w:val="00D240B8"/>
    <w:rsid w:val="00D2641E"/>
    <w:rsid w:val="00D2714D"/>
    <w:rsid w:val="00D2750A"/>
    <w:rsid w:val="00D27763"/>
    <w:rsid w:val="00D306A9"/>
    <w:rsid w:val="00D313E0"/>
    <w:rsid w:val="00D31731"/>
    <w:rsid w:val="00D319C9"/>
    <w:rsid w:val="00D33489"/>
    <w:rsid w:val="00D338DE"/>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4E72"/>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D504E"/>
    <w:rsid w:val="00DE205F"/>
    <w:rsid w:val="00DE2D0E"/>
    <w:rsid w:val="00DE43F6"/>
    <w:rsid w:val="00DE4731"/>
    <w:rsid w:val="00DE4EF5"/>
    <w:rsid w:val="00DE5BB1"/>
    <w:rsid w:val="00DE5D2B"/>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15863"/>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3BCB"/>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877AB"/>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35C6"/>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46CAC"/>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0719"/>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26FC"/>
    <w:rsid w:val="00FA3C9E"/>
    <w:rsid w:val="00FA414B"/>
    <w:rsid w:val="00FA4651"/>
    <w:rsid w:val="00FA5767"/>
    <w:rsid w:val="00FA70A2"/>
    <w:rsid w:val="00FA7DF3"/>
    <w:rsid w:val="00FB12D3"/>
    <w:rsid w:val="00FB13A6"/>
    <w:rsid w:val="00FB4564"/>
    <w:rsid w:val="00FB500C"/>
    <w:rsid w:val="00FB7618"/>
    <w:rsid w:val="00FC0B06"/>
    <w:rsid w:val="00FC13AB"/>
    <w:rsid w:val="00FC1C44"/>
    <w:rsid w:val="00FC1DB3"/>
    <w:rsid w:val="00FC2647"/>
    <w:rsid w:val="00FC49D1"/>
    <w:rsid w:val="00FC596E"/>
    <w:rsid w:val="00FC5F75"/>
    <w:rsid w:val="00FC774F"/>
    <w:rsid w:val="00FD0D61"/>
    <w:rsid w:val="00FD30E6"/>
    <w:rsid w:val="00FD3CD2"/>
    <w:rsid w:val="00FD4A1F"/>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1243791"/>
    <w:rsid w:val="0326B9B2"/>
    <w:rsid w:val="04E8857D"/>
    <w:rsid w:val="068F3073"/>
    <w:rsid w:val="081F242A"/>
    <w:rsid w:val="0BA141C0"/>
    <w:rsid w:val="0C208455"/>
    <w:rsid w:val="11BFC544"/>
    <w:rsid w:val="11F515C9"/>
    <w:rsid w:val="121009F4"/>
    <w:rsid w:val="129D3450"/>
    <w:rsid w:val="14979824"/>
    <w:rsid w:val="17090E56"/>
    <w:rsid w:val="178C0459"/>
    <w:rsid w:val="1B2FC9D6"/>
    <w:rsid w:val="1B974496"/>
    <w:rsid w:val="1C696522"/>
    <w:rsid w:val="22BD978A"/>
    <w:rsid w:val="27C5D7BF"/>
    <w:rsid w:val="28581E86"/>
    <w:rsid w:val="2AC6090B"/>
    <w:rsid w:val="2AD0E5F7"/>
    <w:rsid w:val="2B939CFF"/>
    <w:rsid w:val="2F0E7490"/>
    <w:rsid w:val="2F111B57"/>
    <w:rsid w:val="34F717D3"/>
    <w:rsid w:val="382BF987"/>
    <w:rsid w:val="3A135518"/>
    <w:rsid w:val="3A9FDA4C"/>
    <w:rsid w:val="3B7EF45D"/>
    <w:rsid w:val="43B8381B"/>
    <w:rsid w:val="443F4E67"/>
    <w:rsid w:val="4490EB80"/>
    <w:rsid w:val="450A15DE"/>
    <w:rsid w:val="4574CF4C"/>
    <w:rsid w:val="4A8BBB3D"/>
    <w:rsid w:val="4B74AE68"/>
    <w:rsid w:val="4FB5D773"/>
    <w:rsid w:val="5495B57A"/>
    <w:rsid w:val="54A9B741"/>
    <w:rsid w:val="57A5ED3F"/>
    <w:rsid w:val="58A8A785"/>
    <w:rsid w:val="5FA9D2FE"/>
    <w:rsid w:val="614F4738"/>
    <w:rsid w:val="6263D428"/>
    <w:rsid w:val="63B0F338"/>
    <w:rsid w:val="64BF2027"/>
    <w:rsid w:val="6654BDDA"/>
    <w:rsid w:val="685AAA79"/>
    <w:rsid w:val="68B7027E"/>
    <w:rsid w:val="695660A9"/>
    <w:rsid w:val="71E1B556"/>
    <w:rsid w:val="72145D58"/>
    <w:rsid w:val="727DAE55"/>
    <w:rsid w:val="7991B06D"/>
    <w:rsid w:val="7A22F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5F9B979B-A68E-47EC-A4A8-DC65C531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0D05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091542922">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sa.gov/ss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6DF0E323-9A49-49AE-ACB0-48F33CF1C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TotalTime>
  <Pages>1</Pages>
  <Words>4181</Words>
  <Characters>23838</Characters>
  <Application>Microsoft Office Word</Application>
  <DocSecurity>0</DocSecurity>
  <Lines>198</Lines>
  <Paragraphs>55</Paragraphs>
  <ScaleCrop>false</ScaleCrop>
  <Company>Caremark</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12</cp:revision>
  <dcterms:created xsi:type="dcterms:W3CDTF">2025-06-03T16:27:00Z</dcterms:created>
  <dcterms:modified xsi:type="dcterms:W3CDTF">2025-07-16T17:52:00Z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