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9684F" w14:textId="63370F2F" w:rsidR="00524CDD" w:rsidRPr="00CC4BFE" w:rsidRDefault="008976F4" w:rsidP="005A0AB8">
      <w:pPr>
        <w:pStyle w:val="Heading1"/>
        <w:spacing w:before="120" w:after="120"/>
        <w:rPr>
          <w:rFonts w:ascii="Verdana" w:hAnsi="Verdana"/>
          <w:color w:val="auto"/>
          <w:sz w:val="36"/>
          <w:szCs w:val="36"/>
        </w:rPr>
      </w:pPr>
      <w:bookmarkStart w:id="0" w:name="_OneSource_Glossary_of"/>
      <w:bookmarkStart w:id="1" w:name="_Customer_Care_Abbreviations,"/>
      <w:bookmarkStart w:id="2" w:name="_top"/>
      <w:bookmarkEnd w:id="0"/>
      <w:bookmarkEnd w:id="1"/>
      <w:bookmarkEnd w:id="2"/>
      <w:r w:rsidRPr="40161029">
        <w:rPr>
          <w:rFonts w:ascii="Verdana" w:hAnsi="Verdana"/>
          <w:color w:val="auto"/>
          <w:sz w:val="36"/>
          <w:szCs w:val="36"/>
        </w:rPr>
        <w:t>Customer Care Abbreviati</w:t>
      </w:r>
      <w:r w:rsidR="005D266A" w:rsidRPr="40161029">
        <w:rPr>
          <w:rFonts w:ascii="Verdana" w:hAnsi="Verdana"/>
          <w:color w:val="auto"/>
          <w:sz w:val="36"/>
          <w:szCs w:val="36"/>
        </w:rPr>
        <w:t>ons</w:t>
      </w:r>
      <w:r w:rsidR="00CC4BFE" w:rsidRPr="40161029">
        <w:rPr>
          <w:rFonts w:ascii="Verdana" w:hAnsi="Verdana"/>
          <w:color w:val="auto"/>
          <w:sz w:val="36"/>
          <w:szCs w:val="36"/>
        </w:rPr>
        <w:t xml:space="preserve">, </w:t>
      </w:r>
      <w:r w:rsidR="005D266A" w:rsidRPr="40161029">
        <w:rPr>
          <w:rFonts w:ascii="Verdana" w:hAnsi="Verdana"/>
          <w:color w:val="auto"/>
          <w:sz w:val="36"/>
          <w:szCs w:val="36"/>
        </w:rPr>
        <w:t>Definitions</w:t>
      </w:r>
      <w:r w:rsidR="00CC4BFE" w:rsidRPr="40161029">
        <w:rPr>
          <w:rFonts w:ascii="Verdana" w:hAnsi="Verdana"/>
          <w:color w:val="auto"/>
          <w:sz w:val="36"/>
          <w:szCs w:val="36"/>
        </w:rPr>
        <w:t xml:space="preserve"> and Terms</w:t>
      </w:r>
      <w:r w:rsidR="002F06C9" w:rsidRPr="40161029">
        <w:rPr>
          <w:rFonts w:ascii="Verdana" w:hAnsi="Verdana"/>
          <w:color w:val="auto"/>
          <w:sz w:val="36"/>
          <w:szCs w:val="36"/>
        </w:rPr>
        <w:t xml:space="preserve"> </w:t>
      </w:r>
      <w:r w:rsidR="00FC3EFB" w:rsidRPr="40161029">
        <w:rPr>
          <w:rFonts w:ascii="Verdana" w:hAnsi="Verdana"/>
          <w:color w:val="auto"/>
          <w:sz w:val="36"/>
          <w:szCs w:val="36"/>
        </w:rPr>
        <w:t>- T</w:t>
      </w:r>
    </w:p>
    <w:p w14:paraId="149B7D7F" w14:textId="77777777" w:rsidR="00F6152D" w:rsidRDefault="00F6152D" w:rsidP="00952597">
      <w:pPr>
        <w:spacing w:before="120" w:after="120"/>
        <w:jc w:val="both"/>
        <w:rPr>
          <w:rFonts w:ascii="Verdana" w:hAnsi="Verdana"/>
          <w:b/>
          <w:color w:val="000000"/>
        </w:rPr>
      </w:pPr>
    </w:p>
    <w:p w14:paraId="651F8FD8" w14:textId="5477D7B8" w:rsidR="00930A3C" w:rsidRPr="00DC61A1" w:rsidRDefault="00930A3C" w:rsidP="005A0AB8">
      <w:pPr>
        <w:spacing w:before="120" w:after="120"/>
        <w:jc w:val="both"/>
        <w:rPr>
          <w:rFonts w:ascii="Verdana" w:hAnsi="Verdana"/>
          <w:b/>
          <w:color w:val="000000"/>
        </w:rPr>
      </w:pPr>
      <w:r w:rsidRPr="00DC61A1">
        <w:rPr>
          <w:rFonts w:ascii="Verdana" w:hAnsi="Verdana"/>
          <w:b/>
          <w:color w:val="000000"/>
        </w:rPr>
        <w:t xml:space="preserve">Each Alpha section </w:t>
      </w:r>
      <w:r w:rsidR="00C9521A" w:rsidRPr="00DC61A1">
        <w:rPr>
          <w:rFonts w:ascii="Verdana" w:hAnsi="Verdana"/>
          <w:b/>
          <w:color w:val="000000"/>
        </w:rPr>
        <w:t>will have</w:t>
      </w:r>
      <w:r w:rsidRPr="00DC61A1">
        <w:rPr>
          <w:rFonts w:ascii="Verdana" w:hAnsi="Verdana"/>
          <w:b/>
          <w:color w:val="000000"/>
        </w:rPr>
        <w:t xml:space="preserve"> two</w:t>
      </w:r>
      <w:r w:rsidR="00E347BE" w:rsidRPr="00DC61A1">
        <w:rPr>
          <w:rFonts w:ascii="Verdana" w:hAnsi="Verdana"/>
          <w:b/>
          <w:color w:val="000000"/>
        </w:rPr>
        <w:t xml:space="preserve"> </w:t>
      </w:r>
      <w:r w:rsidR="00AB2929" w:rsidRPr="00DC61A1">
        <w:rPr>
          <w:rFonts w:ascii="Verdana" w:hAnsi="Verdana"/>
          <w:b/>
          <w:color w:val="000000"/>
        </w:rPr>
        <w:t xml:space="preserve">separate tables:  </w:t>
      </w:r>
    </w:p>
    <w:p w14:paraId="2816E4AE" w14:textId="68CC146A" w:rsidR="00930A3C" w:rsidRPr="005A0AB8" w:rsidRDefault="00930A3C" w:rsidP="005A0AB8">
      <w:pPr>
        <w:pStyle w:val="ListParagraph"/>
        <w:numPr>
          <w:ilvl w:val="0"/>
          <w:numId w:val="146"/>
        </w:numPr>
        <w:spacing w:before="120" w:after="120"/>
        <w:ind w:left="432"/>
        <w:contextualSpacing w:val="0"/>
        <w:jc w:val="both"/>
        <w:rPr>
          <w:rFonts w:ascii="Verdana" w:hAnsi="Verdana"/>
          <w:bCs/>
          <w:color w:val="000000"/>
          <w:sz w:val="24"/>
          <w:szCs w:val="24"/>
        </w:rPr>
      </w:pPr>
      <w:hyperlink w:anchor="Abbrev_term_def" w:history="1">
        <w:r w:rsidRPr="005A0AB8">
          <w:rPr>
            <w:rStyle w:val="Hyperlink"/>
            <w:rFonts w:ascii="Verdana" w:hAnsi="Verdana"/>
            <w:bCs/>
            <w:sz w:val="24"/>
            <w:szCs w:val="24"/>
          </w:rPr>
          <w:t>Abbreviation, Term and Definition</w:t>
        </w:r>
      </w:hyperlink>
    </w:p>
    <w:p w14:paraId="4093D2D2" w14:textId="78380EBB" w:rsidR="00930A3C" w:rsidRPr="005A0AB8" w:rsidRDefault="00930A3C" w:rsidP="005A0AB8">
      <w:pPr>
        <w:pStyle w:val="ListParagraph"/>
        <w:numPr>
          <w:ilvl w:val="0"/>
          <w:numId w:val="146"/>
        </w:numPr>
        <w:spacing w:before="120" w:after="120"/>
        <w:ind w:left="432"/>
        <w:contextualSpacing w:val="0"/>
        <w:jc w:val="both"/>
        <w:rPr>
          <w:rFonts w:ascii="Verdana" w:hAnsi="Verdana"/>
          <w:bCs/>
          <w:color w:val="000000"/>
          <w:sz w:val="24"/>
          <w:szCs w:val="24"/>
        </w:rPr>
      </w:pPr>
      <w:hyperlink w:anchor="term_def" w:history="1">
        <w:r w:rsidRPr="005A0AB8">
          <w:rPr>
            <w:rStyle w:val="Hyperlink"/>
            <w:rFonts w:ascii="Verdana" w:hAnsi="Verdana"/>
            <w:bCs/>
            <w:sz w:val="24"/>
            <w:szCs w:val="24"/>
          </w:rPr>
          <w:t>Term and Definition</w:t>
        </w:r>
      </w:hyperlink>
      <w:r w:rsidRPr="005A0AB8">
        <w:rPr>
          <w:rFonts w:ascii="Verdana" w:hAnsi="Verdana"/>
          <w:bCs/>
          <w:color w:val="000000"/>
          <w:sz w:val="24"/>
          <w:szCs w:val="24"/>
        </w:rPr>
        <w:t xml:space="preserve"> </w:t>
      </w:r>
    </w:p>
    <w:p w14:paraId="7A90F651" w14:textId="264679D6" w:rsidR="00930A3C" w:rsidRPr="00DC61A1" w:rsidRDefault="00930A3C" w:rsidP="005A0AB8">
      <w:pPr>
        <w:spacing w:before="120" w:after="120"/>
        <w:jc w:val="both"/>
        <w:rPr>
          <w:rFonts w:ascii="Verdana" w:hAnsi="Verdana"/>
          <w:b/>
          <w:color w:val="000000"/>
        </w:rPr>
      </w:pPr>
    </w:p>
    <w:p w14:paraId="78BCDCAF" w14:textId="515E8543" w:rsidR="00930A3C" w:rsidRPr="00DC61A1" w:rsidRDefault="00930A3C" w:rsidP="005A0AB8">
      <w:pPr>
        <w:spacing w:before="120" w:after="120"/>
        <w:jc w:val="both"/>
        <w:rPr>
          <w:rFonts w:ascii="Verdana" w:hAnsi="Verdana"/>
          <w:b/>
          <w:color w:val="000000"/>
        </w:rPr>
      </w:pPr>
      <w:r w:rsidRPr="00DC61A1">
        <w:rPr>
          <w:rFonts w:ascii="Verdana" w:hAnsi="Verdana"/>
          <w:b/>
          <w:color w:val="000000"/>
        </w:rPr>
        <w:t xml:space="preserve">Note: </w:t>
      </w:r>
      <w:r w:rsidRPr="00DC61A1">
        <w:rPr>
          <w:rFonts w:ascii="Verdana" w:hAnsi="Verdana"/>
          <w:bCs/>
          <w:color w:val="000000"/>
        </w:rPr>
        <w:t xml:space="preserve">Terms </w:t>
      </w:r>
      <w:r w:rsidR="00AB2929" w:rsidRPr="00DC61A1">
        <w:rPr>
          <w:rFonts w:ascii="Verdana" w:hAnsi="Verdana"/>
          <w:bCs/>
          <w:color w:val="000000"/>
        </w:rPr>
        <w:t>are</w:t>
      </w:r>
      <w:r w:rsidRPr="00DC61A1">
        <w:rPr>
          <w:rFonts w:ascii="Verdana" w:hAnsi="Verdana"/>
          <w:bCs/>
          <w:color w:val="000000"/>
        </w:rPr>
        <w:t xml:space="preserve"> not </w:t>
      </w:r>
      <w:r w:rsidR="00FD3703">
        <w:rPr>
          <w:rFonts w:ascii="Verdana" w:hAnsi="Verdana"/>
          <w:bCs/>
          <w:color w:val="000000"/>
        </w:rPr>
        <w:t xml:space="preserve">to </w:t>
      </w:r>
      <w:r w:rsidRPr="00DC61A1">
        <w:rPr>
          <w:rFonts w:ascii="Verdana" w:hAnsi="Verdana"/>
          <w:bCs/>
          <w:color w:val="000000"/>
        </w:rPr>
        <w:t>be duplicated in</w:t>
      </w:r>
      <w:r w:rsidR="00AB2929" w:rsidRPr="00DC61A1">
        <w:rPr>
          <w:rFonts w:ascii="Verdana" w:hAnsi="Verdana"/>
          <w:bCs/>
          <w:color w:val="000000"/>
        </w:rPr>
        <w:t xml:space="preserve"> </w:t>
      </w:r>
      <w:r w:rsidRPr="00DC61A1">
        <w:rPr>
          <w:rFonts w:ascii="Verdana" w:hAnsi="Verdana"/>
          <w:bCs/>
          <w:color w:val="000000"/>
        </w:rPr>
        <w:t>both list</w:t>
      </w:r>
      <w:r w:rsidRPr="00097CF8">
        <w:rPr>
          <w:rFonts w:ascii="Verdana" w:hAnsi="Verdana"/>
          <w:bCs/>
          <w:color w:val="000000"/>
        </w:rPr>
        <w:t>s</w:t>
      </w:r>
      <w:r w:rsidRPr="005A0AB8">
        <w:rPr>
          <w:rFonts w:ascii="Verdana" w:hAnsi="Verdana"/>
          <w:bCs/>
          <w:color w:val="000000"/>
        </w:rPr>
        <w:t>.</w:t>
      </w:r>
    </w:p>
    <w:p w14:paraId="13BD45E6" w14:textId="77777777" w:rsidR="00930A3C" w:rsidRPr="009E5748" w:rsidRDefault="00930A3C" w:rsidP="005A0AB8">
      <w:pPr>
        <w:spacing w:before="120" w:after="120"/>
        <w:jc w:val="both"/>
        <w:rPr>
          <w:rFonts w:ascii="Verdana" w:hAnsi="Verdana"/>
          <w:b/>
          <w:color w:val="000000"/>
          <w14:shadow w14:blurRad="50800" w14:dist="38100" w14:dir="2700000" w14:sx="100000" w14:sy="100000" w14:kx="0" w14:ky="0" w14:algn="tl">
            <w14:srgbClr w14:val="000000">
              <w14:alpha w14:val="60000"/>
            </w14:srgbClr>
          </w14:shadow>
        </w:rPr>
      </w:pPr>
    </w:p>
    <w:p w14:paraId="5C6A83F7" w14:textId="3D53C2A2" w:rsidR="0090482D" w:rsidRDefault="00614858" w:rsidP="005A0AB8">
      <w:pPr>
        <w:spacing w:before="120" w:after="120"/>
        <w:jc w:val="both"/>
        <w:rPr>
          <w:rFonts w:ascii="Verdana" w:hAnsi="Verdana"/>
          <w:b/>
        </w:rPr>
      </w:pPr>
      <w:r>
        <w:rPr>
          <w:rFonts w:ascii="Verdana" w:hAnsi="Verdana"/>
          <w:b/>
        </w:rPr>
        <w:t xml:space="preserve">Quick Search Results: </w:t>
      </w:r>
      <w:r w:rsidR="00B66786" w:rsidRPr="004E00B6">
        <w:rPr>
          <w:rFonts w:ascii="Verdana" w:hAnsi="Verdana"/>
          <w:b/>
        </w:rPr>
        <w:t>Depress Ctrl</w:t>
      </w:r>
      <w:r w:rsidR="00A44F81">
        <w:rPr>
          <w:rFonts w:ascii="Verdana" w:hAnsi="Verdana"/>
          <w:b/>
        </w:rPr>
        <w:t xml:space="preserve"> </w:t>
      </w:r>
      <w:r w:rsidR="00B66786" w:rsidRPr="004E00B6">
        <w:rPr>
          <w:rFonts w:ascii="Verdana" w:hAnsi="Verdana"/>
          <w:b/>
        </w:rPr>
        <w:t>+</w:t>
      </w:r>
      <w:r w:rsidR="00A44F81">
        <w:rPr>
          <w:rFonts w:ascii="Verdana" w:hAnsi="Verdana"/>
          <w:b/>
        </w:rPr>
        <w:t xml:space="preserve"> </w:t>
      </w:r>
      <w:r w:rsidR="00B66786" w:rsidRPr="004E00B6">
        <w:rPr>
          <w:rFonts w:ascii="Verdana" w:hAnsi="Verdana"/>
          <w:b/>
        </w:rPr>
        <w:t xml:space="preserve">F </w:t>
      </w:r>
      <w:r w:rsidR="00B66786" w:rsidRPr="004E00B6">
        <w:rPr>
          <w:b/>
        </w:rPr>
        <w:t>→</w:t>
      </w:r>
      <w:r w:rsidR="00B66786" w:rsidRPr="004E00B6">
        <w:rPr>
          <w:rFonts w:ascii="Verdana" w:hAnsi="Verdana"/>
          <w:b/>
        </w:rPr>
        <w:t xml:space="preserve"> Type in Keyword </w:t>
      </w:r>
      <w:r w:rsidR="00B66786" w:rsidRPr="004E00B6">
        <w:rPr>
          <w:b/>
        </w:rPr>
        <w:t>→</w:t>
      </w:r>
      <w:r w:rsidR="00B66786" w:rsidRPr="004E00B6">
        <w:rPr>
          <w:rFonts w:ascii="Verdana" w:hAnsi="Verdana"/>
          <w:b/>
        </w:rPr>
        <w:t xml:space="preserve"> Click Find Next</w:t>
      </w:r>
    </w:p>
    <w:tbl>
      <w:tblPr>
        <w:tblW w:w="4976"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3"/>
        <w:gridCol w:w="2676"/>
        <w:gridCol w:w="1838"/>
        <w:gridCol w:w="6431"/>
      </w:tblGrid>
      <w:tr w:rsidR="00C47656" w:rsidRPr="00C47656" w14:paraId="513F5D78" w14:textId="77777777" w:rsidTr="006D6B60">
        <w:tc>
          <w:tcPr>
            <w:tcW w:w="748" w:type="pct"/>
            <w:shd w:val="clear" w:color="auto" w:fill="D9D9D9" w:themeFill="background1" w:themeFillShade="D9"/>
          </w:tcPr>
          <w:p w14:paraId="2C512122" w14:textId="6CFE6934" w:rsidR="00901F9D" w:rsidRPr="00C47656" w:rsidRDefault="00901F9D" w:rsidP="00952597">
            <w:pPr>
              <w:spacing w:before="120" w:after="120"/>
              <w:jc w:val="center"/>
              <w:rPr>
                <w:rFonts w:ascii="Verdana" w:hAnsi="Verdana"/>
                <w:b/>
              </w:rPr>
            </w:pPr>
            <w:bookmarkStart w:id="3" w:name="_A_1"/>
            <w:bookmarkStart w:id="4" w:name="Abbrev_term_def"/>
            <w:bookmarkEnd w:id="3"/>
            <w:r w:rsidRPr="00C47656">
              <w:rPr>
                <w:rFonts w:ascii="Verdana" w:hAnsi="Verdana"/>
                <w:b/>
              </w:rPr>
              <w:t>Abbreviation</w:t>
            </w:r>
            <w:bookmarkEnd w:id="4"/>
          </w:p>
        </w:tc>
        <w:tc>
          <w:tcPr>
            <w:tcW w:w="974" w:type="pct"/>
            <w:shd w:val="clear" w:color="auto" w:fill="D9D9D9" w:themeFill="background1" w:themeFillShade="D9"/>
          </w:tcPr>
          <w:p w14:paraId="3F70EAFF" w14:textId="23FCD500" w:rsidR="00901F9D" w:rsidRPr="00C47656" w:rsidRDefault="00901F9D" w:rsidP="00952597">
            <w:pPr>
              <w:spacing w:before="120" w:after="120"/>
              <w:jc w:val="center"/>
              <w:rPr>
                <w:rFonts w:ascii="Verdana" w:hAnsi="Verdana"/>
                <w:b/>
              </w:rPr>
            </w:pPr>
            <w:r w:rsidRPr="00C47656">
              <w:rPr>
                <w:rFonts w:ascii="Verdana" w:hAnsi="Verdana"/>
                <w:b/>
              </w:rPr>
              <w:t>Term</w:t>
            </w:r>
          </w:p>
        </w:tc>
        <w:tc>
          <w:tcPr>
            <w:tcW w:w="3278" w:type="pct"/>
            <w:gridSpan w:val="2"/>
            <w:shd w:val="clear" w:color="auto" w:fill="D9D9D9" w:themeFill="background1" w:themeFillShade="D9"/>
          </w:tcPr>
          <w:p w14:paraId="69F403B6" w14:textId="358435AC" w:rsidR="00901F9D" w:rsidRPr="00C47656" w:rsidRDefault="00901F9D" w:rsidP="00952597">
            <w:pPr>
              <w:spacing w:before="120" w:after="120"/>
              <w:jc w:val="center"/>
              <w:rPr>
                <w:rFonts w:ascii="Verdana" w:hAnsi="Verdana"/>
                <w:b/>
              </w:rPr>
            </w:pPr>
            <w:r w:rsidRPr="00C47656">
              <w:rPr>
                <w:rFonts w:ascii="Verdana" w:hAnsi="Verdana"/>
                <w:b/>
              </w:rPr>
              <w:t>Definition</w:t>
            </w:r>
          </w:p>
        </w:tc>
      </w:tr>
      <w:tr w:rsidR="00C47656" w:rsidRPr="00C47656" w14:paraId="29F3FEB2" w14:textId="77777777" w:rsidTr="006D6B60">
        <w:tc>
          <w:tcPr>
            <w:tcW w:w="748" w:type="pct"/>
          </w:tcPr>
          <w:p w14:paraId="0891158B" w14:textId="77777777" w:rsidR="004A409E" w:rsidRPr="00C47656" w:rsidRDefault="004A409E" w:rsidP="00952597">
            <w:pPr>
              <w:spacing w:before="120" w:after="120"/>
              <w:jc w:val="center"/>
              <w:rPr>
                <w:rFonts w:ascii="Verdana" w:hAnsi="Verdana"/>
                <w:b/>
              </w:rPr>
            </w:pPr>
            <w:r w:rsidRPr="00C47656">
              <w:rPr>
                <w:rFonts w:ascii="Verdana" w:hAnsi="Verdana"/>
                <w:b/>
              </w:rPr>
              <w:t>T/A</w:t>
            </w:r>
          </w:p>
        </w:tc>
        <w:tc>
          <w:tcPr>
            <w:tcW w:w="974" w:type="pct"/>
          </w:tcPr>
          <w:p w14:paraId="40F42261" w14:textId="77777777" w:rsidR="004A409E" w:rsidRPr="00C47656" w:rsidRDefault="004A409E" w:rsidP="00952597">
            <w:pPr>
              <w:spacing w:before="120" w:after="120"/>
              <w:rPr>
                <w:rFonts w:ascii="Verdana" w:hAnsi="Verdana"/>
                <w:bCs/>
              </w:rPr>
            </w:pPr>
            <w:r w:rsidRPr="00C47656">
              <w:rPr>
                <w:rFonts w:ascii="Verdana" w:hAnsi="Verdana"/>
                <w:bCs/>
              </w:rPr>
              <w:t>Therapeutic Alternate</w:t>
            </w:r>
          </w:p>
        </w:tc>
        <w:tc>
          <w:tcPr>
            <w:tcW w:w="3278" w:type="pct"/>
            <w:gridSpan w:val="2"/>
          </w:tcPr>
          <w:p w14:paraId="1E5B2700" w14:textId="20372F55" w:rsidR="004A409E" w:rsidRPr="00C47656" w:rsidRDefault="004A409E" w:rsidP="00952597">
            <w:pPr>
              <w:spacing w:before="120" w:after="120"/>
              <w:rPr>
                <w:rFonts w:ascii="Verdana" w:hAnsi="Verdana"/>
              </w:rPr>
            </w:pPr>
            <w:r w:rsidRPr="00C47656">
              <w:rPr>
                <w:rFonts w:ascii="Verdana" w:hAnsi="Verdana"/>
              </w:rPr>
              <w:t>A medication in the same therapeutic category that is substituted for another.</w:t>
            </w:r>
          </w:p>
        </w:tc>
      </w:tr>
      <w:tr w:rsidR="00C47656" w:rsidRPr="00C47656" w14:paraId="1838A577" w14:textId="77777777" w:rsidTr="006D6B60">
        <w:tc>
          <w:tcPr>
            <w:tcW w:w="748" w:type="pct"/>
          </w:tcPr>
          <w:p w14:paraId="107EC863" w14:textId="77777777" w:rsidR="004A409E" w:rsidRPr="00C47656" w:rsidRDefault="004A409E" w:rsidP="00952597">
            <w:pPr>
              <w:spacing w:before="120" w:after="120"/>
              <w:jc w:val="center"/>
              <w:rPr>
                <w:rFonts w:ascii="Verdana" w:hAnsi="Verdana"/>
                <w:b/>
              </w:rPr>
            </w:pPr>
            <w:r w:rsidRPr="00C47656">
              <w:rPr>
                <w:rFonts w:ascii="Verdana" w:hAnsi="Verdana"/>
                <w:b/>
              </w:rPr>
              <w:t>T/E</w:t>
            </w:r>
          </w:p>
        </w:tc>
        <w:tc>
          <w:tcPr>
            <w:tcW w:w="974" w:type="pct"/>
          </w:tcPr>
          <w:p w14:paraId="6ADA29A5" w14:textId="77777777" w:rsidR="004A409E" w:rsidRPr="00C47656" w:rsidRDefault="004A409E" w:rsidP="00952597">
            <w:pPr>
              <w:spacing w:before="120" w:after="120"/>
              <w:rPr>
                <w:rFonts w:ascii="Verdana" w:hAnsi="Verdana"/>
                <w:bCs/>
              </w:rPr>
            </w:pPr>
            <w:r w:rsidRPr="00C47656">
              <w:rPr>
                <w:rFonts w:ascii="Verdana" w:hAnsi="Verdana"/>
                <w:bCs/>
              </w:rPr>
              <w:t>True Exceptions</w:t>
            </w:r>
          </w:p>
        </w:tc>
        <w:tc>
          <w:tcPr>
            <w:tcW w:w="3278" w:type="pct"/>
            <w:gridSpan w:val="2"/>
          </w:tcPr>
          <w:p w14:paraId="1D59C71F" w14:textId="7D15831C" w:rsidR="004A409E" w:rsidRPr="00C47656" w:rsidRDefault="004A409E" w:rsidP="00952597">
            <w:pPr>
              <w:spacing w:before="120" w:after="120"/>
              <w:rPr>
                <w:rFonts w:ascii="Verdana" w:hAnsi="Verdana"/>
              </w:rPr>
            </w:pPr>
            <w:r w:rsidRPr="00C47656">
              <w:rPr>
                <w:rFonts w:ascii="Verdana" w:hAnsi="Verdana"/>
              </w:rPr>
              <w:t>Department responsible for working orders with rejected prescriptions in AMOS pharmacies (</w:t>
            </w:r>
            <w:r w:rsidRPr="00C47656">
              <w:rPr>
                <w:rFonts w:ascii="Verdana" w:hAnsi="Verdana"/>
                <w:b/>
              </w:rPr>
              <w:t>Examples:</w:t>
            </w:r>
            <w:r w:rsidR="00097CF8" w:rsidRPr="00C47656">
              <w:rPr>
                <w:rFonts w:ascii="Verdana" w:hAnsi="Verdana"/>
                <w:b/>
              </w:rPr>
              <w:t xml:space="preserve"> </w:t>
            </w:r>
            <w:r w:rsidRPr="00C47656">
              <w:rPr>
                <w:rFonts w:ascii="Verdana" w:hAnsi="Verdana"/>
              </w:rPr>
              <w:t>Refill too soon, plan limits exceeded, invalid package size, and Rx processing error).</w:t>
            </w:r>
          </w:p>
        </w:tc>
      </w:tr>
      <w:tr w:rsidR="00C47656" w:rsidRPr="00C47656" w14:paraId="2AB339B3" w14:textId="77777777" w:rsidTr="006D6B60">
        <w:tc>
          <w:tcPr>
            <w:tcW w:w="748" w:type="pct"/>
          </w:tcPr>
          <w:p w14:paraId="5030785B" w14:textId="77777777" w:rsidR="004A409E" w:rsidRPr="00C47656" w:rsidRDefault="004A409E" w:rsidP="00952597">
            <w:pPr>
              <w:spacing w:before="120" w:after="120"/>
              <w:jc w:val="center"/>
              <w:rPr>
                <w:rFonts w:ascii="Verdana" w:hAnsi="Verdana"/>
                <w:b/>
              </w:rPr>
            </w:pPr>
            <w:r w:rsidRPr="00C47656">
              <w:rPr>
                <w:rFonts w:ascii="Verdana" w:hAnsi="Verdana"/>
                <w:b/>
              </w:rPr>
              <w:t>Tab</w:t>
            </w:r>
          </w:p>
        </w:tc>
        <w:tc>
          <w:tcPr>
            <w:tcW w:w="974" w:type="pct"/>
          </w:tcPr>
          <w:p w14:paraId="6E8628C0" w14:textId="77777777" w:rsidR="004A409E" w:rsidRPr="00C47656" w:rsidRDefault="004A409E" w:rsidP="00952597">
            <w:pPr>
              <w:spacing w:before="120" w:after="120"/>
              <w:rPr>
                <w:rFonts w:ascii="Verdana" w:hAnsi="Verdana"/>
                <w:bCs/>
              </w:rPr>
            </w:pPr>
            <w:r w:rsidRPr="00C47656">
              <w:rPr>
                <w:rFonts w:ascii="Verdana" w:hAnsi="Verdana"/>
                <w:bCs/>
              </w:rPr>
              <w:t>Tablet</w:t>
            </w:r>
          </w:p>
        </w:tc>
        <w:tc>
          <w:tcPr>
            <w:tcW w:w="3278" w:type="pct"/>
            <w:gridSpan w:val="2"/>
          </w:tcPr>
          <w:p w14:paraId="5706608F" w14:textId="57EA3E98" w:rsidR="004A409E" w:rsidRPr="00C47656" w:rsidRDefault="004A409E" w:rsidP="00952597">
            <w:pPr>
              <w:spacing w:before="120" w:after="120"/>
              <w:rPr>
                <w:rFonts w:ascii="Verdana" w:hAnsi="Verdana"/>
              </w:rPr>
            </w:pPr>
            <w:r w:rsidRPr="00C47656">
              <w:rPr>
                <w:rFonts w:ascii="Verdana" w:hAnsi="Verdana"/>
              </w:rPr>
              <w:t>A dosage form of medication.</w:t>
            </w:r>
          </w:p>
        </w:tc>
      </w:tr>
      <w:tr w:rsidR="00C47656" w:rsidRPr="00C47656" w14:paraId="633499CD" w14:textId="77777777" w:rsidTr="006D6B60">
        <w:tc>
          <w:tcPr>
            <w:tcW w:w="748" w:type="pct"/>
          </w:tcPr>
          <w:p w14:paraId="38B94326" w14:textId="77777777" w:rsidR="004A409E" w:rsidRPr="00C47656" w:rsidRDefault="004A409E" w:rsidP="00952597">
            <w:pPr>
              <w:spacing w:before="120" w:after="120"/>
              <w:jc w:val="center"/>
              <w:rPr>
                <w:rFonts w:ascii="Verdana" w:hAnsi="Verdana"/>
                <w:b/>
              </w:rPr>
            </w:pPr>
            <w:r w:rsidRPr="00C47656">
              <w:rPr>
                <w:rFonts w:ascii="Verdana" w:hAnsi="Verdana"/>
                <w:b/>
              </w:rPr>
              <w:t>TAD</w:t>
            </w:r>
          </w:p>
        </w:tc>
        <w:tc>
          <w:tcPr>
            <w:tcW w:w="974" w:type="pct"/>
          </w:tcPr>
          <w:p w14:paraId="3651C858" w14:textId="77777777" w:rsidR="004A409E" w:rsidRPr="00C47656" w:rsidRDefault="004A409E" w:rsidP="00952597">
            <w:pPr>
              <w:spacing w:before="120" w:after="120"/>
              <w:rPr>
                <w:rFonts w:ascii="Verdana" w:hAnsi="Verdana"/>
                <w:bCs/>
              </w:rPr>
            </w:pPr>
            <w:r w:rsidRPr="00C47656">
              <w:rPr>
                <w:rFonts w:ascii="Verdana" w:hAnsi="Verdana"/>
                <w:bCs/>
              </w:rPr>
              <w:t>Take as Directed</w:t>
            </w:r>
          </w:p>
        </w:tc>
        <w:tc>
          <w:tcPr>
            <w:tcW w:w="3278" w:type="pct"/>
            <w:gridSpan w:val="2"/>
          </w:tcPr>
          <w:p w14:paraId="100321CE" w14:textId="50703A2A" w:rsidR="004A409E" w:rsidRPr="00C47656" w:rsidRDefault="004A409E" w:rsidP="00952597">
            <w:pPr>
              <w:spacing w:before="120" w:after="120"/>
              <w:rPr>
                <w:rFonts w:ascii="Verdana" w:hAnsi="Verdana"/>
              </w:rPr>
            </w:pPr>
            <w:r w:rsidRPr="00C47656">
              <w:rPr>
                <w:rFonts w:ascii="Verdana" w:hAnsi="Verdana"/>
              </w:rPr>
              <w:t>Usually seen as directions on a prescription.</w:t>
            </w:r>
          </w:p>
        </w:tc>
      </w:tr>
      <w:tr w:rsidR="00C47656" w:rsidRPr="00C47656" w14:paraId="0CD662DE" w14:textId="77777777" w:rsidTr="006D6B60">
        <w:tc>
          <w:tcPr>
            <w:tcW w:w="748" w:type="pct"/>
          </w:tcPr>
          <w:p w14:paraId="73FD2FA0" w14:textId="6239A3F8" w:rsidR="004A409E" w:rsidRPr="00C47656" w:rsidRDefault="004A409E" w:rsidP="00952597">
            <w:pPr>
              <w:spacing w:before="120" w:after="120"/>
              <w:jc w:val="center"/>
              <w:rPr>
                <w:rFonts w:ascii="Verdana" w:hAnsi="Verdana"/>
                <w:b/>
              </w:rPr>
            </w:pPr>
            <w:r w:rsidRPr="00C47656">
              <w:rPr>
                <w:rFonts w:ascii="Verdana" w:hAnsi="Verdana"/>
                <w:b/>
              </w:rPr>
              <w:t>TAT</w:t>
            </w:r>
          </w:p>
        </w:tc>
        <w:tc>
          <w:tcPr>
            <w:tcW w:w="974" w:type="pct"/>
          </w:tcPr>
          <w:p w14:paraId="53190B61" w14:textId="77777777" w:rsidR="004A409E" w:rsidRPr="00C47656" w:rsidRDefault="004A409E" w:rsidP="00952597">
            <w:pPr>
              <w:spacing w:before="120" w:after="120"/>
              <w:rPr>
                <w:rFonts w:ascii="Verdana" w:hAnsi="Verdana"/>
                <w:bCs/>
              </w:rPr>
            </w:pPr>
            <w:r w:rsidRPr="00C47656">
              <w:rPr>
                <w:rFonts w:ascii="Verdana" w:hAnsi="Verdana"/>
                <w:bCs/>
              </w:rPr>
              <w:t>Turn Around Time</w:t>
            </w:r>
          </w:p>
        </w:tc>
        <w:tc>
          <w:tcPr>
            <w:tcW w:w="3278" w:type="pct"/>
            <w:gridSpan w:val="2"/>
          </w:tcPr>
          <w:p w14:paraId="75DF268A" w14:textId="7C744987" w:rsidR="004A409E" w:rsidRPr="00C47656" w:rsidRDefault="004A409E" w:rsidP="00952597">
            <w:pPr>
              <w:spacing w:before="120" w:after="120"/>
              <w:rPr>
                <w:rFonts w:ascii="Verdana" w:hAnsi="Verdana"/>
              </w:rPr>
            </w:pPr>
            <w:r w:rsidRPr="00C47656">
              <w:rPr>
                <w:rFonts w:ascii="Verdana" w:hAnsi="Verdana"/>
              </w:rPr>
              <w:t>Denotes the amount time from when a</w:t>
            </w:r>
            <w:r w:rsidR="005C29FA" w:rsidRPr="00C47656">
              <w:rPr>
                <w:rFonts w:ascii="Verdana" w:hAnsi="Verdana"/>
              </w:rPr>
              <w:t xml:space="preserve">n </w:t>
            </w:r>
            <w:r w:rsidRPr="00C47656">
              <w:rPr>
                <w:rFonts w:ascii="Verdana" w:hAnsi="Verdana"/>
              </w:rPr>
              <w:t xml:space="preserve">order </w:t>
            </w:r>
            <w:r w:rsidR="005C29FA" w:rsidRPr="00C47656">
              <w:rPr>
                <w:rFonts w:ascii="Verdana" w:hAnsi="Verdana"/>
              </w:rPr>
              <w:t xml:space="preserve">or request </w:t>
            </w:r>
            <w:r w:rsidRPr="00C47656">
              <w:rPr>
                <w:rFonts w:ascii="Verdana" w:hAnsi="Verdana"/>
              </w:rPr>
              <w:t>is received at mail until it is shipped to the member.</w:t>
            </w:r>
          </w:p>
        </w:tc>
      </w:tr>
      <w:tr w:rsidR="00C47656" w:rsidRPr="00C47656" w14:paraId="541C8FB3" w14:textId="77777777" w:rsidTr="006D6B60">
        <w:tc>
          <w:tcPr>
            <w:tcW w:w="748" w:type="pct"/>
          </w:tcPr>
          <w:p w14:paraId="179B83E4" w14:textId="478A0FA5" w:rsidR="004A409E" w:rsidRPr="00C47656" w:rsidRDefault="00A95AD8" w:rsidP="00952597">
            <w:pPr>
              <w:spacing w:before="120" w:after="120"/>
              <w:jc w:val="center"/>
              <w:rPr>
                <w:rFonts w:ascii="Verdana" w:hAnsi="Verdana"/>
                <w:b/>
              </w:rPr>
            </w:pPr>
            <w:r w:rsidRPr="00C47656">
              <w:rPr>
                <w:rFonts w:ascii="Verdana" w:hAnsi="Verdana"/>
                <w:b/>
              </w:rPr>
              <w:t xml:space="preserve"> </w:t>
            </w:r>
            <w:r w:rsidR="004A409E" w:rsidRPr="00C47656">
              <w:rPr>
                <w:rFonts w:ascii="Verdana" w:hAnsi="Verdana"/>
                <w:b/>
              </w:rPr>
              <w:t xml:space="preserve">TBT </w:t>
            </w:r>
          </w:p>
        </w:tc>
        <w:tc>
          <w:tcPr>
            <w:tcW w:w="974" w:type="pct"/>
          </w:tcPr>
          <w:p w14:paraId="441F7FDE" w14:textId="77777777" w:rsidR="004A409E" w:rsidRPr="00C47656" w:rsidRDefault="004A409E" w:rsidP="00952597">
            <w:pPr>
              <w:spacing w:before="120" w:after="120"/>
              <w:rPr>
                <w:rFonts w:ascii="Verdana" w:hAnsi="Verdana"/>
                <w:bCs/>
              </w:rPr>
            </w:pPr>
            <w:bookmarkStart w:id="5" w:name="OLE_LINK35"/>
            <w:proofErr w:type="spellStart"/>
            <w:r w:rsidRPr="00C47656">
              <w:rPr>
                <w:rFonts w:ascii="Verdana" w:hAnsi="Verdana"/>
                <w:bCs/>
              </w:rPr>
              <w:t>TrOOP</w:t>
            </w:r>
            <w:proofErr w:type="spellEnd"/>
            <w:r w:rsidRPr="00C47656">
              <w:rPr>
                <w:rFonts w:ascii="Verdana" w:hAnsi="Verdana"/>
                <w:bCs/>
              </w:rPr>
              <w:t xml:space="preserve"> Balance Transfer </w:t>
            </w:r>
            <w:bookmarkEnd w:id="5"/>
          </w:p>
        </w:tc>
        <w:tc>
          <w:tcPr>
            <w:tcW w:w="3278" w:type="pct"/>
            <w:gridSpan w:val="2"/>
          </w:tcPr>
          <w:p w14:paraId="6ACDE9FF" w14:textId="2866E786" w:rsidR="00ED2382" w:rsidRPr="00C47656" w:rsidRDefault="00ED2382" w:rsidP="00952597">
            <w:pPr>
              <w:spacing w:before="120" w:after="120"/>
              <w:rPr>
                <w:sz w:val="27"/>
                <w:szCs w:val="27"/>
              </w:rPr>
            </w:pPr>
            <w:r w:rsidRPr="00C47656">
              <w:rPr>
                <w:rFonts w:ascii="Verdana" w:hAnsi="Verdana"/>
              </w:rPr>
              <w:t xml:space="preserve">All paid claims for covered prescriptions will affect the MED D beneficiary’s </w:t>
            </w:r>
            <w:proofErr w:type="spellStart"/>
            <w:r w:rsidRPr="00C47656">
              <w:rPr>
                <w:rFonts w:ascii="Verdana" w:hAnsi="Verdana"/>
              </w:rPr>
              <w:t>TrOOP</w:t>
            </w:r>
            <w:proofErr w:type="spellEnd"/>
            <w:r w:rsidRPr="00C47656">
              <w:rPr>
                <w:rFonts w:ascii="Verdana" w:hAnsi="Verdana"/>
              </w:rPr>
              <w:t xml:space="preserve">. Therefore, it is important to understand that there are </w:t>
            </w:r>
            <w:r w:rsidR="00A44F81" w:rsidRPr="00C47656">
              <w:rPr>
                <w:rFonts w:ascii="Verdana" w:hAnsi="Verdana"/>
              </w:rPr>
              <w:t>several</w:t>
            </w:r>
            <w:r w:rsidRPr="00C47656">
              <w:rPr>
                <w:rFonts w:ascii="Verdana" w:hAnsi="Verdana"/>
              </w:rPr>
              <w:t xml:space="preserve"> drugs that are </w:t>
            </w:r>
            <w:r w:rsidR="00A44F81" w:rsidRPr="00C47656">
              <w:rPr>
                <w:rFonts w:ascii="Verdana" w:hAnsi="Verdana"/>
                <w:b/>
                <w:bCs/>
              </w:rPr>
              <w:t>not</w:t>
            </w:r>
            <w:r w:rsidRPr="00C47656">
              <w:rPr>
                <w:rFonts w:ascii="Verdana" w:hAnsi="Verdana"/>
                <w:b/>
                <w:bCs/>
                <w:i/>
                <w:iCs/>
              </w:rPr>
              <w:t> </w:t>
            </w:r>
            <w:r w:rsidRPr="00C47656">
              <w:rPr>
                <w:rFonts w:ascii="Verdana" w:hAnsi="Verdana"/>
              </w:rPr>
              <w:t>covered by MED D.</w:t>
            </w:r>
          </w:p>
          <w:p w14:paraId="7896D697" w14:textId="77777777" w:rsidR="00ED2382" w:rsidRPr="00C47656" w:rsidRDefault="00ED2382" w:rsidP="00952597">
            <w:pPr>
              <w:spacing w:before="120" w:after="120"/>
              <w:rPr>
                <w:sz w:val="27"/>
                <w:szCs w:val="27"/>
              </w:rPr>
            </w:pPr>
            <w:r w:rsidRPr="00C47656">
              <w:rPr>
                <w:rFonts w:ascii="Verdana" w:hAnsi="Verdana"/>
              </w:rPr>
              <w:t> </w:t>
            </w:r>
          </w:p>
          <w:p w14:paraId="077950C7" w14:textId="1435ABF1" w:rsidR="004A409E" w:rsidRPr="00C47656" w:rsidRDefault="00ED2382" w:rsidP="00952597">
            <w:pPr>
              <w:spacing w:before="120" w:after="120"/>
              <w:rPr>
                <w:rFonts w:ascii="Verdana" w:hAnsi="Verdana"/>
              </w:rPr>
            </w:pPr>
            <w:r w:rsidRPr="00C47656">
              <w:rPr>
                <w:rFonts w:ascii="Verdana" w:hAnsi="Verdana"/>
              </w:rPr>
              <w:t>If the beneficiary chooses to purchase medications </w:t>
            </w:r>
            <w:r w:rsidRPr="00C47656">
              <w:rPr>
                <w:rFonts w:ascii="Verdana" w:hAnsi="Verdana"/>
                <w:b/>
                <w:bCs/>
              </w:rPr>
              <w:t>not covered by the plan</w:t>
            </w:r>
            <w:r w:rsidRPr="00C47656">
              <w:rPr>
                <w:rFonts w:ascii="Verdana" w:hAnsi="Verdana"/>
              </w:rPr>
              <w:t>, he/she is responsible for the </w:t>
            </w:r>
            <w:r w:rsidRPr="00C47656">
              <w:rPr>
                <w:rFonts w:ascii="Verdana" w:hAnsi="Verdana"/>
                <w:b/>
                <w:bCs/>
              </w:rPr>
              <w:t>entire out of pocket cost</w:t>
            </w:r>
            <w:r w:rsidRPr="00C47656">
              <w:rPr>
                <w:rFonts w:ascii="Verdana" w:hAnsi="Verdana"/>
              </w:rPr>
              <w:t> and these monies will </w:t>
            </w:r>
            <w:r w:rsidR="00A44F81" w:rsidRPr="00C47656">
              <w:rPr>
                <w:rFonts w:ascii="Verdana" w:hAnsi="Verdana"/>
                <w:b/>
                <w:bCs/>
              </w:rPr>
              <w:t>not</w:t>
            </w:r>
            <w:r w:rsidRPr="00C47656">
              <w:rPr>
                <w:rFonts w:ascii="Verdana" w:hAnsi="Verdana"/>
              </w:rPr>
              <w:t> accumulate toward their MED D </w:t>
            </w:r>
            <w:proofErr w:type="spellStart"/>
            <w:r w:rsidRPr="00C47656">
              <w:rPr>
                <w:rFonts w:ascii="Verdana" w:hAnsi="Verdana"/>
              </w:rPr>
              <w:t>TrOOP</w:t>
            </w:r>
            <w:proofErr w:type="spellEnd"/>
            <w:r w:rsidRPr="00C47656">
              <w:rPr>
                <w:rFonts w:ascii="Verdana" w:hAnsi="Verdana"/>
              </w:rPr>
              <w:t>.</w:t>
            </w:r>
          </w:p>
        </w:tc>
      </w:tr>
      <w:tr w:rsidR="00C47656" w:rsidRPr="00C47656" w14:paraId="225A1D1D" w14:textId="77777777" w:rsidTr="006D6B60">
        <w:tc>
          <w:tcPr>
            <w:tcW w:w="748" w:type="pct"/>
          </w:tcPr>
          <w:p w14:paraId="66C1A2B6" w14:textId="77777777" w:rsidR="004A409E" w:rsidRPr="00C47656" w:rsidRDefault="004A409E" w:rsidP="00952597">
            <w:pPr>
              <w:spacing w:before="120" w:after="120"/>
              <w:jc w:val="center"/>
              <w:rPr>
                <w:rFonts w:ascii="Verdana" w:hAnsi="Verdana"/>
                <w:b/>
              </w:rPr>
            </w:pPr>
            <w:r w:rsidRPr="00C47656">
              <w:rPr>
                <w:rFonts w:ascii="Verdana" w:hAnsi="Verdana"/>
                <w:b/>
              </w:rPr>
              <w:t>TC</w:t>
            </w:r>
          </w:p>
        </w:tc>
        <w:tc>
          <w:tcPr>
            <w:tcW w:w="974" w:type="pct"/>
          </w:tcPr>
          <w:p w14:paraId="2D8C1468" w14:textId="77777777" w:rsidR="004A409E" w:rsidRPr="00C47656" w:rsidRDefault="004A409E" w:rsidP="00952597">
            <w:pPr>
              <w:spacing w:before="120" w:after="120"/>
              <w:rPr>
                <w:rFonts w:ascii="Verdana" w:hAnsi="Verdana"/>
                <w:bCs/>
              </w:rPr>
            </w:pPr>
            <w:r w:rsidRPr="00C47656">
              <w:rPr>
                <w:rFonts w:ascii="Verdana" w:hAnsi="Verdana"/>
                <w:bCs/>
              </w:rPr>
              <w:t>True Cutback</w:t>
            </w:r>
          </w:p>
        </w:tc>
        <w:tc>
          <w:tcPr>
            <w:tcW w:w="3278" w:type="pct"/>
            <w:gridSpan w:val="2"/>
          </w:tcPr>
          <w:p w14:paraId="4628B2A4" w14:textId="39AB57C1" w:rsidR="004A409E" w:rsidRPr="00C47656" w:rsidRDefault="004A409E" w:rsidP="00952597">
            <w:pPr>
              <w:spacing w:before="120" w:after="120"/>
              <w:rPr>
                <w:rFonts w:ascii="Verdana" w:hAnsi="Verdana"/>
              </w:rPr>
            </w:pPr>
            <w:r w:rsidRPr="00C47656">
              <w:rPr>
                <w:rFonts w:ascii="Verdana" w:hAnsi="Verdana"/>
              </w:rPr>
              <w:t xml:space="preserve">Refers to process in </w:t>
            </w:r>
            <w:r w:rsidR="00097CF8" w:rsidRPr="00C47656">
              <w:rPr>
                <w:rFonts w:ascii="Verdana" w:hAnsi="Verdana"/>
              </w:rPr>
              <w:t>Prior Approval-FEP (</w:t>
            </w:r>
            <w:r w:rsidRPr="00C47656">
              <w:rPr>
                <w:rFonts w:ascii="Verdana" w:hAnsi="Verdana"/>
              </w:rPr>
              <w:t>PAF</w:t>
            </w:r>
            <w:r w:rsidR="00097CF8" w:rsidRPr="00C47656">
              <w:rPr>
                <w:rFonts w:ascii="Verdana" w:hAnsi="Verdana"/>
              </w:rPr>
              <w:t>)</w:t>
            </w:r>
            <w:r w:rsidRPr="00C47656">
              <w:rPr>
                <w:rFonts w:ascii="Verdana" w:hAnsi="Verdana"/>
              </w:rPr>
              <w:t xml:space="preserve"> where a prescription fill is split into two fills. The second portion of the fill requires prior approval by the physician </w:t>
            </w:r>
            <w:r w:rsidR="00A44F81" w:rsidRPr="00C47656">
              <w:rPr>
                <w:rFonts w:ascii="Verdana" w:hAnsi="Verdana"/>
              </w:rPr>
              <w:t>to</w:t>
            </w:r>
            <w:r w:rsidRPr="00C47656">
              <w:rPr>
                <w:rFonts w:ascii="Verdana" w:hAnsi="Verdana"/>
              </w:rPr>
              <w:t xml:space="preserve"> fill it.</w:t>
            </w:r>
          </w:p>
        </w:tc>
      </w:tr>
      <w:tr w:rsidR="00C47656" w:rsidRPr="00C47656" w14:paraId="56527DD8" w14:textId="77777777" w:rsidTr="006D6B60">
        <w:tc>
          <w:tcPr>
            <w:tcW w:w="748" w:type="pct"/>
            <w:vMerge w:val="restart"/>
          </w:tcPr>
          <w:p w14:paraId="761BABB6" w14:textId="77777777" w:rsidR="004A409E" w:rsidRPr="00C47656" w:rsidRDefault="004A409E" w:rsidP="00952597">
            <w:pPr>
              <w:spacing w:before="120" w:after="120"/>
              <w:jc w:val="center"/>
              <w:rPr>
                <w:rFonts w:ascii="Verdana" w:hAnsi="Verdana"/>
                <w:b/>
              </w:rPr>
            </w:pPr>
            <w:r w:rsidRPr="00C47656">
              <w:rPr>
                <w:rFonts w:ascii="Verdana" w:hAnsi="Verdana"/>
                <w:b/>
              </w:rPr>
              <w:t>TD</w:t>
            </w:r>
          </w:p>
        </w:tc>
        <w:tc>
          <w:tcPr>
            <w:tcW w:w="974" w:type="pct"/>
          </w:tcPr>
          <w:p w14:paraId="1E975E94" w14:textId="77777777" w:rsidR="004A409E" w:rsidRPr="00C47656" w:rsidRDefault="004A409E" w:rsidP="00952597">
            <w:pPr>
              <w:spacing w:before="120" w:after="120"/>
              <w:rPr>
                <w:rFonts w:ascii="Verdana" w:hAnsi="Verdana"/>
                <w:bCs/>
              </w:rPr>
            </w:pPr>
            <w:r w:rsidRPr="00C47656">
              <w:rPr>
                <w:rFonts w:ascii="Verdana" w:hAnsi="Verdana"/>
                <w:bCs/>
              </w:rPr>
              <w:t>Trial Dose</w:t>
            </w:r>
          </w:p>
        </w:tc>
        <w:tc>
          <w:tcPr>
            <w:tcW w:w="3278" w:type="pct"/>
            <w:gridSpan w:val="2"/>
          </w:tcPr>
          <w:p w14:paraId="0DF049F9" w14:textId="610E4FBA" w:rsidR="004A409E" w:rsidRPr="00C47656" w:rsidRDefault="004A409E" w:rsidP="00952597">
            <w:pPr>
              <w:spacing w:before="120" w:after="120"/>
              <w:rPr>
                <w:rFonts w:ascii="Verdana" w:hAnsi="Verdana"/>
              </w:rPr>
            </w:pPr>
            <w:r w:rsidRPr="00C47656">
              <w:rPr>
                <w:rFonts w:ascii="Verdana" w:hAnsi="Verdana"/>
              </w:rPr>
              <w:t>A short-term supply (usually 30-day supply) of medication is dispensed to determine if it is effective and well-tolerated (</w:t>
            </w:r>
            <w:r w:rsidR="005C29FA" w:rsidRPr="00C47656">
              <w:rPr>
                <w:rFonts w:ascii="Verdana" w:hAnsi="Verdana"/>
                <w:b/>
                <w:bCs/>
              </w:rPr>
              <w:t xml:space="preserve">Example: </w:t>
            </w:r>
            <w:r w:rsidR="005C29FA" w:rsidRPr="00C47656">
              <w:rPr>
                <w:rFonts w:ascii="Verdana" w:hAnsi="Verdana"/>
              </w:rPr>
              <w:t>T</w:t>
            </w:r>
            <w:r w:rsidRPr="00C47656">
              <w:rPr>
                <w:rFonts w:ascii="Verdana" w:hAnsi="Verdana"/>
              </w:rPr>
              <w:t>he member does not experience significant adverse effects).</w:t>
            </w:r>
          </w:p>
        </w:tc>
      </w:tr>
      <w:tr w:rsidR="00C47656" w:rsidRPr="00C47656" w14:paraId="4AA7901D" w14:textId="77777777" w:rsidTr="006D6B60">
        <w:tc>
          <w:tcPr>
            <w:tcW w:w="748" w:type="pct"/>
            <w:vMerge/>
          </w:tcPr>
          <w:p w14:paraId="35B29DA3" w14:textId="77777777" w:rsidR="004A409E" w:rsidRPr="00C47656" w:rsidRDefault="004A409E" w:rsidP="00952597">
            <w:pPr>
              <w:spacing w:before="120" w:after="120"/>
              <w:jc w:val="center"/>
              <w:rPr>
                <w:rFonts w:ascii="Verdana" w:hAnsi="Verdana"/>
                <w:b/>
              </w:rPr>
            </w:pPr>
          </w:p>
        </w:tc>
        <w:tc>
          <w:tcPr>
            <w:tcW w:w="974" w:type="pct"/>
          </w:tcPr>
          <w:p w14:paraId="20564BB6" w14:textId="77777777" w:rsidR="004A409E" w:rsidRPr="00C47656" w:rsidRDefault="004A409E" w:rsidP="00952597">
            <w:pPr>
              <w:spacing w:before="120" w:after="120"/>
              <w:rPr>
                <w:rFonts w:ascii="Verdana" w:hAnsi="Verdana"/>
                <w:bCs/>
              </w:rPr>
            </w:pPr>
            <w:r w:rsidRPr="00C47656">
              <w:rPr>
                <w:rFonts w:ascii="Verdana" w:hAnsi="Verdana"/>
                <w:bCs/>
              </w:rPr>
              <w:t>Therapeutic Duplication</w:t>
            </w:r>
          </w:p>
        </w:tc>
        <w:tc>
          <w:tcPr>
            <w:tcW w:w="3278" w:type="pct"/>
            <w:gridSpan w:val="2"/>
          </w:tcPr>
          <w:p w14:paraId="7731C034" w14:textId="32FEC0FD" w:rsidR="004A409E" w:rsidRPr="00C47656" w:rsidRDefault="004A409E" w:rsidP="00952597">
            <w:pPr>
              <w:spacing w:before="120" w:after="120"/>
              <w:rPr>
                <w:rFonts w:ascii="Verdana" w:hAnsi="Verdana"/>
              </w:rPr>
            </w:pPr>
            <w:r w:rsidRPr="00C47656">
              <w:rPr>
                <w:rFonts w:ascii="Verdana" w:hAnsi="Verdana"/>
              </w:rPr>
              <w:t>Drugs from the same therapeutic class or two different strengths or dosage forms of the same drug</w:t>
            </w:r>
            <w:r w:rsidR="005A0AB8" w:rsidRPr="00C47656">
              <w:rPr>
                <w:rFonts w:ascii="Verdana" w:hAnsi="Verdana"/>
              </w:rPr>
              <w:t xml:space="preserve">. </w:t>
            </w:r>
            <w:r w:rsidRPr="00C47656">
              <w:rPr>
                <w:rFonts w:ascii="Verdana" w:hAnsi="Verdana"/>
              </w:rPr>
              <w:t xml:space="preserve">(TD) is one of the </w:t>
            </w:r>
            <w:r w:rsidR="00097CF8" w:rsidRPr="00C47656">
              <w:rPr>
                <w:rFonts w:ascii="Verdana" w:hAnsi="Verdana"/>
              </w:rPr>
              <w:t>Drug Utilization Review (</w:t>
            </w:r>
            <w:r w:rsidRPr="00C47656">
              <w:rPr>
                <w:rFonts w:ascii="Verdana" w:hAnsi="Verdana"/>
              </w:rPr>
              <w:t>DUR</w:t>
            </w:r>
            <w:r w:rsidR="00097CF8" w:rsidRPr="00C47656">
              <w:rPr>
                <w:rFonts w:ascii="Verdana" w:hAnsi="Verdana"/>
              </w:rPr>
              <w:t>)</w:t>
            </w:r>
            <w:r w:rsidRPr="00C47656">
              <w:rPr>
                <w:rFonts w:ascii="Verdana" w:hAnsi="Verdana"/>
              </w:rPr>
              <w:t xml:space="preserve"> Quantum Alert edits.</w:t>
            </w:r>
          </w:p>
        </w:tc>
      </w:tr>
      <w:tr w:rsidR="00C47656" w:rsidRPr="00C47656" w14:paraId="57181F0B" w14:textId="77777777" w:rsidTr="006D6B60">
        <w:tc>
          <w:tcPr>
            <w:tcW w:w="748" w:type="pct"/>
          </w:tcPr>
          <w:p w14:paraId="195080E1" w14:textId="75B2093F" w:rsidR="004A409E" w:rsidRPr="00C47656" w:rsidRDefault="00A95AD8" w:rsidP="00952597">
            <w:pPr>
              <w:spacing w:before="120" w:after="120"/>
              <w:jc w:val="center"/>
              <w:rPr>
                <w:rFonts w:ascii="Verdana" w:hAnsi="Verdana"/>
                <w:b/>
              </w:rPr>
            </w:pPr>
            <w:r w:rsidRPr="00C47656">
              <w:rPr>
                <w:rFonts w:ascii="Verdana" w:hAnsi="Verdana"/>
                <w:b/>
              </w:rPr>
              <w:t xml:space="preserve"> </w:t>
            </w:r>
            <w:r w:rsidR="004A409E" w:rsidRPr="00C47656">
              <w:rPr>
                <w:rFonts w:ascii="Verdana" w:hAnsi="Verdana"/>
                <w:b/>
              </w:rPr>
              <w:t>TDC</w:t>
            </w:r>
          </w:p>
          <w:p w14:paraId="406CF122" w14:textId="77777777" w:rsidR="004A409E" w:rsidRPr="00C47656" w:rsidRDefault="004A409E" w:rsidP="00952597">
            <w:pPr>
              <w:spacing w:before="120" w:after="120"/>
              <w:rPr>
                <w:rFonts w:ascii="Verdana" w:hAnsi="Verdana"/>
              </w:rPr>
            </w:pPr>
            <w:r w:rsidRPr="00C47656">
              <w:rPr>
                <w:noProof/>
              </w:rPr>
              <w:t xml:space="preserve"> </w:t>
            </w:r>
          </w:p>
          <w:p w14:paraId="2E6B8470" w14:textId="77777777" w:rsidR="004A409E" w:rsidRPr="00C47656" w:rsidRDefault="004A409E" w:rsidP="00952597">
            <w:pPr>
              <w:spacing w:before="120" w:after="120"/>
              <w:jc w:val="center"/>
              <w:rPr>
                <w:rFonts w:ascii="Verdana" w:hAnsi="Verdana"/>
                <w:b/>
              </w:rPr>
            </w:pPr>
          </w:p>
        </w:tc>
        <w:tc>
          <w:tcPr>
            <w:tcW w:w="974" w:type="pct"/>
          </w:tcPr>
          <w:p w14:paraId="6DC4836B" w14:textId="77777777" w:rsidR="004A409E" w:rsidRPr="00C47656" w:rsidRDefault="004A409E" w:rsidP="00952597">
            <w:pPr>
              <w:spacing w:before="120" w:after="120"/>
              <w:rPr>
                <w:rFonts w:ascii="Verdana" w:hAnsi="Verdana"/>
                <w:bCs/>
              </w:rPr>
            </w:pPr>
            <w:r w:rsidRPr="00C47656">
              <w:rPr>
                <w:rFonts w:ascii="Verdana" w:hAnsi="Verdana"/>
                <w:bCs/>
              </w:rPr>
              <w:t>Transform Diabetes Care</w:t>
            </w:r>
          </w:p>
          <w:p w14:paraId="26F28BB2" w14:textId="77777777" w:rsidR="004A409E" w:rsidRPr="00C47656" w:rsidRDefault="004A409E" w:rsidP="00952597">
            <w:pPr>
              <w:spacing w:before="120" w:after="120"/>
              <w:rPr>
                <w:rFonts w:ascii="Verdana" w:hAnsi="Verdana"/>
                <w:bCs/>
              </w:rPr>
            </w:pPr>
            <w:r w:rsidRPr="00C47656">
              <w:rPr>
                <w:bCs/>
                <w:noProof/>
              </w:rPr>
              <w:t xml:space="preserve"> </w:t>
            </w:r>
          </w:p>
          <w:p w14:paraId="41E5EDD3" w14:textId="77777777" w:rsidR="004A409E" w:rsidRPr="00C47656" w:rsidRDefault="004A409E" w:rsidP="00952597">
            <w:pPr>
              <w:spacing w:before="120" w:after="120"/>
              <w:rPr>
                <w:rFonts w:ascii="Verdana" w:hAnsi="Verdana"/>
                <w:bCs/>
              </w:rPr>
            </w:pPr>
          </w:p>
          <w:p w14:paraId="2CE1A067" w14:textId="77777777" w:rsidR="004A409E" w:rsidRPr="00C47656" w:rsidRDefault="004A409E" w:rsidP="00952597">
            <w:pPr>
              <w:spacing w:before="120" w:after="120"/>
              <w:rPr>
                <w:rFonts w:ascii="Verdana" w:hAnsi="Verdana"/>
                <w:bCs/>
              </w:rPr>
            </w:pPr>
          </w:p>
        </w:tc>
        <w:tc>
          <w:tcPr>
            <w:tcW w:w="3278" w:type="pct"/>
            <w:gridSpan w:val="2"/>
          </w:tcPr>
          <w:p w14:paraId="608F86C8" w14:textId="77777777" w:rsidR="00490036" w:rsidRPr="00C47656" w:rsidRDefault="00490036" w:rsidP="00952597">
            <w:pPr>
              <w:spacing w:before="120" w:after="120"/>
              <w:rPr>
                <w:sz w:val="27"/>
                <w:szCs w:val="27"/>
              </w:rPr>
            </w:pPr>
            <w:r w:rsidRPr="00C47656">
              <w:rPr>
                <w:rFonts w:ascii="Verdana" w:hAnsi="Verdana"/>
              </w:rPr>
              <w:t>As a standalone or complement to existing solutions, the Transform Diabetes Care program is designed to deliver holistic, targeted support for members with diabetes through the combination of clinical and cost management solutions provided through our integrated care model, helping to drive measurably healthier, more engaged members.</w:t>
            </w:r>
          </w:p>
          <w:p w14:paraId="7D3287E9" w14:textId="77777777" w:rsidR="00490036" w:rsidRPr="00C47656" w:rsidRDefault="00490036" w:rsidP="00952597">
            <w:pPr>
              <w:spacing w:before="120" w:after="120"/>
              <w:rPr>
                <w:sz w:val="27"/>
                <w:szCs w:val="27"/>
              </w:rPr>
            </w:pPr>
            <w:r w:rsidRPr="00C47656">
              <w:rPr>
                <w:rFonts w:ascii="Verdana" w:hAnsi="Verdana"/>
              </w:rPr>
              <w:t>This program uses a variety of techniques that will assist members with their condition, how to manage it and helps them remain on track with their prescribed treatment plan. </w:t>
            </w:r>
          </w:p>
          <w:p w14:paraId="1694ED02" w14:textId="77777777" w:rsidR="00490036" w:rsidRPr="00C47656" w:rsidRDefault="00490036" w:rsidP="005A0AB8">
            <w:pPr>
              <w:pStyle w:val="ListParagraph"/>
              <w:numPr>
                <w:ilvl w:val="0"/>
                <w:numId w:val="145"/>
              </w:numPr>
              <w:spacing w:before="120" w:after="120"/>
              <w:ind w:left="432"/>
              <w:contextualSpacing w:val="0"/>
              <w:rPr>
                <w:sz w:val="24"/>
                <w:szCs w:val="24"/>
              </w:rPr>
            </w:pPr>
            <w:r w:rsidRPr="00C47656">
              <w:rPr>
                <w:rFonts w:ascii="Verdana" w:hAnsi="Verdana"/>
                <w:sz w:val="24"/>
                <w:szCs w:val="24"/>
              </w:rPr>
              <w:t>Cellular connected blood glucose meter with real-time messaging and 24/7/365 alert monitoring</w:t>
            </w:r>
          </w:p>
          <w:p w14:paraId="6A5526D6" w14:textId="77777777" w:rsidR="00490036" w:rsidRPr="00C47656" w:rsidRDefault="00490036" w:rsidP="005A0AB8">
            <w:pPr>
              <w:pStyle w:val="ListParagraph"/>
              <w:numPr>
                <w:ilvl w:val="0"/>
                <w:numId w:val="145"/>
              </w:numPr>
              <w:spacing w:before="120" w:after="120"/>
              <w:ind w:left="432"/>
              <w:contextualSpacing w:val="0"/>
              <w:rPr>
                <w:sz w:val="24"/>
                <w:szCs w:val="24"/>
              </w:rPr>
            </w:pPr>
            <w:r w:rsidRPr="00C47656">
              <w:rPr>
                <w:rFonts w:ascii="Verdana" w:hAnsi="Verdana"/>
                <w:sz w:val="24"/>
                <w:szCs w:val="24"/>
              </w:rPr>
              <w:t>Cellular connected blood pressure cuff </w:t>
            </w:r>
          </w:p>
          <w:p w14:paraId="5FBFDA06" w14:textId="77777777" w:rsidR="00490036" w:rsidRPr="00C47656" w:rsidRDefault="00490036" w:rsidP="005A0AB8">
            <w:pPr>
              <w:pStyle w:val="ListParagraph"/>
              <w:numPr>
                <w:ilvl w:val="0"/>
                <w:numId w:val="126"/>
              </w:numPr>
              <w:spacing w:before="120" w:after="120"/>
              <w:ind w:left="432"/>
              <w:contextualSpacing w:val="0"/>
              <w:rPr>
                <w:sz w:val="24"/>
                <w:szCs w:val="24"/>
              </w:rPr>
            </w:pPr>
            <w:r w:rsidRPr="00C47656">
              <w:rPr>
                <w:rFonts w:ascii="Verdana" w:hAnsi="Verdana"/>
                <w:sz w:val="24"/>
                <w:szCs w:val="24"/>
              </w:rPr>
              <w:t>Cellular connected scale for Diabetes Prevention Program (DPP)</w:t>
            </w:r>
          </w:p>
          <w:p w14:paraId="5E1C02CD" w14:textId="77777777" w:rsidR="00490036" w:rsidRPr="00C47656" w:rsidRDefault="00490036" w:rsidP="005A0AB8">
            <w:pPr>
              <w:pStyle w:val="ListParagraph"/>
              <w:numPr>
                <w:ilvl w:val="0"/>
                <w:numId w:val="144"/>
              </w:numPr>
              <w:spacing w:before="120" w:after="120"/>
              <w:ind w:left="432"/>
              <w:contextualSpacing w:val="0"/>
              <w:rPr>
                <w:sz w:val="24"/>
                <w:szCs w:val="24"/>
              </w:rPr>
            </w:pPr>
            <w:r w:rsidRPr="00C47656">
              <w:rPr>
                <w:rFonts w:ascii="Verdana" w:hAnsi="Verdana"/>
                <w:sz w:val="24"/>
                <w:szCs w:val="24"/>
              </w:rPr>
              <w:t>Live health coaching (telephonic)</w:t>
            </w:r>
          </w:p>
          <w:p w14:paraId="73A45E84" w14:textId="77777777" w:rsidR="00490036" w:rsidRPr="00C47656" w:rsidRDefault="00490036" w:rsidP="005A0AB8">
            <w:pPr>
              <w:pStyle w:val="ListParagraph"/>
              <w:numPr>
                <w:ilvl w:val="0"/>
                <w:numId w:val="144"/>
              </w:numPr>
              <w:spacing w:before="120" w:after="120"/>
              <w:ind w:left="432"/>
              <w:contextualSpacing w:val="0"/>
              <w:rPr>
                <w:sz w:val="24"/>
                <w:szCs w:val="24"/>
              </w:rPr>
            </w:pPr>
            <w:r w:rsidRPr="00C47656">
              <w:rPr>
                <w:rFonts w:ascii="Verdana" w:hAnsi="Verdana"/>
                <w:sz w:val="24"/>
                <w:szCs w:val="24"/>
              </w:rPr>
              <w:t>One-on-one retail pharmacy adherence counseling </w:t>
            </w:r>
          </w:p>
          <w:p w14:paraId="03CAEB50" w14:textId="723E71D7" w:rsidR="00490036" w:rsidRPr="00C47656" w:rsidRDefault="00490036" w:rsidP="005A0AB8">
            <w:pPr>
              <w:pStyle w:val="ListParagraph"/>
              <w:numPr>
                <w:ilvl w:val="0"/>
                <w:numId w:val="144"/>
              </w:numPr>
              <w:spacing w:before="120" w:after="120"/>
              <w:ind w:left="432"/>
              <w:contextualSpacing w:val="0"/>
              <w:rPr>
                <w:sz w:val="24"/>
                <w:szCs w:val="24"/>
              </w:rPr>
            </w:pPr>
            <w:r w:rsidRPr="00C47656">
              <w:rPr>
                <w:rFonts w:ascii="Verdana" w:hAnsi="Verdana"/>
                <w:sz w:val="24"/>
                <w:szCs w:val="24"/>
              </w:rPr>
              <w:t>App-based digital tools and resources including Centers for Disease Control and Prevention (CDC)-recognized diabetes prevention curriculum for Diabetes Prevention Program (DPP) plus five-day challenges and digital coaching for all conditions</w:t>
            </w:r>
            <w:r w:rsidR="006656DE" w:rsidRPr="00C47656">
              <w:rPr>
                <w:rFonts w:ascii="Verdana" w:hAnsi="Verdana"/>
                <w:sz w:val="24"/>
                <w:szCs w:val="24"/>
              </w:rPr>
              <w:t>.</w:t>
            </w:r>
          </w:p>
          <w:p w14:paraId="1AB20B32" w14:textId="77777777" w:rsidR="00490036" w:rsidRPr="00C47656" w:rsidRDefault="00490036" w:rsidP="005A0AB8">
            <w:pPr>
              <w:pStyle w:val="ListParagraph"/>
              <w:numPr>
                <w:ilvl w:val="0"/>
                <w:numId w:val="144"/>
              </w:numPr>
              <w:spacing w:before="120" w:after="120"/>
              <w:ind w:left="432"/>
              <w:contextualSpacing w:val="0"/>
              <w:rPr>
                <w:sz w:val="24"/>
                <w:szCs w:val="24"/>
              </w:rPr>
            </w:pPr>
            <w:r w:rsidRPr="00C47656">
              <w:rPr>
                <w:rFonts w:ascii="Verdana" w:hAnsi="Verdana"/>
                <w:sz w:val="24"/>
                <w:szCs w:val="24"/>
              </w:rPr>
              <w:t>Two MinuteClinic</w:t>
            </w:r>
            <w:r w:rsidRPr="00C47656">
              <w:rPr>
                <w:rFonts w:ascii="Verdana" w:hAnsi="Verdana"/>
                <w:sz w:val="24"/>
                <w:szCs w:val="24"/>
                <w:vertAlign w:val="superscript"/>
              </w:rPr>
              <w:t>®</w:t>
            </w:r>
            <w:r w:rsidRPr="00C47656">
              <w:rPr>
                <w:rFonts w:ascii="Verdana" w:hAnsi="Verdana"/>
                <w:sz w:val="24"/>
                <w:szCs w:val="24"/>
              </w:rPr>
              <w:t> diabetes monitoring visits per plan year</w:t>
            </w:r>
          </w:p>
          <w:p w14:paraId="3B643A4E" w14:textId="77777777" w:rsidR="00490036" w:rsidRPr="00C47656" w:rsidRDefault="00490036" w:rsidP="005A0AB8">
            <w:pPr>
              <w:pStyle w:val="ListParagraph"/>
              <w:numPr>
                <w:ilvl w:val="0"/>
                <w:numId w:val="144"/>
              </w:numPr>
              <w:spacing w:before="120" w:after="120"/>
              <w:ind w:left="432"/>
              <w:contextualSpacing w:val="0"/>
              <w:rPr>
                <w:sz w:val="24"/>
                <w:szCs w:val="24"/>
              </w:rPr>
            </w:pPr>
            <w:r w:rsidRPr="00C47656">
              <w:rPr>
                <w:rFonts w:ascii="Verdana" w:hAnsi="Verdana"/>
                <w:sz w:val="24"/>
                <w:szCs w:val="24"/>
              </w:rPr>
              <w:t xml:space="preserve">Care plan reinforcement/actionable messaging with </w:t>
            </w:r>
            <w:proofErr w:type="spellStart"/>
            <w:r w:rsidRPr="00C47656">
              <w:rPr>
                <w:rFonts w:ascii="Verdana" w:hAnsi="Verdana"/>
                <w:sz w:val="24"/>
                <w:szCs w:val="24"/>
              </w:rPr>
              <w:t>HealthTag</w:t>
            </w:r>
            <w:proofErr w:type="spellEnd"/>
            <w:r w:rsidRPr="00C47656">
              <w:rPr>
                <w:rFonts w:ascii="Verdana" w:hAnsi="Verdana"/>
                <w:sz w:val="24"/>
                <w:szCs w:val="24"/>
                <w:vertAlign w:val="superscript"/>
              </w:rPr>
              <w:t>®</w:t>
            </w:r>
            <w:r w:rsidRPr="00C47656">
              <w:rPr>
                <w:rFonts w:ascii="Verdana" w:hAnsi="Verdana"/>
                <w:sz w:val="24"/>
                <w:szCs w:val="24"/>
              </w:rPr>
              <w:t> </w:t>
            </w:r>
          </w:p>
          <w:p w14:paraId="0F1DA492" w14:textId="77777777" w:rsidR="00490036" w:rsidRPr="00C47656" w:rsidRDefault="00490036" w:rsidP="005A0AB8">
            <w:pPr>
              <w:pStyle w:val="ListParagraph"/>
              <w:numPr>
                <w:ilvl w:val="0"/>
                <w:numId w:val="144"/>
              </w:numPr>
              <w:spacing w:before="120" w:after="120"/>
              <w:ind w:left="432"/>
              <w:contextualSpacing w:val="0"/>
              <w:rPr>
                <w:sz w:val="24"/>
                <w:szCs w:val="24"/>
              </w:rPr>
            </w:pPr>
            <w:r w:rsidRPr="00C47656">
              <w:rPr>
                <w:rFonts w:ascii="Verdana" w:hAnsi="Verdana"/>
                <w:sz w:val="24"/>
                <w:szCs w:val="24"/>
              </w:rPr>
              <w:t>Lifestyle management support</w:t>
            </w:r>
          </w:p>
          <w:p w14:paraId="7F3F2D88" w14:textId="77777777" w:rsidR="00490036" w:rsidRPr="00C47656" w:rsidRDefault="00490036" w:rsidP="00952597">
            <w:pPr>
              <w:spacing w:before="120" w:after="120"/>
              <w:rPr>
                <w:sz w:val="27"/>
                <w:szCs w:val="27"/>
              </w:rPr>
            </w:pPr>
            <w:r w:rsidRPr="00C47656">
              <w:rPr>
                <w:rFonts w:ascii="Verdana" w:hAnsi="Verdana"/>
              </w:rPr>
              <w:t>It utilizes member data (prescription and medical claims including lab test results) and other clinical proven techniques to assist the member with education, improves overall test results, adherence to medications/treatments and encourages positive lifestyle changes.</w:t>
            </w:r>
          </w:p>
          <w:p w14:paraId="66D366B5" w14:textId="60A22D54" w:rsidR="004A409E" w:rsidRPr="00C47656" w:rsidRDefault="00490036" w:rsidP="00952597">
            <w:pPr>
              <w:spacing w:before="120" w:after="120"/>
              <w:rPr>
                <w:rFonts w:ascii="Verdana" w:hAnsi="Verdana"/>
              </w:rPr>
            </w:pPr>
            <w:r w:rsidRPr="00C47656">
              <w:rPr>
                <w:rFonts w:ascii="Verdana" w:hAnsi="Verdana"/>
              </w:rPr>
              <w:t>Enrollment into this program occurs when the member opts in by requesting connected devices</w:t>
            </w:r>
            <w:r w:rsidR="005A0AB8" w:rsidRPr="00C47656">
              <w:rPr>
                <w:rFonts w:ascii="Verdana" w:hAnsi="Verdana"/>
              </w:rPr>
              <w:t xml:space="preserve">. </w:t>
            </w:r>
            <w:r w:rsidRPr="00C47656">
              <w:rPr>
                <w:rFonts w:ascii="Verdana" w:hAnsi="Verdana"/>
              </w:rPr>
              <w:t>These opt in options are normally communicated via the TDC Welcome Kit, Email and at the CVS Retail pharmacy.</w:t>
            </w:r>
          </w:p>
        </w:tc>
      </w:tr>
      <w:tr w:rsidR="00C47656" w:rsidRPr="00C47656" w14:paraId="6A894A4F" w14:textId="77777777" w:rsidTr="006D6B60">
        <w:tc>
          <w:tcPr>
            <w:tcW w:w="748" w:type="pct"/>
          </w:tcPr>
          <w:p w14:paraId="536BDB69" w14:textId="7E5F1834" w:rsidR="004A409E" w:rsidRPr="00C47656" w:rsidRDefault="00A95AD8" w:rsidP="00952597">
            <w:pPr>
              <w:spacing w:before="120" w:after="120"/>
              <w:jc w:val="center"/>
              <w:rPr>
                <w:rFonts w:ascii="Verdana" w:hAnsi="Verdana"/>
                <w:b/>
              </w:rPr>
            </w:pPr>
            <w:r w:rsidRPr="00C47656">
              <w:rPr>
                <w:rFonts w:ascii="Verdana" w:hAnsi="Verdana"/>
                <w:b/>
              </w:rPr>
              <w:t xml:space="preserve"> </w:t>
            </w:r>
            <w:r w:rsidR="004A409E" w:rsidRPr="00C47656">
              <w:rPr>
                <w:rFonts w:ascii="Verdana" w:hAnsi="Verdana"/>
                <w:b/>
              </w:rPr>
              <w:t>TDD</w:t>
            </w:r>
          </w:p>
        </w:tc>
        <w:tc>
          <w:tcPr>
            <w:tcW w:w="974" w:type="pct"/>
          </w:tcPr>
          <w:p w14:paraId="3A2A3109" w14:textId="11DE5FB0" w:rsidR="004A409E" w:rsidRPr="00C47656" w:rsidRDefault="004A409E" w:rsidP="00952597">
            <w:pPr>
              <w:spacing w:before="120" w:after="120"/>
              <w:rPr>
                <w:rFonts w:ascii="Verdana" w:hAnsi="Verdana"/>
                <w:bCs/>
              </w:rPr>
            </w:pPr>
            <w:bookmarkStart w:id="6" w:name="OLE_LINK36"/>
            <w:r w:rsidRPr="00C47656">
              <w:rPr>
                <w:rFonts w:ascii="Verdana" w:hAnsi="Verdana"/>
                <w:bCs/>
              </w:rPr>
              <w:t>Total Daily Dose</w:t>
            </w:r>
            <w:bookmarkEnd w:id="6"/>
          </w:p>
        </w:tc>
        <w:tc>
          <w:tcPr>
            <w:tcW w:w="3278" w:type="pct"/>
            <w:gridSpan w:val="2"/>
          </w:tcPr>
          <w:p w14:paraId="7FA7FC5C" w14:textId="07181D16" w:rsidR="004A409E" w:rsidRPr="00C47656" w:rsidRDefault="00ED2382" w:rsidP="00952597">
            <w:pPr>
              <w:spacing w:before="120" w:after="120"/>
              <w:rPr>
                <w:rFonts w:ascii="Verdana" w:hAnsi="Verdana"/>
              </w:rPr>
            </w:pPr>
            <w:r w:rsidRPr="00C47656">
              <w:rPr>
                <w:rFonts w:ascii="Verdana" w:hAnsi="Verdana"/>
              </w:rPr>
              <w:t xml:space="preserve">Maximum amount of medication that the patient should consume in a </w:t>
            </w:r>
            <w:r w:rsidR="00471225" w:rsidRPr="00C47656">
              <w:rPr>
                <w:rFonts w:ascii="Verdana" w:hAnsi="Verdana"/>
              </w:rPr>
              <w:t>prescribed</w:t>
            </w:r>
            <w:r w:rsidRPr="00C47656">
              <w:rPr>
                <w:rFonts w:ascii="Verdana" w:hAnsi="Verdana"/>
              </w:rPr>
              <w:t xml:space="preserve"> 24 hours.</w:t>
            </w:r>
          </w:p>
        </w:tc>
      </w:tr>
      <w:tr w:rsidR="00C47656" w:rsidRPr="00C47656" w14:paraId="77D04341" w14:textId="77777777" w:rsidTr="006D6B60">
        <w:tc>
          <w:tcPr>
            <w:tcW w:w="748" w:type="pct"/>
          </w:tcPr>
          <w:p w14:paraId="2FF4A054" w14:textId="151FBAE8" w:rsidR="004A409E" w:rsidRPr="00C47656" w:rsidRDefault="00A95AD8" w:rsidP="00952597">
            <w:pPr>
              <w:spacing w:before="120" w:after="120"/>
              <w:jc w:val="center"/>
              <w:rPr>
                <w:rFonts w:ascii="Verdana" w:hAnsi="Verdana"/>
                <w:b/>
              </w:rPr>
            </w:pPr>
            <w:r w:rsidRPr="00C47656">
              <w:rPr>
                <w:rFonts w:ascii="Verdana" w:hAnsi="Verdana"/>
                <w:b/>
                <w:bCs/>
              </w:rPr>
              <w:t xml:space="preserve"> </w:t>
            </w:r>
            <w:r w:rsidR="004A409E" w:rsidRPr="00C47656">
              <w:rPr>
                <w:rFonts w:ascii="Verdana" w:hAnsi="Verdana"/>
                <w:b/>
                <w:bCs/>
              </w:rPr>
              <w:t>TDD</w:t>
            </w:r>
          </w:p>
        </w:tc>
        <w:tc>
          <w:tcPr>
            <w:tcW w:w="974" w:type="pct"/>
          </w:tcPr>
          <w:p w14:paraId="56B77202" w14:textId="77777777" w:rsidR="004A409E" w:rsidRPr="00C47656" w:rsidRDefault="004A409E" w:rsidP="00952597">
            <w:pPr>
              <w:spacing w:before="120" w:after="120"/>
              <w:rPr>
                <w:rFonts w:ascii="Verdana" w:hAnsi="Verdana"/>
                <w:bCs/>
              </w:rPr>
            </w:pPr>
            <w:r w:rsidRPr="00C47656">
              <w:rPr>
                <w:rFonts w:ascii="Verdana" w:hAnsi="Verdana"/>
                <w:bCs/>
              </w:rPr>
              <w:t>Telecommunications Device for the Deaf</w:t>
            </w:r>
          </w:p>
          <w:p w14:paraId="569D991B" w14:textId="77777777" w:rsidR="004A409E" w:rsidRPr="00C47656" w:rsidRDefault="004A409E" w:rsidP="00952597">
            <w:pPr>
              <w:spacing w:before="120" w:after="120"/>
              <w:rPr>
                <w:rFonts w:ascii="Verdana" w:hAnsi="Verdana"/>
                <w:bCs/>
              </w:rPr>
            </w:pPr>
          </w:p>
        </w:tc>
        <w:tc>
          <w:tcPr>
            <w:tcW w:w="3278" w:type="pct"/>
            <w:gridSpan w:val="2"/>
          </w:tcPr>
          <w:p w14:paraId="77078D9A" w14:textId="4250C765" w:rsidR="004A409E" w:rsidRPr="00C47656" w:rsidRDefault="00CE75ED" w:rsidP="00952597">
            <w:pPr>
              <w:spacing w:before="120" w:after="120"/>
              <w:rPr>
                <w:rFonts w:ascii="Verdana" w:hAnsi="Verdana"/>
              </w:rPr>
            </w:pPr>
            <w:r w:rsidRPr="00C47656">
              <w:rPr>
                <w:rFonts w:ascii="Verdana" w:hAnsi="Verdana"/>
                <w:shd w:val="clear" w:color="auto" w:fill="FFFFFF"/>
              </w:rPr>
              <w:t xml:space="preserve">A </w:t>
            </w:r>
            <w:r w:rsidR="00ED2382" w:rsidRPr="00C47656">
              <w:rPr>
                <w:rFonts w:ascii="Verdana" w:hAnsi="Verdana"/>
                <w:shd w:val="clear" w:color="auto" w:fill="FFFFFF"/>
              </w:rPr>
              <w:t>device for the deaf (TDD) is </w:t>
            </w:r>
            <w:r w:rsidR="00ED2382" w:rsidRPr="00C47656">
              <w:rPr>
                <w:rFonts w:ascii="Verdana" w:hAnsi="Verdana"/>
                <w:b/>
                <w:bCs/>
                <w:shd w:val="clear" w:color="auto" w:fill="FFFFFF"/>
              </w:rPr>
              <w:t>a teleprinter</w:t>
            </w:r>
            <w:r w:rsidR="00ED2382" w:rsidRPr="00C47656">
              <w:rPr>
                <w:rFonts w:ascii="Verdana" w:hAnsi="Verdana"/>
                <w:shd w:val="clear" w:color="auto" w:fill="FFFFFF"/>
              </w:rPr>
              <w:t xml:space="preserve">, an electronic device for text communication over a telephone line, </w:t>
            </w:r>
            <w:r w:rsidR="005A0AB8" w:rsidRPr="00C47656">
              <w:rPr>
                <w:rFonts w:ascii="Verdana" w:hAnsi="Verdana"/>
                <w:shd w:val="clear" w:color="auto" w:fill="FFFFFF"/>
              </w:rPr>
              <w:t>which</w:t>
            </w:r>
            <w:r w:rsidR="00ED2382" w:rsidRPr="00C47656">
              <w:rPr>
                <w:rFonts w:ascii="Verdana" w:hAnsi="Verdana"/>
                <w:shd w:val="clear" w:color="auto" w:fill="FFFFFF"/>
              </w:rPr>
              <w:t xml:space="preserve"> is designed for use by persons with hearing or speech difficulties</w:t>
            </w:r>
            <w:r w:rsidR="005A0AB8" w:rsidRPr="00C47656">
              <w:rPr>
                <w:rFonts w:ascii="Verdana" w:hAnsi="Verdana"/>
                <w:shd w:val="clear" w:color="auto" w:fill="FFFFFF"/>
              </w:rPr>
              <w:t xml:space="preserve">. </w:t>
            </w:r>
            <w:r w:rsidR="00ED2382" w:rsidRPr="00C47656">
              <w:rPr>
                <w:rFonts w:ascii="Verdana" w:hAnsi="Verdana"/>
                <w:shd w:val="clear" w:color="auto" w:fill="FFFFFF"/>
              </w:rPr>
              <w:t>A TDD can be used to send text over the phone.</w:t>
            </w:r>
          </w:p>
        </w:tc>
      </w:tr>
      <w:tr w:rsidR="00C47656" w:rsidRPr="00C47656" w14:paraId="0CE1F11D" w14:textId="77777777" w:rsidTr="006D6B60">
        <w:tc>
          <w:tcPr>
            <w:tcW w:w="748" w:type="pct"/>
          </w:tcPr>
          <w:p w14:paraId="0BB10DA0" w14:textId="77777777" w:rsidR="004A409E" w:rsidRPr="00C47656" w:rsidRDefault="004A409E" w:rsidP="00952597">
            <w:pPr>
              <w:spacing w:before="120" w:after="120"/>
              <w:jc w:val="center"/>
              <w:rPr>
                <w:rFonts w:ascii="Verdana" w:hAnsi="Verdana"/>
                <w:b/>
              </w:rPr>
            </w:pPr>
            <w:r w:rsidRPr="00C47656">
              <w:rPr>
                <w:rFonts w:ascii="Verdana" w:hAnsi="Verdana"/>
                <w:b/>
              </w:rPr>
              <w:t>Tech</w:t>
            </w:r>
          </w:p>
        </w:tc>
        <w:tc>
          <w:tcPr>
            <w:tcW w:w="974" w:type="pct"/>
          </w:tcPr>
          <w:p w14:paraId="22647417" w14:textId="77777777" w:rsidR="004A409E" w:rsidRPr="00C47656" w:rsidRDefault="004A409E" w:rsidP="00952597">
            <w:pPr>
              <w:spacing w:before="120" w:after="120"/>
              <w:rPr>
                <w:rFonts w:ascii="Verdana" w:hAnsi="Verdana"/>
                <w:bCs/>
              </w:rPr>
            </w:pPr>
            <w:r w:rsidRPr="00C47656">
              <w:rPr>
                <w:rFonts w:ascii="Verdana" w:hAnsi="Verdana"/>
                <w:bCs/>
              </w:rPr>
              <w:t>Technician</w:t>
            </w:r>
          </w:p>
        </w:tc>
        <w:tc>
          <w:tcPr>
            <w:tcW w:w="3278" w:type="pct"/>
            <w:gridSpan w:val="2"/>
          </w:tcPr>
          <w:p w14:paraId="0ED1421C" w14:textId="79CA2699" w:rsidR="004A409E" w:rsidRPr="00C47656" w:rsidRDefault="004A409E" w:rsidP="00952597">
            <w:pPr>
              <w:spacing w:before="120" w:after="120"/>
              <w:rPr>
                <w:rFonts w:ascii="Verdana" w:hAnsi="Verdana"/>
              </w:rPr>
            </w:pPr>
            <w:r w:rsidRPr="00C47656">
              <w:rPr>
                <w:rFonts w:ascii="Verdana" w:hAnsi="Verdana"/>
              </w:rPr>
              <w:t>A Pharmacy Technician.</w:t>
            </w:r>
          </w:p>
        </w:tc>
      </w:tr>
      <w:tr w:rsidR="00C47656" w:rsidRPr="00C47656" w14:paraId="5A5FE272" w14:textId="77777777" w:rsidTr="006D6B60">
        <w:trPr>
          <w:trHeight w:val="675"/>
        </w:trPr>
        <w:tc>
          <w:tcPr>
            <w:tcW w:w="748" w:type="pct"/>
            <w:vMerge w:val="restart"/>
          </w:tcPr>
          <w:p w14:paraId="52EB8DD9" w14:textId="77777777" w:rsidR="005C29FA" w:rsidRPr="00C47656" w:rsidRDefault="005C29FA" w:rsidP="00952597">
            <w:pPr>
              <w:spacing w:before="120" w:after="120"/>
              <w:jc w:val="center"/>
              <w:rPr>
                <w:rFonts w:ascii="Verdana" w:hAnsi="Verdana"/>
                <w:b/>
              </w:rPr>
            </w:pPr>
            <w:r w:rsidRPr="00C47656">
              <w:rPr>
                <w:rFonts w:ascii="Verdana" w:hAnsi="Verdana"/>
                <w:b/>
              </w:rPr>
              <w:t>TEE</w:t>
            </w:r>
          </w:p>
        </w:tc>
        <w:tc>
          <w:tcPr>
            <w:tcW w:w="974" w:type="pct"/>
            <w:vMerge w:val="restart"/>
          </w:tcPr>
          <w:p w14:paraId="31AD8D08" w14:textId="77777777" w:rsidR="005C29FA" w:rsidRPr="00C47656" w:rsidRDefault="005C29FA" w:rsidP="00952597">
            <w:pPr>
              <w:spacing w:before="120" w:after="120"/>
              <w:rPr>
                <w:rFonts w:ascii="Verdana" w:hAnsi="Verdana"/>
                <w:bCs/>
              </w:rPr>
            </w:pPr>
            <w:r w:rsidRPr="00C47656">
              <w:rPr>
                <w:rFonts w:ascii="Verdana" w:hAnsi="Verdana"/>
                <w:bCs/>
              </w:rPr>
              <w:t>Therapeutic Equivalence Evaluation Codes</w:t>
            </w:r>
          </w:p>
        </w:tc>
        <w:tc>
          <w:tcPr>
            <w:tcW w:w="3278" w:type="pct"/>
            <w:gridSpan w:val="2"/>
            <w:tcBorders>
              <w:bottom w:val="single" w:sz="4" w:space="0" w:color="auto"/>
            </w:tcBorders>
          </w:tcPr>
          <w:p w14:paraId="6A084585" w14:textId="2FFE3852" w:rsidR="005C29FA" w:rsidRPr="00C47656" w:rsidRDefault="005C29FA" w:rsidP="00952597">
            <w:pPr>
              <w:spacing w:before="120" w:after="120"/>
              <w:rPr>
                <w:rFonts w:ascii="Verdana" w:hAnsi="Verdana"/>
              </w:rPr>
            </w:pPr>
            <w:r w:rsidRPr="00C47656">
              <w:rPr>
                <w:rFonts w:ascii="Verdana" w:hAnsi="Verdana"/>
                <w:iCs/>
              </w:rPr>
              <w:t>TEE Codes beginning with “A” (except “A1” and “A2”) indicate drug products that are therapeutically equivalent to other pharmaceutically equivalent products</w:t>
            </w:r>
            <w:r w:rsidR="005A0AB8" w:rsidRPr="00C47656">
              <w:rPr>
                <w:rFonts w:ascii="Verdana" w:hAnsi="Verdana"/>
                <w:iCs/>
              </w:rPr>
              <w:t xml:space="preserve">. </w:t>
            </w:r>
            <w:r w:rsidRPr="00C47656">
              <w:rPr>
                <w:rFonts w:ascii="Verdana" w:hAnsi="Verdana"/>
                <w:iCs/>
              </w:rPr>
              <w:t xml:space="preserve">Products with an “A” code are generally considered interchangeable with pharmaceutically equivalent drug products, subject to individual state regulations governing product substitution. </w:t>
            </w:r>
          </w:p>
        </w:tc>
      </w:tr>
      <w:tr w:rsidR="00C47656" w:rsidRPr="00C47656" w14:paraId="4A35D63B" w14:textId="77777777" w:rsidTr="006D6B60">
        <w:trPr>
          <w:trHeight w:val="449"/>
        </w:trPr>
        <w:tc>
          <w:tcPr>
            <w:tcW w:w="748" w:type="pct"/>
            <w:vMerge/>
          </w:tcPr>
          <w:p w14:paraId="1175D2B5" w14:textId="77777777" w:rsidR="005C29FA" w:rsidRPr="00C47656" w:rsidRDefault="005C29FA" w:rsidP="005A0AB8">
            <w:pPr>
              <w:spacing w:before="120" w:after="120"/>
              <w:jc w:val="center"/>
              <w:rPr>
                <w:rFonts w:ascii="Verdana" w:hAnsi="Verdana"/>
                <w:b/>
              </w:rPr>
            </w:pPr>
            <w:bookmarkStart w:id="7" w:name="_Hlk125368009"/>
            <w:bookmarkStart w:id="8" w:name="_Hlk125367612"/>
          </w:p>
        </w:tc>
        <w:tc>
          <w:tcPr>
            <w:tcW w:w="974" w:type="pct"/>
            <w:vMerge/>
          </w:tcPr>
          <w:p w14:paraId="702124CB" w14:textId="77777777" w:rsidR="005C29FA" w:rsidRPr="00C47656" w:rsidRDefault="005C29FA" w:rsidP="005A0AB8">
            <w:pPr>
              <w:spacing w:before="120" w:after="120"/>
              <w:rPr>
                <w:rFonts w:ascii="Verdana" w:hAnsi="Verdana"/>
                <w:bCs/>
              </w:rPr>
            </w:pPr>
          </w:p>
        </w:tc>
        <w:tc>
          <w:tcPr>
            <w:tcW w:w="74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7AD147" w14:textId="0E9692A5" w:rsidR="005C29FA" w:rsidRPr="00C47656" w:rsidRDefault="005C29FA" w:rsidP="00952597">
            <w:pPr>
              <w:spacing w:before="120" w:after="120"/>
              <w:jc w:val="center"/>
              <w:rPr>
                <w:rFonts w:ascii="Verdana" w:hAnsi="Verdana"/>
                <w:iCs/>
              </w:rPr>
            </w:pPr>
            <w:r w:rsidRPr="00C47656">
              <w:rPr>
                <w:rFonts w:ascii="Verdana" w:hAnsi="Verdana" w:cs="Arial"/>
                <w:b/>
                <w:bCs/>
              </w:rPr>
              <w:t>Code</w:t>
            </w:r>
          </w:p>
        </w:tc>
        <w:tc>
          <w:tcPr>
            <w:tcW w:w="2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8D850B" w14:textId="41846C2E" w:rsidR="005C29FA" w:rsidRPr="00C47656" w:rsidRDefault="005C29FA" w:rsidP="00952597">
            <w:pPr>
              <w:spacing w:before="120" w:after="120"/>
              <w:jc w:val="center"/>
              <w:rPr>
                <w:rFonts w:ascii="Verdana" w:hAnsi="Verdana"/>
                <w:iCs/>
              </w:rPr>
            </w:pPr>
            <w:r w:rsidRPr="00C47656">
              <w:rPr>
                <w:rFonts w:ascii="Verdana" w:hAnsi="Verdana" w:cs="Arial"/>
                <w:b/>
              </w:rPr>
              <w:t>Description</w:t>
            </w:r>
          </w:p>
        </w:tc>
      </w:tr>
      <w:tr w:rsidR="00C47656" w:rsidRPr="00C47656" w14:paraId="38366D3E" w14:textId="77777777" w:rsidTr="006D6B60">
        <w:trPr>
          <w:trHeight w:val="675"/>
        </w:trPr>
        <w:tc>
          <w:tcPr>
            <w:tcW w:w="748" w:type="pct"/>
            <w:vMerge/>
          </w:tcPr>
          <w:p w14:paraId="2D00418E" w14:textId="77777777" w:rsidR="005C29FA" w:rsidRPr="00C47656" w:rsidRDefault="005C29FA" w:rsidP="005A0AB8">
            <w:pPr>
              <w:spacing w:before="120" w:after="120"/>
              <w:jc w:val="center"/>
              <w:rPr>
                <w:rFonts w:ascii="Verdana" w:hAnsi="Verdana"/>
                <w:b/>
              </w:rPr>
            </w:pPr>
          </w:p>
        </w:tc>
        <w:tc>
          <w:tcPr>
            <w:tcW w:w="974" w:type="pct"/>
            <w:vMerge/>
          </w:tcPr>
          <w:p w14:paraId="7DDFAD56" w14:textId="77777777" w:rsidR="005C29FA" w:rsidRPr="00C47656" w:rsidRDefault="005C29FA" w:rsidP="005A0AB8">
            <w:pPr>
              <w:spacing w:before="120" w:after="120"/>
              <w:rPr>
                <w:rFonts w:ascii="Verdana" w:hAnsi="Verdana"/>
                <w:bCs/>
              </w:rPr>
            </w:pPr>
          </w:p>
        </w:tc>
        <w:tc>
          <w:tcPr>
            <w:tcW w:w="748" w:type="pct"/>
            <w:tcBorders>
              <w:top w:val="single" w:sz="4" w:space="0" w:color="auto"/>
              <w:left w:val="single" w:sz="4" w:space="0" w:color="auto"/>
              <w:bottom w:val="single" w:sz="4" w:space="0" w:color="auto"/>
              <w:right w:val="single" w:sz="4" w:space="0" w:color="auto"/>
            </w:tcBorders>
          </w:tcPr>
          <w:p w14:paraId="0909CAC2" w14:textId="1036E8F2" w:rsidR="005C29FA" w:rsidRPr="00C47656" w:rsidRDefault="005C29FA" w:rsidP="00952597">
            <w:pPr>
              <w:spacing w:before="120" w:after="120"/>
              <w:jc w:val="center"/>
              <w:rPr>
                <w:rFonts w:ascii="Verdana" w:hAnsi="Verdana"/>
                <w:iCs/>
              </w:rPr>
            </w:pPr>
            <w:r w:rsidRPr="00C47656">
              <w:rPr>
                <w:rFonts w:ascii="Verdana" w:hAnsi="Verdana" w:cs="Arial"/>
                <w:b/>
              </w:rPr>
              <w:t>AA</w:t>
            </w:r>
          </w:p>
        </w:tc>
        <w:tc>
          <w:tcPr>
            <w:tcW w:w="2530" w:type="pct"/>
            <w:tcBorders>
              <w:top w:val="single" w:sz="4" w:space="0" w:color="auto"/>
              <w:left w:val="single" w:sz="4" w:space="0" w:color="auto"/>
              <w:bottom w:val="single" w:sz="4" w:space="0" w:color="auto"/>
              <w:right w:val="single" w:sz="4" w:space="0" w:color="auto"/>
            </w:tcBorders>
          </w:tcPr>
          <w:p w14:paraId="57B43A89" w14:textId="2593434A" w:rsidR="005C29FA" w:rsidRPr="00C47656" w:rsidRDefault="005C29FA" w:rsidP="00952597">
            <w:pPr>
              <w:spacing w:before="120" w:after="120"/>
              <w:rPr>
                <w:rFonts w:ascii="Verdana" w:hAnsi="Verdana"/>
                <w:iCs/>
              </w:rPr>
            </w:pPr>
            <w:r w:rsidRPr="00C47656">
              <w:rPr>
                <w:rFonts w:ascii="Verdana" w:hAnsi="Verdana" w:cs="Arial"/>
              </w:rPr>
              <w:t>Products having no bioequivalence problems in conventional dosage forms</w:t>
            </w:r>
          </w:p>
        </w:tc>
      </w:tr>
      <w:bookmarkEnd w:id="7"/>
      <w:tr w:rsidR="00C47656" w:rsidRPr="00C47656" w14:paraId="5111E3AE" w14:textId="77777777" w:rsidTr="006D6B60">
        <w:trPr>
          <w:trHeight w:val="675"/>
        </w:trPr>
        <w:tc>
          <w:tcPr>
            <w:tcW w:w="748" w:type="pct"/>
            <w:vMerge/>
          </w:tcPr>
          <w:p w14:paraId="4899D660" w14:textId="77777777" w:rsidR="005C29FA" w:rsidRPr="00C47656" w:rsidRDefault="005C29FA" w:rsidP="005A0AB8">
            <w:pPr>
              <w:spacing w:before="120" w:after="120"/>
              <w:jc w:val="center"/>
              <w:rPr>
                <w:rFonts w:ascii="Verdana" w:hAnsi="Verdana"/>
                <w:b/>
              </w:rPr>
            </w:pPr>
          </w:p>
        </w:tc>
        <w:tc>
          <w:tcPr>
            <w:tcW w:w="974" w:type="pct"/>
            <w:vMerge/>
          </w:tcPr>
          <w:p w14:paraId="50C1F2C5" w14:textId="77777777" w:rsidR="005C29FA" w:rsidRPr="00C47656" w:rsidRDefault="005C29FA" w:rsidP="005A0AB8">
            <w:pPr>
              <w:spacing w:before="120" w:after="120"/>
              <w:rPr>
                <w:rFonts w:ascii="Verdana" w:hAnsi="Verdana"/>
                <w:bCs/>
              </w:rPr>
            </w:pPr>
          </w:p>
        </w:tc>
        <w:tc>
          <w:tcPr>
            <w:tcW w:w="748" w:type="pct"/>
            <w:tcBorders>
              <w:top w:val="single" w:sz="4" w:space="0" w:color="auto"/>
              <w:left w:val="single" w:sz="4" w:space="0" w:color="auto"/>
              <w:bottom w:val="single" w:sz="4" w:space="0" w:color="auto"/>
              <w:right w:val="single" w:sz="4" w:space="0" w:color="auto"/>
            </w:tcBorders>
          </w:tcPr>
          <w:p w14:paraId="3B8B5DDD" w14:textId="1D892A47" w:rsidR="005C29FA" w:rsidRPr="00C47656" w:rsidRDefault="005C29FA" w:rsidP="00952597">
            <w:pPr>
              <w:spacing w:before="120" w:after="120"/>
              <w:jc w:val="center"/>
              <w:rPr>
                <w:rFonts w:ascii="Verdana" w:hAnsi="Verdana"/>
                <w:iCs/>
              </w:rPr>
            </w:pPr>
            <w:r w:rsidRPr="00C47656">
              <w:rPr>
                <w:rFonts w:ascii="Verdana" w:hAnsi="Verdana" w:cs="Arial"/>
                <w:b/>
              </w:rPr>
              <w:t>AB</w:t>
            </w:r>
          </w:p>
        </w:tc>
        <w:tc>
          <w:tcPr>
            <w:tcW w:w="2530" w:type="pct"/>
            <w:tcBorders>
              <w:top w:val="single" w:sz="4" w:space="0" w:color="auto"/>
              <w:left w:val="single" w:sz="4" w:space="0" w:color="auto"/>
              <w:bottom w:val="single" w:sz="4" w:space="0" w:color="auto"/>
              <w:right w:val="single" w:sz="4" w:space="0" w:color="auto"/>
            </w:tcBorders>
          </w:tcPr>
          <w:p w14:paraId="6C9CA925" w14:textId="3227A8B5" w:rsidR="005C29FA" w:rsidRPr="00C47656" w:rsidRDefault="005C29FA" w:rsidP="00952597">
            <w:pPr>
              <w:spacing w:before="120" w:after="120"/>
              <w:rPr>
                <w:rFonts w:ascii="Verdana" w:hAnsi="Verdana"/>
                <w:iCs/>
              </w:rPr>
            </w:pPr>
            <w:r w:rsidRPr="00C47656">
              <w:rPr>
                <w:rFonts w:ascii="Verdana" w:hAnsi="Verdana" w:cs="Arial"/>
              </w:rPr>
              <w:t>Products meeting necessary bioequivalence requirements</w:t>
            </w:r>
          </w:p>
        </w:tc>
      </w:tr>
      <w:tr w:rsidR="00C47656" w:rsidRPr="00C47656" w14:paraId="6A6A3B20" w14:textId="77777777" w:rsidTr="006D6B60">
        <w:trPr>
          <w:trHeight w:val="675"/>
        </w:trPr>
        <w:tc>
          <w:tcPr>
            <w:tcW w:w="748" w:type="pct"/>
            <w:vMerge/>
          </w:tcPr>
          <w:p w14:paraId="3A9CBF27" w14:textId="77777777" w:rsidR="005C29FA" w:rsidRPr="00C47656" w:rsidRDefault="005C29FA" w:rsidP="005A0AB8">
            <w:pPr>
              <w:spacing w:before="120" w:after="120"/>
              <w:jc w:val="center"/>
              <w:rPr>
                <w:rFonts w:ascii="Verdana" w:hAnsi="Verdana"/>
                <w:b/>
              </w:rPr>
            </w:pPr>
          </w:p>
        </w:tc>
        <w:tc>
          <w:tcPr>
            <w:tcW w:w="974" w:type="pct"/>
            <w:vMerge/>
          </w:tcPr>
          <w:p w14:paraId="2A5DFFBB" w14:textId="77777777" w:rsidR="005C29FA" w:rsidRPr="00C47656" w:rsidRDefault="005C29FA" w:rsidP="005A0AB8">
            <w:pPr>
              <w:spacing w:before="120" w:after="120"/>
              <w:rPr>
                <w:rFonts w:ascii="Verdana" w:hAnsi="Verdana"/>
                <w:bCs/>
              </w:rPr>
            </w:pPr>
          </w:p>
        </w:tc>
        <w:tc>
          <w:tcPr>
            <w:tcW w:w="748" w:type="pct"/>
            <w:tcBorders>
              <w:top w:val="single" w:sz="4" w:space="0" w:color="auto"/>
              <w:left w:val="single" w:sz="4" w:space="0" w:color="auto"/>
              <w:bottom w:val="single" w:sz="4" w:space="0" w:color="auto"/>
              <w:right w:val="single" w:sz="4" w:space="0" w:color="auto"/>
            </w:tcBorders>
          </w:tcPr>
          <w:p w14:paraId="73286420" w14:textId="367FE319" w:rsidR="005C29FA" w:rsidRPr="00C47656" w:rsidRDefault="005C29FA" w:rsidP="00952597">
            <w:pPr>
              <w:spacing w:before="120" w:after="120"/>
              <w:jc w:val="center"/>
              <w:rPr>
                <w:rFonts w:ascii="Verdana" w:hAnsi="Verdana"/>
                <w:iCs/>
              </w:rPr>
            </w:pPr>
            <w:r w:rsidRPr="00C47656">
              <w:rPr>
                <w:rFonts w:ascii="Verdana" w:hAnsi="Verdana" w:cs="Arial"/>
                <w:b/>
              </w:rPr>
              <w:t>AN</w:t>
            </w:r>
          </w:p>
        </w:tc>
        <w:tc>
          <w:tcPr>
            <w:tcW w:w="2530" w:type="pct"/>
            <w:tcBorders>
              <w:top w:val="single" w:sz="4" w:space="0" w:color="auto"/>
              <w:left w:val="single" w:sz="4" w:space="0" w:color="auto"/>
              <w:bottom w:val="single" w:sz="4" w:space="0" w:color="auto"/>
              <w:right w:val="single" w:sz="4" w:space="0" w:color="auto"/>
            </w:tcBorders>
          </w:tcPr>
          <w:p w14:paraId="6F960C7E" w14:textId="63380A86" w:rsidR="005C29FA" w:rsidRPr="00C47656" w:rsidRDefault="005C29FA" w:rsidP="00952597">
            <w:pPr>
              <w:spacing w:before="120" w:after="120"/>
              <w:rPr>
                <w:rFonts w:ascii="Verdana" w:hAnsi="Verdana"/>
                <w:iCs/>
              </w:rPr>
            </w:pPr>
            <w:r w:rsidRPr="00C47656">
              <w:rPr>
                <w:rFonts w:ascii="Verdana" w:hAnsi="Verdana" w:cs="Arial"/>
              </w:rPr>
              <w:t>Solutions and powders for aerosolization</w:t>
            </w:r>
          </w:p>
        </w:tc>
      </w:tr>
      <w:tr w:rsidR="00C47656" w:rsidRPr="00C47656" w14:paraId="45901255" w14:textId="77777777" w:rsidTr="006D6B60">
        <w:trPr>
          <w:trHeight w:val="675"/>
        </w:trPr>
        <w:tc>
          <w:tcPr>
            <w:tcW w:w="748" w:type="pct"/>
            <w:vMerge/>
          </w:tcPr>
          <w:p w14:paraId="4351F9AB" w14:textId="77777777" w:rsidR="005C29FA" w:rsidRPr="00C47656" w:rsidRDefault="005C29FA" w:rsidP="005A0AB8">
            <w:pPr>
              <w:spacing w:before="120" w:after="120"/>
              <w:jc w:val="center"/>
              <w:rPr>
                <w:rFonts w:ascii="Verdana" w:hAnsi="Verdana"/>
                <w:b/>
              </w:rPr>
            </w:pPr>
          </w:p>
        </w:tc>
        <w:tc>
          <w:tcPr>
            <w:tcW w:w="974" w:type="pct"/>
            <w:vMerge/>
          </w:tcPr>
          <w:p w14:paraId="3AE3E78B" w14:textId="77777777" w:rsidR="005C29FA" w:rsidRPr="00C47656" w:rsidRDefault="005C29FA" w:rsidP="005A0AB8">
            <w:pPr>
              <w:spacing w:before="120" w:after="120"/>
              <w:rPr>
                <w:rFonts w:ascii="Verdana" w:hAnsi="Verdana"/>
                <w:bCs/>
              </w:rPr>
            </w:pPr>
          </w:p>
        </w:tc>
        <w:tc>
          <w:tcPr>
            <w:tcW w:w="748" w:type="pct"/>
            <w:tcBorders>
              <w:top w:val="single" w:sz="4" w:space="0" w:color="auto"/>
              <w:left w:val="single" w:sz="4" w:space="0" w:color="auto"/>
              <w:bottom w:val="single" w:sz="4" w:space="0" w:color="auto"/>
              <w:right w:val="single" w:sz="4" w:space="0" w:color="auto"/>
            </w:tcBorders>
          </w:tcPr>
          <w:p w14:paraId="543691D7" w14:textId="77F8ABB7" w:rsidR="005C29FA" w:rsidRPr="00C47656" w:rsidRDefault="005C29FA" w:rsidP="00952597">
            <w:pPr>
              <w:spacing w:before="120" w:after="120"/>
              <w:jc w:val="center"/>
              <w:rPr>
                <w:rFonts w:ascii="Verdana" w:hAnsi="Verdana"/>
                <w:iCs/>
              </w:rPr>
            </w:pPr>
            <w:r w:rsidRPr="00C47656">
              <w:rPr>
                <w:rFonts w:ascii="Verdana" w:hAnsi="Verdana" w:cs="Arial"/>
                <w:b/>
              </w:rPr>
              <w:t>AO</w:t>
            </w:r>
          </w:p>
        </w:tc>
        <w:tc>
          <w:tcPr>
            <w:tcW w:w="2530" w:type="pct"/>
            <w:tcBorders>
              <w:top w:val="single" w:sz="4" w:space="0" w:color="auto"/>
              <w:left w:val="single" w:sz="4" w:space="0" w:color="auto"/>
              <w:bottom w:val="single" w:sz="4" w:space="0" w:color="auto"/>
              <w:right w:val="single" w:sz="4" w:space="0" w:color="auto"/>
            </w:tcBorders>
          </w:tcPr>
          <w:p w14:paraId="4C85D6D9" w14:textId="19E0810C" w:rsidR="005C29FA" w:rsidRPr="00C47656" w:rsidRDefault="005C29FA" w:rsidP="00952597">
            <w:pPr>
              <w:spacing w:before="120" w:after="120"/>
              <w:rPr>
                <w:rFonts w:ascii="Verdana" w:hAnsi="Verdana"/>
                <w:iCs/>
              </w:rPr>
            </w:pPr>
            <w:r w:rsidRPr="00C47656">
              <w:rPr>
                <w:rFonts w:ascii="Verdana" w:hAnsi="Verdana" w:cs="Arial"/>
              </w:rPr>
              <w:t>Injectable oil solutions (same concentration and vehicle)</w:t>
            </w:r>
          </w:p>
        </w:tc>
      </w:tr>
      <w:tr w:rsidR="00C47656" w:rsidRPr="00C47656" w14:paraId="49660AAA" w14:textId="77777777" w:rsidTr="006D6B60">
        <w:trPr>
          <w:trHeight w:val="675"/>
        </w:trPr>
        <w:tc>
          <w:tcPr>
            <w:tcW w:w="748" w:type="pct"/>
            <w:vMerge/>
          </w:tcPr>
          <w:p w14:paraId="319AE3D5" w14:textId="77777777" w:rsidR="005C29FA" w:rsidRPr="00C47656" w:rsidRDefault="005C29FA" w:rsidP="005A0AB8">
            <w:pPr>
              <w:spacing w:before="120" w:after="120"/>
              <w:jc w:val="center"/>
              <w:rPr>
                <w:rFonts w:ascii="Verdana" w:hAnsi="Verdana"/>
                <w:b/>
              </w:rPr>
            </w:pPr>
          </w:p>
        </w:tc>
        <w:tc>
          <w:tcPr>
            <w:tcW w:w="974" w:type="pct"/>
            <w:vMerge/>
          </w:tcPr>
          <w:p w14:paraId="1E232B36" w14:textId="77777777" w:rsidR="005C29FA" w:rsidRPr="00C47656" w:rsidRDefault="005C29FA" w:rsidP="005A0AB8">
            <w:pPr>
              <w:spacing w:before="120" w:after="120"/>
              <w:rPr>
                <w:rFonts w:ascii="Verdana" w:hAnsi="Verdana"/>
                <w:bCs/>
              </w:rPr>
            </w:pPr>
          </w:p>
        </w:tc>
        <w:tc>
          <w:tcPr>
            <w:tcW w:w="748" w:type="pct"/>
            <w:tcBorders>
              <w:top w:val="single" w:sz="4" w:space="0" w:color="auto"/>
              <w:left w:val="single" w:sz="4" w:space="0" w:color="auto"/>
              <w:bottom w:val="single" w:sz="4" w:space="0" w:color="auto"/>
              <w:right w:val="single" w:sz="4" w:space="0" w:color="auto"/>
            </w:tcBorders>
          </w:tcPr>
          <w:p w14:paraId="463D7F5F" w14:textId="54C35CAF" w:rsidR="005C29FA" w:rsidRPr="00C47656" w:rsidRDefault="005C29FA" w:rsidP="00952597">
            <w:pPr>
              <w:spacing w:before="120" w:after="120"/>
              <w:jc w:val="center"/>
              <w:rPr>
                <w:rFonts w:ascii="Verdana" w:hAnsi="Verdana"/>
                <w:iCs/>
              </w:rPr>
            </w:pPr>
            <w:r w:rsidRPr="00C47656">
              <w:rPr>
                <w:rFonts w:ascii="Verdana" w:hAnsi="Verdana" w:cs="Arial"/>
                <w:b/>
              </w:rPr>
              <w:t>AP</w:t>
            </w:r>
          </w:p>
        </w:tc>
        <w:tc>
          <w:tcPr>
            <w:tcW w:w="2530" w:type="pct"/>
            <w:tcBorders>
              <w:top w:val="single" w:sz="4" w:space="0" w:color="auto"/>
              <w:left w:val="single" w:sz="4" w:space="0" w:color="auto"/>
              <w:bottom w:val="single" w:sz="4" w:space="0" w:color="auto"/>
              <w:right w:val="single" w:sz="4" w:space="0" w:color="auto"/>
            </w:tcBorders>
          </w:tcPr>
          <w:p w14:paraId="404C47AA" w14:textId="65C78FAC" w:rsidR="005C29FA" w:rsidRPr="00C47656" w:rsidRDefault="005C29FA" w:rsidP="00952597">
            <w:pPr>
              <w:spacing w:before="120" w:after="120"/>
              <w:rPr>
                <w:rFonts w:ascii="Verdana" w:hAnsi="Verdana"/>
                <w:iCs/>
              </w:rPr>
            </w:pPr>
            <w:r w:rsidRPr="00C47656">
              <w:rPr>
                <w:rFonts w:ascii="Verdana" w:hAnsi="Verdana" w:cs="Arial"/>
              </w:rPr>
              <w:t>Injectable aqueous solutions</w:t>
            </w:r>
          </w:p>
        </w:tc>
      </w:tr>
      <w:tr w:rsidR="00C47656" w:rsidRPr="00C47656" w14:paraId="543E361F" w14:textId="77777777" w:rsidTr="006D6B60">
        <w:trPr>
          <w:trHeight w:val="675"/>
        </w:trPr>
        <w:tc>
          <w:tcPr>
            <w:tcW w:w="748" w:type="pct"/>
            <w:vMerge/>
          </w:tcPr>
          <w:p w14:paraId="3453774C" w14:textId="77777777" w:rsidR="005C29FA" w:rsidRPr="00C47656" w:rsidRDefault="005C29FA" w:rsidP="005A0AB8">
            <w:pPr>
              <w:spacing w:before="120" w:after="120"/>
              <w:jc w:val="center"/>
              <w:rPr>
                <w:rFonts w:ascii="Verdana" w:hAnsi="Verdana"/>
                <w:b/>
              </w:rPr>
            </w:pPr>
          </w:p>
        </w:tc>
        <w:tc>
          <w:tcPr>
            <w:tcW w:w="974" w:type="pct"/>
            <w:vMerge/>
          </w:tcPr>
          <w:p w14:paraId="01147D2C" w14:textId="77777777" w:rsidR="005C29FA" w:rsidRPr="00C47656" w:rsidRDefault="005C29FA" w:rsidP="005A0AB8">
            <w:pPr>
              <w:spacing w:before="120" w:after="120"/>
              <w:rPr>
                <w:rFonts w:ascii="Verdana" w:hAnsi="Verdana"/>
                <w:bCs/>
              </w:rPr>
            </w:pPr>
          </w:p>
        </w:tc>
        <w:tc>
          <w:tcPr>
            <w:tcW w:w="748" w:type="pct"/>
            <w:tcBorders>
              <w:top w:val="single" w:sz="4" w:space="0" w:color="auto"/>
              <w:left w:val="single" w:sz="4" w:space="0" w:color="auto"/>
              <w:bottom w:val="single" w:sz="4" w:space="0" w:color="auto"/>
              <w:right w:val="single" w:sz="4" w:space="0" w:color="auto"/>
            </w:tcBorders>
          </w:tcPr>
          <w:p w14:paraId="0A12BD4E" w14:textId="33DF9B1E" w:rsidR="005C29FA" w:rsidRPr="00C47656" w:rsidRDefault="005C29FA" w:rsidP="00952597">
            <w:pPr>
              <w:spacing w:before="120" w:after="120"/>
              <w:jc w:val="center"/>
              <w:rPr>
                <w:rFonts w:ascii="Verdana" w:hAnsi="Verdana"/>
                <w:iCs/>
              </w:rPr>
            </w:pPr>
            <w:r w:rsidRPr="00C47656">
              <w:rPr>
                <w:rFonts w:ascii="Verdana" w:hAnsi="Verdana" w:cs="Arial"/>
                <w:b/>
              </w:rPr>
              <w:t>AT</w:t>
            </w:r>
          </w:p>
        </w:tc>
        <w:tc>
          <w:tcPr>
            <w:tcW w:w="2530" w:type="pct"/>
            <w:tcBorders>
              <w:top w:val="single" w:sz="4" w:space="0" w:color="auto"/>
              <w:left w:val="single" w:sz="4" w:space="0" w:color="auto"/>
              <w:bottom w:val="single" w:sz="4" w:space="0" w:color="auto"/>
              <w:right w:val="single" w:sz="4" w:space="0" w:color="auto"/>
            </w:tcBorders>
          </w:tcPr>
          <w:p w14:paraId="0BF51549" w14:textId="244E9B60" w:rsidR="005C29FA" w:rsidRPr="00C47656" w:rsidRDefault="005C29FA" w:rsidP="00952597">
            <w:pPr>
              <w:spacing w:before="120" w:after="120"/>
              <w:rPr>
                <w:rFonts w:ascii="Verdana" w:hAnsi="Verdana"/>
                <w:iCs/>
              </w:rPr>
            </w:pPr>
            <w:r w:rsidRPr="00C47656">
              <w:rPr>
                <w:rFonts w:ascii="Verdana" w:hAnsi="Verdana" w:cs="Arial"/>
              </w:rPr>
              <w:t>Topical products</w:t>
            </w:r>
          </w:p>
        </w:tc>
      </w:tr>
      <w:tr w:rsidR="00C47656" w:rsidRPr="00C47656" w14:paraId="67CB494B" w14:textId="77777777" w:rsidTr="006D6B60">
        <w:trPr>
          <w:trHeight w:val="675"/>
        </w:trPr>
        <w:tc>
          <w:tcPr>
            <w:tcW w:w="748" w:type="pct"/>
            <w:vMerge/>
          </w:tcPr>
          <w:p w14:paraId="7A6B1E77" w14:textId="77777777" w:rsidR="005C29FA" w:rsidRPr="00C47656" w:rsidRDefault="005C29FA" w:rsidP="005A0AB8">
            <w:pPr>
              <w:spacing w:before="120" w:after="120"/>
              <w:jc w:val="center"/>
              <w:rPr>
                <w:rFonts w:ascii="Verdana" w:hAnsi="Verdana"/>
                <w:b/>
              </w:rPr>
            </w:pPr>
          </w:p>
        </w:tc>
        <w:tc>
          <w:tcPr>
            <w:tcW w:w="974" w:type="pct"/>
            <w:vMerge/>
          </w:tcPr>
          <w:p w14:paraId="7A7CA4CD" w14:textId="77777777" w:rsidR="005C29FA" w:rsidRPr="00C47656" w:rsidRDefault="005C29FA" w:rsidP="005A0AB8">
            <w:pPr>
              <w:spacing w:before="120" w:after="120"/>
              <w:rPr>
                <w:rFonts w:ascii="Verdana" w:hAnsi="Verdana"/>
                <w:bCs/>
              </w:rPr>
            </w:pPr>
          </w:p>
        </w:tc>
        <w:tc>
          <w:tcPr>
            <w:tcW w:w="748" w:type="pct"/>
            <w:tcBorders>
              <w:top w:val="single" w:sz="4" w:space="0" w:color="auto"/>
              <w:left w:val="single" w:sz="4" w:space="0" w:color="auto"/>
              <w:bottom w:val="single" w:sz="4" w:space="0" w:color="auto"/>
              <w:right w:val="single" w:sz="4" w:space="0" w:color="auto"/>
            </w:tcBorders>
          </w:tcPr>
          <w:p w14:paraId="1ACB4A21" w14:textId="76AB84AB" w:rsidR="005C29FA" w:rsidRPr="00C47656" w:rsidRDefault="005C29FA" w:rsidP="00952597">
            <w:pPr>
              <w:spacing w:before="120" w:after="120"/>
              <w:jc w:val="center"/>
              <w:rPr>
                <w:rFonts w:ascii="Verdana" w:hAnsi="Verdana"/>
                <w:iCs/>
              </w:rPr>
            </w:pPr>
            <w:r w:rsidRPr="00C47656">
              <w:rPr>
                <w:rFonts w:ascii="Verdana" w:hAnsi="Verdana" w:cs="Arial"/>
                <w:b/>
              </w:rPr>
              <w:t>A1</w:t>
            </w:r>
          </w:p>
        </w:tc>
        <w:tc>
          <w:tcPr>
            <w:tcW w:w="2530" w:type="pct"/>
            <w:tcBorders>
              <w:top w:val="single" w:sz="4" w:space="0" w:color="auto"/>
              <w:left w:val="single" w:sz="4" w:space="0" w:color="auto"/>
              <w:bottom w:val="single" w:sz="4" w:space="0" w:color="auto"/>
              <w:right w:val="single" w:sz="4" w:space="0" w:color="auto"/>
            </w:tcBorders>
          </w:tcPr>
          <w:p w14:paraId="03E79EFF" w14:textId="2D0D894F" w:rsidR="005C29FA" w:rsidRPr="00C47656" w:rsidRDefault="005C29FA" w:rsidP="00952597">
            <w:pPr>
              <w:spacing w:before="120" w:after="120"/>
              <w:rPr>
                <w:rFonts w:ascii="Verdana" w:hAnsi="Verdana"/>
                <w:iCs/>
              </w:rPr>
            </w:pPr>
            <w:r w:rsidRPr="00C47656">
              <w:rPr>
                <w:rFonts w:ascii="Verdana" w:hAnsi="Verdana" w:cs="Arial"/>
              </w:rPr>
              <w:t xml:space="preserve">Equivalent to </w:t>
            </w:r>
            <w:r w:rsidRPr="00C47656">
              <w:rPr>
                <w:rFonts w:ascii="Verdana" w:hAnsi="Verdana" w:cs="Arial"/>
                <w:iCs/>
              </w:rPr>
              <w:t xml:space="preserve">Orange Book </w:t>
            </w:r>
            <w:r w:rsidRPr="00C47656">
              <w:rPr>
                <w:rFonts w:ascii="Verdana" w:hAnsi="Verdana" w:cs="Arial"/>
              </w:rPr>
              <w:t>value of “AB1.” Products with this code are only equivalent to other products with the same GPI and the same TEE Code.</w:t>
            </w:r>
          </w:p>
        </w:tc>
      </w:tr>
      <w:tr w:rsidR="00C47656" w:rsidRPr="00C47656" w14:paraId="7A53260D" w14:textId="77777777" w:rsidTr="006D6B60">
        <w:trPr>
          <w:trHeight w:val="675"/>
        </w:trPr>
        <w:tc>
          <w:tcPr>
            <w:tcW w:w="748" w:type="pct"/>
            <w:vMerge/>
          </w:tcPr>
          <w:p w14:paraId="69BD595F" w14:textId="77777777" w:rsidR="005C29FA" w:rsidRPr="00C47656" w:rsidRDefault="005C29FA" w:rsidP="005A0AB8">
            <w:pPr>
              <w:spacing w:before="120" w:after="120"/>
              <w:jc w:val="center"/>
              <w:rPr>
                <w:rFonts w:ascii="Verdana" w:hAnsi="Verdana"/>
                <w:b/>
              </w:rPr>
            </w:pPr>
          </w:p>
        </w:tc>
        <w:tc>
          <w:tcPr>
            <w:tcW w:w="974" w:type="pct"/>
            <w:vMerge/>
          </w:tcPr>
          <w:p w14:paraId="201A83A1" w14:textId="77777777" w:rsidR="005C29FA" w:rsidRPr="00C47656" w:rsidRDefault="005C29FA" w:rsidP="005A0AB8">
            <w:pPr>
              <w:spacing w:before="120" w:after="120"/>
              <w:rPr>
                <w:rFonts w:ascii="Verdana" w:hAnsi="Verdana"/>
                <w:bCs/>
              </w:rPr>
            </w:pPr>
          </w:p>
        </w:tc>
        <w:tc>
          <w:tcPr>
            <w:tcW w:w="748" w:type="pct"/>
            <w:tcBorders>
              <w:top w:val="single" w:sz="4" w:space="0" w:color="auto"/>
              <w:left w:val="single" w:sz="4" w:space="0" w:color="auto"/>
              <w:bottom w:val="single" w:sz="4" w:space="0" w:color="auto"/>
              <w:right w:val="single" w:sz="4" w:space="0" w:color="auto"/>
            </w:tcBorders>
          </w:tcPr>
          <w:p w14:paraId="34388377" w14:textId="7B5978D5" w:rsidR="005C29FA" w:rsidRPr="00C47656" w:rsidRDefault="005C29FA" w:rsidP="00952597">
            <w:pPr>
              <w:spacing w:before="120" w:after="120"/>
              <w:jc w:val="center"/>
              <w:rPr>
                <w:rFonts w:ascii="Verdana" w:hAnsi="Verdana"/>
                <w:iCs/>
              </w:rPr>
            </w:pPr>
            <w:r w:rsidRPr="00C47656">
              <w:rPr>
                <w:rFonts w:ascii="Verdana" w:hAnsi="Verdana" w:cs="Arial"/>
                <w:b/>
              </w:rPr>
              <w:t>A2</w:t>
            </w:r>
          </w:p>
        </w:tc>
        <w:tc>
          <w:tcPr>
            <w:tcW w:w="2530" w:type="pct"/>
            <w:tcBorders>
              <w:top w:val="single" w:sz="4" w:space="0" w:color="auto"/>
              <w:left w:val="single" w:sz="4" w:space="0" w:color="auto"/>
              <w:bottom w:val="single" w:sz="4" w:space="0" w:color="auto"/>
              <w:right w:val="single" w:sz="4" w:space="0" w:color="auto"/>
            </w:tcBorders>
          </w:tcPr>
          <w:p w14:paraId="12E8EB91" w14:textId="446993D1" w:rsidR="005C29FA" w:rsidRPr="00C47656" w:rsidRDefault="005C29FA" w:rsidP="00952597">
            <w:pPr>
              <w:spacing w:before="120" w:after="120"/>
              <w:rPr>
                <w:rFonts w:ascii="Verdana" w:hAnsi="Verdana"/>
                <w:iCs/>
              </w:rPr>
            </w:pPr>
            <w:r w:rsidRPr="00C47656">
              <w:rPr>
                <w:rFonts w:ascii="Verdana" w:hAnsi="Verdana" w:cs="Arial"/>
              </w:rPr>
              <w:t xml:space="preserve">Equivalent to </w:t>
            </w:r>
            <w:r w:rsidRPr="00C47656">
              <w:rPr>
                <w:rFonts w:ascii="Verdana" w:hAnsi="Verdana" w:cs="Arial"/>
                <w:iCs/>
              </w:rPr>
              <w:t xml:space="preserve">Orange Book </w:t>
            </w:r>
            <w:r w:rsidRPr="00C47656">
              <w:rPr>
                <w:rFonts w:ascii="Verdana" w:hAnsi="Verdana" w:cs="Arial"/>
              </w:rPr>
              <w:t>value of “AB2.” Products with this code are only equivalent to other products with the same GPI and the same TEE Code.</w:t>
            </w:r>
          </w:p>
          <w:p w14:paraId="77184D1C" w14:textId="21589551" w:rsidR="005C29FA" w:rsidRPr="00C47656" w:rsidRDefault="005C29FA" w:rsidP="00952597">
            <w:pPr>
              <w:spacing w:before="120" w:after="120"/>
              <w:rPr>
                <w:rFonts w:ascii="Verdana" w:hAnsi="Verdana"/>
                <w:iCs/>
              </w:rPr>
            </w:pPr>
            <w:r w:rsidRPr="00C47656">
              <w:rPr>
                <w:rFonts w:ascii="Verdana" w:hAnsi="Verdana" w:cs="Arial"/>
                <w:iCs/>
              </w:rPr>
              <w:t>If the FDA uses TEE Codes greater than “AB2” (such as, “AB3”), then similar two character.</w:t>
            </w:r>
          </w:p>
        </w:tc>
      </w:tr>
      <w:bookmarkEnd w:id="8"/>
      <w:tr w:rsidR="00C47656" w:rsidRPr="00C47656" w14:paraId="71C58D42" w14:textId="77777777" w:rsidTr="006D6B60">
        <w:trPr>
          <w:trHeight w:val="675"/>
        </w:trPr>
        <w:tc>
          <w:tcPr>
            <w:tcW w:w="748" w:type="pct"/>
          </w:tcPr>
          <w:p w14:paraId="518FA159" w14:textId="77777777" w:rsidR="005C29FA" w:rsidRPr="00C47656" w:rsidRDefault="005C29FA" w:rsidP="00952597">
            <w:pPr>
              <w:spacing w:before="120" w:after="120"/>
              <w:jc w:val="center"/>
              <w:rPr>
                <w:rFonts w:ascii="Verdana" w:hAnsi="Verdana"/>
                <w:b/>
              </w:rPr>
            </w:pPr>
            <w:r w:rsidRPr="00C47656">
              <w:rPr>
                <w:rFonts w:ascii="Verdana" w:hAnsi="Verdana"/>
                <w:b/>
              </w:rPr>
              <w:t>TE Tool</w:t>
            </w:r>
          </w:p>
          <w:p w14:paraId="0E2DC261" w14:textId="77777777" w:rsidR="005C29FA" w:rsidRPr="00C47656" w:rsidRDefault="005C29FA" w:rsidP="00952597">
            <w:pPr>
              <w:spacing w:before="120" w:after="120"/>
              <w:jc w:val="center"/>
              <w:rPr>
                <w:rFonts w:ascii="Verdana" w:hAnsi="Verdana"/>
                <w:b/>
              </w:rPr>
            </w:pPr>
            <w:r w:rsidRPr="00C47656">
              <w:rPr>
                <w:noProof/>
              </w:rPr>
              <w:t xml:space="preserve"> </w:t>
            </w:r>
          </w:p>
        </w:tc>
        <w:tc>
          <w:tcPr>
            <w:tcW w:w="974" w:type="pct"/>
          </w:tcPr>
          <w:p w14:paraId="0C86BE0F" w14:textId="77777777" w:rsidR="005C29FA" w:rsidRPr="00C47656" w:rsidRDefault="005C29FA" w:rsidP="00952597">
            <w:pPr>
              <w:spacing w:before="120" w:after="120"/>
              <w:rPr>
                <w:rFonts w:ascii="Verdana" w:hAnsi="Verdana"/>
                <w:bCs/>
                <w:noProof/>
              </w:rPr>
            </w:pPr>
            <w:r w:rsidRPr="00C47656">
              <w:rPr>
                <w:rFonts w:ascii="Verdana" w:hAnsi="Verdana"/>
                <w:bCs/>
                <w:noProof/>
              </w:rPr>
              <w:t>Tier Exception Tool</w:t>
            </w:r>
          </w:p>
          <w:p w14:paraId="28360F7B" w14:textId="77777777" w:rsidR="005C29FA" w:rsidRPr="00C47656" w:rsidDel="00EE63A6" w:rsidRDefault="005C29FA" w:rsidP="00952597">
            <w:pPr>
              <w:spacing w:before="120" w:after="120"/>
              <w:rPr>
                <w:rFonts w:ascii="Verdana" w:hAnsi="Verdana"/>
                <w:bCs/>
                <w:noProof/>
              </w:rPr>
            </w:pPr>
            <w:r w:rsidRPr="00C47656">
              <w:rPr>
                <w:bCs/>
                <w:noProof/>
              </w:rPr>
              <w:t xml:space="preserve"> </w:t>
            </w:r>
          </w:p>
        </w:tc>
        <w:tc>
          <w:tcPr>
            <w:tcW w:w="3278" w:type="pct"/>
            <w:gridSpan w:val="2"/>
          </w:tcPr>
          <w:p w14:paraId="4399790C" w14:textId="5129A4D2" w:rsidR="005C29FA" w:rsidRPr="00C47656" w:rsidDel="00EE63A6" w:rsidRDefault="005C29FA" w:rsidP="00952597">
            <w:pPr>
              <w:spacing w:before="120" w:after="120"/>
              <w:rPr>
                <w:noProof/>
              </w:rPr>
            </w:pPr>
            <w:r w:rsidRPr="00C47656">
              <w:rPr>
                <w:rFonts w:ascii="Verdana" w:hAnsi="Verdana"/>
              </w:rPr>
              <w:t>An automated spreadsheet that provides a method to search for potential alternatives for formulary drugs. This would be a back-up process for the Care CD Specialized Team to look for alternatives if the Drug Lookup Tool is not functional.</w:t>
            </w:r>
          </w:p>
        </w:tc>
      </w:tr>
      <w:tr w:rsidR="00C47656" w:rsidRPr="00C47656" w14:paraId="24A37AA0" w14:textId="77777777" w:rsidTr="006D6B60">
        <w:trPr>
          <w:trHeight w:val="710"/>
        </w:trPr>
        <w:tc>
          <w:tcPr>
            <w:tcW w:w="748" w:type="pct"/>
          </w:tcPr>
          <w:p w14:paraId="42C91D41" w14:textId="77777777" w:rsidR="005C29FA" w:rsidRPr="00C47656" w:rsidRDefault="005C29FA" w:rsidP="00952597">
            <w:pPr>
              <w:spacing w:before="120" w:after="120"/>
              <w:jc w:val="center"/>
              <w:rPr>
                <w:rFonts w:ascii="Verdana" w:hAnsi="Verdana"/>
                <w:b/>
              </w:rPr>
            </w:pPr>
            <w:r w:rsidRPr="00C47656">
              <w:rPr>
                <w:rFonts w:ascii="Verdana" w:hAnsi="Verdana"/>
                <w:b/>
              </w:rPr>
              <w:t>TETC</w:t>
            </w:r>
          </w:p>
        </w:tc>
        <w:tc>
          <w:tcPr>
            <w:tcW w:w="974" w:type="pct"/>
          </w:tcPr>
          <w:p w14:paraId="38741F41" w14:textId="77777777" w:rsidR="005C29FA" w:rsidRPr="00C47656" w:rsidRDefault="005C29FA" w:rsidP="00952597">
            <w:pPr>
              <w:spacing w:before="120" w:after="120"/>
              <w:rPr>
                <w:rFonts w:ascii="Verdana" w:hAnsi="Verdana"/>
                <w:bCs/>
              </w:rPr>
            </w:pPr>
            <w:r w:rsidRPr="00C47656">
              <w:rPr>
                <w:rFonts w:ascii="Verdana" w:hAnsi="Verdana"/>
                <w:bCs/>
              </w:rPr>
              <w:t>Too Early to Call</w:t>
            </w:r>
          </w:p>
        </w:tc>
        <w:tc>
          <w:tcPr>
            <w:tcW w:w="3278" w:type="pct"/>
            <w:gridSpan w:val="2"/>
          </w:tcPr>
          <w:p w14:paraId="7B1D0DB3" w14:textId="03C184A1" w:rsidR="005C29FA" w:rsidRPr="00C47656" w:rsidRDefault="005C29FA" w:rsidP="00952597">
            <w:pPr>
              <w:spacing w:before="120" w:after="120"/>
              <w:rPr>
                <w:rFonts w:ascii="Verdana" w:hAnsi="Verdana"/>
              </w:rPr>
            </w:pPr>
            <w:r w:rsidRPr="00C47656">
              <w:rPr>
                <w:rFonts w:ascii="Verdana" w:hAnsi="Verdana"/>
              </w:rPr>
              <w:t>May be used to denote that it is too early to contact the prescriber, as in the case where there is a time zone difference.</w:t>
            </w:r>
          </w:p>
        </w:tc>
      </w:tr>
      <w:tr w:rsidR="00C47656" w:rsidRPr="00C47656" w14:paraId="38FAB09D" w14:textId="77777777" w:rsidTr="006D6B60">
        <w:tc>
          <w:tcPr>
            <w:tcW w:w="748" w:type="pct"/>
          </w:tcPr>
          <w:p w14:paraId="2EA40380" w14:textId="77FF432B" w:rsidR="005C29FA" w:rsidRPr="00C47656" w:rsidRDefault="005C29FA" w:rsidP="00952597">
            <w:pPr>
              <w:spacing w:before="120" w:after="120"/>
              <w:jc w:val="center"/>
              <w:rPr>
                <w:rFonts w:ascii="Verdana" w:hAnsi="Verdana"/>
                <w:b/>
              </w:rPr>
            </w:pPr>
            <w:r w:rsidRPr="00C47656">
              <w:rPr>
                <w:rFonts w:ascii="Verdana" w:hAnsi="Verdana"/>
                <w:b/>
              </w:rPr>
              <w:t xml:space="preserve"> TFN</w:t>
            </w:r>
          </w:p>
        </w:tc>
        <w:tc>
          <w:tcPr>
            <w:tcW w:w="974" w:type="pct"/>
          </w:tcPr>
          <w:p w14:paraId="2480711B" w14:textId="3209D47A" w:rsidR="005C29FA" w:rsidRPr="00C47656" w:rsidRDefault="005C29FA" w:rsidP="00952597">
            <w:pPr>
              <w:spacing w:before="120" w:after="120"/>
              <w:rPr>
                <w:rFonts w:ascii="Verdana" w:hAnsi="Verdana"/>
                <w:bCs/>
              </w:rPr>
            </w:pPr>
            <w:r w:rsidRPr="00C47656">
              <w:rPr>
                <w:rFonts w:ascii="Verdana" w:hAnsi="Verdana"/>
                <w:bCs/>
              </w:rPr>
              <w:t>Toll-free number</w:t>
            </w:r>
          </w:p>
        </w:tc>
        <w:tc>
          <w:tcPr>
            <w:tcW w:w="3278" w:type="pct"/>
            <w:gridSpan w:val="2"/>
          </w:tcPr>
          <w:p w14:paraId="6E7FD426" w14:textId="2F0976F9" w:rsidR="005C29FA" w:rsidRPr="00C47656" w:rsidRDefault="005C29FA" w:rsidP="00952597">
            <w:pPr>
              <w:spacing w:before="120" w:after="120"/>
              <w:rPr>
                <w:rFonts w:ascii="Verdana" w:hAnsi="Verdana"/>
              </w:rPr>
            </w:pPr>
            <w:r w:rsidRPr="00C47656">
              <w:rPr>
                <w:rFonts w:ascii="Verdana" w:hAnsi="Verdana"/>
              </w:rPr>
              <w:t>A phone number that bills for all arriving calls instead of charging the caller.</w:t>
            </w:r>
          </w:p>
        </w:tc>
      </w:tr>
      <w:tr w:rsidR="00C47656" w:rsidRPr="00C47656" w14:paraId="1C5CD2E9" w14:textId="77777777" w:rsidTr="006D6B60">
        <w:tc>
          <w:tcPr>
            <w:tcW w:w="748" w:type="pct"/>
          </w:tcPr>
          <w:p w14:paraId="045645CA" w14:textId="3E45D96E" w:rsidR="005C29FA" w:rsidRPr="00C47656" w:rsidRDefault="005C29FA" w:rsidP="00952597">
            <w:pPr>
              <w:spacing w:before="120" w:after="120"/>
              <w:jc w:val="center"/>
              <w:rPr>
                <w:rFonts w:ascii="Verdana" w:hAnsi="Verdana"/>
                <w:b/>
              </w:rPr>
            </w:pPr>
            <w:r w:rsidRPr="00C47656">
              <w:rPr>
                <w:rFonts w:ascii="Verdana" w:hAnsi="Verdana"/>
                <w:b/>
              </w:rPr>
              <w:t>TG</w:t>
            </w:r>
          </w:p>
        </w:tc>
        <w:tc>
          <w:tcPr>
            <w:tcW w:w="974" w:type="pct"/>
          </w:tcPr>
          <w:p w14:paraId="6DBA34EE" w14:textId="3E292ACE" w:rsidR="005C29FA" w:rsidRPr="00C47656" w:rsidRDefault="005C29FA" w:rsidP="00952597">
            <w:pPr>
              <w:spacing w:before="120" w:after="120"/>
              <w:rPr>
                <w:rFonts w:ascii="Verdana" w:hAnsi="Verdana"/>
                <w:bCs/>
              </w:rPr>
            </w:pPr>
            <w:bookmarkStart w:id="9" w:name="OLE_LINK37"/>
            <w:r w:rsidRPr="00C47656">
              <w:rPr>
                <w:rFonts w:ascii="Verdana" w:hAnsi="Verdana"/>
                <w:bCs/>
              </w:rPr>
              <w:t>Trademarked Generics</w:t>
            </w:r>
            <w:bookmarkEnd w:id="9"/>
          </w:p>
        </w:tc>
        <w:tc>
          <w:tcPr>
            <w:tcW w:w="3278" w:type="pct"/>
            <w:gridSpan w:val="2"/>
          </w:tcPr>
          <w:p w14:paraId="1B8D720B" w14:textId="06E0024B" w:rsidR="005C29FA" w:rsidRPr="00C47656" w:rsidRDefault="005C29FA" w:rsidP="00952597">
            <w:pPr>
              <w:spacing w:before="120" w:after="120"/>
              <w:rPr>
                <w:rFonts w:ascii="Verdana" w:hAnsi="Verdana"/>
              </w:rPr>
            </w:pPr>
            <w:r w:rsidRPr="00C47656">
              <w:rPr>
                <w:rFonts w:ascii="Verdana" w:hAnsi="Verdana"/>
              </w:rPr>
              <w:t>A brand name that, because of its popularity or significance, has become the generic term for, or synonymous with, a general class of products or services.</w:t>
            </w:r>
          </w:p>
        </w:tc>
      </w:tr>
      <w:tr w:rsidR="00C47656" w:rsidRPr="00C47656" w14:paraId="51FBB37D" w14:textId="77777777" w:rsidTr="006D6B60">
        <w:tc>
          <w:tcPr>
            <w:tcW w:w="748" w:type="pct"/>
          </w:tcPr>
          <w:p w14:paraId="3013EFFD" w14:textId="77777777" w:rsidR="005C29FA" w:rsidRPr="00C47656" w:rsidRDefault="005C29FA" w:rsidP="00952597">
            <w:pPr>
              <w:spacing w:before="120" w:after="120"/>
              <w:jc w:val="center"/>
              <w:rPr>
                <w:rFonts w:ascii="Verdana" w:hAnsi="Verdana"/>
                <w:b/>
              </w:rPr>
            </w:pPr>
            <w:r w:rsidRPr="00C47656">
              <w:rPr>
                <w:rFonts w:ascii="Verdana" w:hAnsi="Verdana"/>
                <w:b/>
              </w:rPr>
              <w:t>TGAM</w:t>
            </w:r>
          </w:p>
        </w:tc>
        <w:tc>
          <w:tcPr>
            <w:tcW w:w="974" w:type="pct"/>
          </w:tcPr>
          <w:p w14:paraId="07EA915C" w14:textId="77777777" w:rsidR="005C29FA" w:rsidRPr="00C47656" w:rsidRDefault="005C29FA" w:rsidP="00952597">
            <w:pPr>
              <w:spacing w:before="120" w:after="120"/>
              <w:rPr>
                <w:rFonts w:ascii="Verdana" w:hAnsi="Verdana"/>
                <w:bCs/>
              </w:rPr>
            </w:pPr>
            <w:r w:rsidRPr="00C47656">
              <w:rPr>
                <w:rFonts w:ascii="Verdana" w:hAnsi="Verdana"/>
                <w:bCs/>
              </w:rPr>
              <w:t>Targeted Generic Alternative Messaging</w:t>
            </w:r>
          </w:p>
        </w:tc>
        <w:tc>
          <w:tcPr>
            <w:tcW w:w="3278" w:type="pct"/>
            <w:gridSpan w:val="2"/>
          </w:tcPr>
          <w:p w14:paraId="4CD71EBC" w14:textId="45A4FFE7" w:rsidR="005C29FA" w:rsidRPr="00C47656" w:rsidRDefault="005C29FA" w:rsidP="005A0AB8">
            <w:pPr>
              <w:spacing w:before="240" w:after="120"/>
              <w:rPr>
                <w:rFonts w:ascii="Verdana" w:hAnsi="Verdana"/>
              </w:rPr>
            </w:pPr>
            <w:r w:rsidRPr="00C47656">
              <w:rPr>
                <w:rFonts w:ascii="Verdana" w:hAnsi="Verdana"/>
              </w:rPr>
              <w:t>Identifies members on a select list of single source brands that have generic alternatives available (which means brands that do not have a generic equivalent but have a generic alternative in the same therapeutic class</w:t>
            </w:r>
            <w:r w:rsidR="00097CF8" w:rsidRPr="00C47656">
              <w:rPr>
                <w:rFonts w:ascii="Verdana" w:hAnsi="Verdana"/>
              </w:rPr>
              <w:t>)</w:t>
            </w:r>
            <w:r w:rsidRPr="00C47656">
              <w:rPr>
                <w:rFonts w:ascii="Verdana" w:hAnsi="Verdana"/>
              </w:rPr>
              <w:t>.</w:t>
            </w:r>
          </w:p>
          <w:p w14:paraId="73C2E17E" w14:textId="77777777" w:rsidR="005C29FA" w:rsidRPr="00C47656" w:rsidRDefault="005C29FA" w:rsidP="00952597">
            <w:pPr>
              <w:spacing w:before="120" w:after="120"/>
              <w:rPr>
                <w:rFonts w:ascii="Verdana" w:hAnsi="Verdana"/>
              </w:rPr>
            </w:pPr>
          </w:p>
          <w:p w14:paraId="54440EE1" w14:textId="0F2D89DB" w:rsidR="005C29FA" w:rsidRPr="00C47656" w:rsidRDefault="005C29FA" w:rsidP="00952597">
            <w:pPr>
              <w:spacing w:before="120" w:after="120"/>
              <w:rPr>
                <w:rFonts w:ascii="Verdana" w:hAnsi="Verdana"/>
              </w:rPr>
            </w:pPr>
            <w:r w:rsidRPr="00C47656">
              <w:rPr>
                <w:rFonts w:ascii="Verdana" w:hAnsi="Verdana"/>
                <w:b/>
              </w:rPr>
              <w:t>Example:</w:t>
            </w:r>
            <w:r w:rsidRPr="00C47656">
              <w:rPr>
                <w:rFonts w:ascii="Verdana" w:hAnsi="Verdana"/>
              </w:rPr>
              <w:t xml:space="preserve"> Brand name Crestor drug has the following generic alternatives: Atorvastatin &amp; Simvastatin</w:t>
            </w:r>
            <w:r w:rsidR="005A0AB8" w:rsidRPr="00C47656">
              <w:rPr>
                <w:rFonts w:ascii="Verdana" w:hAnsi="Verdana"/>
              </w:rPr>
              <w:t xml:space="preserve">. </w:t>
            </w:r>
            <w:r w:rsidRPr="00C47656">
              <w:rPr>
                <w:rFonts w:ascii="Verdana" w:hAnsi="Verdana"/>
              </w:rPr>
              <w:t>Letters are sent to members monthly and encourage the member to talk to their doctor about switching to a lower cost generic in the same therapeutic class. The letter includes the current brand name and the generic alternatives.</w:t>
            </w:r>
          </w:p>
        </w:tc>
      </w:tr>
      <w:tr w:rsidR="00C47656" w:rsidRPr="00C47656" w14:paraId="04825726" w14:textId="77777777" w:rsidTr="006D6B60">
        <w:tc>
          <w:tcPr>
            <w:tcW w:w="748" w:type="pct"/>
          </w:tcPr>
          <w:p w14:paraId="684B28B1" w14:textId="032258E8" w:rsidR="005C29FA" w:rsidRPr="00C47656" w:rsidRDefault="005C29FA" w:rsidP="00952597">
            <w:pPr>
              <w:spacing w:before="120" w:after="120"/>
              <w:jc w:val="center"/>
              <w:rPr>
                <w:rFonts w:ascii="Verdana" w:hAnsi="Verdana"/>
                <w:b/>
              </w:rPr>
            </w:pPr>
            <w:bookmarkStart w:id="10" w:name="_Hlk89513238"/>
            <w:r w:rsidRPr="00C47656">
              <w:rPr>
                <w:rFonts w:ascii="Verdana" w:hAnsi="Verdana"/>
                <w:b/>
              </w:rPr>
              <w:t>TGST</w:t>
            </w:r>
          </w:p>
        </w:tc>
        <w:tc>
          <w:tcPr>
            <w:tcW w:w="974" w:type="pct"/>
          </w:tcPr>
          <w:p w14:paraId="2664F1BC" w14:textId="77777777" w:rsidR="005C29FA" w:rsidRPr="00C47656" w:rsidRDefault="005C29FA" w:rsidP="00952597">
            <w:pPr>
              <w:spacing w:before="120" w:after="120"/>
              <w:rPr>
                <w:rFonts w:ascii="Verdana" w:hAnsi="Verdana"/>
                <w:bCs/>
              </w:rPr>
            </w:pPr>
            <w:r w:rsidRPr="00C47656">
              <w:rPr>
                <w:rFonts w:ascii="Verdana" w:hAnsi="Verdana"/>
                <w:bCs/>
              </w:rPr>
              <w:t>Traditional Generic Step Therapy</w:t>
            </w:r>
          </w:p>
        </w:tc>
        <w:tc>
          <w:tcPr>
            <w:tcW w:w="3278" w:type="pct"/>
            <w:gridSpan w:val="2"/>
          </w:tcPr>
          <w:p w14:paraId="099A6E33" w14:textId="2DEE47FF" w:rsidR="005C29FA" w:rsidRPr="00C47656" w:rsidRDefault="005C29FA" w:rsidP="00952597">
            <w:pPr>
              <w:spacing w:before="120" w:after="120"/>
              <w:rPr>
                <w:rFonts w:ascii="Verdana" w:hAnsi="Verdana"/>
                <w:bCs/>
              </w:rPr>
            </w:pPr>
            <w:r w:rsidRPr="00C47656">
              <w:rPr>
                <w:rFonts w:ascii="Verdana" w:hAnsi="Verdana"/>
                <w:bCs/>
              </w:rPr>
              <w:t>A program that requires the member to utilize one or more generics before the plan will cover a brand name medication</w:t>
            </w:r>
            <w:r w:rsidR="005A0AB8" w:rsidRPr="00C47656">
              <w:rPr>
                <w:rFonts w:ascii="Verdana" w:hAnsi="Verdana"/>
                <w:bCs/>
              </w:rPr>
              <w:t xml:space="preserve">. </w:t>
            </w:r>
            <w:r w:rsidRPr="00C47656">
              <w:rPr>
                <w:rFonts w:ascii="Verdana" w:hAnsi="Verdana"/>
                <w:bCs/>
              </w:rPr>
              <w:t>This will only apply to certain medications.</w:t>
            </w:r>
          </w:p>
        </w:tc>
      </w:tr>
      <w:bookmarkEnd w:id="10"/>
      <w:tr w:rsidR="00C47656" w:rsidRPr="00C47656" w14:paraId="01B0CA85" w14:textId="77777777" w:rsidTr="006D6B60">
        <w:tc>
          <w:tcPr>
            <w:tcW w:w="748" w:type="pct"/>
          </w:tcPr>
          <w:p w14:paraId="1755FE43" w14:textId="77777777" w:rsidR="005C29FA" w:rsidRPr="00C47656" w:rsidRDefault="005C29FA" w:rsidP="00952597">
            <w:pPr>
              <w:spacing w:before="120" w:after="120"/>
              <w:jc w:val="center"/>
              <w:rPr>
                <w:rFonts w:ascii="Verdana" w:hAnsi="Verdana"/>
                <w:b/>
              </w:rPr>
            </w:pPr>
            <w:r w:rsidRPr="00C47656">
              <w:rPr>
                <w:rFonts w:ascii="Verdana" w:hAnsi="Verdana"/>
                <w:b/>
              </w:rPr>
              <w:t>TEP</w:t>
            </w:r>
          </w:p>
        </w:tc>
        <w:tc>
          <w:tcPr>
            <w:tcW w:w="974" w:type="pct"/>
          </w:tcPr>
          <w:p w14:paraId="5907FF52" w14:textId="77777777" w:rsidR="005C29FA" w:rsidRPr="00C47656" w:rsidRDefault="005C29FA" w:rsidP="00952597">
            <w:pPr>
              <w:spacing w:before="120" w:after="120"/>
              <w:rPr>
                <w:rFonts w:ascii="Verdana" w:hAnsi="Verdana"/>
                <w:bCs/>
              </w:rPr>
            </w:pPr>
            <w:r w:rsidRPr="00C47656">
              <w:rPr>
                <w:rFonts w:ascii="Verdana" w:hAnsi="Verdana"/>
                <w:bCs/>
              </w:rPr>
              <w:t>Transaction Exception Program</w:t>
            </w:r>
          </w:p>
        </w:tc>
        <w:tc>
          <w:tcPr>
            <w:tcW w:w="3278" w:type="pct"/>
            <w:gridSpan w:val="2"/>
          </w:tcPr>
          <w:p w14:paraId="3D5F0788" w14:textId="6D727CC9" w:rsidR="005C29FA" w:rsidRPr="00C47656" w:rsidRDefault="005C29FA" w:rsidP="00952597">
            <w:pPr>
              <w:spacing w:before="120" w:after="120"/>
              <w:rPr>
                <w:rFonts w:ascii="Verdana" w:hAnsi="Verdana"/>
              </w:rPr>
            </w:pPr>
            <w:r w:rsidRPr="00C47656">
              <w:rPr>
                <w:rFonts w:ascii="Verdana" w:hAnsi="Verdana"/>
              </w:rPr>
              <w:t xml:space="preserve">Related to "Key Plus" at the </w:t>
            </w:r>
            <w:r w:rsidR="00097CF8" w:rsidRPr="00C47656">
              <w:rPr>
                <w:rFonts w:ascii="Verdana" w:hAnsi="Verdana"/>
              </w:rPr>
              <w:t>Regional Order Creation Center (</w:t>
            </w:r>
            <w:r w:rsidRPr="00C47656">
              <w:rPr>
                <w:rFonts w:ascii="Verdana" w:hAnsi="Verdana"/>
              </w:rPr>
              <w:t>ROCC</w:t>
            </w:r>
            <w:r w:rsidR="00097CF8" w:rsidRPr="00C47656">
              <w:rPr>
                <w:rFonts w:ascii="Verdana" w:hAnsi="Verdana"/>
              </w:rPr>
              <w:t>)</w:t>
            </w:r>
            <w:r w:rsidRPr="00C47656">
              <w:rPr>
                <w:rFonts w:ascii="Verdana" w:hAnsi="Verdana"/>
              </w:rPr>
              <w:t>. Orders are routed here due to missing information.</w:t>
            </w:r>
          </w:p>
        </w:tc>
      </w:tr>
      <w:tr w:rsidR="00C47656" w:rsidRPr="00C47656" w14:paraId="48E80D52" w14:textId="77777777" w:rsidTr="006D6B60">
        <w:tc>
          <w:tcPr>
            <w:tcW w:w="748" w:type="pct"/>
          </w:tcPr>
          <w:p w14:paraId="7656092F" w14:textId="77777777" w:rsidR="005C29FA" w:rsidRPr="00C47656" w:rsidRDefault="005C29FA" w:rsidP="00952597">
            <w:pPr>
              <w:spacing w:before="120" w:after="120"/>
              <w:jc w:val="center"/>
              <w:rPr>
                <w:rFonts w:ascii="Verdana" w:hAnsi="Verdana"/>
                <w:b/>
              </w:rPr>
            </w:pPr>
            <w:proofErr w:type="spellStart"/>
            <w:r w:rsidRPr="00C47656">
              <w:rPr>
                <w:rFonts w:ascii="Verdana" w:hAnsi="Verdana"/>
                <w:b/>
              </w:rPr>
              <w:t>Tii</w:t>
            </w:r>
            <w:proofErr w:type="spellEnd"/>
          </w:p>
        </w:tc>
        <w:tc>
          <w:tcPr>
            <w:tcW w:w="974" w:type="pct"/>
          </w:tcPr>
          <w:p w14:paraId="5DAB4B1B" w14:textId="77777777" w:rsidR="005C29FA" w:rsidRPr="00C47656" w:rsidRDefault="005C29FA" w:rsidP="00952597">
            <w:pPr>
              <w:spacing w:before="120" w:after="120"/>
              <w:rPr>
                <w:rFonts w:ascii="Verdana" w:hAnsi="Verdana"/>
                <w:bCs/>
              </w:rPr>
            </w:pPr>
            <w:r w:rsidRPr="00C47656">
              <w:rPr>
                <w:rFonts w:ascii="Verdana" w:hAnsi="Verdana"/>
                <w:bCs/>
              </w:rPr>
              <w:t>Therapeutic Interchange issue</w:t>
            </w:r>
          </w:p>
        </w:tc>
        <w:tc>
          <w:tcPr>
            <w:tcW w:w="3278" w:type="pct"/>
            <w:gridSpan w:val="2"/>
          </w:tcPr>
          <w:p w14:paraId="6E0ECD54" w14:textId="6D20C96A" w:rsidR="005C29FA" w:rsidRPr="00C47656" w:rsidRDefault="005C29FA" w:rsidP="00952597">
            <w:pPr>
              <w:spacing w:before="120" w:after="120"/>
              <w:rPr>
                <w:rFonts w:ascii="Verdana" w:hAnsi="Verdana"/>
              </w:rPr>
            </w:pPr>
            <w:r w:rsidRPr="00C47656">
              <w:rPr>
                <w:rFonts w:ascii="Verdana" w:hAnsi="Verdana"/>
              </w:rPr>
              <w:t>Pertains to a request made to a prescriber to change the prescribed drug to a formulary or generic alternative</w:t>
            </w:r>
            <w:r w:rsidR="00614858" w:rsidRPr="00C47656">
              <w:rPr>
                <w:rFonts w:ascii="Verdana" w:hAnsi="Verdana"/>
              </w:rPr>
              <w:t>.</w:t>
            </w:r>
          </w:p>
        </w:tc>
      </w:tr>
      <w:tr w:rsidR="00C47656" w:rsidRPr="00C47656" w14:paraId="487D30FE" w14:textId="77777777" w:rsidTr="006D6B60">
        <w:tc>
          <w:tcPr>
            <w:tcW w:w="748" w:type="pct"/>
          </w:tcPr>
          <w:p w14:paraId="6F20C5E0" w14:textId="3518420A" w:rsidR="001B1280" w:rsidRPr="00643D00" w:rsidRDefault="001B1280" w:rsidP="00952597">
            <w:pPr>
              <w:spacing w:before="120" w:after="120"/>
              <w:jc w:val="center"/>
              <w:rPr>
                <w:rFonts w:ascii="Verdana" w:hAnsi="Verdana"/>
                <w:b/>
              </w:rPr>
            </w:pPr>
            <w:r w:rsidRPr="00643D00">
              <w:rPr>
                <w:rFonts w:ascii="Verdana" w:hAnsi="Verdana"/>
                <w:b/>
              </w:rPr>
              <w:t>TIN</w:t>
            </w:r>
          </w:p>
        </w:tc>
        <w:tc>
          <w:tcPr>
            <w:tcW w:w="974" w:type="pct"/>
          </w:tcPr>
          <w:p w14:paraId="57542533" w14:textId="44497F29" w:rsidR="001B1280" w:rsidRPr="00C47656" w:rsidRDefault="001B1280" w:rsidP="00952597">
            <w:pPr>
              <w:spacing w:before="120" w:after="120"/>
              <w:rPr>
                <w:rFonts w:ascii="Verdana" w:hAnsi="Verdana"/>
                <w:bCs/>
              </w:rPr>
            </w:pPr>
            <w:r w:rsidRPr="00C47656">
              <w:rPr>
                <w:rFonts w:ascii="Verdana" w:hAnsi="Verdana"/>
                <w:bCs/>
              </w:rPr>
              <w:t>Ta</w:t>
            </w:r>
            <w:r w:rsidR="00933438" w:rsidRPr="00C47656">
              <w:rPr>
                <w:rFonts w:ascii="Verdana" w:hAnsi="Verdana"/>
                <w:bCs/>
              </w:rPr>
              <w:t>xpayer Identification Number</w:t>
            </w:r>
          </w:p>
        </w:tc>
        <w:tc>
          <w:tcPr>
            <w:tcW w:w="3278" w:type="pct"/>
            <w:gridSpan w:val="2"/>
          </w:tcPr>
          <w:p w14:paraId="5223F50F" w14:textId="7969E3E3" w:rsidR="001B1280" w:rsidRPr="00C47656" w:rsidRDefault="009A45C6" w:rsidP="00952597">
            <w:pPr>
              <w:spacing w:before="120" w:after="120"/>
              <w:rPr>
                <w:rFonts w:ascii="Verdana" w:hAnsi="Verdana"/>
              </w:rPr>
            </w:pPr>
            <w:r w:rsidRPr="00C47656">
              <w:rPr>
                <w:rFonts w:ascii="Verdana" w:hAnsi="Verdana"/>
              </w:rPr>
              <w:t>An identification number used by the Internal Revenue Service (IRS) in the administration of tax laws.</w:t>
            </w:r>
          </w:p>
        </w:tc>
      </w:tr>
      <w:tr w:rsidR="00C47656" w:rsidRPr="00C47656" w14:paraId="00572C58" w14:textId="77777777" w:rsidTr="006D6B60">
        <w:tc>
          <w:tcPr>
            <w:tcW w:w="748" w:type="pct"/>
          </w:tcPr>
          <w:p w14:paraId="645DB953" w14:textId="2993AAF2" w:rsidR="00711DB3" w:rsidRPr="00C47656" w:rsidRDefault="00711DB3" w:rsidP="00952597">
            <w:pPr>
              <w:spacing w:before="120" w:after="120"/>
              <w:jc w:val="center"/>
              <w:rPr>
                <w:rFonts w:ascii="Verdana" w:hAnsi="Verdana"/>
                <w:b/>
              </w:rPr>
            </w:pPr>
            <w:r w:rsidRPr="00C47656">
              <w:rPr>
                <w:rFonts w:ascii="Verdana" w:hAnsi="Verdana"/>
                <w:b/>
              </w:rPr>
              <w:t>TFL</w:t>
            </w:r>
          </w:p>
        </w:tc>
        <w:tc>
          <w:tcPr>
            <w:tcW w:w="974" w:type="pct"/>
            <w:tcBorders>
              <w:top w:val="single" w:sz="4" w:space="0" w:color="auto"/>
              <w:left w:val="single" w:sz="4" w:space="0" w:color="auto"/>
              <w:bottom w:val="single" w:sz="4" w:space="0" w:color="auto"/>
              <w:right w:val="single" w:sz="4" w:space="0" w:color="auto"/>
            </w:tcBorders>
          </w:tcPr>
          <w:p w14:paraId="7A9B89ED" w14:textId="6B46C5A8" w:rsidR="00711DB3" w:rsidRPr="00C47656" w:rsidRDefault="00711DB3" w:rsidP="00952597">
            <w:pPr>
              <w:spacing w:before="120" w:after="120"/>
              <w:rPr>
                <w:rFonts w:ascii="Verdana" w:hAnsi="Verdana"/>
                <w:bCs/>
              </w:rPr>
            </w:pPr>
            <w:r w:rsidRPr="00C47656">
              <w:rPr>
                <w:rFonts w:ascii="Verdana" w:hAnsi="Verdana"/>
                <w:bCs/>
              </w:rPr>
              <w:t>Timely Filing Limit</w:t>
            </w:r>
          </w:p>
        </w:tc>
        <w:tc>
          <w:tcPr>
            <w:tcW w:w="3278" w:type="pct"/>
            <w:gridSpan w:val="2"/>
            <w:tcBorders>
              <w:top w:val="single" w:sz="4" w:space="0" w:color="auto"/>
              <w:left w:val="single" w:sz="4" w:space="0" w:color="auto"/>
              <w:bottom w:val="single" w:sz="4" w:space="0" w:color="auto"/>
              <w:right w:val="single" w:sz="4" w:space="0" w:color="auto"/>
            </w:tcBorders>
          </w:tcPr>
          <w:p w14:paraId="3C075510" w14:textId="1519AA15" w:rsidR="00711DB3" w:rsidRPr="00C47656" w:rsidRDefault="00711DB3" w:rsidP="00952597">
            <w:pPr>
              <w:spacing w:before="120" w:after="120"/>
              <w:rPr>
                <w:rFonts w:ascii="Verdana" w:hAnsi="Verdana"/>
              </w:rPr>
            </w:pPr>
            <w:r w:rsidRPr="00C47656">
              <w:rPr>
                <w:rFonts w:ascii="Verdana" w:hAnsi="Verdana"/>
                <w:bCs/>
              </w:rPr>
              <w:t xml:space="preserve">Deadline for filing claims or appeals to insurance provider. </w:t>
            </w:r>
          </w:p>
        </w:tc>
      </w:tr>
      <w:tr w:rsidR="00C47656" w:rsidRPr="00C47656" w14:paraId="77300D9A" w14:textId="77777777" w:rsidTr="006D6B60">
        <w:trPr>
          <w:trHeight w:val="96"/>
        </w:trPr>
        <w:tc>
          <w:tcPr>
            <w:tcW w:w="748" w:type="pct"/>
          </w:tcPr>
          <w:p w14:paraId="6C01302F" w14:textId="3D6C2583" w:rsidR="007B1D6E" w:rsidRPr="00C47656" w:rsidRDefault="00EA4FC9" w:rsidP="00952597">
            <w:pPr>
              <w:spacing w:before="120" w:after="120"/>
              <w:jc w:val="center"/>
              <w:rPr>
                <w:rFonts w:ascii="Verdana" w:hAnsi="Verdana"/>
                <w:b/>
              </w:rPr>
            </w:pPr>
            <w:r w:rsidRPr="00C47656">
              <w:rPr>
                <w:rFonts w:ascii="Verdana" w:hAnsi="Verdana"/>
                <w:b/>
              </w:rPr>
              <w:t>TID</w:t>
            </w:r>
          </w:p>
        </w:tc>
        <w:tc>
          <w:tcPr>
            <w:tcW w:w="974" w:type="pct"/>
          </w:tcPr>
          <w:p w14:paraId="04A268B3" w14:textId="0CC4FB69" w:rsidR="007B1D6E" w:rsidRPr="00C47656" w:rsidRDefault="007B1D6E" w:rsidP="00952597">
            <w:pPr>
              <w:spacing w:before="120" w:after="120"/>
              <w:rPr>
                <w:rFonts w:ascii="Verdana" w:hAnsi="Verdana"/>
                <w:bCs/>
              </w:rPr>
            </w:pPr>
            <w:r w:rsidRPr="00C47656">
              <w:rPr>
                <w:rFonts w:ascii="Verdana" w:hAnsi="Verdana"/>
                <w:bCs/>
              </w:rPr>
              <w:t>Three times a day</w:t>
            </w:r>
          </w:p>
        </w:tc>
        <w:tc>
          <w:tcPr>
            <w:tcW w:w="3278" w:type="pct"/>
            <w:gridSpan w:val="2"/>
          </w:tcPr>
          <w:p w14:paraId="6597449C" w14:textId="1CCC0E55" w:rsidR="007B1D6E" w:rsidRPr="00C47656" w:rsidRDefault="00EA4FC9" w:rsidP="00952597">
            <w:pPr>
              <w:spacing w:before="120" w:after="120"/>
              <w:rPr>
                <w:rFonts w:ascii="Verdana" w:hAnsi="Verdana"/>
              </w:rPr>
            </w:pPr>
            <w:r w:rsidRPr="00C47656">
              <w:rPr>
                <w:rFonts w:ascii="Verdana" w:hAnsi="Verdana"/>
                <w:shd w:val="clear" w:color="auto" w:fill="FFFFFF"/>
              </w:rPr>
              <w:t>Seen on a prescription, It is an abbreviation for "</w:t>
            </w:r>
            <w:r w:rsidR="005A0AB8" w:rsidRPr="00C47656">
              <w:rPr>
                <w:rFonts w:ascii="Verdana" w:hAnsi="Verdana"/>
                <w:shd w:val="clear" w:color="auto" w:fill="FFFFFF"/>
              </w:rPr>
              <w:t>Ter</w:t>
            </w:r>
            <w:r w:rsidRPr="00C47656">
              <w:rPr>
                <w:rFonts w:ascii="Verdana" w:hAnsi="Verdana"/>
                <w:shd w:val="clear" w:color="auto" w:fill="FFFFFF"/>
              </w:rPr>
              <w:t xml:space="preserve"> in die" which in Latin means three times a day.</w:t>
            </w:r>
          </w:p>
        </w:tc>
      </w:tr>
      <w:tr w:rsidR="00C47656" w:rsidRPr="00C47656" w14:paraId="28A8FC95" w14:textId="77777777" w:rsidTr="006D6B60">
        <w:trPr>
          <w:trHeight w:val="96"/>
        </w:trPr>
        <w:tc>
          <w:tcPr>
            <w:tcW w:w="748" w:type="pct"/>
          </w:tcPr>
          <w:p w14:paraId="0953DBBC" w14:textId="77777777" w:rsidR="00711DB3" w:rsidRPr="00C47656" w:rsidRDefault="00711DB3" w:rsidP="00952597">
            <w:pPr>
              <w:spacing w:before="120" w:after="120"/>
              <w:jc w:val="center"/>
              <w:rPr>
                <w:rFonts w:ascii="Verdana" w:hAnsi="Verdana"/>
                <w:b/>
              </w:rPr>
            </w:pPr>
            <w:r w:rsidRPr="00C47656">
              <w:rPr>
                <w:rFonts w:ascii="Verdana" w:hAnsi="Verdana"/>
                <w:b/>
              </w:rPr>
              <w:t>TIP</w:t>
            </w:r>
          </w:p>
        </w:tc>
        <w:tc>
          <w:tcPr>
            <w:tcW w:w="974" w:type="pct"/>
          </w:tcPr>
          <w:p w14:paraId="71215FB6" w14:textId="77777777" w:rsidR="00711DB3" w:rsidRPr="00C47656" w:rsidRDefault="00711DB3" w:rsidP="00952597">
            <w:pPr>
              <w:spacing w:before="120" w:after="120"/>
              <w:rPr>
                <w:rFonts w:ascii="Verdana" w:hAnsi="Verdana"/>
                <w:bCs/>
              </w:rPr>
            </w:pPr>
            <w:r w:rsidRPr="00C47656">
              <w:rPr>
                <w:rFonts w:ascii="Verdana" w:hAnsi="Verdana"/>
                <w:bCs/>
              </w:rPr>
              <w:t>Therapeutic Interchange Program</w:t>
            </w:r>
          </w:p>
        </w:tc>
        <w:tc>
          <w:tcPr>
            <w:tcW w:w="3278" w:type="pct"/>
            <w:gridSpan w:val="2"/>
          </w:tcPr>
          <w:p w14:paraId="464D9063" w14:textId="1DDBD26F" w:rsidR="00711DB3" w:rsidRPr="00C47656" w:rsidRDefault="00711DB3" w:rsidP="00952597">
            <w:pPr>
              <w:spacing w:before="120" w:after="120"/>
              <w:rPr>
                <w:rFonts w:ascii="Verdana" w:hAnsi="Verdana"/>
              </w:rPr>
            </w:pPr>
            <w:r w:rsidRPr="00C47656">
              <w:rPr>
                <w:rFonts w:ascii="Verdana" w:hAnsi="Verdana"/>
              </w:rPr>
              <w:t>Clinical program that reaches out to prescribers for changes in therapeutic alternatives within the same drug class (formulary management).</w:t>
            </w:r>
          </w:p>
        </w:tc>
      </w:tr>
      <w:tr w:rsidR="00C47656" w:rsidRPr="00C47656" w14:paraId="2D5D5E5A" w14:textId="77777777" w:rsidTr="006D6B60">
        <w:trPr>
          <w:trHeight w:val="359"/>
        </w:trPr>
        <w:tc>
          <w:tcPr>
            <w:tcW w:w="748" w:type="pct"/>
          </w:tcPr>
          <w:p w14:paraId="75EEB911" w14:textId="77777777" w:rsidR="00711DB3" w:rsidRPr="00C47656" w:rsidRDefault="00711DB3" w:rsidP="00952597">
            <w:pPr>
              <w:spacing w:before="120" w:after="120"/>
              <w:jc w:val="center"/>
              <w:rPr>
                <w:rFonts w:ascii="Verdana" w:hAnsi="Verdana"/>
                <w:b/>
              </w:rPr>
            </w:pPr>
            <w:r w:rsidRPr="00C47656">
              <w:rPr>
                <w:rFonts w:ascii="Verdana" w:hAnsi="Verdana"/>
                <w:b/>
              </w:rPr>
              <w:t>TIRF Rems</w:t>
            </w:r>
          </w:p>
          <w:p w14:paraId="623EB251" w14:textId="77777777" w:rsidR="00711DB3" w:rsidRPr="00C47656" w:rsidRDefault="00711DB3" w:rsidP="00952597">
            <w:pPr>
              <w:spacing w:before="120" w:after="120"/>
              <w:jc w:val="center"/>
              <w:rPr>
                <w:rFonts w:ascii="Verdana" w:hAnsi="Verdana"/>
                <w:b/>
              </w:rPr>
            </w:pPr>
            <w:r w:rsidRPr="00C47656">
              <w:rPr>
                <w:rFonts w:ascii="Verdana" w:hAnsi="Verdana"/>
                <w:noProof/>
              </w:rPr>
              <w:t xml:space="preserve"> </w:t>
            </w:r>
          </w:p>
          <w:p w14:paraId="1A4BB20F" w14:textId="77777777" w:rsidR="00711DB3" w:rsidRPr="00C47656" w:rsidRDefault="00711DB3" w:rsidP="00952597">
            <w:pPr>
              <w:spacing w:before="120" w:after="120"/>
              <w:jc w:val="center"/>
              <w:rPr>
                <w:rFonts w:ascii="Verdana" w:hAnsi="Verdana"/>
                <w:b/>
              </w:rPr>
            </w:pPr>
          </w:p>
        </w:tc>
        <w:tc>
          <w:tcPr>
            <w:tcW w:w="974" w:type="pct"/>
          </w:tcPr>
          <w:p w14:paraId="64FA9AC0" w14:textId="7D5E1270" w:rsidR="00711DB3" w:rsidRPr="00C47656" w:rsidRDefault="00952597" w:rsidP="00952597">
            <w:pPr>
              <w:spacing w:before="120" w:after="120"/>
              <w:rPr>
                <w:rFonts w:ascii="Verdana" w:hAnsi="Verdana"/>
                <w:bCs/>
              </w:rPr>
            </w:pPr>
            <w:r w:rsidRPr="00C47656">
              <w:rPr>
                <w:rFonts w:ascii="Verdana" w:hAnsi="Verdana"/>
              </w:rPr>
              <w:t>Transmucosal Immediate Release Fentanyl (TIRF) Risk Evaluation and Mitigation Strategy (REMS)</w:t>
            </w:r>
          </w:p>
        </w:tc>
        <w:tc>
          <w:tcPr>
            <w:tcW w:w="3278" w:type="pct"/>
            <w:gridSpan w:val="2"/>
          </w:tcPr>
          <w:p w14:paraId="5C4DBD20" w14:textId="71AFBE42" w:rsidR="00711DB3" w:rsidRPr="00C47656" w:rsidRDefault="00711DB3" w:rsidP="00952597">
            <w:pPr>
              <w:spacing w:before="120" w:after="120"/>
              <w:rPr>
                <w:rFonts w:ascii="Verdana" w:hAnsi="Verdana"/>
              </w:rPr>
            </w:pPr>
            <w:r w:rsidRPr="00C47656">
              <w:rPr>
                <w:rFonts w:ascii="Verdana" w:hAnsi="Verdana"/>
              </w:rPr>
              <w:t>The Transmucosal Immediate Release Fentanyl (TIRF) Risk Evaluation and Mitigation Strategy (REMS) program is an FDA-required program designed to ensure informed risk-benefit decisions before initiating treatment, and while patients are treated to ensure appropriate use of TIRF medicines</w:t>
            </w:r>
            <w:r w:rsidR="005A0AB8" w:rsidRPr="00C47656">
              <w:rPr>
                <w:rFonts w:ascii="Verdana" w:hAnsi="Verdana"/>
              </w:rPr>
              <w:t xml:space="preserve">. </w:t>
            </w:r>
            <w:r w:rsidRPr="00C47656">
              <w:rPr>
                <w:rFonts w:ascii="Verdana" w:hAnsi="Verdana"/>
              </w:rPr>
              <w:t xml:space="preserve">The purpose of the TIRF REMS Access program is to mitigate the risk of misuse, abuse, addiction, </w:t>
            </w:r>
            <w:r w:rsidR="005A0AB8" w:rsidRPr="00C47656">
              <w:rPr>
                <w:rFonts w:ascii="Verdana" w:hAnsi="Verdana"/>
              </w:rPr>
              <w:t>overdose,</w:t>
            </w:r>
            <w:r w:rsidRPr="00C47656">
              <w:rPr>
                <w:rFonts w:ascii="Verdana" w:hAnsi="Verdana"/>
              </w:rPr>
              <w:t xml:space="preserve"> and serious complications due to medication errors with the use of TIRF medicines.</w:t>
            </w:r>
          </w:p>
        </w:tc>
      </w:tr>
      <w:tr w:rsidR="00C47656" w:rsidRPr="00C47656" w14:paraId="5134CF3A" w14:textId="77777777" w:rsidTr="006D6B60">
        <w:trPr>
          <w:trHeight w:val="359"/>
        </w:trPr>
        <w:tc>
          <w:tcPr>
            <w:tcW w:w="748" w:type="pct"/>
          </w:tcPr>
          <w:p w14:paraId="71F9617C" w14:textId="0D373C49" w:rsidR="00711DB3" w:rsidRPr="00C47656" w:rsidRDefault="00711DB3" w:rsidP="00952597">
            <w:pPr>
              <w:spacing w:before="120" w:after="120"/>
              <w:jc w:val="center"/>
              <w:rPr>
                <w:rFonts w:ascii="Verdana" w:hAnsi="Verdana"/>
                <w:b/>
              </w:rPr>
            </w:pPr>
            <w:r w:rsidRPr="00C47656">
              <w:rPr>
                <w:rFonts w:ascii="Verdana" w:hAnsi="Verdana"/>
                <w:b/>
              </w:rPr>
              <w:t xml:space="preserve"> </w:t>
            </w:r>
            <w:proofErr w:type="spellStart"/>
            <w:r w:rsidRPr="00C47656">
              <w:rPr>
                <w:rFonts w:ascii="Verdana" w:hAnsi="Verdana"/>
                <w:b/>
              </w:rPr>
              <w:t>Tkt</w:t>
            </w:r>
            <w:proofErr w:type="spellEnd"/>
          </w:p>
        </w:tc>
        <w:tc>
          <w:tcPr>
            <w:tcW w:w="974" w:type="pct"/>
          </w:tcPr>
          <w:p w14:paraId="199426FD" w14:textId="3A3E3FB2" w:rsidR="00711DB3" w:rsidRPr="00C47656" w:rsidRDefault="00711DB3" w:rsidP="00952597">
            <w:pPr>
              <w:spacing w:before="120" w:after="120"/>
              <w:rPr>
                <w:rFonts w:ascii="Verdana" w:hAnsi="Verdana"/>
                <w:bCs/>
              </w:rPr>
            </w:pPr>
            <w:r w:rsidRPr="00C47656">
              <w:rPr>
                <w:rFonts w:ascii="Verdana" w:hAnsi="Verdana"/>
                <w:bCs/>
              </w:rPr>
              <w:t>Ticket</w:t>
            </w:r>
          </w:p>
        </w:tc>
        <w:tc>
          <w:tcPr>
            <w:tcW w:w="3278" w:type="pct"/>
            <w:gridSpan w:val="2"/>
          </w:tcPr>
          <w:p w14:paraId="63A878F2" w14:textId="0EAC4D5B" w:rsidR="00711DB3" w:rsidRPr="00C47656" w:rsidRDefault="00711DB3" w:rsidP="00952597">
            <w:pPr>
              <w:spacing w:before="120" w:after="120"/>
              <w:rPr>
                <w:rFonts w:ascii="Verdana" w:hAnsi="Verdana"/>
              </w:rPr>
            </w:pPr>
            <w:r w:rsidRPr="00C47656">
              <w:rPr>
                <w:rFonts w:ascii="Verdana" w:hAnsi="Verdana"/>
              </w:rPr>
              <w:t>Typically referring to a form of documentation to track the status a service request.</w:t>
            </w:r>
          </w:p>
        </w:tc>
      </w:tr>
      <w:tr w:rsidR="00C47656" w:rsidRPr="00C47656" w14:paraId="1FBE4199" w14:textId="77777777" w:rsidTr="006D6B60">
        <w:trPr>
          <w:trHeight w:val="359"/>
        </w:trPr>
        <w:tc>
          <w:tcPr>
            <w:tcW w:w="748" w:type="pct"/>
          </w:tcPr>
          <w:p w14:paraId="71FED2D0" w14:textId="4287E066" w:rsidR="00711DB3" w:rsidRPr="00C47656" w:rsidRDefault="00711DB3" w:rsidP="00952597">
            <w:pPr>
              <w:spacing w:before="120" w:after="120"/>
              <w:jc w:val="center"/>
              <w:rPr>
                <w:rFonts w:ascii="Verdana" w:hAnsi="Verdana"/>
                <w:b/>
                <w:bCs/>
              </w:rPr>
            </w:pPr>
            <w:r w:rsidRPr="00C47656">
              <w:rPr>
                <w:rFonts w:ascii="Verdana" w:hAnsi="Verdana"/>
                <w:b/>
                <w:bCs/>
              </w:rPr>
              <w:t xml:space="preserve">TMF </w:t>
            </w:r>
          </w:p>
        </w:tc>
        <w:tc>
          <w:tcPr>
            <w:tcW w:w="974" w:type="pct"/>
          </w:tcPr>
          <w:p w14:paraId="57EA613C" w14:textId="77777777" w:rsidR="00711DB3" w:rsidRPr="00C47656" w:rsidRDefault="00711DB3" w:rsidP="00952597">
            <w:pPr>
              <w:spacing w:before="120" w:after="120"/>
              <w:rPr>
                <w:rFonts w:ascii="Verdana" w:hAnsi="Verdana"/>
                <w:bCs/>
              </w:rPr>
            </w:pPr>
            <w:bookmarkStart w:id="11" w:name="OLE_LINK40"/>
            <w:r w:rsidRPr="00C47656">
              <w:rPr>
                <w:rFonts w:ascii="Verdana" w:hAnsi="Verdana"/>
                <w:bCs/>
              </w:rPr>
              <w:t xml:space="preserve">Threat Management Form </w:t>
            </w:r>
            <w:bookmarkEnd w:id="11"/>
          </w:p>
        </w:tc>
        <w:tc>
          <w:tcPr>
            <w:tcW w:w="3278" w:type="pct"/>
            <w:gridSpan w:val="2"/>
          </w:tcPr>
          <w:p w14:paraId="55A11562" w14:textId="54DA5847" w:rsidR="00711DB3" w:rsidRPr="00C47656" w:rsidRDefault="00711DB3" w:rsidP="00952597">
            <w:pPr>
              <w:spacing w:before="120" w:after="120"/>
              <w:rPr>
                <w:rFonts w:ascii="Verdana" w:hAnsi="Verdana"/>
              </w:rPr>
            </w:pPr>
            <w:r w:rsidRPr="00C47656">
              <w:rPr>
                <w:rFonts w:ascii="Verdana" w:hAnsi="Verdana"/>
              </w:rPr>
              <w:t>A form used by management to report a threat.</w:t>
            </w:r>
          </w:p>
        </w:tc>
      </w:tr>
      <w:tr w:rsidR="00C47656" w:rsidRPr="00C47656" w14:paraId="0F0E40EB" w14:textId="77777777" w:rsidTr="006D6B60">
        <w:trPr>
          <w:trHeight w:val="359"/>
        </w:trPr>
        <w:tc>
          <w:tcPr>
            <w:tcW w:w="748" w:type="pct"/>
          </w:tcPr>
          <w:p w14:paraId="60E73AC2" w14:textId="77777777" w:rsidR="00711DB3" w:rsidRPr="00C47656" w:rsidRDefault="00711DB3" w:rsidP="00952597">
            <w:pPr>
              <w:spacing w:before="120" w:after="120"/>
              <w:jc w:val="center"/>
              <w:rPr>
                <w:rFonts w:ascii="Verdana" w:hAnsi="Verdana"/>
                <w:b/>
              </w:rPr>
            </w:pPr>
            <w:r w:rsidRPr="00C47656">
              <w:rPr>
                <w:rFonts w:ascii="Verdana" w:hAnsi="Verdana"/>
                <w:b/>
                <w:bCs/>
              </w:rPr>
              <w:t>TMR</w:t>
            </w:r>
          </w:p>
        </w:tc>
        <w:tc>
          <w:tcPr>
            <w:tcW w:w="974" w:type="pct"/>
          </w:tcPr>
          <w:p w14:paraId="21C61CD0" w14:textId="77777777" w:rsidR="00711DB3" w:rsidRPr="00C47656" w:rsidRDefault="00711DB3" w:rsidP="00952597">
            <w:pPr>
              <w:spacing w:before="120" w:after="120"/>
              <w:rPr>
                <w:rFonts w:ascii="Verdana" w:hAnsi="Verdana"/>
                <w:bCs/>
              </w:rPr>
            </w:pPr>
            <w:r w:rsidRPr="00C47656">
              <w:rPr>
                <w:rFonts w:ascii="Verdana" w:hAnsi="Verdana"/>
                <w:bCs/>
              </w:rPr>
              <w:t>Targeted Medication Review</w:t>
            </w:r>
          </w:p>
        </w:tc>
        <w:tc>
          <w:tcPr>
            <w:tcW w:w="3278" w:type="pct"/>
            <w:gridSpan w:val="2"/>
          </w:tcPr>
          <w:p w14:paraId="484C2676" w14:textId="7E22DE7D" w:rsidR="00711DB3" w:rsidRPr="00C47656" w:rsidRDefault="00711DB3" w:rsidP="00952597">
            <w:pPr>
              <w:spacing w:before="120" w:after="120"/>
              <w:rPr>
                <w:rFonts w:ascii="Verdana" w:hAnsi="Verdana"/>
              </w:rPr>
            </w:pPr>
            <w:r w:rsidRPr="00C47656">
              <w:rPr>
                <w:rFonts w:ascii="Verdana" w:hAnsi="Verdana"/>
              </w:rPr>
              <w:t>Quarterly medication review used to determine if unresolved medication issues need attention, new drug therapy problems have arisen or if the Beneficiary has experienced a transition in care.</w:t>
            </w:r>
          </w:p>
          <w:p w14:paraId="70A1ED01" w14:textId="3574C9C9" w:rsidR="00711DB3" w:rsidRPr="00C47656" w:rsidRDefault="00711DB3" w:rsidP="00952597">
            <w:pPr>
              <w:spacing w:before="120" w:after="120"/>
              <w:rPr>
                <w:rFonts w:ascii="Verdana" w:hAnsi="Verdana"/>
              </w:rPr>
            </w:pPr>
            <w:r w:rsidRPr="00C47656">
              <w:rPr>
                <w:rFonts w:ascii="Verdana" w:hAnsi="Verdana"/>
              </w:rPr>
              <w:t xml:space="preserve">If interventions are warranted </w:t>
            </w:r>
            <w:r w:rsidR="00614858" w:rsidRPr="00C47656">
              <w:rPr>
                <w:rFonts w:ascii="Verdana" w:hAnsi="Verdana"/>
              </w:rPr>
              <w:t>because of</w:t>
            </w:r>
            <w:r w:rsidRPr="00C47656">
              <w:rPr>
                <w:rFonts w:ascii="Verdana" w:hAnsi="Verdana"/>
              </w:rPr>
              <w:t xml:space="preserve"> the medication review</w:t>
            </w:r>
            <w:r w:rsidR="00614858" w:rsidRPr="00C47656">
              <w:rPr>
                <w:rFonts w:ascii="Verdana" w:hAnsi="Verdana"/>
              </w:rPr>
              <w:t>,</w:t>
            </w:r>
            <w:r w:rsidRPr="00C47656">
              <w:rPr>
                <w:rFonts w:ascii="Verdana" w:hAnsi="Verdana"/>
              </w:rPr>
              <w:t xml:space="preserve"> then the prescriber is contacted by fax or mail</w:t>
            </w:r>
            <w:r w:rsidR="00614858" w:rsidRPr="00C47656">
              <w:rPr>
                <w:rFonts w:ascii="Verdana" w:hAnsi="Verdana"/>
              </w:rPr>
              <w:t>,</w:t>
            </w:r>
            <w:r w:rsidRPr="00C47656">
              <w:rPr>
                <w:rFonts w:ascii="Verdana" w:hAnsi="Verdana"/>
              </w:rPr>
              <w:t xml:space="preserve"> or the intervention may be interactive when determined necessary.</w:t>
            </w:r>
          </w:p>
        </w:tc>
      </w:tr>
      <w:tr w:rsidR="00C47656" w:rsidRPr="00C47656" w14:paraId="3F6AEBF1" w14:textId="77777777" w:rsidTr="006D6B60">
        <w:trPr>
          <w:trHeight w:val="251"/>
        </w:trPr>
        <w:tc>
          <w:tcPr>
            <w:tcW w:w="748" w:type="pct"/>
          </w:tcPr>
          <w:p w14:paraId="30DD2D19" w14:textId="77777777" w:rsidR="00711DB3" w:rsidRPr="00C47656" w:rsidRDefault="00711DB3" w:rsidP="00952597">
            <w:pPr>
              <w:spacing w:before="120" w:after="120"/>
              <w:jc w:val="center"/>
              <w:rPr>
                <w:rFonts w:ascii="Verdana" w:hAnsi="Verdana"/>
                <w:b/>
              </w:rPr>
            </w:pPr>
            <w:r w:rsidRPr="00C47656">
              <w:rPr>
                <w:rFonts w:ascii="Verdana" w:hAnsi="Verdana"/>
                <w:b/>
              </w:rPr>
              <w:t>TPA</w:t>
            </w:r>
          </w:p>
        </w:tc>
        <w:tc>
          <w:tcPr>
            <w:tcW w:w="974" w:type="pct"/>
          </w:tcPr>
          <w:p w14:paraId="3017D4A0" w14:textId="77777777" w:rsidR="00711DB3" w:rsidRPr="00C47656" w:rsidRDefault="00711DB3" w:rsidP="00952597">
            <w:pPr>
              <w:spacing w:before="120" w:after="120"/>
              <w:rPr>
                <w:rFonts w:ascii="Verdana" w:hAnsi="Verdana"/>
                <w:bCs/>
              </w:rPr>
            </w:pPr>
            <w:r w:rsidRPr="00C47656">
              <w:rPr>
                <w:rFonts w:ascii="Verdana" w:hAnsi="Verdana"/>
                <w:bCs/>
              </w:rPr>
              <w:t>Third Party Administrators</w:t>
            </w:r>
          </w:p>
        </w:tc>
        <w:tc>
          <w:tcPr>
            <w:tcW w:w="3278" w:type="pct"/>
            <w:gridSpan w:val="2"/>
          </w:tcPr>
          <w:p w14:paraId="1D44CEFA" w14:textId="118EB9FF" w:rsidR="00711DB3" w:rsidRPr="00C47656" w:rsidRDefault="00711DB3" w:rsidP="00952597">
            <w:pPr>
              <w:spacing w:before="120" w:after="120"/>
              <w:rPr>
                <w:rFonts w:ascii="Verdana" w:hAnsi="Verdana"/>
              </w:rPr>
            </w:pPr>
            <w:r w:rsidRPr="00C47656">
              <w:rPr>
                <w:rFonts w:ascii="Verdana" w:hAnsi="Verdana"/>
              </w:rPr>
              <w:t xml:space="preserve">Clients that handle the administration of our program for a group or insurance company. The TPA is considered the plan sponsor and is therefore financially responsible. There is also a growing number of </w:t>
            </w:r>
            <w:r w:rsidR="00614858" w:rsidRPr="00C47656">
              <w:rPr>
                <w:rFonts w:ascii="Verdana" w:hAnsi="Verdana"/>
              </w:rPr>
              <w:t>Third-Party</w:t>
            </w:r>
            <w:r w:rsidRPr="00C47656">
              <w:rPr>
                <w:rFonts w:ascii="Verdana" w:hAnsi="Verdana"/>
              </w:rPr>
              <w:t xml:space="preserve"> Administrators who contract with small chains and independents to assist in their administrative/accounting functions. </w:t>
            </w:r>
          </w:p>
          <w:p w14:paraId="3A0DD32B" w14:textId="05B417B2" w:rsidR="00711DB3" w:rsidRPr="00C47656" w:rsidRDefault="00711DB3" w:rsidP="00952597">
            <w:pPr>
              <w:spacing w:before="120" w:after="120"/>
              <w:rPr>
                <w:rFonts w:ascii="Verdana" w:hAnsi="Verdana"/>
              </w:rPr>
            </w:pPr>
            <w:r w:rsidRPr="00C47656">
              <w:rPr>
                <w:rFonts w:ascii="Verdana" w:hAnsi="Verdana"/>
              </w:rPr>
              <w:t>This is an organization that has an obligation to ensure benefit payments are made for covered services.</w:t>
            </w:r>
          </w:p>
        </w:tc>
      </w:tr>
      <w:tr w:rsidR="00C47656" w:rsidRPr="00C47656" w14:paraId="44E05763" w14:textId="77777777" w:rsidTr="006D6B60">
        <w:trPr>
          <w:trHeight w:val="251"/>
        </w:trPr>
        <w:tc>
          <w:tcPr>
            <w:tcW w:w="748" w:type="pct"/>
          </w:tcPr>
          <w:p w14:paraId="03EA55CB" w14:textId="71B89134" w:rsidR="00711DB3" w:rsidRPr="00C47656" w:rsidRDefault="00711DB3" w:rsidP="00952597">
            <w:pPr>
              <w:spacing w:before="120" w:after="120"/>
              <w:jc w:val="center"/>
              <w:rPr>
                <w:rFonts w:ascii="Verdana" w:hAnsi="Verdana"/>
                <w:b/>
              </w:rPr>
            </w:pPr>
            <w:r w:rsidRPr="00C47656">
              <w:rPr>
                <w:rFonts w:ascii="Verdana" w:hAnsi="Verdana"/>
                <w:b/>
              </w:rPr>
              <w:t xml:space="preserve"> TP1, 2, 3</w:t>
            </w:r>
          </w:p>
        </w:tc>
        <w:tc>
          <w:tcPr>
            <w:tcW w:w="974" w:type="pct"/>
          </w:tcPr>
          <w:p w14:paraId="4FEA0D09" w14:textId="654328C6" w:rsidR="00711DB3" w:rsidRPr="00C47656" w:rsidRDefault="00711DB3" w:rsidP="00952597">
            <w:pPr>
              <w:spacing w:before="120" w:after="120"/>
              <w:rPr>
                <w:rFonts w:ascii="Verdana" w:hAnsi="Verdana"/>
                <w:bCs/>
              </w:rPr>
            </w:pPr>
            <w:bookmarkStart w:id="12" w:name="OLE_LINK41"/>
            <w:bookmarkStart w:id="13" w:name="OLE_LINK42"/>
            <w:r w:rsidRPr="00C47656">
              <w:rPr>
                <w:rFonts w:ascii="Verdana" w:hAnsi="Verdana"/>
                <w:bCs/>
              </w:rPr>
              <w:t>Therapeutic Intervention Program</w:t>
            </w:r>
            <w:bookmarkEnd w:id="12"/>
            <w:bookmarkEnd w:id="13"/>
            <w:r w:rsidRPr="00C47656">
              <w:rPr>
                <w:rFonts w:ascii="Verdana" w:hAnsi="Verdana"/>
                <w:bCs/>
              </w:rPr>
              <w:t xml:space="preserve"> 1, 2,3</w:t>
            </w:r>
          </w:p>
          <w:p w14:paraId="6102E643" w14:textId="77777777" w:rsidR="00711DB3" w:rsidRPr="00C47656" w:rsidRDefault="00711DB3" w:rsidP="00952597">
            <w:pPr>
              <w:spacing w:before="120" w:after="120"/>
              <w:rPr>
                <w:rFonts w:ascii="Verdana" w:hAnsi="Verdana"/>
                <w:bCs/>
              </w:rPr>
            </w:pPr>
          </w:p>
        </w:tc>
        <w:tc>
          <w:tcPr>
            <w:tcW w:w="3278" w:type="pct"/>
            <w:gridSpan w:val="2"/>
          </w:tcPr>
          <w:p w14:paraId="474889EE" w14:textId="4C123CA8" w:rsidR="00711DB3" w:rsidRPr="00C47656" w:rsidRDefault="00711DB3" w:rsidP="00952597">
            <w:pPr>
              <w:spacing w:before="120" w:after="120"/>
              <w:rPr>
                <w:rFonts w:ascii="Verdana" w:hAnsi="Verdana"/>
              </w:rPr>
            </w:pPr>
            <w:r w:rsidRPr="00C47656">
              <w:rPr>
                <w:rFonts w:ascii="Verdana" w:hAnsi="Verdana"/>
                <w:shd w:val="clear" w:color="auto" w:fill="FFFFFF"/>
              </w:rPr>
              <w:t>An intervention program is </w:t>
            </w:r>
            <w:r w:rsidRPr="00C47656">
              <w:rPr>
                <w:rFonts w:ascii="Verdana" w:hAnsi="Verdana"/>
                <w:b/>
                <w:bCs/>
                <w:shd w:val="clear" w:color="auto" w:fill="FFFFFF"/>
              </w:rPr>
              <w:t xml:space="preserve">a treatment method used by the mental health </w:t>
            </w:r>
            <w:r w:rsidR="00FD3703" w:rsidRPr="00C47656">
              <w:rPr>
                <w:rFonts w:ascii="Verdana" w:hAnsi="Verdana"/>
                <w:b/>
                <w:bCs/>
                <w:shd w:val="clear" w:color="auto" w:fill="FFFFFF"/>
              </w:rPr>
              <w:t>community</w:t>
            </w:r>
            <w:r w:rsidR="00FD3703" w:rsidRPr="00C47656">
              <w:rPr>
                <w:rFonts w:ascii="Verdana" w:hAnsi="Verdana"/>
                <w:shd w:val="clear" w:color="auto" w:fill="FFFFFF"/>
              </w:rPr>
              <w:t xml:space="preserve"> and</w:t>
            </w:r>
            <w:r w:rsidRPr="00C47656">
              <w:rPr>
                <w:rFonts w:ascii="Verdana" w:hAnsi="Verdana"/>
                <w:shd w:val="clear" w:color="auto" w:fill="FFFFFF"/>
              </w:rPr>
              <w:t xml:space="preserve"> utilized in </w:t>
            </w:r>
            <w:r w:rsidR="00614858" w:rsidRPr="00C47656">
              <w:rPr>
                <w:rFonts w:ascii="Verdana" w:hAnsi="Verdana"/>
                <w:shd w:val="clear" w:color="auto" w:fill="FFFFFF"/>
              </w:rPr>
              <w:t>several</w:t>
            </w:r>
            <w:r w:rsidRPr="00C47656">
              <w:rPr>
                <w:rFonts w:ascii="Verdana" w:hAnsi="Verdana"/>
                <w:shd w:val="clear" w:color="auto" w:fill="FFFFFF"/>
              </w:rPr>
              <w:t xml:space="preserve"> ways to better the situation of individuals who have become </w:t>
            </w:r>
            <w:r w:rsidR="00FD3703" w:rsidRPr="00C47656">
              <w:rPr>
                <w:rFonts w:ascii="Verdana" w:hAnsi="Verdana"/>
                <w:shd w:val="clear" w:color="auto" w:fill="FFFFFF"/>
              </w:rPr>
              <w:t>dependent</w:t>
            </w:r>
            <w:r w:rsidRPr="00C47656">
              <w:rPr>
                <w:rFonts w:ascii="Verdana" w:hAnsi="Verdana"/>
                <w:shd w:val="clear" w:color="auto" w:fill="FFFFFF"/>
              </w:rPr>
              <w:t xml:space="preserve"> on various substances or activities.</w:t>
            </w:r>
          </w:p>
        </w:tc>
      </w:tr>
      <w:tr w:rsidR="00C47656" w:rsidRPr="00C47656" w14:paraId="472533B7" w14:textId="77777777" w:rsidTr="006D6B60">
        <w:tc>
          <w:tcPr>
            <w:tcW w:w="748" w:type="pct"/>
          </w:tcPr>
          <w:p w14:paraId="545DD33C" w14:textId="77777777" w:rsidR="00711DB3" w:rsidRPr="00C47656" w:rsidRDefault="00711DB3" w:rsidP="00952597">
            <w:pPr>
              <w:spacing w:before="120" w:after="120"/>
              <w:jc w:val="center"/>
              <w:rPr>
                <w:rFonts w:ascii="Verdana" w:hAnsi="Verdana"/>
                <w:b/>
              </w:rPr>
            </w:pPr>
            <w:r w:rsidRPr="00C47656">
              <w:rPr>
                <w:rFonts w:ascii="Verdana" w:hAnsi="Verdana"/>
                <w:b/>
              </w:rPr>
              <w:t>TRC 127</w:t>
            </w:r>
          </w:p>
        </w:tc>
        <w:tc>
          <w:tcPr>
            <w:tcW w:w="974" w:type="pct"/>
          </w:tcPr>
          <w:p w14:paraId="2E7D8D06" w14:textId="77777777" w:rsidR="00711DB3" w:rsidRPr="00C47656" w:rsidRDefault="00711DB3" w:rsidP="00952597">
            <w:pPr>
              <w:spacing w:before="120" w:after="120"/>
              <w:rPr>
                <w:rFonts w:ascii="Verdana" w:hAnsi="Verdana"/>
                <w:bCs/>
              </w:rPr>
            </w:pPr>
            <w:r w:rsidRPr="00C47656">
              <w:rPr>
                <w:rFonts w:ascii="Verdana" w:hAnsi="Verdana"/>
                <w:bCs/>
              </w:rPr>
              <w:t>Transaction Code 127</w:t>
            </w:r>
          </w:p>
        </w:tc>
        <w:tc>
          <w:tcPr>
            <w:tcW w:w="3278" w:type="pct"/>
            <w:gridSpan w:val="2"/>
          </w:tcPr>
          <w:p w14:paraId="5C47BCDC" w14:textId="72ADE5F9" w:rsidR="00711DB3" w:rsidRPr="00C47656" w:rsidRDefault="00711DB3" w:rsidP="00952597">
            <w:pPr>
              <w:spacing w:before="120" w:after="120"/>
              <w:rPr>
                <w:rFonts w:ascii="Verdana" w:hAnsi="Verdana"/>
              </w:rPr>
            </w:pPr>
            <w:r w:rsidRPr="00C47656">
              <w:rPr>
                <w:rFonts w:ascii="Verdana" w:hAnsi="Verdana"/>
              </w:rPr>
              <w:t>An enrollment transaction (Transaction Type 61) was rejected because the Beneficiary has employer subsidy periods overlapping with the requested enrollment period.</w:t>
            </w:r>
          </w:p>
        </w:tc>
      </w:tr>
      <w:tr w:rsidR="00C47656" w:rsidRPr="00C47656" w14:paraId="66698CA3" w14:textId="77777777" w:rsidTr="006D6B60">
        <w:tc>
          <w:tcPr>
            <w:tcW w:w="748" w:type="pct"/>
          </w:tcPr>
          <w:p w14:paraId="530613F1" w14:textId="77777777" w:rsidR="00711DB3" w:rsidRPr="00C47656" w:rsidRDefault="00711DB3" w:rsidP="00952597">
            <w:pPr>
              <w:spacing w:before="120" w:after="120"/>
              <w:jc w:val="center"/>
              <w:rPr>
                <w:rFonts w:ascii="Verdana" w:hAnsi="Verdana"/>
                <w:b/>
              </w:rPr>
            </w:pPr>
            <w:r w:rsidRPr="00C47656">
              <w:rPr>
                <w:rFonts w:ascii="Verdana" w:hAnsi="Verdana"/>
                <w:b/>
                <w:bCs/>
              </w:rPr>
              <w:t>TRC</w:t>
            </w:r>
          </w:p>
        </w:tc>
        <w:tc>
          <w:tcPr>
            <w:tcW w:w="974" w:type="pct"/>
          </w:tcPr>
          <w:p w14:paraId="1C974EC2" w14:textId="77777777" w:rsidR="00711DB3" w:rsidRPr="00C47656" w:rsidRDefault="00711DB3" w:rsidP="00952597">
            <w:pPr>
              <w:spacing w:before="120" w:after="120"/>
              <w:rPr>
                <w:rFonts w:ascii="Verdana" w:hAnsi="Verdana"/>
                <w:bCs/>
              </w:rPr>
            </w:pPr>
            <w:r w:rsidRPr="00C47656">
              <w:rPr>
                <w:rFonts w:ascii="Verdana" w:hAnsi="Verdana"/>
                <w:bCs/>
              </w:rPr>
              <w:t>Transaction Reply Code</w:t>
            </w:r>
          </w:p>
        </w:tc>
        <w:tc>
          <w:tcPr>
            <w:tcW w:w="3278" w:type="pct"/>
            <w:gridSpan w:val="2"/>
          </w:tcPr>
          <w:p w14:paraId="73B51DE6" w14:textId="2B8228A1" w:rsidR="00711DB3" w:rsidRPr="00C47656" w:rsidRDefault="00711DB3" w:rsidP="00952597">
            <w:pPr>
              <w:spacing w:before="120" w:after="120"/>
              <w:rPr>
                <w:rFonts w:ascii="Verdana" w:hAnsi="Verdana"/>
              </w:rPr>
            </w:pPr>
            <w:r w:rsidRPr="00C47656">
              <w:rPr>
                <w:rFonts w:ascii="Verdana" w:hAnsi="Verdana"/>
              </w:rPr>
              <w:t>A reply code transmitted from Medicare to a MED D plan sponsor to communicate important membership information</w:t>
            </w:r>
            <w:r w:rsidR="005A0AB8" w:rsidRPr="00C47656">
              <w:rPr>
                <w:rFonts w:ascii="Verdana" w:hAnsi="Verdana"/>
              </w:rPr>
              <w:t xml:space="preserve">. </w:t>
            </w:r>
          </w:p>
          <w:p w14:paraId="36DD649C" w14:textId="702D2691" w:rsidR="00711DB3" w:rsidRPr="00C47656" w:rsidRDefault="00711DB3" w:rsidP="00952597">
            <w:pPr>
              <w:spacing w:before="120" w:after="120"/>
              <w:rPr>
                <w:rFonts w:ascii="Verdana" w:hAnsi="Verdana"/>
              </w:rPr>
            </w:pPr>
            <w:r w:rsidRPr="00C47656">
              <w:rPr>
                <w:rFonts w:ascii="Verdana" w:hAnsi="Verdana"/>
                <w:b/>
              </w:rPr>
              <w:t xml:space="preserve">Examples: </w:t>
            </w:r>
            <w:r w:rsidRPr="00C47656">
              <w:rPr>
                <w:rFonts w:ascii="Verdana" w:hAnsi="Verdana"/>
              </w:rPr>
              <w:t>Enrollment, Address Change, LIS, et</w:t>
            </w:r>
            <w:r w:rsidR="00FD3703" w:rsidRPr="00C47656">
              <w:rPr>
                <w:rFonts w:ascii="Verdana" w:hAnsi="Verdana"/>
              </w:rPr>
              <w:t>c</w:t>
            </w:r>
            <w:r w:rsidR="00F6152D" w:rsidRPr="00C47656">
              <w:rPr>
                <w:rFonts w:ascii="Verdana" w:hAnsi="Verdana"/>
              </w:rPr>
              <w:t>etera</w:t>
            </w:r>
            <w:r w:rsidR="00FD3703" w:rsidRPr="00C47656">
              <w:rPr>
                <w:rFonts w:ascii="Verdana" w:hAnsi="Verdana"/>
              </w:rPr>
              <w:t>.</w:t>
            </w:r>
          </w:p>
        </w:tc>
      </w:tr>
      <w:tr w:rsidR="00C47656" w:rsidRPr="00C47656" w14:paraId="3FE9D066" w14:textId="77777777" w:rsidTr="006D6B60">
        <w:tc>
          <w:tcPr>
            <w:tcW w:w="748" w:type="pct"/>
          </w:tcPr>
          <w:p w14:paraId="7B59CD89" w14:textId="41AF22A8" w:rsidR="00C47656" w:rsidRPr="00C47656" w:rsidRDefault="00C47656" w:rsidP="00952597">
            <w:pPr>
              <w:spacing w:before="120" w:after="120"/>
              <w:jc w:val="center"/>
              <w:rPr>
                <w:rFonts w:ascii="Verdana" w:hAnsi="Verdana"/>
                <w:b/>
                <w:bCs/>
              </w:rPr>
            </w:pPr>
            <w:r w:rsidRPr="00C47656">
              <w:rPr>
                <w:rFonts w:ascii="Verdana" w:hAnsi="Verdana"/>
                <w:b/>
                <w:bCs/>
              </w:rPr>
              <w:t>TRL</w:t>
            </w:r>
          </w:p>
        </w:tc>
        <w:tc>
          <w:tcPr>
            <w:tcW w:w="974" w:type="pct"/>
          </w:tcPr>
          <w:p w14:paraId="3F2F0B3D" w14:textId="391CD860" w:rsidR="00C47656" w:rsidRPr="00C47656" w:rsidRDefault="00C47656" w:rsidP="00952597">
            <w:pPr>
              <w:spacing w:before="120" w:after="120"/>
              <w:rPr>
                <w:rFonts w:ascii="Verdana" w:hAnsi="Verdana"/>
                <w:bCs/>
              </w:rPr>
            </w:pPr>
            <w:r w:rsidRPr="00C47656">
              <w:rPr>
                <w:rFonts w:ascii="Verdana" w:hAnsi="Verdana"/>
                <w:bCs/>
              </w:rPr>
              <w:t>Translation queue</w:t>
            </w:r>
          </w:p>
        </w:tc>
        <w:tc>
          <w:tcPr>
            <w:tcW w:w="3278" w:type="pct"/>
            <w:gridSpan w:val="2"/>
          </w:tcPr>
          <w:p w14:paraId="0ACEF06A" w14:textId="6D0AA6FA" w:rsidR="00C47656" w:rsidRPr="00C47656" w:rsidRDefault="00C47656" w:rsidP="00952597">
            <w:pPr>
              <w:spacing w:before="120" w:after="120"/>
              <w:rPr>
                <w:rFonts w:ascii="Verdana" w:hAnsi="Verdana"/>
              </w:rPr>
            </w:pPr>
            <w:r w:rsidRPr="00C47656">
              <w:rPr>
                <w:rFonts w:ascii="Verdana" w:hAnsi="Verdana"/>
              </w:rPr>
              <w:t xml:space="preserve">Queue in which prescriptions are entered. </w:t>
            </w:r>
          </w:p>
        </w:tc>
      </w:tr>
      <w:tr w:rsidR="00C47656" w:rsidRPr="00C47656" w14:paraId="08B0BAC2" w14:textId="77777777" w:rsidTr="006D6B60">
        <w:tc>
          <w:tcPr>
            <w:tcW w:w="748" w:type="pct"/>
          </w:tcPr>
          <w:p w14:paraId="58F49F2D" w14:textId="68D47DE5" w:rsidR="00711DB3" w:rsidRPr="00C47656" w:rsidRDefault="00711DB3" w:rsidP="00952597">
            <w:pPr>
              <w:spacing w:before="120" w:after="120"/>
              <w:jc w:val="center"/>
              <w:rPr>
                <w:rFonts w:ascii="Verdana" w:hAnsi="Verdana"/>
                <w:b/>
                <w:bCs/>
              </w:rPr>
            </w:pPr>
            <w:r w:rsidRPr="00C47656">
              <w:rPr>
                <w:rFonts w:ascii="Verdana" w:hAnsi="Verdana"/>
                <w:b/>
                <w:bCs/>
              </w:rPr>
              <w:t xml:space="preserve"> TRR </w:t>
            </w:r>
          </w:p>
        </w:tc>
        <w:tc>
          <w:tcPr>
            <w:tcW w:w="974" w:type="pct"/>
          </w:tcPr>
          <w:p w14:paraId="3B8B6813" w14:textId="77777777" w:rsidR="00711DB3" w:rsidRPr="00C47656" w:rsidRDefault="00711DB3" w:rsidP="00952597">
            <w:pPr>
              <w:spacing w:before="120" w:after="120"/>
              <w:rPr>
                <w:rFonts w:ascii="Verdana" w:hAnsi="Verdana"/>
                <w:bCs/>
              </w:rPr>
            </w:pPr>
            <w:bookmarkStart w:id="14" w:name="OLE_LINK43"/>
            <w:r w:rsidRPr="00C47656">
              <w:rPr>
                <w:rFonts w:ascii="Verdana" w:hAnsi="Verdana"/>
                <w:bCs/>
              </w:rPr>
              <w:t xml:space="preserve">Transaction Reply Report </w:t>
            </w:r>
            <w:bookmarkEnd w:id="14"/>
            <w:r w:rsidRPr="00C47656">
              <w:rPr>
                <w:rFonts w:ascii="Verdana" w:hAnsi="Verdana"/>
                <w:bCs/>
              </w:rPr>
              <w:t xml:space="preserve">or Response </w:t>
            </w:r>
          </w:p>
        </w:tc>
        <w:tc>
          <w:tcPr>
            <w:tcW w:w="3278" w:type="pct"/>
            <w:gridSpan w:val="2"/>
          </w:tcPr>
          <w:p w14:paraId="6E247BDD" w14:textId="35021498" w:rsidR="00711DB3" w:rsidRPr="00C47656" w:rsidRDefault="00711DB3" w:rsidP="00952597">
            <w:pPr>
              <w:spacing w:before="120" w:after="120"/>
              <w:rPr>
                <w:rFonts w:ascii="Verdana" w:hAnsi="Verdana"/>
              </w:rPr>
            </w:pPr>
            <w:r w:rsidRPr="00C47656">
              <w:rPr>
                <w:rFonts w:ascii="Verdana" w:hAnsi="Verdana"/>
                <w:shd w:val="clear" w:color="auto" w:fill="FFFFFF"/>
              </w:rPr>
              <w:t xml:space="preserve">A report that </w:t>
            </w:r>
            <w:r w:rsidR="00097CF8" w:rsidRPr="00C47656">
              <w:rPr>
                <w:rFonts w:ascii="Verdana" w:hAnsi="Verdana"/>
              </w:rPr>
              <w:t>Centers for Medicare and Medicaid Services (</w:t>
            </w:r>
            <w:r w:rsidRPr="00C47656">
              <w:rPr>
                <w:rFonts w:ascii="Verdana" w:hAnsi="Verdana"/>
                <w:shd w:val="clear" w:color="auto" w:fill="FFFFFF"/>
              </w:rPr>
              <w:t>CMS</w:t>
            </w:r>
            <w:r w:rsidR="00097CF8" w:rsidRPr="00C47656">
              <w:rPr>
                <w:rFonts w:ascii="Verdana" w:hAnsi="Verdana"/>
                <w:shd w:val="clear" w:color="auto" w:fill="FFFFFF"/>
              </w:rPr>
              <w:t>)</w:t>
            </w:r>
            <w:r w:rsidRPr="00C47656">
              <w:rPr>
                <w:rFonts w:ascii="Verdana" w:hAnsi="Verdana"/>
                <w:shd w:val="clear" w:color="auto" w:fill="FFFFFF"/>
              </w:rPr>
              <w:t xml:space="preserve"> provides to Part D sponsors containing details of the rejected and accepted enrollment transactions that CMS has processed for a Part D sponsor's contract(s) over a specified </w:t>
            </w:r>
            <w:r w:rsidR="00614858" w:rsidRPr="00C47656">
              <w:rPr>
                <w:rFonts w:ascii="Verdana" w:hAnsi="Verdana"/>
                <w:shd w:val="clear" w:color="auto" w:fill="FFFFFF"/>
              </w:rPr>
              <w:t>time</w:t>
            </w:r>
            <w:r w:rsidRPr="00C47656">
              <w:rPr>
                <w:rFonts w:ascii="Verdana" w:hAnsi="Verdana"/>
                <w:shd w:val="clear" w:color="auto" w:fill="FFFFFF"/>
              </w:rPr>
              <w:t>.</w:t>
            </w:r>
          </w:p>
        </w:tc>
      </w:tr>
      <w:tr w:rsidR="00C47656" w:rsidRPr="00C47656" w14:paraId="0BB35AB5" w14:textId="77777777" w:rsidTr="006D6B60">
        <w:tc>
          <w:tcPr>
            <w:tcW w:w="748" w:type="pct"/>
          </w:tcPr>
          <w:p w14:paraId="7EF9667C" w14:textId="77777777" w:rsidR="00711DB3" w:rsidRPr="00C47656" w:rsidRDefault="00711DB3" w:rsidP="00952597">
            <w:pPr>
              <w:spacing w:before="120" w:after="120"/>
              <w:jc w:val="center"/>
              <w:rPr>
                <w:rFonts w:ascii="Verdana" w:hAnsi="Verdana"/>
                <w:b/>
                <w:bCs/>
              </w:rPr>
            </w:pPr>
            <w:r w:rsidRPr="00C47656">
              <w:rPr>
                <w:rFonts w:ascii="Verdana" w:hAnsi="Verdana"/>
                <w:b/>
                <w:bCs/>
              </w:rPr>
              <w:t xml:space="preserve">TRR 999 </w:t>
            </w:r>
          </w:p>
        </w:tc>
        <w:tc>
          <w:tcPr>
            <w:tcW w:w="974" w:type="pct"/>
          </w:tcPr>
          <w:p w14:paraId="40DDA439" w14:textId="77777777" w:rsidR="00711DB3" w:rsidRPr="00C47656" w:rsidRDefault="00711DB3" w:rsidP="00952597">
            <w:pPr>
              <w:spacing w:before="120" w:after="120"/>
              <w:rPr>
                <w:rFonts w:ascii="Verdana" w:hAnsi="Verdana"/>
                <w:bCs/>
              </w:rPr>
            </w:pPr>
            <w:r w:rsidRPr="00C47656">
              <w:rPr>
                <w:rFonts w:ascii="Verdana" w:hAnsi="Verdana"/>
                <w:bCs/>
              </w:rPr>
              <w:t xml:space="preserve">Transaction Reply Report or Response for a full enrollment file </w:t>
            </w:r>
          </w:p>
        </w:tc>
        <w:tc>
          <w:tcPr>
            <w:tcW w:w="3278" w:type="pct"/>
            <w:gridSpan w:val="2"/>
          </w:tcPr>
          <w:p w14:paraId="11F1FE3E" w14:textId="3B5D7CC9" w:rsidR="00711DB3" w:rsidRPr="00C47656" w:rsidRDefault="00711DB3" w:rsidP="00952597">
            <w:pPr>
              <w:spacing w:before="120" w:after="120"/>
              <w:rPr>
                <w:rFonts w:ascii="Verdana" w:hAnsi="Verdana"/>
              </w:rPr>
            </w:pPr>
            <w:r w:rsidRPr="00C47656">
              <w:rPr>
                <w:rFonts w:ascii="Verdana" w:hAnsi="Verdana"/>
              </w:rPr>
              <w:t>A monthly Transaction Reply Report provided by CMS on or around the 25th of each month</w:t>
            </w:r>
            <w:r w:rsidR="005A0AB8" w:rsidRPr="00C47656">
              <w:rPr>
                <w:rFonts w:ascii="Verdana" w:hAnsi="Verdana"/>
              </w:rPr>
              <w:t xml:space="preserve">. </w:t>
            </w:r>
            <w:r w:rsidRPr="00C47656">
              <w:rPr>
                <w:rFonts w:ascii="Verdana" w:hAnsi="Verdana"/>
              </w:rPr>
              <w:t xml:space="preserve">The TRR contains a Part D plan's active Beneficiaries as of the first of the month, according to the PCUG, TRC 997-999 are codes on special TRRs that are generated for specific purposes. </w:t>
            </w:r>
          </w:p>
        </w:tc>
      </w:tr>
      <w:tr w:rsidR="00C47656" w:rsidRPr="00C47656" w14:paraId="414B19A8" w14:textId="77777777" w:rsidTr="006D6B60">
        <w:tc>
          <w:tcPr>
            <w:tcW w:w="748" w:type="pct"/>
          </w:tcPr>
          <w:p w14:paraId="7AAB7E7C" w14:textId="10A5038F" w:rsidR="00711DB3" w:rsidRPr="00C47656" w:rsidRDefault="00711DB3" w:rsidP="00952597">
            <w:pPr>
              <w:spacing w:before="120" w:after="120"/>
              <w:jc w:val="center"/>
              <w:rPr>
                <w:rFonts w:ascii="Verdana" w:hAnsi="Verdana"/>
                <w:b/>
              </w:rPr>
            </w:pPr>
            <w:r w:rsidRPr="00C47656">
              <w:rPr>
                <w:rFonts w:ascii="Verdana" w:hAnsi="Verdana"/>
                <w:b/>
                <w:bCs/>
              </w:rPr>
              <w:t xml:space="preserve"> TRS</w:t>
            </w:r>
          </w:p>
        </w:tc>
        <w:tc>
          <w:tcPr>
            <w:tcW w:w="974" w:type="pct"/>
          </w:tcPr>
          <w:p w14:paraId="202045BF" w14:textId="77777777" w:rsidR="00711DB3" w:rsidRPr="00C47656" w:rsidRDefault="00711DB3" w:rsidP="00952597">
            <w:pPr>
              <w:spacing w:before="120" w:after="120"/>
              <w:rPr>
                <w:rFonts w:ascii="Verdana" w:hAnsi="Verdana"/>
                <w:bCs/>
              </w:rPr>
            </w:pPr>
            <w:bookmarkStart w:id="15" w:name="OLE_LINK44"/>
            <w:r w:rsidRPr="00C47656">
              <w:rPr>
                <w:rFonts w:ascii="Verdana" w:hAnsi="Verdana"/>
                <w:bCs/>
              </w:rPr>
              <w:t>Telecommunications Relay Service</w:t>
            </w:r>
          </w:p>
          <w:bookmarkEnd w:id="15"/>
          <w:p w14:paraId="11207D0B" w14:textId="77777777" w:rsidR="00711DB3" w:rsidRPr="00C47656" w:rsidRDefault="00711DB3" w:rsidP="00952597">
            <w:pPr>
              <w:spacing w:before="120" w:after="120"/>
              <w:rPr>
                <w:rFonts w:ascii="Verdana" w:hAnsi="Verdana"/>
                <w:bCs/>
              </w:rPr>
            </w:pPr>
          </w:p>
        </w:tc>
        <w:tc>
          <w:tcPr>
            <w:tcW w:w="3278" w:type="pct"/>
            <w:gridSpan w:val="2"/>
          </w:tcPr>
          <w:p w14:paraId="2669BB81" w14:textId="0C88EBC3" w:rsidR="00711DB3" w:rsidRPr="00C47656" w:rsidRDefault="00711DB3" w:rsidP="00952597">
            <w:pPr>
              <w:spacing w:before="120" w:after="120"/>
              <w:rPr>
                <w:rFonts w:ascii="Verdana" w:hAnsi="Verdana"/>
              </w:rPr>
            </w:pPr>
            <w:r w:rsidRPr="00C47656">
              <w:rPr>
                <w:rFonts w:ascii="Verdana" w:hAnsi="Verdana"/>
              </w:rPr>
              <w:t>A telephone service that allows persons with hearing or speech disabilities to place and receive telephone calls.</w:t>
            </w:r>
            <w:r w:rsidRPr="00C47656">
              <w:rPr>
                <w:rFonts w:ascii="Verdana" w:hAnsi="Verdana" w:cs="Open Sans"/>
              </w:rPr>
              <w:t> </w:t>
            </w:r>
            <w:r w:rsidR="00097CF8" w:rsidRPr="00C47656">
              <w:rPr>
                <w:rFonts w:ascii="Verdana" w:hAnsi="Verdana" w:cs="Open Sans"/>
              </w:rPr>
              <w:t>A</w:t>
            </w:r>
            <w:r w:rsidRPr="00C47656">
              <w:rPr>
                <w:rFonts w:ascii="Verdana" w:hAnsi="Verdana" w:cs="Open Sans"/>
              </w:rPr>
              <w:t>llow</w:t>
            </w:r>
            <w:r w:rsidR="00097CF8" w:rsidRPr="00C47656">
              <w:rPr>
                <w:rFonts w:ascii="Verdana" w:hAnsi="Verdana" w:cs="Open Sans"/>
              </w:rPr>
              <w:t>s</w:t>
            </w:r>
            <w:r w:rsidRPr="00C47656">
              <w:rPr>
                <w:rFonts w:ascii="Verdana" w:hAnsi="Verdana" w:cs="Open Sans"/>
              </w:rPr>
              <w:t xml:space="preserve"> persons who are deaf, hard of hearing, deafblind, or have speech disabilities to communicate by telephone in a manner that is functionally equivalent to telephone services used by persons without such disabilities. </w:t>
            </w:r>
          </w:p>
        </w:tc>
      </w:tr>
      <w:tr w:rsidR="00C47656" w:rsidRPr="00C47656" w14:paraId="45E2D6E5" w14:textId="77777777" w:rsidTr="006D6B60">
        <w:tc>
          <w:tcPr>
            <w:tcW w:w="748" w:type="pct"/>
          </w:tcPr>
          <w:p w14:paraId="79241B0B" w14:textId="77777777" w:rsidR="00711DB3" w:rsidRPr="00C47656" w:rsidRDefault="00711DB3" w:rsidP="00952597">
            <w:pPr>
              <w:spacing w:before="120" w:after="120"/>
              <w:jc w:val="center"/>
              <w:rPr>
                <w:rFonts w:ascii="Verdana" w:hAnsi="Verdana"/>
                <w:b/>
              </w:rPr>
            </w:pPr>
            <w:proofErr w:type="spellStart"/>
            <w:r w:rsidRPr="00C47656">
              <w:rPr>
                <w:rFonts w:ascii="Verdana" w:hAnsi="Verdana"/>
                <w:b/>
              </w:rPr>
              <w:t>TrOOP</w:t>
            </w:r>
            <w:proofErr w:type="spellEnd"/>
          </w:p>
        </w:tc>
        <w:tc>
          <w:tcPr>
            <w:tcW w:w="974" w:type="pct"/>
          </w:tcPr>
          <w:p w14:paraId="792E6D1A" w14:textId="77777777" w:rsidR="00711DB3" w:rsidRPr="00C47656" w:rsidRDefault="00711DB3" w:rsidP="00952597">
            <w:pPr>
              <w:spacing w:before="120" w:after="120"/>
              <w:rPr>
                <w:rFonts w:ascii="Verdana" w:hAnsi="Verdana"/>
                <w:bCs/>
              </w:rPr>
            </w:pPr>
            <w:r w:rsidRPr="00C47656">
              <w:rPr>
                <w:rFonts w:ascii="Verdana" w:hAnsi="Verdana"/>
                <w:bCs/>
              </w:rPr>
              <w:t>True Out of Pocket</w:t>
            </w:r>
          </w:p>
        </w:tc>
        <w:tc>
          <w:tcPr>
            <w:tcW w:w="3278" w:type="pct"/>
            <w:gridSpan w:val="2"/>
          </w:tcPr>
          <w:p w14:paraId="051C853F" w14:textId="7BC948EA" w:rsidR="00711DB3" w:rsidRPr="00C47656" w:rsidRDefault="00711DB3" w:rsidP="00952597">
            <w:pPr>
              <w:spacing w:before="120" w:after="120"/>
              <w:rPr>
                <w:rFonts w:ascii="Verdana" w:hAnsi="Verdana"/>
              </w:rPr>
            </w:pPr>
            <w:r w:rsidRPr="00C47656">
              <w:rPr>
                <w:rFonts w:ascii="Verdana" w:hAnsi="Verdana"/>
              </w:rPr>
              <w:t>Medicare Part D term referring to the money the beneficiary pays out of his/her pocket for the prescriptions covered under the Medicare Part D plan</w:t>
            </w:r>
            <w:r w:rsidR="005A0AB8" w:rsidRPr="00C47656">
              <w:rPr>
                <w:rFonts w:ascii="Verdana" w:hAnsi="Verdana"/>
              </w:rPr>
              <w:t xml:space="preserve">. </w:t>
            </w:r>
            <w:r w:rsidRPr="00C47656">
              <w:rPr>
                <w:rFonts w:ascii="Verdana" w:hAnsi="Verdana"/>
              </w:rPr>
              <w:t xml:space="preserve">The following out of pocket amounts apply to </w:t>
            </w:r>
            <w:proofErr w:type="spellStart"/>
            <w:r w:rsidRPr="00C47656">
              <w:rPr>
                <w:rFonts w:ascii="Verdana" w:hAnsi="Verdana"/>
              </w:rPr>
              <w:t>TrOOP</w:t>
            </w:r>
            <w:proofErr w:type="spellEnd"/>
            <w:r w:rsidRPr="00C47656">
              <w:rPr>
                <w:rFonts w:ascii="Verdana" w:hAnsi="Verdana"/>
              </w:rPr>
              <w:t xml:space="preserve"> and are reset on an annual basis:</w:t>
            </w:r>
          </w:p>
          <w:p w14:paraId="32306CAC" w14:textId="77777777" w:rsidR="00711DB3" w:rsidRPr="00C47656" w:rsidRDefault="00711DB3" w:rsidP="005A0AB8">
            <w:pPr>
              <w:numPr>
                <w:ilvl w:val="0"/>
                <w:numId w:val="59"/>
              </w:numPr>
              <w:spacing w:before="120" w:after="120"/>
              <w:ind w:left="432"/>
              <w:rPr>
                <w:rFonts w:ascii="Verdana" w:hAnsi="Verdana"/>
              </w:rPr>
            </w:pPr>
            <w:r w:rsidRPr="00C47656">
              <w:rPr>
                <w:rFonts w:ascii="Verdana" w:hAnsi="Verdana"/>
              </w:rPr>
              <w:t xml:space="preserve">Deductible </w:t>
            </w:r>
          </w:p>
          <w:p w14:paraId="6E016093" w14:textId="7E54A4DD" w:rsidR="00711DB3" w:rsidRPr="00C47656" w:rsidRDefault="00711DB3" w:rsidP="005A0AB8">
            <w:pPr>
              <w:numPr>
                <w:ilvl w:val="0"/>
                <w:numId w:val="59"/>
              </w:numPr>
              <w:spacing w:before="120" w:after="120"/>
              <w:ind w:left="432"/>
              <w:rPr>
                <w:rFonts w:ascii="Verdana" w:hAnsi="Verdana"/>
              </w:rPr>
            </w:pPr>
            <w:r w:rsidRPr="00C47656">
              <w:rPr>
                <w:rFonts w:ascii="Verdana" w:hAnsi="Verdana"/>
              </w:rPr>
              <w:t>Copays/Coinsurance made by beneficiary and qualified third parties</w:t>
            </w:r>
          </w:p>
        </w:tc>
      </w:tr>
      <w:tr w:rsidR="00C47656" w:rsidRPr="00C47656" w14:paraId="67CACB3C" w14:textId="77777777" w:rsidTr="006D6B60">
        <w:tc>
          <w:tcPr>
            <w:tcW w:w="748" w:type="pct"/>
          </w:tcPr>
          <w:p w14:paraId="2A5AF3D2" w14:textId="10453DC0" w:rsidR="00711DB3" w:rsidRPr="00C47656" w:rsidRDefault="00711DB3" w:rsidP="00952597">
            <w:pPr>
              <w:spacing w:before="120" w:after="120"/>
              <w:jc w:val="center"/>
              <w:rPr>
                <w:rFonts w:ascii="Verdana" w:hAnsi="Verdana"/>
                <w:b/>
              </w:rPr>
            </w:pPr>
            <w:r w:rsidRPr="00C47656">
              <w:rPr>
                <w:rFonts w:ascii="Verdana" w:hAnsi="Verdana"/>
                <w:b/>
              </w:rPr>
              <w:t xml:space="preserve"> TS</w:t>
            </w:r>
          </w:p>
        </w:tc>
        <w:tc>
          <w:tcPr>
            <w:tcW w:w="974" w:type="pct"/>
          </w:tcPr>
          <w:p w14:paraId="41D3FC69" w14:textId="1045A228" w:rsidR="00711DB3" w:rsidRPr="00C47656" w:rsidRDefault="00711DB3" w:rsidP="00952597">
            <w:pPr>
              <w:spacing w:before="120" w:after="120"/>
              <w:rPr>
                <w:rFonts w:ascii="Verdana" w:hAnsi="Verdana"/>
                <w:bCs/>
              </w:rPr>
            </w:pPr>
            <w:r w:rsidRPr="00C47656">
              <w:rPr>
                <w:rFonts w:ascii="Verdana" w:hAnsi="Verdana"/>
                <w:bCs/>
              </w:rPr>
              <w:t>Test Strips</w:t>
            </w:r>
          </w:p>
        </w:tc>
        <w:tc>
          <w:tcPr>
            <w:tcW w:w="3278" w:type="pct"/>
            <w:gridSpan w:val="2"/>
          </w:tcPr>
          <w:p w14:paraId="7C872607" w14:textId="73FF383C" w:rsidR="00711DB3" w:rsidRPr="00C47656" w:rsidRDefault="00711DB3" w:rsidP="00952597">
            <w:pPr>
              <w:spacing w:before="120" w:after="120"/>
              <w:rPr>
                <w:rFonts w:ascii="Verdana" w:hAnsi="Verdana"/>
              </w:rPr>
            </w:pPr>
            <w:bookmarkStart w:id="16" w:name="OLE_LINK184"/>
            <w:r w:rsidRPr="00C47656">
              <w:rPr>
                <w:rFonts w:ascii="Verdana" w:hAnsi="Verdana"/>
              </w:rPr>
              <w:t>A strip of material containing chemicals that react to certain substances. Often used for testing blood glucose levels for diabetics.</w:t>
            </w:r>
            <w:bookmarkEnd w:id="16"/>
          </w:p>
        </w:tc>
      </w:tr>
      <w:tr w:rsidR="00C47656" w:rsidRPr="00C47656" w14:paraId="3E459840" w14:textId="77777777" w:rsidTr="006D6B60">
        <w:trPr>
          <w:trHeight w:val="432"/>
        </w:trPr>
        <w:tc>
          <w:tcPr>
            <w:tcW w:w="748" w:type="pct"/>
          </w:tcPr>
          <w:p w14:paraId="69E39DD4" w14:textId="2EB2CE46" w:rsidR="00711DB3" w:rsidRPr="00C47656" w:rsidRDefault="00711DB3" w:rsidP="00952597">
            <w:pPr>
              <w:spacing w:before="120" w:after="120"/>
              <w:jc w:val="center"/>
              <w:rPr>
                <w:rFonts w:ascii="Verdana" w:hAnsi="Verdana"/>
                <w:b/>
              </w:rPr>
            </w:pPr>
            <w:r w:rsidRPr="00C47656">
              <w:rPr>
                <w:rFonts w:ascii="Verdana" w:hAnsi="Verdana"/>
                <w:b/>
              </w:rPr>
              <w:t xml:space="preserve"> TSH</w:t>
            </w:r>
          </w:p>
        </w:tc>
        <w:tc>
          <w:tcPr>
            <w:tcW w:w="974" w:type="pct"/>
          </w:tcPr>
          <w:p w14:paraId="5C2AB078" w14:textId="77777777" w:rsidR="00711DB3" w:rsidRPr="00C47656" w:rsidRDefault="00711DB3" w:rsidP="00952597">
            <w:pPr>
              <w:spacing w:before="120" w:after="120"/>
              <w:rPr>
                <w:rFonts w:ascii="Verdana" w:hAnsi="Verdana"/>
                <w:bCs/>
              </w:rPr>
            </w:pPr>
            <w:bookmarkStart w:id="17" w:name="OLE_LINK45"/>
            <w:bookmarkStart w:id="18" w:name="OLE_LINK46"/>
            <w:r w:rsidRPr="00C47656">
              <w:rPr>
                <w:rFonts w:ascii="Verdana" w:hAnsi="Verdana"/>
                <w:bCs/>
              </w:rPr>
              <w:t>Thyroid-Stimulating Hormone</w:t>
            </w:r>
            <w:bookmarkEnd w:id="17"/>
            <w:bookmarkEnd w:id="18"/>
          </w:p>
        </w:tc>
        <w:tc>
          <w:tcPr>
            <w:tcW w:w="3278" w:type="pct"/>
            <w:gridSpan w:val="2"/>
          </w:tcPr>
          <w:p w14:paraId="6CC0DF5B" w14:textId="5A6A9359" w:rsidR="00711DB3" w:rsidRPr="00C47656" w:rsidRDefault="00711DB3" w:rsidP="00952597">
            <w:pPr>
              <w:spacing w:before="120" w:after="120"/>
              <w:rPr>
                <w:rFonts w:ascii="Verdana" w:hAnsi="Verdana"/>
              </w:rPr>
            </w:pPr>
            <w:r w:rsidRPr="00C47656">
              <w:rPr>
                <w:rFonts w:ascii="Verdana" w:hAnsi="Verdana" w:cs="Noto Sans"/>
                <w:shd w:val="clear" w:color="auto" w:fill="FFFFFB"/>
              </w:rPr>
              <w:t>A hormone produced by the pituitary gland that controls production of thyroid hormones.</w:t>
            </w:r>
          </w:p>
        </w:tc>
      </w:tr>
      <w:tr w:rsidR="00C47656" w:rsidRPr="00C47656" w14:paraId="0130D7BD" w14:textId="77777777" w:rsidTr="006D6B60">
        <w:tc>
          <w:tcPr>
            <w:tcW w:w="748" w:type="pct"/>
          </w:tcPr>
          <w:p w14:paraId="4BCA1566" w14:textId="50B41A2B" w:rsidR="00711DB3" w:rsidRPr="00C47656" w:rsidRDefault="00711DB3" w:rsidP="00952597">
            <w:pPr>
              <w:spacing w:before="120" w:after="120"/>
              <w:jc w:val="center"/>
              <w:rPr>
                <w:rFonts w:ascii="Verdana" w:hAnsi="Verdana"/>
                <w:b/>
                <w:bCs/>
              </w:rPr>
            </w:pPr>
            <w:r w:rsidRPr="00C47656">
              <w:rPr>
                <w:rFonts w:ascii="Verdana" w:hAnsi="Verdana"/>
                <w:b/>
                <w:bCs/>
              </w:rPr>
              <w:t xml:space="preserve"> TSR </w:t>
            </w:r>
          </w:p>
        </w:tc>
        <w:tc>
          <w:tcPr>
            <w:tcW w:w="974" w:type="pct"/>
          </w:tcPr>
          <w:p w14:paraId="22A3C1CC" w14:textId="77777777" w:rsidR="00711DB3" w:rsidRPr="00C47656" w:rsidRDefault="00711DB3" w:rsidP="00952597">
            <w:pPr>
              <w:spacing w:before="120" w:after="120"/>
              <w:rPr>
                <w:rFonts w:ascii="Verdana" w:hAnsi="Verdana"/>
                <w:bCs/>
              </w:rPr>
            </w:pPr>
            <w:bookmarkStart w:id="19" w:name="OLE_LINK47"/>
            <w:r w:rsidRPr="00C47656">
              <w:rPr>
                <w:rFonts w:ascii="Verdana" w:hAnsi="Verdana"/>
                <w:bCs/>
              </w:rPr>
              <w:t xml:space="preserve">Transaction Status Response </w:t>
            </w:r>
            <w:bookmarkEnd w:id="19"/>
          </w:p>
        </w:tc>
        <w:tc>
          <w:tcPr>
            <w:tcW w:w="3278" w:type="pct"/>
            <w:gridSpan w:val="2"/>
          </w:tcPr>
          <w:p w14:paraId="7F4E7D7B" w14:textId="4DA73BC2" w:rsidR="00711DB3" w:rsidRPr="00C47656" w:rsidRDefault="00711DB3" w:rsidP="00952597">
            <w:pPr>
              <w:spacing w:before="120" w:after="120"/>
              <w:rPr>
                <w:rFonts w:ascii="Verdana" w:hAnsi="Verdana"/>
              </w:rPr>
            </w:pPr>
            <w:r w:rsidRPr="00C47656">
              <w:rPr>
                <w:rFonts w:ascii="Verdana" w:hAnsi="Verdana"/>
                <w:shd w:val="clear" w:color="auto" w:fill="FFFFFF"/>
              </w:rPr>
              <w:t>Transaction Statuses can be used to track the state or condition of the transaction record. </w:t>
            </w:r>
          </w:p>
        </w:tc>
      </w:tr>
      <w:tr w:rsidR="00C47656" w:rsidRPr="00C47656" w14:paraId="2EE1B9E0" w14:textId="77777777" w:rsidTr="006D6B60">
        <w:tc>
          <w:tcPr>
            <w:tcW w:w="748" w:type="pct"/>
          </w:tcPr>
          <w:p w14:paraId="49D13178" w14:textId="77777777" w:rsidR="00711DB3" w:rsidRPr="00C47656" w:rsidRDefault="00711DB3" w:rsidP="00952597">
            <w:pPr>
              <w:spacing w:before="120" w:after="120"/>
              <w:jc w:val="center"/>
              <w:rPr>
                <w:rFonts w:ascii="Verdana" w:hAnsi="Verdana"/>
                <w:b/>
              </w:rPr>
            </w:pPr>
            <w:r w:rsidRPr="00C47656">
              <w:rPr>
                <w:rFonts w:ascii="Verdana" w:hAnsi="Verdana"/>
                <w:b/>
                <w:bCs/>
              </w:rPr>
              <w:t>TTY</w:t>
            </w:r>
          </w:p>
        </w:tc>
        <w:tc>
          <w:tcPr>
            <w:tcW w:w="974" w:type="pct"/>
          </w:tcPr>
          <w:p w14:paraId="7963B131" w14:textId="77777777" w:rsidR="00711DB3" w:rsidRPr="00C47656" w:rsidRDefault="00711DB3" w:rsidP="00952597">
            <w:pPr>
              <w:spacing w:before="120" w:after="120"/>
              <w:rPr>
                <w:rFonts w:ascii="Verdana" w:hAnsi="Verdana"/>
                <w:bCs/>
              </w:rPr>
            </w:pPr>
            <w:r w:rsidRPr="00C47656">
              <w:rPr>
                <w:rFonts w:ascii="Verdana" w:hAnsi="Verdana"/>
                <w:bCs/>
              </w:rPr>
              <w:t>Teletypewriter</w:t>
            </w:r>
          </w:p>
        </w:tc>
        <w:tc>
          <w:tcPr>
            <w:tcW w:w="3278" w:type="pct"/>
            <w:gridSpan w:val="2"/>
          </w:tcPr>
          <w:p w14:paraId="00919FFD" w14:textId="211D401F" w:rsidR="00711DB3" w:rsidRPr="00C47656" w:rsidRDefault="00711DB3" w:rsidP="00952597">
            <w:pPr>
              <w:spacing w:before="120" w:after="120"/>
              <w:rPr>
                <w:noProof/>
              </w:rPr>
            </w:pPr>
            <w:r w:rsidRPr="00C47656">
              <w:rPr>
                <w:rFonts w:ascii="Verdana" w:hAnsi="Verdana"/>
              </w:rPr>
              <w:t>A small telecommunications device with a keyboard for typing and a screen or paper for reading conversations</w:t>
            </w:r>
            <w:r w:rsidR="005A0AB8" w:rsidRPr="00C47656">
              <w:rPr>
                <w:rFonts w:ascii="Verdana" w:hAnsi="Verdana"/>
              </w:rPr>
              <w:t xml:space="preserve">. </w:t>
            </w:r>
          </w:p>
          <w:p w14:paraId="50C84A93" w14:textId="3F10EFC3" w:rsidR="00711DB3" w:rsidRPr="00C47656" w:rsidRDefault="00711DB3" w:rsidP="00952597">
            <w:pPr>
              <w:spacing w:before="120" w:after="120"/>
              <w:rPr>
                <w:rFonts w:ascii="Verdana" w:hAnsi="Verdana"/>
              </w:rPr>
            </w:pPr>
            <w:r w:rsidRPr="00C47656">
              <w:rPr>
                <w:rFonts w:ascii="Verdana" w:hAnsi="Verdana"/>
              </w:rPr>
              <w:t>Dedicated national number (711) used by hearing impaired beneficiaries.</w:t>
            </w:r>
          </w:p>
        </w:tc>
      </w:tr>
      <w:tr w:rsidR="00C47656" w:rsidRPr="00C47656" w14:paraId="27F4921A" w14:textId="77777777" w:rsidTr="006D6B60">
        <w:tc>
          <w:tcPr>
            <w:tcW w:w="748" w:type="pct"/>
          </w:tcPr>
          <w:p w14:paraId="24A4A35D" w14:textId="77777777" w:rsidR="00711DB3" w:rsidRPr="00C47656" w:rsidRDefault="00711DB3" w:rsidP="00952597">
            <w:pPr>
              <w:spacing w:before="120" w:after="120"/>
              <w:jc w:val="center"/>
              <w:rPr>
                <w:rFonts w:ascii="Verdana" w:hAnsi="Verdana"/>
                <w:b/>
              </w:rPr>
            </w:pPr>
            <w:r w:rsidRPr="00C47656">
              <w:rPr>
                <w:rFonts w:ascii="Verdana" w:hAnsi="Verdana"/>
                <w:b/>
              </w:rPr>
              <w:t>Tx</w:t>
            </w:r>
          </w:p>
        </w:tc>
        <w:tc>
          <w:tcPr>
            <w:tcW w:w="974" w:type="pct"/>
          </w:tcPr>
          <w:p w14:paraId="5B1BEA38" w14:textId="77777777" w:rsidR="00711DB3" w:rsidRPr="00C47656" w:rsidRDefault="00711DB3" w:rsidP="00952597">
            <w:pPr>
              <w:spacing w:before="120" w:after="120"/>
              <w:rPr>
                <w:rFonts w:ascii="Verdana" w:hAnsi="Verdana"/>
                <w:bCs/>
              </w:rPr>
            </w:pPr>
            <w:r w:rsidRPr="00C47656">
              <w:rPr>
                <w:rFonts w:ascii="Verdana" w:hAnsi="Verdana"/>
                <w:bCs/>
              </w:rPr>
              <w:t>Therapy</w:t>
            </w:r>
          </w:p>
        </w:tc>
        <w:tc>
          <w:tcPr>
            <w:tcW w:w="3278" w:type="pct"/>
            <w:gridSpan w:val="2"/>
          </w:tcPr>
          <w:p w14:paraId="56697D31" w14:textId="45A3ADB9" w:rsidR="00711DB3" w:rsidRPr="00C47656" w:rsidRDefault="00711DB3" w:rsidP="00952597">
            <w:pPr>
              <w:spacing w:before="120" w:after="120"/>
              <w:rPr>
                <w:rFonts w:ascii="Verdana" w:hAnsi="Verdana"/>
              </w:rPr>
            </w:pPr>
            <w:r w:rsidRPr="00C47656">
              <w:rPr>
                <w:rFonts w:ascii="Verdana" w:hAnsi="Verdana"/>
              </w:rPr>
              <w:t>Used primarily in prescription directions to indicate that a medication should be used as directed by the prescriber to treat a corresponding condition.</w:t>
            </w:r>
          </w:p>
        </w:tc>
      </w:tr>
      <w:tr w:rsidR="00C47656" w:rsidRPr="00C47656" w14:paraId="6C942D63" w14:textId="77777777" w:rsidTr="006D6B60">
        <w:tc>
          <w:tcPr>
            <w:tcW w:w="748" w:type="pct"/>
          </w:tcPr>
          <w:p w14:paraId="6C95A5FE" w14:textId="2528A49A" w:rsidR="00711DB3" w:rsidRPr="00C47656" w:rsidRDefault="00711DB3" w:rsidP="00952597">
            <w:pPr>
              <w:spacing w:before="120" w:after="120"/>
              <w:jc w:val="center"/>
              <w:rPr>
                <w:rFonts w:ascii="Verdana" w:hAnsi="Verdana"/>
                <w:b/>
              </w:rPr>
            </w:pPr>
            <w:r w:rsidRPr="00C47656">
              <w:rPr>
                <w:rFonts w:ascii="Verdana" w:hAnsi="Verdana"/>
                <w:b/>
              </w:rPr>
              <w:t xml:space="preserve"> TZ</w:t>
            </w:r>
          </w:p>
        </w:tc>
        <w:tc>
          <w:tcPr>
            <w:tcW w:w="974" w:type="pct"/>
          </w:tcPr>
          <w:p w14:paraId="63F4A9C3" w14:textId="18803B83" w:rsidR="00711DB3" w:rsidRPr="00C47656" w:rsidRDefault="00711DB3" w:rsidP="00952597">
            <w:pPr>
              <w:spacing w:before="120" w:after="120"/>
              <w:rPr>
                <w:rFonts w:ascii="Verdana" w:hAnsi="Verdana"/>
                <w:bCs/>
              </w:rPr>
            </w:pPr>
            <w:r w:rsidRPr="00C47656">
              <w:rPr>
                <w:rFonts w:ascii="Verdana" w:hAnsi="Verdana"/>
                <w:bCs/>
              </w:rPr>
              <w:t>Time Zone</w:t>
            </w:r>
          </w:p>
        </w:tc>
        <w:tc>
          <w:tcPr>
            <w:tcW w:w="3278" w:type="pct"/>
            <w:gridSpan w:val="2"/>
          </w:tcPr>
          <w:p w14:paraId="3C218265" w14:textId="334C7DBB" w:rsidR="00711DB3" w:rsidRPr="00C47656" w:rsidRDefault="00711DB3" w:rsidP="00952597">
            <w:pPr>
              <w:spacing w:before="120" w:after="120"/>
              <w:rPr>
                <w:rFonts w:ascii="Verdana" w:hAnsi="Verdana"/>
              </w:rPr>
            </w:pPr>
            <w:r w:rsidRPr="00C47656">
              <w:rPr>
                <w:rFonts w:ascii="Verdana" w:hAnsi="Verdana"/>
              </w:rPr>
              <w:t>Identifies the certain region of the world that observes a uniform time</w:t>
            </w:r>
            <w:r w:rsidR="00614858" w:rsidRPr="00C47656">
              <w:rPr>
                <w:rFonts w:ascii="Verdana" w:hAnsi="Verdana"/>
              </w:rPr>
              <w:t>.</w:t>
            </w:r>
          </w:p>
        </w:tc>
      </w:tr>
    </w:tbl>
    <w:p w14:paraId="0B9E20DC" w14:textId="77777777" w:rsidR="004A409E" w:rsidRPr="00AD30BE" w:rsidRDefault="004A409E" w:rsidP="005A0AB8">
      <w:pPr>
        <w:spacing w:before="120" w:after="120"/>
      </w:pPr>
    </w:p>
    <w:p w14:paraId="492CF0FC" w14:textId="77777777" w:rsidR="00E55B3A" w:rsidRDefault="00E55B3A" w:rsidP="005A0AB8">
      <w:pPr>
        <w:spacing w:before="120" w:after="120"/>
      </w:pPr>
    </w:p>
    <w:p w14:paraId="5C25D8C6" w14:textId="177669F3" w:rsidR="00E55B3A" w:rsidRPr="00CE0701" w:rsidRDefault="00CE0701" w:rsidP="00952597">
      <w:pPr>
        <w:spacing w:before="120" w:after="120"/>
        <w:jc w:val="right"/>
        <w:rPr>
          <w:rFonts w:ascii="Verdana" w:hAnsi="Verdana"/>
          <w:color w:val="FF0000"/>
        </w:rPr>
      </w:pPr>
      <w:hyperlink w:anchor="_top" w:history="1">
        <w:r w:rsidRPr="00820A9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7"/>
        <w:gridCol w:w="1026"/>
        <w:gridCol w:w="8467"/>
      </w:tblGrid>
      <w:tr w:rsidR="00031DB5" w:rsidRPr="00F25025" w14:paraId="1D02CF74" w14:textId="77777777" w:rsidTr="008829F4">
        <w:tc>
          <w:tcPr>
            <w:tcW w:w="1335" w:type="pct"/>
            <w:shd w:val="clear" w:color="auto" w:fill="D9D9D9" w:themeFill="background1" w:themeFillShade="D9"/>
            <w:vAlign w:val="center"/>
          </w:tcPr>
          <w:p w14:paraId="0A2A8DFE" w14:textId="66E50133" w:rsidR="00711DB3" w:rsidRPr="00711DB3" w:rsidRDefault="00711DB3" w:rsidP="00952597">
            <w:pPr>
              <w:spacing w:before="120" w:after="120"/>
              <w:jc w:val="center"/>
              <w:rPr>
                <w:rFonts w:ascii="Verdana" w:hAnsi="Verdana"/>
                <w:b/>
                <w:color w:val="000000"/>
              </w:rPr>
            </w:pPr>
            <w:bookmarkStart w:id="20" w:name="term_def"/>
            <w:r w:rsidRPr="00711DB3">
              <w:rPr>
                <w:rFonts w:ascii="Verdana" w:hAnsi="Verdana"/>
                <w:b/>
                <w:color w:val="000000"/>
              </w:rPr>
              <w:t>Term</w:t>
            </w:r>
            <w:bookmarkEnd w:id="20"/>
          </w:p>
        </w:tc>
        <w:tc>
          <w:tcPr>
            <w:tcW w:w="3665" w:type="pct"/>
            <w:gridSpan w:val="2"/>
            <w:shd w:val="clear" w:color="auto" w:fill="D9D9D9" w:themeFill="background1" w:themeFillShade="D9"/>
            <w:vAlign w:val="center"/>
          </w:tcPr>
          <w:p w14:paraId="1D95F5C9" w14:textId="6773F759" w:rsidR="00711DB3" w:rsidRPr="00711DB3" w:rsidRDefault="00711DB3" w:rsidP="005A0AB8">
            <w:pPr>
              <w:spacing w:before="120" w:after="120"/>
              <w:jc w:val="center"/>
              <w:rPr>
                <w:rFonts w:ascii="Verdana" w:hAnsi="Verdana"/>
                <w:b/>
                <w:color w:val="000000"/>
              </w:rPr>
            </w:pPr>
            <w:r w:rsidRPr="00711DB3">
              <w:rPr>
                <w:rFonts w:ascii="Verdana" w:hAnsi="Verdana"/>
                <w:b/>
                <w:color w:val="000000"/>
              </w:rPr>
              <w:t>Definition</w:t>
            </w:r>
          </w:p>
        </w:tc>
      </w:tr>
      <w:tr w:rsidR="00031DB5" w:rsidRPr="00F25025" w14:paraId="6124D820" w14:textId="77777777" w:rsidTr="008829F4">
        <w:tc>
          <w:tcPr>
            <w:tcW w:w="1335" w:type="pct"/>
          </w:tcPr>
          <w:p w14:paraId="5F5F3A30" w14:textId="39863C32" w:rsidR="00157785" w:rsidRPr="002C36C7" w:rsidRDefault="00157785" w:rsidP="00952597">
            <w:pPr>
              <w:spacing w:before="120" w:after="120"/>
              <w:rPr>
                <w:rFonts w:ascii="Verdana" w:hAnsi="Verdana"/>
                <w:bCs/>
              </w:rPr>
            </w:pPr>
            <w:r w:rsidRPr="002C36C7">
              <w:rPr>
                <w:rFonts w:ascii="Verdana" w:hAnsi="Verdana"/>
                <w:bCs/>
                <w:color w:val="000000"/>
              </w:rPr>
              <w:t>Tag a Long</w:t>
            </w:r>
          </w:p>
        </w:tc>
        <w:tc>
          <w:tcPr>
            <w:tcW w:w="3665" w:type="pct"/>
            <w:gridSpan w:val="2"/>
          </w:tcPr>
          <w:p w14:paraId="634820F2" w14:textId="77777777" w:rsidR="00157785" w:rsidRPr="00F25025" w:rsidRDefault="00157785" w:rsidP="00952597">
            <w:pPr>
              <w:spacing w:before="120" w:after="120"/>
              <w:rPr>
                <w:rFonts w:ascii="Verdana" w:hAnsi="Verdana"/>
              </w:rPr>
            </w:pPr>
            <w:r w:rsidRPr="00F34CBD">
              <w:rPr>
                <w:rFonts w:ascii="Verdana" w:hAnsi="Verdana"/>
                <w:color w:val="000000"/>
              </w:rPr>
              <w:t>Prescription that has multiple conflict diverts attached</w:t>
            </w:r>
          </w:p>
        </w:tc>
      </w:tr>
      <w:tr w:rsidR="00031DB5" w:rsidRPr="00F25025" w14:paraId="296A18A1" w14:textId="77777777" w:rsidTr="008829F4">
        <w:tc>
          <w:tcPr>
            <w:tcW w:w="1335" w:type="pct"/>
          </w:tcPr>
          <w:p w14:paraId="75BC0056" w14:textId="6DC0231A" w:rsidR="00157785" w:rsidRPr="002C36C7" w:rsidRDefault="00157785" w:rsidP="00952597">
            <w:pPr>
              <w:spacing w:before="120" w:after="120"/>
              <w:rPr>
                <w:rFonts w:ascii="Verdana" w:hAnsi="Verdana"/>
                <w:bCs/>
              </w:rPr>
            </w:pPr>
            <w:r w:rsidRPr="002C36C7">
              <w:rPr>
                <w:rFonts w:ascii="Verdana" w:hAnsi="Verdana"/>
                <w:bCs/>
                <w:color w:val="000000"/>
              </w:rPr>
              <w:t>Targeted Medication</w:t>
            </w:r>
          </w:p>
        </w:tc>
        <w:tc>
          <w:tcPr>
            <w:tcW w:w="3665" w:type="pct"/>
            <w:gridSpan w:val="2"/>
          </w:tcPr>
          <w:p w14:paraId="08185B10" w14:textId="2D7EAFDB" w:rsidR="00157785" w:rsidRPr="00F25025" w:rsidRDefault="00157785" w:rsidP="00952597">
            <w:pPr>
              <w:spacing w:before="120" w:after="120"/>
              <w:rPr>
                <w:rFonts w:ascii="Verdana" w:hAnsi="Verdana"/>
              </w:rPr>
            </w:pPr>
            <w:r w:rsidRPr="00F25025">
              <w:rPr>
                <w:rFonts w:ascii="Verdana" w:hAnsi="Verdana"/>
                <w:color w:val="000000"/>
              </w:rPr>
              <w:t xml:space="preserve">Medications with high potential for abuse/misuse. </w:t>
            </w:r>
            <w:r w:rsidRPr="00F25025">
              <w:rPr>
                <w:rFonts w:ascii="Verdana" w:hAnsi="Verdana"/>
                <w:b/>
                <w:color w:val="000000"/>
              </w:rPr>
              <w:t>Example:</w:t>
            </w:r>
            <w:r w:rsidRPr="00F25025">
              <w:rPr>
                <w:rFonts w:ascii="Verdana" w:hAnsi="Verdana"/>
                <w:color w:val="000000"/>
              </w:rPr>
              <w:t xml:space="preserve"> Controlled substances</w:t>
            </w:r>
          </w:p>
        </w:tc>
      </w:tr>
      <w:tr w:rsidR="00031DB5" w:rsidRPr="00F25025" w14:paraId="63D4AF42" w14:textId="77777777" w:rsidTr="008829F4">
        <w:tc>
          <w:tcPr>
            <w:tcW w:w="1335" w:type="pct"/>
          </w:tcPr>
          <w:p w14:paraId="1B5E65F6" w14:textId="4CF1596E" w:rsidR="004A409E" w:rsidRPr="002C36C7" w:rsidRDefault="004A409E" w:rsidP="00952597">
            <w:pPr>
              <w:spacing w:before="120" w:after="120"/>
              <w:rPr>
                <w:rFonts w:ascii="Verdana" w:hAnsi="Verdana"/>
                <w:bCs/>
              </w:rPr>
            </w:pPr>
            <w:r w:rsidRPr="002C36C7">
              <w:rPr>
                <w:rFonts w:ascii="Verdana" w:hAnsi="Verdana"/>
                <w:bCs/>
              </w:rPr>
              <w:t>Telemedicine/Telehealth</w:t>
            </w:r>
          </w:p>
        </w:tc>
        <w:tc>
          <w:tcPr>
            <w:tcW w:w="3665" w:type="pct"/>
            <w:gridSpan w:val="2"/>
          </w:tcPr>
          <w:p w14:paraId="0F7A59D3" w14:textId="600D2AAB" w:rsidR="004A409E" w:rsidRPr="00F25025" w:rsidRDefault="004A409E" w:rsidP="00952597">
            <w:pPr>
              <w:spacing w:before="120" w:after="120"/>
              <w:rPr>
                <w:rFonts w:ascii="Verdana" w:hAnsi="Verdana"/>
              </w:rPr>
            </w:pPr>
            <w:r>
              <w:rPr>
                <w:rFonts w:ascii="Verdana" w:hAnsi="Verdana"/>
              </w:rPr>
              <w:t>Interchangeable terms</w:t>
            </w:r>
            <w:r w:rsidR="00097CF8">
              <w:rPr>
                <w:rFonts w:ascii="Verdana" w:hAnsi="Verdana"/>
              </w:rPr>
              <w:t xml:space="preserve"> </w:t>
            </w:r>
            <w:r>
              <w:rPr>
                <w:rFonts w:ascii="Verdana" w:hAnsi="Verdana"/>
              </w:rPr>
              <w:t>- Telehealth/Telemedicine refers to a type of care</w:t>
            </w:r>
            <w:r w:rsidR="00097CF8">
              <w:rPr>
                <w:rFonts w:ascii="Verdana" w:hAnsi="Verdana"/>
              </w:rPr>
              <w:t>;</w:t>
            </w:r>
            <w:r>
              <w:rPr>
                <w:rFonts w:ascii="Verdana" w:hAnsi="Verdana"/>
              </w:rPr>
              <w:t xml:space="preserve"> health care that is delivered remotely, such as over the phone, through video, or via other communication platforms. Aetna policies have been relaxed to allow any in-network provider to deliver telemedicine and to be reimbursed at the same rate as an in-office visit. Many in-network providers are offering telemedicine services; they will evaluate, diagnose, and consult with patients remotely. </w:t>
            </w:r>
          </w:p>
        </w:tc>
      </w:tr>
      <w:tr w:rsidR="00031DB5" w:rsidRPr="00F25025" w14:paraId="797DD2B3" w14:textId="77777777" w:rsidTr="008829F4">
        <w:tc>
          <w:tcPr>
            <w:tcW w:w="1335" w:type="pct"/>
          </w:tcPr>
          <w:p w14:paraId="6B31215C" w14:textId="12B79820" w:rsidR="00157785" w:rsidRPr="002C36C7" w:rsidRDefault="00157785" w:rsidP="00952597">
            <w:pPr>
              <w:spacing w:before="120" w:after="120"/>
              <w:rPr>
                <w:rFonts w:ascii="Verdana" w:hAnsi="Verdana"/>
                <w:bCs/>
              </w:rPr>
            </w:pPr>
            <w:proofErr w:type="spellStart"/>
            <w:r w:rsidRPr="002C36C7">
              <w:rPr>
                <w:rFonts w:ascii="Verdana" w:hAnsi="Verdana"/>
                <w:bCs/>
              </w:rPr>
              <w:t>Teledoc</w:t>
            </w:r>
            <w:proofErr w:type="spellEnd"/>
          </w:p>
        </w:tc>
        <w:tc>
          <w:tcPr>
            <w:tcW w:w="3665" w:type="pct"/>
            <w:gridSpan w:val="2"/>
          </w:tcPr>
          <w:p w14:paraId="56D9B83D" w14:textId="77777777" w:rsidR="00157785" w:rsidRPr="00F25025" w:rsidRDefault="00157785" w:rsidP="00952597">
            <w:pPr>
              <w:spacing w:before="120" w:after="120"/>
              <w:rPr>
                <w:rFonts w:ascii="Verdana" w:hAnsi="Verdana"/>
              </w:rPr>
            </w:pPr>
            <w:r>
              <w:rPr>
                <w:rFonts w:ascii="Verdana" w:hAnsi="Verdana"/>
              </w:rPr>
              <w:t xml:space="preserve">A multinational health care company that uses a group of doctors, therapists, and specialists to provide telemedicine and virtual health care 24 hours a day, seven days a week. Aetna customers can elect to include the </w:t>
            </w:r>
            <w:proofErr w:type="spellStart"/>
            <w:r>
              <w:rPr>
                <w:rFonts w:ascii="Verdana" w:hAnsi="Verdana"/>
              </w:rPr>
              <w:t>Teledoc</w:t>
            </w:r>
            <w:proofErr w:type="spellEnd"/>
            <w:r>
              <w:rPr>
                <w:rFonts w:ascii="Verdana" w:hAnsi="Verdana"/>
              </w:rPr>
              <w:t xml:space="preserve"> benefit in their benefit plans. </w:t>
            </w:r>
          </w:p>
        </w:tc>
      </w:tr>
      <w:tr w:rsidR="00031DB5" w:rsidRPr="00F25025" w14:paraId="56321954" w14:textId="77777777" w:rsidTr="008829F4">
        <w:trPr>
          <w:trHeight w:val="675"/>
        </w:trPr>
        <w:tc>
          <w:tcPr>
            <w:tcW w:w="1335" w:type="pct"/>
          </w:tcPr>
          <w:p w14:paraId="7A1C190E" w14:textId="77777777" w:rsidR="00157785" w:rsidRPr="002C36C7" w:rsidRDefault="00157785" w:rsidP="00F6152D">
            <w:pPr>
              <w:spacing w:before="120" w:after="120"/>
              <w:rPr>
                <w:rFonts w:ascii="Verdana" w:hAnsi="Verdana"/>
                <w:bCs/>
              </w:rPr>
            </w:pPr>
            <w:r w:rsidRPr="002C36C7">
              <w:rPr>
                <w:rFonts w:ascii="Verdana" w:hAnsi="Verdana"/>
                <w:bCs/>
              </w:rPr>
              <w:t>Temporary Address</w:t>
            </w:r>
          </w:p>
        </w:tc>
        <w:tc>
          <w:tcPr>
            <w:tcW w:w="3665" w:type="pct"/>
            <w:gridSpan w:val="2"/>
          </w:tcPr>
          <w:p w14:paraId="7327BAB1" w14:textId="2853B501" w:rsidR="00157785" w:rsidRPr="00F25025" w:rsidRDefault="00157785" w:rsidP="00F6152D">
            <w:pPr>
              <w:spacing w:before="120" w:after="120"/>
              <w:rPr>
                <w:rFonts w:ascii="Verdana" w:hAnsi="Verdana" w:cs="Arial"/>
              </w:rPr>
            </w:pPr>
            <w:r w:rsidRPr="000F184C">
              <w:rPr>
                <w:rFonts w:ascii="Verdana" w:hAnsi="Verdana"/>
              </w:rPr>
              <w:t>Any temporary stay that does not exceed 12 consecutive months.</w:t>
            </w:r>
          </w:p>
        </w:tc>
      </w:tr>
      <w:tr w:rsidR="00031DB5" w:rsidRPr="00F25025" w14:paraId="2C56045B" w14:textId="77777777" w:rsidTr="008829F4">
        <w:tc>
          <w:tcPr>
            <w:tcW w:w="1335" w:type="pct"/>
          </w:tcPr>
          <w:p w14:paraId="6773C421" w14:textId="2E53B5BD" w:rsidR="00157785" w:rsidRPr="002C36C7" w:rsidRDefault="00157785" w:rsidP="00952597">
            <w:pPr>
              <w:spacing w:before="120" w:after="120"/>
              <w:rPr>
                <w:rFonts w:ascii="Verdana" w:hAnsi="Verdana"/>
                <w:bCs/>
              </w:rPr>
            </w:pPr>
            <w:r w:rsidRPr="002C36C7">
              <w:rPr>
                <w:rFonts w:ascii="Verdana" w:hAnsi="Verdana"/>
                <w:bCs/>
                <w:color w:val="000000"/>
              </w:rPr>
              <w:t>Temporary Employee</w:t>
            </w:r>
          </w:p>
        </w:tc>
        <w:tc>
          <w:tcPr>
            <w:tcW w:w="3665" w:type="pct"/>
            <w:gridSpan w:val="2"/>
          </w:tcPr>
          <w:p w14:paraId="060FEF25" w14:textId="742AD86E" w:rsidR="00157785" w:rsidRPr="00F25025" w:rsidRDefault="00157785" w:rsidP="00952597">
            <w:pPr>
              <w:spacing w:before="120" w:after="120"/>
              <w:rPr>
                <w:rFonts w:ascii="Verdana" w:hAnsi="Verdana"/>
              </w:rPr>
            </w:pPr>
            <w:r w:rsidRPr="00F25025">
              <w:rPr>
                <w:rFonts w:ascii="Verdana" w:hAnsi="Verdana" w:cs="MS Sans Serif"/>
                <w:color w:val="000000"/>
              </w:rPr>
              <w:t>Also known as a contingent or contract employee. These users have a set separation date with the company and are subject to HR contingent workforce oversight.</w:t>
            </w:r>
          </w:p>
        </w:tc>
      </w:tr>
      <w:tr w:rsidR="00031DB5" w:rsidRPr="00F25025" w14:paraId="2ECD9E7B" w14:textId="77777777" w:rsidTr="008829F4">
        <w:tc>
          <w:tcPr>
            <w:tcW w:w="1335" w:type="pct"/>
          </w:tcPr>
          <w:p w14:paraId="12F4C77A" w14:textId="77777777" w:rsidR="00157785" w:rsidRPr="002C36C7" w:rsidRDefault="00157785" w:rsidP="00952597">
            <w:pPr>
              <w:spacing w:before="120" w:after="120"/>
              <w:rPr>
                <w:rFonts w:ascii="Verdana" w:hAnsi="Verdana"/>
                <w:bCs/>
              </w:rPr>
            </w:pPr>
            <w:r w:rsidRPr="002C36C7">
              <w:rPr>
                <w:rFonts w:ascii="Verdana" w:hAnsi="Verdana"/>
                <w:bCs/>
                <w:color w:val="000000"/>
              </w:rPr>
              <w:t>Termination</w:t>
            </w:r>
          </w:p>
        </w:tc>
        <w:tc>
          <w:tcPr>
            <w:tcW w:w="3665" w:type="pct"/>
            <w:gridSpan w:val="2"/>
          </w:tcPr>
          <w:p w14:paraId="20065A94" w14:textId="6200B297" w:rsidR="00157785" w:rsidRPr="00F25025" w:rsidRDefault="00157785" w:rsidP="00952597">
            <w:pPr>
              <w:spacing w:before="120" w:after="120"/>
              <w:rPr>
                <w:rFonts w:ascii="Verdana" w:hAnsi="Verdana"/>
              </w:rPr>
            </w:pPr>
            <w:r w:rsidRPr="00F25025">
              <w:rPr>
                <w:rFonts w:ascii="Verdana" w:hAnsi="Verdana"/>
              </w:rPr>
              <w:t>Ending of coverage for a group or individual cardholder.</w:t>
            </w:r>
          </w:p>
        </w:tc>
      </w:tr>
      <w:tr w:rsidR="00031DB5" w:rsidRPr="00F25025" w14:paraId="67DE015E" w14:textId="77777777" w:rsidTr="008829F4">
        <w:tc>
          <w:tcPr>
            <w:tcW w:w="1335" w:type="pct"/>
          </w:tcPr>
          <w:p w14:paraId="0975FA28" w14:textId="77777777" w:rsidR="00157785" w:rsidRPr="002C36C7" w:rsidRDefault="00157785" w:rsidP="00952597">
            <w:pPr>
              <w:spacing w:before="120" w:after="120"/>
              <w:rPr>
                <w:rFonts w:ascii="Verdana" w:hAnsi="Verdana"/>
                <w:bCs/>
              </w:rPr>
            </w:pPr>
            <w:r w:rsidRPr="002C36C7">
              <w:rPr>
                <w:rFonts w:ascii="Verdana" w:hAnsi="Verdana"/>
                <w:bCs/>
                <w:color w:val="000000"/>
              </w:rPr>
              <w:t>Termination Date</w:t>
            </w:r>
          </w:p>
        </w:tc>
        <w:tc>
          <w:tcPr>
            <w:tcW w:w="3665" w:type="pct"/>
            <w:gridSpan w:val="2"/>
          </w:tcPr>
          <w:p w14:paraId="4565A7AA" w14:textId="4FD03EB2" w:rsidR="00157785" w:rsidRPr="00F25025" w:rsidRDefault="00157785" w:rsidP="00952597">
            <w:pPr>
              <w:spacing w:before="120" w:after="120"/>
              <w:rPr>
                <w:rFonts w:ascii="Verdana" w:hAnsi="Verdana"/>
              </w:rPr>
            </w:pPr>
            <w:r w:rsidRPr="00F25025">
              <w:rPr>
                <w:rFonts w:ascii="Verdana" w:hAnsi="Verdana"/>
              </w:rPr>
              <w:t xml:space="preserve">The date that </w:t>
            </w:r>
            <w:r>
              <w:rPr>
                <w:rFonts w:ascii="Verdana" w:hAnsi="Verdana"/>
              </w:rPr>
              <w:t>our</w:t>
            </w:r>
            <w:r w:rsidRPr="00F25025">
              <w:rPr>
                <w:rFonts w:ascii="Verdana" w:hAnsi="Verdana"/>
              </w:rPr>
              <w:t xml:space="preserve"> coverage terminates or ends, normally at midnight.</w:t>
            </w:r>
          </w:p>
        </w:tc>
      </w:tr>
      <w:tr w:rsidR="00031DB5" w:rsidRPr="00F25025" w14:paraId="689EB02F" w14:textId="77777777" w:rsidTr="008829F4">
        <w:tc>
          <w:tcPr>
            <w:tcW w:w="1335" w:type="pct"/>
          </w:tcPr>
          <w:p w14:paraId="296CB5F5" w14:textId="77777777" w:rsidR="00157785" w:rsidRPr="002C36C7" w:rsidRDefault="00157785" w:rsidP="00952597">
            <w:pPr>
              <w:spacing w:before="120" w:after="120"/>
              <w:rPr>
                <w:rFonts w:ascii="Verdana" w:hAnsi="Verdana" w:cs="Arial"/>
                <w:bCs/>
                <w:color w:val="333333"/>
              </w:rPr>
            </w:pPr>
            <w:r w:rsidRPr="002C36C7">
              <w:rPr>
                <w:rFonts w:ascii="Verdana" w:hAnsi="Verdana"/>
                <w:bCs/>
                <w:color w:val="000000"/>
              </w:rPr>
              <w:t>Test Claim</w:t>
            </w:r>
          </w:p>
        </w:tc>
        <w:tc>
          <w:tcPr>
            <w:tcW w:w="3665" w:type="pct"/>
            <w:gridSpan w:val="2"/>
          </w:tcPr>
          <w:p w14:paraId="2ADFD943" w14:textId="2ABDECE6" w:rsidR="00157785" w:rsidRPr="00F25025" w:rsidRDefault="00157785" w:rsidP="00952597">
            <w:pPr>
              <w:spacing w:before="120" w:after="120"/>
              <w:rPr>
                <w:rFonts w:ascii="Verdana" w:hAnsi="Verdana"/>
              </w:rPr>
            </w:pPr>
            <w:r w:rsidRPr="00F25025">
              <w:rPr>
                <w:rFonts w:ascii="Verdana" w:hAnsi="Verdana" w:cs="Arial"/>
                <w:color w:val="333333"/>
              </w:rPr>
              <w:t>Feature within PeopleSafe that allows the Customer Care Representative</w:t>
            </w:r>
            <w:r w:rsidR="000D5DE6">
              <w:rPr>
                <w:rFonts w:ascii="Verdana" w:hAnsi="Verdana" w:cs="Arial"/>
                <w:color w:val="333333"/>
              </w:rPr>
              <w:t xml:space="preserve"> (CCR)</w:t>
            </w:r>
            <w:r w:rsidRPr="00F25025">
              <w:rPr>
                <w:rFonts w:ascii="Verdana" w:hAnsi="Verdana" w:cs="Arial"/>
                <w:color w:val="333333"/>
              </w:rPr>
              <w:t xml:space="preserve"> to run a mock adjudication for a customer. The adjudication produces the customer's co-pay, financial breakdowns</w:t>
            </w:r>
            <w:r>
              <w:rPr>
                <w:rFonts w:ascii="Verdana" w:hAnsi="Verdana" w:cs="Arial"/>
                <w:color w:val="333333"/>
              </w:rPr>
              <w:t>,</w:t>
            </w:r>
            <w:r w:rsidRPr="00F25025">
              <w:rPr>
                <w:rFonts w:ascii="Verdana" w:hAnsi="Verdana" w:cs="Arial"/>
                <w:color w:val="333333"/>
              </w:rPr>
              <w:t xml:space="preserve"> and drug coverage information based on the parameters the client has established as part of the benefits plan.</w:t>
            </w:r>
          </w:p>
        </w:tc>
      </w:tr>
      <w:tr w:rsidR="00031DB5" w:rsidRPr="00E25BEC" w14:paraId="7EA8CE40" w14:textId="77777777" w:rsidTr="008829F4">
        <w:tc>
          <w:tcPr>
            <w:tcW w:w="1335" w:type="pct"/>
          </w:tcPr>
          <w:p w14:paraId="1B00DAD1" w14:textId="3AE03184" w:rsidR="00E25BEC" w:rsidRPr="00B3251F" w:rsidRDefault="00E25BEC" w:rsidP="00952597">
            <w:pPr>
              <w:spacing w:before="120" w:after="120"/>
              <w:rPr>
                <w:rFonts w:ascii="Verdana" w:hAnsi="Verdana"/>
              </w:rPr>
            </w:pPr>
            <w:r w:rsidRPr="00B3251F">
              <w:rPr>
                <w:rFonts w:ascii="Verdana" w:hAnsi="Verdana"/>
              </w:rPr>
              <w:t xml:space="preserve">Test Strips </w:t>
            </w:r>
          </w:p>
        </w:tc>
        <w:tc>
          <w:tcPr>
            <w:tcW w:w="3665" w:type="pct"/>
            <w:gridSpan w:val="2"/>
          </w:tcPr>
          <w:p w14:paraId="0AD73F6C" w14:textId="7F984EB0" w:rsidR="00E25BEC" w:rsidRPr="00FE2FBC" w:rsidRDefault="00E25BEC" w:rsidP="00952597">
            <w:pPr>
              <w:spacing w:before="120" w:after="120"/>
              <w:rPr>
                <w:rFonts w:ascii="Verdana" w:hAnsi="Verdana"/>
              </w:rPr>
            </w:pPr>
            <w:r w:rsidRPr="00B3251F">
              <w:rPr>
                <w:rFonts w:ascii="Verdana" w:hAnsi="Verdana"/>
              </w:rPr>
              <w:t xml:space="preserve">Small disposable strip of plastic containing a chemical called glucose oxidase that reacts with glucose in the blood sample to help monitor diabetic levels. </w:t>
            </w:r>
          </w:p>
        </w:tc>
      </w:tr>
      <w:tr w:rsidR="00031DB5" w:rsidRPr="00F25025" w14:paraId="51B6286C" w14:textId="77777777" w:rsidTr="008829F4">
        <w:tc>
          <w:tcPr>
            <w:tcW w:w="1335" w:type="pct"/>
          </w:tcPr>
          <w:p w14:paraId="6EAAFEA4" w14:textId="77777777" w:rsidR="00157785" w:rsidRPr="002C36C7" w:rsidRDefault="00157785" w:rsidP="00952597">
            <w:pPr>
              <w:spacing w:before="120" w:after="120"/>
              <w:rPr>
                <w:rFonts w:ascii="Verdana" w:hAnsi="Verdana"/>
                <w:bCs/>
              </w:rPr>
            </w:pPr>
            <w:r w:rsidRPr="002C36C7">
              <w:rPr>
                <w:rFonts w:ascii="Verdana" w:hAnsi="Verdana"/>
                <w:bCs/>
                <w:color w:val="000000"/>
              </w:rPr>
              <w:t>Therapeutic Alternative</w:t>
            </w:r>
          </w:p>
        </w:tc>
        <w:tc>
          <w:tcPr>
            <w:tcW w:w="3665" w:type="pct"/>
            <w:gridSpan w:val="2"/>
          </w:tcPr>
          <w:p w14:paraId="2FE07A07" w14:textId="110FB971" w:rsidR="00157785" w:rsidRPr="00F25025" w:rsidRDefault="00157785" w:rsidP="00952597">
            <w:pPr>
              <w:spacing w:before="120" w:after="120"/>
              <w:rPr>
                <w:rFonts w:ascii="Verdana" w:hAnsi="Verdana"/>
              </w:rPr>
            </w:pPr>
            <w:r w:rsidRPr="00F25025">
              <w:rPr>
                <w:rFonts w:ascii="Verdana" w:hAnsi="Verdana"/>
                <w:bCs/>
              </w:rPr>
              <w:t>This refers to a medication(s) containing a different chemical entity that should provide similar pharmacologic effects or treatment outcomes.</w:t>
            </w:r>
          </w:p>
        </w:tc>
      </w:tr>
      <w:tr w:rsidR="00031DB5" w:rsidRPr="00F25025" w14:paraId="4BFC74A9" w14:textId="77777777" w:rsidTr="008829F4">
        <w:tc>
          <w:tcPr>
            <w:tcW w:w="1335" w:type="pct"/>
          </w:tcPr>
          <w:p w14:paraId="400F111C" w14:textId="77777777" w:rsidR="00157785" w:rsidRPr="002C36C7" w:rsidRDefault="00157785" w:rsidP="00952597">
            <w:pPr>
              <w:spacing w:before="120" w:after="120"/>
              <w:rPr>
                <w:rFonts w:ascii="Verdana" w:hAnsi="Verdana"/>
                <w:bCs/>
              </w:rPr>
            </w:pPr>
            <w:r w:rsidRPr="002C36C7">
              <w:rPr>
                <w:rFonts w:ascii="Verdana" w:hAnsi="Verdana"/>
                <w:bCs/>
                <w:color w:val="000000"/>
              </w:rPr>
              <w:t>Therapeutic Equivalent</w:t>
            </w:r>
          </w:p>
        </w:tc>
        <w:tc>
          <w:tcPr>
            <w:tcW w:w="3665" w:type="pct"/>
            <w:gridSpan w:val="2"/>
          </w:tcPr>
          <w:p w14:paraId="1034931D" w14:textId="2349E611" w:rsidR="00157785" w:rsidRPr="00F25025" w:rsidRDefault="00157785" w:rsidP="00952597">
            <w:pPr>
              <w:spacing w:before="120" w:after="120"/>
              <w:rPr>
                <w:rFonts w:ascii="Verdana" w:hAnsi="Verdana"/>
              </w:rPr>
            </w:pPr>
            <w:r w:rsidRPr="00F25025">
              <w:rPr>
                <w:rFonts w:ascii="Verdana" w:hAnsi="Verdana" w:cs="Arial"/>
              </w:rPr>
              <w:t>Many drugs, both brand and generic, with slightly different chemical compositions, will produce equal therapeutic results.</w:t>
            </w:r>
          </w:p>
        </w:tc>
      </w:tr>
      <w:tr w:rsidR="00031DB5" w:rsidRPr="00F25025" w14:paraId="6D4436EF" w14:textId="77777777" w:rsidTr="008829F4">
        <w:trPr>
          <w:trHeight w:val="1853"/>
        </w:trPr>
        <w:tc>
          <w:tcPr>
            <w:tcW w:w="1335" w:type="pct"/>
          </w:tcPr>
          <w:p w14:paraId="383E2AD3" w14:textId="77777777" w:rsidR="00157785" w:rsidRPr="002C36C7" w:rsidRDefault="00157785" w:rsidP="00952597">
            <w:pPr>
              <w:spacing w:before="120" w:after="120"/>
              <w:rPr>
                <w:rFonts w:ascii="Verdana" w:hAnsi="Verdana"/>
                <w:bCs/>
              </w:rPr>
            </w:pPr>
            <w:r w:rsidRPr="002C36C7">
              <w:rPr>
                <w:rFonts w:ascii="Verdana" w:hAnsi="Verdana"/>
                <w:bCs/>
                <w:color w:val="000000"/>
              </w:rPr>
              <w:t>Therapeutic Substitutions (Therapeutic Interchange)</w:t>
            </w:r>
          </w:p>
        </w:tc>
        <w:tc>
          <w:tcPr>
            <w:tcW w:w="3665" w:type="pct"/>
            <w:gridSpan w:val="2"/>
          </w:tcPr>
          <w:p w14:paraId="43FDB71F" w14:textId="5335EDA0" w:rsidR="00157785" w:rsidRDefault="00157785" w:rsidP="00952597">
            <w:pPr>
              <w:spacing w:before="120" w:after="120"/>
              <w:rPr>
                <w:rFonts w:ascii="Verdana" w:hAnsi="Verdana"/>
                <w:bCs/>
              </w:rPr>
            </w:pPr>
            <w:r w:rsidRPr="00F25025">
              <w:rPr>
                <w:rFonts w:ascii="Verdana" w:hAnsi="Verdana"/>
                <w:bCs/>
              </w:rPr>
              <w:t>The process of dispensing by a pharmacist of a medication different from that prescribed but thought to produce the same therapeutic effects in a member</w:t>
            </w:r>
            <w:r w:rsidR="005A0AB8" w:rsidRPr="00F25025">
              <w:rPr>
                <w:rFonts w:ascii="Verdana" w:hAnsi="Verdana"/>
                <w:bCs/>
              </w:rPr>
              <w:t xml:space="preserve">. </w:t>
            </w:r>
          </w:p>
          <w:p w14:paraId="4DA05E15" w14:textId="77777777" w:rsidR="00404501" w:rsidRDefault="00404501" w:rsidP="00952597">
            <w:pPr>
              <w:spacing w:before="120" w:after="120"/>
              <w:rPr>
                <w:rFonts w:ascii="Verdana" w:hAnsi="Verdana" w:cs="Arial"/>
                <w:b/>
              </w:rPr>
            </w:pPr>
          </w:p>
          <w:p w14:paraId="425C62B9" w14:textId="50F2C4ED" w:rsidR="00157785" w:rsidRPr="00F25025" w:rsidRDefault="00157785" w:rsidP="00952597">
            <w:pPr>
              <w:spacing w:before="120" w:after="120"/>
              <w:rPr>
                <w:rFonts w:ascii="Verdana" w:hAnsi="Verdana"/>
              </w:rPr>
            </w:pPr>
            <w:r w:rsidRPr="00F25025">
              <w:rPr>
                <w:rFonts w:ascii="Verdana" w:hAnsi="Verdana" w:cs="Arial"/>
                <w:b/>
              </w:rPr>
              <w:t xml:space="preserve">Example: </w:t>
            </w:r>
            <w:r w:rsidRPr="00F25025">
              <w:rPr>
                <w:rFonts w:ascii="Verdana" w:hAnsi="Verdana" w:cs="Arial"/>
              </w:rPr>
              <w:t>O</w:t>
            </w:r>
            <w:r w:rsidRPr="00F25025">
              <w:rPr>
                <w:rFonts w:ascii="Verdana" w:hAnsi="Verdana"/>
                <w:bCs/>
              </w:rPr>
              <w:t xml:space="preserve">ften approved by a pharmacy and therapeutics committee prior to such practice, one cholesterol-lowering agent may be substituted for another one that is not generically equivalent. </w:t>
            </w:r>
            <w:r>
              <w:rPr>
                <w:rFonts w:ascii="Verdana" w:hAnsi="Verdana"/>
                <w:bCs/>
              </w:rPr>
              <w:t xml:space="preserve">Refer to </w:t>
            </w:r>
            <w:r w:rsidRPr="00F25025">
              <w:rPr>
                <w:rFonts w:ascii="Verdana" w:hAnsi="Verdana"/>
                <w:bCs/>
              </w:rPr>
              <w:t>Therapeutic Alternate</w:t>
            </w:r>
            <w:r w:rsidR="00A95AD8">
              <w:rPr>
                <w:rFonts w:ascii="Verdana" w:hAnsi="Verdana"/>
                <w:bCs/>
              </w:rPr>
              <w:t>.</w:t>
            </w:r>
          </w:p>
        </w:tc>
      </w:tr>
      <w:tr w:rsidR="00031DB5" w:rsidRPr="00F25025" w14:paraId="0A500310" w14:textId="77777777" w:rsidTr="008829F4">
        <w:tc>
          <w:tcPr>
            <w:tcW w:w="1335" w:type="pct"/>
          </w:tcPr>
          <w:p w14:paraId="29E06104" w14:textId="77777777" w:rsidR="00157785" w:rsidRPr="002C36C7" w:rsidRDefault="00157785" w:rsidP="00952597">
            <w:pPr>
              <w:spacing w:before="120" w:after="120"/>
              <w:rPr>
                <w:rFonts w:ascii="Verdana" w:hAnsi="Verdana"/>
                <w:bCs/>
              </w:rPr>
            </w:pPr>
            <w:r w:rsidRPr="002C36C7">
              <w:rPr>
                <w:rFonts w:ascii="Verdana" w:hAnsi="Verdana"/>
                <w:bCs/>
                <w:color w:val="000000"/>
              </w:rPr>
              <w:t>Therapy Management</w:t>
            </w:r>
          </w:p>
        </w:tc>
        <w:tc>
          <w:tcPr>
            <w:tcW w:w="3665" w:type="pct"/>
            <w:gridSpan w:val="2"/>
          </w:tcPr>
          <w:p w14:paraId="521BA9DA" w14:textId="650BCEA0" w:rsidR="00157785" w:rsidRPr="00F25025" w:rsidRDefault="00157785" w:rsidP="00952597">
            <w:pPr>
              <w:spacing w:before="120" w:after="120"/>
              <w:rPr>
                <w:rFonts w:ascii="Verdana" w:hAnsi="Verdana"/>
              </w:rPr>
            </w:pPr>
            <w:r w:rsidRPr="00F25025">
              <w:rPr>
                <w:rFonts w:ascii="Verdana" w:hAnsi="Verdana"/>
                <w:bCs/>
              </w:rPr>
              <w:t>Process of defining and implementing a select regimen for management of a particular disease, typically done in the context of an integrated health system.</w:t>
            </w:r>
          </w:p>
        </w:tc>
      </w:tr>
      <w:tr w:rsidR="00031DB5" w:rsidRPr="00F25025" w14:paraId="69BF8616" w14:textId="77777777" w:rsidTr="008829F4">
        <w:tc>
          <w:tcPr>
            <w:tcW w:w="1335" w:type="pct"/>
          </w:tcPr>
          <w:p w14:paraId="17F11A6D" w14:textId="77777777" w:rsidR="00157785" w:rsidRPr="002C36C7" w:rsidRDefault="00157785" w:rsidP="00952597">
            <w:pPr>
              <w:spacing w:before="120" w:after="120"/>
              <w:rPr>
                <w:rFonts w:ascii="Verdana" w:hAnsi="Verdana" w:cs="Arial"/>
                <w:bCs/>
              </w:rPr>
            </w:pPr>
            <w:r w:rsidRPr="002C36C7">
              <w:rPr>
                <w:rFonts w:ascii="Verdana" w:hAnsi="Verdana"/>
                <w:bCs/>
                <w:color w:val="000000"/>
              </w:rPr>
              <w:t>Therapy Protocols</w:t>
            </w:r>
          </w:p>
        </w:tc>
        <w:tc>
          <w:tcPr>
            <w:tcW w:w="3665" w:type="pct"/>
            <w:gridSpan w:val="2"/>
          </w:tcPr>
          <w:p w14:paraId="7634FC49" w14:textId="654054D5" w:rsidR="00157785" w:rsidRPr="00F25025" w:rsidRDefault="00157785" w:rsidP="00952597">
            <w:pPr>
              <w:spacing w:before="120" w:after="120"/>
              <w:rPr>
                <w:rFonts w:ascii="Verdana" w:hAnsi="Verdana"/>
              </w:rPr>
            </w:pPr>
            <w:r w:rsidRPr="00F25025">
              <w:rPr>
                <w:rFonts w:ascii="Verdana" w:hAnsi="Verdana" w:cs="Arial"/>
              </w:rPr>
              <w:t>Promotes a drug utilization strategy that restricts the use of selected drugs unless established clinical or administrative requirements are satisfied.</w:t>
            </w:r>
          </w:p>
        </w:tc>
      </w:tr>
      <w:tr w:rsidR="00031DB5" w:rsidRPr="00F25025" w14:paraId="12DE4A9E" w14:textId="77777777" w:rsidTr="008829F4">
        <w:tc>
          <w:tcPr>
            <w:tcW w:w="1335" w:type="pct"/>
          </w:tcPr>
          <w:p w14:paraId="3FAAC376" w14:textId="0907C09D" w:rsidR="00157785" w:rsidRPr="002C36C7" w:rsidRDefault="00157785" w:rsidP="00952597">
            <w:pPr>
              <w:spacing w:before="120" w:after="120"/>
              <w:rPr>
                <w:rFonts w:ascii="Verdana" w:hAnsi="Verdana"/>
                <w:bCs/>
                <w:color w:val="000000"/>
              </w:rPr>
            </w:pPr>
            <w:r w:rsidRPr="002C36C7">
              <w:rPr>
                <w:rFonts w:ascii="Verdana" w:hAnsi="Verdana"/>
                <w:bCs/>
                <w:color w:val="000000"/>
              </w:rPr>
              <w:t>Third Party</w:t>
            </w:r>
          </w:p>
          <w:p w14:paraId="15195CB6" w14:textId="77777777" w:rsidR="00157785" w:rsidRPr="002C36C7" w:rsidRDefault="00157785" w:rsidP="00952597">
            <w:pPr>
              <w:spacing w:before="120" w:after="120"/>
              <w:rPr>
                <w:rFonts w:ascii="Verdana" w:hAnsi="Verdana" w:cs="Arial"/>
                <w:bCs/>
              </w:rPr>
            </w:pPr>
          </w:p>
        </w:tc>
        <w:tc>
          <w:tcPr>
            <w:tcW w:w="3665" w:type="pct"/>
            <w:gridSpan w:val="2"/>
          </w:tcPr>
          <w:p w14:paraId="0906799A" w14:textId="77777777" w:rsidR="00157785" w:rsidRDefault="00157785" w:rsidP="00952597">
            <w:pPr>
              <w:spacing w:before="120" w:after="120"/>
              <w:rPr>
                <w:rFonts w:ascii="Verdana" w:hAnsi="Verdana" w:cs="Arial"/>
              </w:rPr>
            </w:pPr>
            <w:r w:rsidRPr="00F25025">
              <w:rPr>
                <w:rFonts w:ascii="Verdana" w:hAnsi="Verdana" w:cs="Arial"/>
              </w:rPr>
              <w:t xml:space="preserve">Vendor/business entity who is doing business with us or handling the plans. </w:t>
            </w:r>
          </w:p>
          <w:p w14:paraId="3A2E0764" w14:textId="3C70D018" w:rsidR="00157785" w:rsidRPr="00F25025" w:rsidRDefault="00157785" w:rsidP="00952597">
            <w:pPr>
              <w:spacing w:before="120" w:after="120"/>
              <w:rPr>
                <w:rFonts w:ascii="Verdana" w:hAnsi="Verdana" w:cs="Arial"/>
              </w:rPr>
            </w:pPr>
            <w:r w:rsidRPr="00BB7F2B">
              <w:rPr>
                <w:rFonts w:ascii="Verdana" w:hAnsi="Verdana"/>
                <w:color w:val="212121"/>
              </w:rPr>
              <w:t>A Third Party is any provider, pharmacy, </w:t>
            </w:r>
            <w:r>
              <w:rPr>
                <w:rFonts w:ascii="Verdana" w:hAnsi="Verdana"/>
                <w:color w:val="212121"/>
              </w:rPr>
              <w:t>c</w:t>
            </w:r>
            <w:r w:rsidRPr="00BB7F2B">
              <w:rPr>
                <w:rFonts w:ascii="Verdana" w:hAnsi="Verdana"/>
                <w:color w:val="212121"/>
              </w:rPr>
              <w:t>lient, etc</w:t>
            </w:r>
            <w:r w:rsidR="00097CF8">
              <w:rPr>
                <w:rFonts w:ascii="Verdana" w:hAnsi="Verdana"/>
                <w:color w:val="212121"/>
              </w:rPr>
              <w:t>etera</w:t>
            </w:r>
            <w:r w:rsidRPr="00BB7F2B">
              <w:rPr>
                <w:rFonts w:ascii="Verdana" w:hAnsi="Verdana"/>
                <w:color w:val="212121"/>
              </w:rPr>
              <w:t>. calling on the member's behalf. </w:t>
            </w:r>
            <w:r w:rsidRPr="00077236">
              <w:rPr>
                <w:rFonts w:ascii="Arial" w:hAnsi="Arial" w:cs="Arial"/>
                <w:color w:val="212121"/>
              </w:rPr>
              <w:t>​</w:t>
            </w:r>
            <w:r w:rsidRPr="00BB7F2B">
              <w:rPr>
                <w:rFonts w:ascii="Verdana" w:hAnsi="Verdana"/>
                <w:color w:val="212121"/>
              </w:rPr>
              <w:t>They may call to obtain processing information, plan design, pricing, or to advocate and obtain information for the member in relation to an ongoing issue</w:t>
            </w:r>
            <w:r w:rsidR="00A44F81">
              <w:rPr>
                <w:rFonts w:ascii="Verdana" w:hAnsi="Verdana"/>
                <w:color w:val="212121"/>
              </w:rPr>
              <w:t>.</w:t>
            </w:r>
          </w:p>
        </w:tc>
      </w:tr>
      <w:tr w:rsidR="00031DB5" w:rsidRPr="00F25025" w14:paraId="5C78E72D" w14:textId="77777777" w:rsidTr="008829F4">
        <w:tc>
          <w:tcPr>
            <w:tcW w:w="1335" w:type="pct"/>
          </w:tcPr>
          <w:p w14:paraId="0176158D" w14:textId="77777777" w:rsidR="00157785" w:rsidRPr="002C36C7" w:rsidRDefault="00157785" w:rsidP="00952597">
            <w:pPr>
              <w:spacing w:before="120" w:after="120"/>
              <w:rPr>
                <w:rFonts w:ascii="Verdana" w:hAnsi="Verdana"/>
                <w:bCs/>
              </w:rPr>
            </w:pPr>
            <w:r w:rsidRPr="002C36C7">
              <w:rPr>
                <w:rFonts w:ascii="Verdana" w:hAnsi="Verdana"/>
                <w:bCs/>
                <w:color w:val="000000"/>
              </w:rPr>
              <w:t xml:space="preserve">Third Party Adjudicator </w:t>
            </w:r>
          </w:p>
        </w:tc>
        <w:tc>
          <w:tcPr>
            <w:tcW w:w="3665" w:type="pct"/>
            <w:gridSpan w:val="2"/>
          </w:tcPr>
          <w:p w14:paraId="3C27C337" w14:textId="04287E08" w:rsidR="00157785" w:rsidRPr="00643D00" w:rsidRDefault="00122687" w:rsidP="00952597">
            <w:pPr>
              <w:spacing w:before="120" w:after="120"/>
              <w:rPr>
                <w:rFonts w:ascii="Verdana" w:hAnsi="Verdana" w:cs="Arial"/>
              </w:rPr>
            </w:pPr>
            <w:r>
              <w:rPr>
                <w:rFonts w:ascii="Verdana" w:hAnsi="Verdana" w:cs="Arial"/>
              </w:rPr>
              <w:t xml:space="preserve">Refer to </w:t>
            </w:r>
            <w:hyperlink r:id="rId11" w:anchor="!/view?docid=882db71b-67fb-4521-8de7-6026d47b7191" w:history="1">
              <w:r w:rsidR="00157785" w:rsidRPr="00122687">
                <w:rPr>
                  <w:rStyle w:val="Hyperlink"/>
                  <w:rFonts w:ascii="Verdana" w:hAnsi="Verdana" w:cs="Arial"/>
                </w:rPr>
                <w:t>External Adjudicator</w:t>
              </w:r>
              <w:r w:rsidRPr="00122687">
                <w:rPr>
                  <w:rStyle w:val="Hyperlink"/>
                  <w:rFonts w:ascii="Verdana" w:hAnsi="Verdana" w:cs="Arial"/>
                </w:rPr>
                <w:t xml:space="preserve"> (051673)</w:t>
              </w:r>
            </w:hyperlink>
            <w:r w:rsidR="00157785" w:rsidRPr="00F25025">
              <w:rPr>
                <w:rFonts w:ascii="Verdana" w:hAnsi="Verdana" w:cs="Arial"/>
              </w:rPr>
              <w:t xml:space="preserve">. </w:t>
            </w:r>
          </w:p>
        </w:tc>
      </w:tr>
      <w:tr w:rsidR="00031DB5" w:rsidRPr="00F25025" w14:paraId="14B09D0A" w14:textId="77777777" w:rsidTr="008829F4">
        <w:tc>
          <w:tcPr>
            <w:tcW w:w="1335" w:type="pct"/>
          </w:tcPr>
          <w:p w14:paraId="7DCC0104" w14:textId="70036264" w:rsidR="00157785" w:rsidRPr="002C36C7" w:rsidRDefault="00157785" w:rsidP="00952597">
            <w:pPr>
              <w:spacing w:before="120" w:after="120"/>
              <w:rPr>
                <w:rFonts w:ascii="Verdana" w:hAnsi="Verdana"/>
                <w:bCs/>
                <w:color w:val="000000"/>
              </w:rPr>
            </w:pPr>
            <w:r w:rsidRPr="002C36C7">
              <w:rPr>
                <w:rFonts w:ascii="Verdana" w:hAnsi="Verdana"/>
                <w:bCs/>
                <w:color w:val="000000"/>
              </w:rPr>
              <w:t>Third Party Call</w:t>
            </w:r>
          </w:p>
        </w:tc>
        <w:tc>
          <w:tcPr>
            <w:tcW w:w="3665" w:type="pct"/>
            <w:gridSpan w:val="2"/>
          </w:tcPr>
          <w:p w14:paraId="164FF682" w14:textId="77777777" w:rsidR="00157785" w:rsidRPr="00EA39DB" w:rsidRDefault="00157785" w:rsidP="00952597">
            <w:pPr>
              <w:spacing w:before="120" w:after="120"/>
              <w:rPr>
                <w:rFonts w:ascii="Verdana" w:hAnsi="Verdana"/>
              </w:rPr>
            </w:pPr>
            <w:r w:rsidRPr="003D4683">
              <w:rPr>
                <w:rFonts w:ascii="Verdana" w:hAnsi="Verdana"/>
              </w:rPr>
              <w:t>A call comes in and you hear a conversation already in place</w:t>
            </w:r>
          </w:p>
        </w:tc>
      </w:tr>
      <w:tr w:rsidR="00031DB5" w:rsidRPr="00F25025" w14:paraId="298F6140" w14:textId="77777777" w:rsidTr="008829F4">
        <w:tc>
          <w:tcPr>
            <w:tcW w:w="1335" w:type="pct"/>
          </w:tcPr>
          <w:p w14:paraId="5296165E" w14:textId="77777777" w:rsidR="00157785" w:rsidRPr="002C36C7" w:rsidRDefault="00157785" w:rsidP="00952597">
            <w:pPr>
              <w:spacing w:before="120" w:after="120"/>
              <w:rPr>
                <w:rFonts w:ascii="Verdana" w:hAnsi="Verdana"/>
                <w:bCs/>
              </w:rPr>
            </w:pPr>
            <w:r w:rsidRPr="002C36C7">
              <w:rPr>
                <w:rFonts w:ascii="Verdana" w:hAnsi="Verdana"/>
                <w:bCs/>
                <w:color w:val="000000"/>
              </w:rPr>
              <w:t>Third Party Payer</w:t>
            </w:r>
          </w:p>
        </w:tc>
        <w:tc>
          <w:tcPr>
            <w:tcW w:w="3665" w:type="pct"/>
            <w:gridSpan w:val="2"/>
            <w:tcBorders>
              <w:bottom w:val="single" w:sz="4" w:space="0" w:color="auto"/>
            </w:tcBorders>
          </w:tcPr>
          <w:p w14:paraId="028B0019" w14:textId="4CE28F90" w:rsidR="00157785" w:rsidRPr="00F25025" w:rsidRDefault="00157785" w:rsidP="00952597">
            <w:pPr>
              <w:spacing w:before="120" w:after="120"/>
              <w:rPr>
                <w:rFonts w:ascii="Verdana" w:hAnsi="Verdana"/>
              </w:rPr>
            </w:pPr>
            <w:r w:rsidRPr="00F25025">
              <w:rPr>
                <w:rFonts w:ascii="Verdana" w:hAnsi="Verdana"/>
              </w:rPr>
              <w:t xml:space="preserve">Organization other than the member or health care provider involved in the financing of personal health services. </w:t>
            </w:r>
          </w:p>
        </w:tc>
      </w:tr>
      <w:tr w:rsidR="00AF1BCE" w:rsidRPr="00F25025" w14:paraId="1867AB7D" w14:textId="77777777" w:rsidTr="008829F4">
        <w:trPr>
          <w:trHeight w:val="45"/>
        </w:trPr>
        <w:tc>
          <w:tcPr>
            <w:tcW w:w="1335" w:type="pct"/>
            <w:vMerge w:val="restart"/>
          </w:tcPr>
          <w:p w14:paraId="558A9DF5" w14:textId="65E44088" w:rsidR="00856749" w:rsidRPr="002C36C7" w:rsidRDefault="00856749" w:rsidP="005A0AB8">
            <w:pPr>
              <w:spacing w:before="120" w:after="120"/>
              <w:rPr>
                <w:rFonts w:ascii="Verdana" w:hAnsi="Verdana"/>
                <w:bCs/>
              </w:rPr>
            </w:pPr>
            <w:bookmarkStart w:id="21" w:name="_Hlk121402284"/>
            <w:r w:rsidRPr="002C36C7">
              <w:rPr>
                <w:rFonts w:ascii="Verdana" w:hAnsi="Verdana"/>
                <w:bCs/>
              </w:rPr>
              <w:t xml:space="preserve">Tier </w:t>
            </w:r>
            <w:r>
              <w:rPr>
                <w:rFonts w:ascii="Verdana" w:hAnsi="Verdana"/>
                <w:bCs/>
              </w:rPr>
              <w:t>(Drug Tier Levels)</w:t>
            </w:r>
          </w:p>
        </w:tc>
        <w:tc>
          <w:tcPr>
            <w:tcW w:w="396" w:type="pct"/>
            <w:shd w:val="clear" w:color="auto" w:fill="D9D9D9" w:themeFill="background1" w:themeFillShade="D9"/>
          </w:tcPr>
          <w:p w14:paraId="047E04B0" w14:textId="68D9D619" w:rsidR="00856749" w:rsidRPr="00431BF4" w:rsidRDefault="00856749" w:rsidP="00952597">
            <w:pPr>
              <w:spacing w:before="120" w:after="120"/>
              <w:jc w:val="center"/>
              <w:rPr>
                <w:rFonts w:ascii="Verdana" w:hAnsi="Verdana"/>
              </w:rPr>
            </w:pPr>
            <w:r w:rsidRPr="00A44F81">
              <w:rPr>
                <w:rFonts w:ascii="Verdana" w:hAnsi="Verdana"/>
                <w:b/>
                <w:bCs/>
              </w:rPr>
              <w:t>Tier</w:t>
            </w:r>
          </w:p>
        </w:tc>
        <w:tc>
          <w:tcPr>
            <w:tcW w:w="3270" w:type="pct"/>
            <w:shd w:val="clear" w:color="auto" w:fill="D9D9D9" w:themeFill="background1" w:themeFillShade="D9"/>
          </w:tcPr>
          <w:p w14:paraId="64FB5138" w14:textId="019E638D" w:rsidR="00856749" w:rsidRPr="000F184C" w:rsidRDefault="00856749" w:rsidP="00952597">
            <w:pPr>
              <w:spacing w:before="120" w:after="120"/>
              <w:jc w:val="center"/>
              <w:rPr>
                <w:rFonts w:ascii="Verdana" w:hAnsi="Verdana"/>
              </w:rPr>
            </w:pPr>
            <w:r w:rsidRPr="00A44F81">
              <w:rPr>
                <w:rFonts w:ascii="Verdana" w:hAnsi="Verdana"/>
                <w:b/>
                <w:bCs/>
              </w:rPr>
              <w:t>Definition</w:t>
            </w:r>
          </w:p>
        </w:tc>
      </w:tr>
      <w:tr w:rsidR="00AF1BCE" w:rsidRPr="00F25025" w14:paraId="2ADDCBE3" w14:textId="77777777" w:rsidTr="008829F4">
        <w:trPr>
          <w:trHeight w:val="45"/>
        </w:trPr>
        <w:tc>
          <w:tcPr>
            <w:tcW w:w="1335" w:type="pct"/>
            <w:vMerge/>
          </w:tcPr>
          <w:p w14:paraId="54FC2D0F" w14:textId="77777777" w:rsidR="00856749" w:rsidRDefault="00856749" w:rsidP="005A0AB8">
            <w:pPr>
              <w:spacing w:before="120" w:after="120"/>
              <w:rPr>
                <w:noProof/>
              </w:rPr>
            </w:pPr>
          </w:p>
        </w:tc>
        <w:tc>
          <w:tcPr>
            <w:tcW w:w="396" w:type="pct"/>
          </w:tcPr>
          <w:p w14:paraId="46D89290" w14:textId="133B55BB" w:rsidR="00856749" w:rsidRDefault="00856749" w:rsidP="00952597">
            <w:pPr>
              <w:spacing w:before="120" w:after="120"/>
              <w:jc w:val="center"/>
              <w:rPr>
                <w:rFonts w:ascii="Verdana" w:hAnsi="Verdana"/>
              </w:rPr>
            </w:pPr>
            <w:r>
              <w:rPr>
                <w:rFonts w:ascii="Verdana" w:hAnsi="Verdana"/>
              </w:rPr>
              <w:t>1</w:t>
            </w:r>
          </w:p>
        </w:tc>
        <w:tc>
          <w:tcPr>
            <w:tcW w:w="3270" w:type="pct"/>
          </w:tcPr>
          <w:p w14:paraId="695988B1" w14:textId="622CFDD5" w:rsidR="00856749" w:rsidRDefault="00856749" w:rsidP="00952597">
            <w:pPr>
              <w:spacing w:before="120" w:after="120"/>
              <w:rPr>
                <w:rFonts w:ascii="Verdana" w:hAnsi="Verdana"/>
              </w:rPr>
            </w:pPr>
            <w:r>
              <w:rPr>
                <w:rFonts w:ascii="Verdana" w:hAnsi="Verdana"/>
              </w:rPr>
              <w:t>Preferred Generic – These are commonly prescribed generic drugs.</w:t>
            </w:r>
          </w:p>
        </w:tc>
      </w:tr>
      <w:tr w:rsidR="00AF1BCE" w:rsidRPr="00F25025" w14:paraId="3B71EE71" w14:textId="77777777" w:rsidTr="008829F4">
        <w:trPr>
          <w:trHeight w:val="45"/>
        </w:trPr>
        <w:tc>
          <w:tcPr>
            <w:tcW w:w="1335" w:type="pct"/>
            <w:vMerge/>
          </w:tcPr>
          <w:p w14:paraId="19E39849" w14:textId="77777777" w:rsidR="00856749" w:rsidRDefault="00856749" w:rsidP="005A0AB8">
            <w:pPr>
              <w:spacing w:before="120" w:after="120"/>
              <w:rPr>
                <w:noProof/>
              </w:rPr>
            </w:pPr>
          </w:p>
        </w:tc>
        <w:tc>
          <w:tcPr>
            <w:tcW w:w="396" w:type="pct"/>
          </w:tcPr>
          <w:p w14:paraId="1759E128" w14:textId="30A574F4" w:rsidR="00856749" w:rsidRDefault="00856749" w:rsidP="00952597">
            <w:pPr>
              <w:spacing w:before="120" w:after="120"/>
              <w:jc w:val="center"/>
              <w:rPr>
                <w:rFonts w:ascii="Verdana" w:hAnsi="Verdana"/>
              </w:rPr>
            </w:pPr>
            <w:r>
              <w:rPr>
                <w:rFonts w:ascii="Verdana" w:hAnsi="Verdana"/>
              </w:rPr>
              <w:t>2</w:t>
            </w:r>
          </w:p>
        </w:tc>
        <w:tc>
          <w:tcPr>
            <w:tcW w:w="3270" w:type="pct"/>
          </w:tcPr>
          <w:p w14:paraId="4B55F3AC" w14:textId="0182C914" w:rsidR="00856749" w:rsidRDefault="00856749" w:rsidP="00952597">
            <w:pPr>
              <w:spacing w:before="120" w:after="120"/>
              <w:rPr>
                <w:rFonts w:ascii="Verdana" w:hAnsi="Verdana"/>
              </w:rPr>
            </w:pPr>
            <w:r>
              <w:rPr>
                <w:rFonts w:ascii="Verdana" w:hAnsi="Verdana"/>
              </w:rPr>
              <w:t>Generic – These are also generic drugs, but they cost a little more than drugs in Tier 1.</w:t>
            </w:r>
          </w:p>
        </w:tc>
      </w:tr>
      <w:tr w:rsidR="00AF1BCE" w:rsidRPr="00F25025" w14:paraId="42DA5B7C" w14:textId="77777777" w:rsidTr="008829F4">
        <w:trPr>
          <w:trHeight w:val="45"/>
        </w:trPr>
        <w:tc>
          <w:tcPr>
            <w:tcW w:w="1335" w:type="pct"/>
            <w:vMerge/>
          </w:tcPr>
          <w:p w14:paraId="1CD5408A" w14:textId="77777777" w:rsidR="00856749" w:rsidRDefault="00856749" w:rsidP="005A0AB8">
            <w:pPr>
              <w:spacing w:before="120" w:after="120"/>
              <w:rPr>
                <w:noProof/>
              </w:rPr>
            </w:pPr>
          </w:p>
        </w:tc>
        <w:tc>
          <w:tcPr>
            <w:tcW w:w="396" w:type="pct"/>
          </w:tcPr>
          <w:p w14:paraId="0AB2F6FE" w14:textId="0025511D" w:rsidR="00856749" w:rsidRDefault="00856749" w:rsidP="00952597">
            <w:pPr>
              <w:spacing w:before="120" w:after="120"/>
              <w:jc w:val="center"/>
              <w:rPr>
                <w:rFonts w:ascii="Verdana" w:hAnsi="Verdana"/>
              </w:rPr>
            </w:pPr>
            <w:r>
              <w:rPr>
                <w:rFonts w:ascii="Verdana" w:hAnsi="Verdana"/>
              </w:rPr>
              <w:t>3</w:t>
            </w:r>
          </w:p>
        </w:tc>
        <w:tc>
          <w:tcPr>
            <w:tcW w:w="3270" w:type="pct"/>
          </w:tcPr>
          <w:p w14:paraId="3C19BFA8" w14:textId="75BCD2D0" w:rsidR="00856749" w:rsidRDefault="00856749" w:rsidP="00952597">
            <w:pPr>
              <w:spacing w:before="120" w:after="120"/>
              <w:rPr>
                <w:rFonts w:ascii="Verdana" w:hAnsi="Verdana"/>
              </w:rPr>
            </w:pPr>
            <w:r>
              <w:rPr>
                <w:rFonts w:ascii="Verdana" w:hAnsi="Verdana"/>
              </w:rPr>
              <w:t>Preferred Brand – These are brand name drugs that don’t have a generic equivalent. They’re the lowest cost brand name drugs on the drug list.</w:t>
            </w:r>
          </w:p>
        </w:tc>
      </w:tr>
      <w:tr w:rsidR="00AF1BCE" w:rsidRPr="00F25025" w14:paraId="04B85E07" w14:textId="77777777" w:rsidTr="008829F4">
        <w:trPr>
          <w:trHeight w:val="45"/>
        </w:trPr>
        <w:tc>
          <w:tcPr>
            <w:tcW w:w="1335" w:type="pct"/>
            <w:vMerge/>
          </w:tcPr>
          <w:p w14:paraId="4DF47A83" w14:textId="77777777" w:rsidR="00856749" w:rsidRDefault="00856749" w:rsidP="005A0AB8">
            <w:pPr>
              <w:spacing w:before="120" w:after="120"/>
              <w:rPr>
                <w:noProof/>
              </w:rPr>
            </w:pPr>
          </w:p>
        </w:tc>
        <w:tc>
          <w:tcPr>
            <w:tcW w:w="396" w:type="pct"/>
          </w:tcPr>
          <w:p w14:paraId="4F1CE01C" w14:textId="628FAC37" w:rsidR="00856749" w:rsidRDefault="00856749" w:rsidP="00952597">
            <w:pPr>
              <w:spacing w:before="120" w:after="120"/>
              <w:jc w:val="center"/>
              <w:rPr>
                <w:rFonts w:ascii="Verdana" w:hAnsi="Verdana"/>
              </w:rPr>
            </w:pPr>
            <w:r>
              <w:rPr>
                <w:rFonts w:ascii="Verdana" w:hAnsi="Verdana"/>
              </w:rPr>
              <w:t>4</w:t>
            </w:r>
          </w:p>
        </w:tc>
        <w:tc>
          <w:tcPr>
            <w:tcW w:w="3270" w:type="pct"/>
          </w:tcPr>
          <w:p w14:paraId="370CE4F5" w14:textId="67F06893" w:rsidR="00856749" w:rsidRDefault="00856749" w:rsidP="00952597">
            <w:pPr>
              <w:spacing w:before="120" w:after="120"/>
              <w:rPr>
                <w:rFonts w:ascii="Verdana" w:hAnsi="Verdana"/>
              </w:rPr>
            </w:pPr>
            <w:r>
              <w:rPr>
                <w:rFonts w:ascii="Verdana" w:hAnsi="Verdana"/>
              </w:rPr>
              <w:t>Nonpreferred Drug – These are higher priced brand name and generic drugs not in a preferred tier.</w:t>
            </w:r>
          </w:p>
        </w:tc>
      </w:tr>
      <w:tr w:rsidR="00AF1BCE" w:rsidRPr="00F25025" w14:paraId="0E77715F" w14:textId="77777777" w:rsidTr="008829F4">
        <w:trPr>
          <w:trHeight w:val="45"/>
        </w:trPr>
        <w:tc>
          <w:tcPr>
            <w:tcW w:w="1335" w:type="pct"/>
            <w:vMerge/>
          </w:tcPr>
          <w:p w14:paraId="2FFBEFE9" w14:textId="77777777" w:rsidR="00856749" w:rsidRDefault="00856749" w:rsidP="005A0AB8">
            <w:pPr>
              <w:spacing w:before="120" w:after="120"/>
              <w:rPr>
                <w:noProof/>
              </w:rPr>
            </w:pPr>
          </w:p>
        </w:tc>
        <w:tc>
          <w:tcPr>
            <w:tcW w:w="396" w:type="pct"/>
          </w:tcPr>
          <w:p w14:paraId="21E4CA21" w14:textId="70A72969" w:rsidR="00856749" w:rsidRDefault="00856749" w:rsidP="00952597">
            <w:pPr>
              <w:spacing w:before="120" w:after="120"/>
              <w:jc w:val="center"/>
              <w:rPr>
                <w:rFonts w:ascii="Verdana" w:hAnsi="Verdana"/>
              </w:rPr>
            </w:pPr>
            <w:r>
              <w:rPr>
                <w:rFonts w:ascii="Verdana" w:hAnsi="Verdana"/>
              </w:rPr>
              <w:t>5</w:t>
            </w:r>
          </w:p>
        </w:tc>
        <w:tc>
          <w:tcPr>
            <w:tcW w:w="3270" w:type="pct"/>
          </w:tcPr>
          <w:p w14:paraId="6F2F8E6A" w14:textId="0CE8C8B7" w:rsidR="00856749" w:rsidRDefault="00856749" w:rsidP="00952597">
            <w:pPr>
              <w:spacing w:before="120" w:after="120"/>
              <w:rPr>
                <w:rFonts w:ascii="Verdana" w:hAnsi="Verdana"/>
              </w:rPr>
            </w:pPr>
            <w:r>
              <w:rPr>
                <w:rFonts w:ascii="Verdana" w:hAnsi="Verdana"/>
              </w:rPr>
              <w:t>Specialty – These are the most expensive drugs on the drug list. Specialty drugs are used to treat complex conditions like cancer and multiple sclerosis. They can be generic or Brand name.</w:t>
            </w:r>
          </w:p>
        </w:tc>
      </w:tr>
      <w:tr w:rsidR="00AF1BCE" w:rsidRPr="00F25025" w14:paraId="25E27D2D" w14:textId="77777777" w:rsidTr="008829F4">
        <w:trPr>
          <w:trHeight w:val="45"/>
        </w:trPr>
        <w:tc>
          <w:tcPr>
            <w:tcW w:w="1335" w:type="pct"/>
            <w:vMerge/>
          </w:tcPr>
          <w:p w14:paraId="1744FC8A" w14:textId="77777777" w:rsidR="00856749" w:rsidRDefault="00856749" w:rsidP="005A0AB8">
            <w:pPr>
              <w:spacing w:before="120" w:after="120"/>
              <w:rPr>
                <w:noProof/>
              </w:rPr>
            </w:pPr>
          </w:p>
        </w:tc>
        <w:tc>
          <w:tcPr>
            <w:tcW w:w="396" w:type="pct"/>
          </w:tcPr>
          <w:p w14:paraId="56A258A7" w14:textId="4FF3BD0C" w:rsidR="00856749" w:rsidRDefault="00856749" w:rsidP="00952597">
            <w:pPr>
              <w:spacing w:before="120" w:after="120"/>
              <w:jc w:val="center"/>
              <w:rPr>
                <w:rFonts w:ascii="Verdana" w:hAnsi="Verdana"/>
              </w:rPr>
            </w:pPr>
            <w:r>
              <w:rPr>
                <w:rFonts w:ascii="Verdana" w:hAnsi="Verdana"/>
              </w:rPr>
              <w:t>6</w:t>
            </w:r>
          </w:p>
        </w:tc>
        <w:tc>
          <w:tcPr>
            <w:tcW w:w="3270" w:type="pct"/>
          </w:tcPr>
          <w:p w14:paraId="4C99085C" w14:textId="62190AB6" w:rsidR="00856749" w:rsidRDefault="00856749" w:rsidP="00952597">
            <w:pPr>
              <w:spacing w:before="120" w:after="120"/>
              <w:rPr>
                <w:rFonts w:ascii="Verdana" w:hAnsi="Verdana"/>
              </w:rPr>
            </w:pPr>
            <w:r>
              <w:rPr>
                <w:rFonts w:ascii="Verdana" w:hAnsi="Verdana"/>
              </w:rPr>
              <w:t>Select Care – These are generic drugs used to treat diabetes and high cholesterol.</w:t>
            </w:r>
          </w:p>
        </w:tc>
      </w:tr>
      <w:tr w:rsidR="00031DB5" w:rsidRPr="00F25025" w14:paraId="109465DE" w14:textId="77777777" w:rsidTr="008829F4">
        <w:trPr>
          <w:trHeight w:val="45"/>
        </w:trPr>
        <w:tc>
          <w:tcPr>
            <w:tcW w:w="1335" w:type="pct"/>
            <w:vMerge/>
          </w:tcPr>
          <w:p w14:paraId="7CE8F352" w14:textId="77777777" w:rsidR="00856749" w:rsidRDefault="00856749" w:rsidP="005A0AB8">
            <w:pPr>
              <w:spacing w:before="120" w:after="120"/>
              <w:rPr>
                <w:noProof/>
              </w:rPr>
            </w:pPr>
          </w:p>
        </w:tc>
        <w:tc>
          <w:tcPr>
            <w:tcW w:w="3665" w:type="pct"/>
            <w:gridSpan w:val="2"/>
          </w:tcPr>
          <w:p w14:paraId="0FCB980A" w14:textId="75797E64" w:rsidR="00FD3703" w:rsidRDefault="00856749" w:rsidP="00952597">
            <w:pPr>
              <w:spacing w:before="120" w:after="120"/>
              <w:ind w:left="46"/>
              <w:rPr>
                <w:rFonts w:ascii="Verdana" w:hAnsi="Verdana"/>
              </w:rPr>
            </w:pPr>
            <w:r>
              <w:rPr>
                <w:rFonts w:ascii="Verdana" w:hAnsi="Verdana"/>
                <w:b/>
                <w:bCs/>
              </w:rPr>
              <w:t>Note:</w:t>
            </w:r>
            <w:r>
              <w:rPr>
                <w:rFonts w:ascii="Verdana" w:hAnsi="Verdana"/>
              </w:rPr>
              <w:t xml:space="preserve"> Specialty drugs usually pay as Tier 3, but some plans have Tier 4 and Tier 5 to refer to Preferred Specialty and Non-Preferred Specialty, respectively.</w:t>
            </w:r>
          </w:p>
        </w:tc>
      </w:tr>
      <w:bookmarkEnd w:id="21"/>
      <w:tr w:rsidR="00031DB5" w:rsidRPr="00F25025" w14:paraId="25EE6CBF" w14:textId="77777777" w:rsidTr="008829F4">
        <w:trPr>
          <w:trHeight w:val="251"/>
        </w:trPr>
        <w:tc>
          <w:tcPr>
            <w:tcW w:w="1335" w:type="pct"/>
          </w:tcPr>
          <w:p w14:paraId="5A748F08" w14:textId="1E6BFE0B" w:rsidR="00157785" w:rsidRPr="002C36C7" w:rsidRDefault="00157785" w:rsidP="00952597">
            <w:pPr>
              <w:spacing w:before="120" w:after="120"/>
              <w:rPr>
                <w:rFonts w:ascii="Verdana" w:hAnsi="Verdana"/>
                <w:bCs/>
              </w:rPr>
            </w:pPr>
            <w:r w:rsidRPr="002C36C7">
              <w:rPr>
                <w:rFonts w:ascii="Verdana" w:hAnsi="Verdana"/>
                <w:bCs/>
              </w:rPr>
              <w:t>Tiering Exception</w:t>
            </w:r>
          </w:p>
        </w:tc>
        <w:tc>
          <w:tcPr>
            <w:tcW w:w="3665" w:type="pct"/>
            <w:gridSpan w:val="2"/>
          </w:tcPr>
          <w:p w14:paraId="78B72AB5" w14:textId="6E83B72D" w:rsidR="00157785" w:rsidRPr="00F25025" w:rsidRDefault="00157785" w:rsidP="00952597">
            <w:pPr>
              <w:spacing w:before="120" w:after="120"/>
              <w:rPr>
                <w:rFonts w:ascii="Verdana" w:hAnsi="Verdana"/>
              </w:rPr>
            </w:pPr>
            <w:r w:rsidRPr="000F184C">
              <w:rPr>
                <w:rFonts w:ascii="Verdana" w:hAnsi="Verdana"/>
              </w:rPr>
              <w:t>Request for coverage of a drug in a higher cost-sharing tier to pay at a lower cost-sharing tier.</w:t>
            </w:r>
          </w:p>
        </w:tc>
      </w:tr>
      <w:tr w:rsidR="00031DB5" w:rsidRPr="00F25025" w14:paraId="14A921B9" w14:textId="77777777" w:rsidTr="008829F4">
        <w:trPr>
          <w:trHeight w:val="251"/>
        </w:trPr>
        <w:tc>
          <w:tcPr>
            <w:tcW w:w="1335" w:type="pct"/>
          </w:tcPr>
          <w:p w14:paraId="02BAC75E" w14:textId="77777777" w:rsidR="00157785" w:rsidRPr="002C36C7" w:rsidRDefault="00157785" w:rsidP="00952597">
            <w:pPr>
              <w:spacing w:before="120" w:after="120"/>
              <w:rPr>
                <w:rFonts w:ascii="Verdana" w:hAnsi="Verdana" w:cs="Arial"/>
                <w:bCs/>
                <w:color w:val="000000"/>
              </w:rPr>
            </w:pPr>
            <w:r w:rsidRPr="002C36C7">
              <w:rPr>
                <w:rFonts w:ascii="Verdana" w:hAnsi="Verdana"/>
                <w:bCs/>
                <w:color w:val="000000"/>
              </w:rPr>
              <w:t>Top Box</w:t>
            </w:r>
          </w:p>
        </w:tc>
        <w:tc>
          <w:tcPr>
            <w:tcW w:w="3665" w:type="pct"/>
            <w:gridSpan w:val="2"/>
          </w:tcPr>
          <w:p w14:paraId="7041500E" w14:textId="64C86D90" w:rsidR="00157785" w:rsidRPr="00F25025" w:rsidRDefault="00157785" w:rsidP="00952597">
            <w:pPr>
              <w:spacing w:before="120" w:after="120"/>
              <w:rPr>
                <w:rFonts w:ascii="Verdana" w:hAnsi="Verdana" w:cs="Arial"/>
                <w:bCs/>
                <w:color w:val="000000"/>
              </w:rPr>
            </w:pPr>
            <w:r w:rsidRPr="00F25025">
              <w:rPr>
                <w:rFonts w:ascii="Verdana" w:hAnsi="Verdana"/>
              </w:rPr>
              <w:t>Highest member rating of the service received when calling Customer Care.</w:t>
            </w:r>
          </w:p>
        </w:tc>
      </w:tr>
      <w:tr w:rsidR="00031DB5" w:rsidRPr="00F25025" w14:paraId="0F7ECFB4" w14:textId="77777777" w:rsidTr="008829F4">
        <w:trPr>
          <w:trHeight w:val="251"/>
        </w:trPr>
        <w:tc>
          <w:tcPr>
            <w:tcW w:w="1335" w:type="pct"/>
          </w:tcPr>
          <w:p w14:paraId="309592C3" w14:textId="77777777" w:rsidR="00157785" w:rsidRPr="002C36C7" w:rsidRDefault="00157785" w:rsidP="00952597">
            <w:pPr>
              <w:spacing w:before="120" w:after="120"/>
              <w:rPr>
                <w:rFonts w:ascii="Verdana" w:hAnsi="Verdana"/>
                <w:bCs/>
                <w:color w:val="000000"/>
              </w:rPr>
            </w:pPr>
            <w:r w:rsidRPr="002C36C7">
              <w:rPr>
                <w:rFonts w:ascii="Verdana" w:hAnsi="Verdana"/>
                <w:bCs/>
              </w:rPr>
              <w:t>Total Drug Spend</w:t>
            </w:r>
          </w:p>
        </w:tc>
        <w:tc>
          <w:tcPr>
            <w:tcW w:w="3665" w:type="pct"/>
            <w:gridSpan w:val="2"/>
          </w:tcPr>
          <w:p w14:paraId="356F7240" w14:textId="78201D2D" w:rsidR="00157785" w:rsidRPr="00F25025" w:rsidRDefault="00157785" w:rsidP="00952597">
            <w:pPr>
              <w:spacing w:before="120" w:after="120"/>
              <w:rPr>
                <w:rFonts w:ascii="Verdana" w:hAnsi="Verdana"/>
              </w:rPr>
            </w:pPr>
            <w:r w:rsidRPr="000F184C">
              <w:rPr>
                <w:rFonts w:ascii="Verdana" w:hAnsi="Verdana"/>
              </w:rPr>
              <w:t xml:space="preserve">The total cost of the medication (what the beneficiary and plan pay). </w:t>
            </w:r>
          </w:p>
        </w:tc>
      </w:tr>
      <w:tr w:rsidR="00031DB5" w:rsidRPr="00F25025" w14:paraId="229BF398" w14:textId="77777777" w:rsidTr="008829F4">
        <w:trPr>
          <w:trHeight w:val="251"/>
        </w:trPr>
        <w:tc>
          <w:tcPr>
            <w:tcW w:w="1335" w:type="pct"/>
          </w:tcPr>
          <w:p w14:paraId="1788AD8E" w14:textId="77777777" w:rsidR="00157785" w:rsidRPr="002C36C7" w:rsidRDefault="00157785" w:rsidP="00952597">
            <w:pPr>
              <w:spacing w:before="120" w:after="120"/>
              <w:rPr>
                <w:rFonts w:ascii="Verdana" w:hAnsi="Verdana"/>
                <w:bCs/>
                <w:color w:val="000000"/>
              </w:rPr>
            </w:pPr>
            <w:hyperlink w:anchor="_T" w:history="1">
              <w:r w:rsidRPr="002C36C7">
                <w:rPr>
                  <w:rStyle w:val="Hyperlink"/>
                  <w:rFonts w:ascii="Verdana" w:hAnsi="Verdana"/>
                  <w:bCs/>
                  <w:color w:val="000000"/>
                  <w:u w:val="none"/>
                </w:rPr>
                <w:t>Total Gross Cost</w:t>
              </w:r>
            </w:hyperlink>
          </w:p>
        </w:tc>
        <w:tc>
          <w:tcPr>
            <w:tcW w:w="3665" w:type="pct"/>
            <w:gridSpan w:val="2"/>
          </w:tcPr>
          <w:p w14:paraId="77EB8D62" w14:textId="030C4ED2" w:rsidR="00157785" w:rsidRPr="00F25025" w:rsidRDefault="00157785" w:rsidP="00952597">
            <w:pPr>
              <w:spacing w:before="120" w:after="120"/>
              <w:rPr>
                <w:rFonts w:ascii="Verdana" w:hAnsi="Verdana"/>
                <w:color w:val="000000"/>
              </w:rPr>
            </w:pPr>
            <w:r w:rsidRPr="00F25025">
              <w:rPr>
                <w:rFonts w:ascii="Verdana" w:hAnsi="Verdana" w:cs="Arial"/>
                <w:bCs/>
                <w:color w:val="000000"/>
              </w:rPr>
              <w:t>Total amount billed by pharmacy (submitted amount)</w:t>
            </w:r>
            <w:r>
              <w:rPr>
                <w:rFonts w:ascii="Verdana" w:hAnsi="Verdana" w:cs="Arial"/>
                <w:bCs/>
                <w:color w:val="000000"/>
              </w:rPr>
              <w:t>.</w:t>
            </w:r>
          </w:p>
        </w:tc>
      </w:tr>
      <w:tr w:rsidR="00031DB5" w:rsidRPr="00F25025" w14:paraId="30D43D9D" w14:textId="77777777" w:rsidTr="008829F4">
        <w:trPr>
          <w:trHeight w:val="251"/>
        </w:trPr>
        <w:tc>
          <w:tcPr>
            <w:tcW w:w="1335" w:type="pct"/>
          </w:tcPr>
          <w:p w14:paraId="5C6EDCBE" w14:textId="77777777" w:rsidR="00157785" w:rsidRPr="002C36C7" w:rsidRDefault="00157785" w:rsidP="00952597">
            <w:pPr>
              <w:spacing w:before="120" w:after="120"/>
              <w:rPr>
                <w:rFonts w:ascii="Verdana" w:hAnsi="Verdana"/>
                <w:bCs/>
              </w:rPr>
            </w:pPr>
            <w:r w:rsidRPr="002C36C7">
              <w:rPr>
                <w:rFonts w:ascii="Verdana" w:hAnsi="Verdana"/>
                <w:bCs/>
                <w:color w:val="000000"/>
              </w:rPr>
              <w:t>Total Member cost</w:t>
            </w:r>
          </w:p>
        </w:tc>
        <w:tc>
          <w:tcPr>
            <w:tcW w:w="3665" w:type="pct"/>
            <w:gridSpan w:val="2"/>
          </w:tcPr>
          <w:p w14:paraId="2ACDB638" w14:textId="5DFADEF3" w:rsidR="00157785" w:rsidRPr="00F25025" w:rsidRDefault="00157785" w:rsidP="00952597">
            <w:pPr>
              <w:spacing w:before="120" w:after="120"/>
              <w:rPr>
                <w:rFonts w:ascii="Verdana" w:hAnsi="Verdana"/>
              </w:rPr>
            </w:pPr>
            <w:r w:rsidRPr="00F25025">
              <w:rPr>
                <w:rFonts w:ascii="Verdana" w:hAnsi="Verdana"/>
              </w:rPr>
              <w:t>What member paid (copay)</w:t>
            </w:r>
            <w:r>
              <w:rPr>
                <w:rFonts w:ascii="Verdana" w:hAnsi="Verdana"/>
              </w:rPr>
              <w:t>.</w:t>
            </w:r>
          </w:p>
        </w:tc>
      </w:tr>
      <w:tr w:rsidR="00031DB5" w:rsidRPr="00F25025" w14:paraId="399F2EB0" w14:textId="77777777" w:rsidTr="008829F4">
        <w:trPr>
          <w:trHeight w:val="251"/>
        </w:trPr>
        <w:tc>
          <w:tcPr>
            <w:tcW w:w="1335" w:type="pct"/>
          </w:tcPr>
          <w:p w14:paraId="6677DD62" w14:textId="77777777" w:rsidR="00157785" w:rsidRPr="002C36C7" w:rsidRDefault="00157785" w:rsidP="00952597">
            <w:pPr>
              <w:spacing w:before="120" w:after="120"/>
              <w:rPr>
                <w:rFonts w:ascii="Verdana" w:hAnsi="Verdana"/>
                <w:bCs/>
              </w:rPr>
            </w:pPr>
            <w:r w:rsidRPr="002C36C7">
              <w:rPr>
                <w:rFonts w:ascii="Verdana" w:hAnsi="Verdana"/>
                <w:bCs/>
                <w:color w:val="000000"/>
              </w:rPr>
              <w:t>Total Net Cost</w:t>
            </w:r>
          </w:p>
        </w:tc>
        <w:tc>
          <w:tcPr>
            <w:tcW w:w="3665" w:type="pct"/>
            <w:gridSpan w:val="2"/>
          </w:tcPr>
          <w:p w14:paraId="63D33B84" w14:textId="7C4808E9" w:rsidR="00157785" w:rsidRPr="00F25025" w:rsidRDefault="00157785" w:rsidP="00952597">
            <w:pPr>
              <w:spacing w:before="120" w:after="120"/>
              <w:rPr>
                <w:rFonts w:ascii="Verdana" w:hAnsi="Verdana"/>
              </w:rPr>
            </w:pPr>
            <w:r w:rsidRPr="00F25025">
              <w:rPr>
                <w:rFonts w:ascii="Verdana" w:hAnsi="Verdana"/>
              </w:rPr>
              <w:t>Plan paid amount</w:t>
            </w:r>
            <w:r>
              <w:rPr>
                <w:rFonts w:ascii="Verdana" w:hAnsi="Verdana"/>
              </w:rPr>
              <w:t>.</w:t>
            </w:r>
          </w:p>
        </w:tc>
      </w:tr>
      <w:tr w:rsidR="00031DB5" w:rsidRPr="00F25025" w14:paraId="06825DA9" w14:textId="77777777" w:rsidTr="008829F4">
        <w:trPr>
          <w:trHeight w:val="251"/>
        </w:trPr>
        <w:tc>
          <w:tcPr>
            <w:tcW w:w="1335" w:type="pct"/>
          </w:tcPr>
          <w:p w14:paraId="6152A5A2" w14:textId="77777777" w:rsidR="00157785" w:rsidRPr="002C36C7" w:rsidRDefault="00157785" w:rsidP="00952597">
            <w:pPr>
              <w:spacing w:before="120" w:after="120"/>
              <w:rPr>
                <w:rFonts w:ascii="Verdana" w:hAnsi="Verdana"/>
                <w:bCs/>
                <w:color w:val="000000"/>
              </w:rPr>
            </w:pPr>
            <w:r w:rsidRPr="002C36C7">
              <w:rPr>
                <w:rFonts w:ascii="Verdana" w:hAnsi="Verdana"/>
                <w:bCs/>
                <w:color w:val="000000"/>
              </w:rPr>
              <w:t xml:space="preserve">Total Number of Plan Generated Enrollment Transactions Received </w:t>
            </w:r>
          </w:p>
        </w:tc>
        <w:tc>
          <w:tcPr>
            <w:tcW w:w="3665" w:type="pct"/>
            <w:gridSpan w:val="2"/>
          </w:tcPr>
          <w:p w14:paraId="3AA92878" w14:textId="77777777" w:rsidR="00157785" w:rsidRPr="00F25025" w:rsidRDefault="00157785" w:rsidP="00952597">
            <w:pPr>
              <w:spacing w:before="120" w:after="120"/>
              <w:rPr>
                <w:rFonts w:ascii="Verdana" w:hAnsi="Verdana" w:cs="MS Shell Dlg 2"/>
                <w:color w:val="000000"/>
              </w:rPr>
            </w:pPr>
            <w:r w:rsidRPr="009E4D46">
              <w:rPr>
                <w:rFonts w:ascii="Verdana" w:hAnsi="Verdana" w:cs="MS Shell Dlg 2"/>
                <w:color w:val="000000"/>
              </w:rPr>
              <w:t>The total number of plan generated enrollment transactions received by CMS.</w:t>
            </w:r>
          </w:p>
        </w:tc>
      </w:tr>
      <w:tr w:rsidR="00031DB5" w:rsidRPr="00F25025" w14:paraId="2A61988D" w14:textId="77777777" w:rsidTr="008829F4">
        <w:trPr>
          <w:trHeight w:val="251"/>
        </w:trPr>
        <w:tc>
          <w:tcPr>
            <w:tcW w:w="1335" w:type="pct"/>
          </w:tcPr>
          <w:p w14:paraId="1019B761" w14:textId="4F918591" w:rsidR="00157785" w:rsidRPr="002C36C7" w:rsidRDefault="00157785" w:rsidP="00952597">
            <w:pPr>
              <w:spacing w:before="120" w:after="120"/>
              <w:rPr>
                <w:rFonts w:ascii="Verdana" w:hAnsi="Verdana"/>
                <w:bCs/>
              </w:rPr>
            </w:pPr>
            <w:r w:rsidRPr="002C36C7">
              <w:rPr>
                <w:rFonts w:ascii="Verdana" w:hAnsi="Verdana"/>
                <w:bCs/>
                <w:color w:val="000000"/>
              </w:rPr>
              <w:t>Tote</w:t>
            </w:r>
          </w:p>
        </w:tc>
        <w:tc>
          <w:tcPr>
            <w:tcW w:w="3665" w:type="pct"/>
            <w:gridSpan w:val="2"/>
          </w:tcPr>
          <w:p w14:paraId="2A4EC17D" w14:textId="728ABD6A" w:rsidR="00157785" w:rsidRPr="00F25025" w:rsidRDefault="00157785" w:rsidP="00952597">
            <w:pPr>
              <w:spacing w:before="120" w:after="120"/>
              <w:rPr>
                <w:rFonts w:ascii="Verdana" w:hAnsi="Verdana"/>
              </w:rPr>
            </w:pPr>
            <w:r w:rsidRPr="00F25025">
              <w:rPr>
                <w:rFonts w:ascii="Verdana" w:hAnsi="Verdana" w:cs="MS Shell Dlg 2"/>
                <w:color w:val="000000"/>
              </w:rPr>
              <w:t>A plastic bin that goes on the pharmacy line in dispensing to fill/ship prescription orders</w:t>
            </w:r>
            <w:r>
              <w:rPr>
                <w:rFonts w:ascii="Verdana" w:hAnsi="Verdana" w:cs="MS Shell Dlg 2"/>
                <w:color w:val="000000"/>
              </w:rPr>
              <w:t>.</w:t>
            </w:r>
          </w:p>
        </w:tc>
      </w:tr>
      <w:tr w:rsidR="00031DB5" w:rsidRPr="00F25025" w14:paraId="0F53C521" w14:textId="77777777" w:rsidTr="008829F4">
        <w:trPr>
          <w:trHeight w:val="251"/>
        </w:trPr>
        <w:tc>
          <w:tcPr>
            <w:tcW w:w="1335" w:type="pct"/>
          </w:tcPr>
          <w:p w14:paraId="3A8AE0A1" w14:textId="77777777" w:rsidR="00157785" w:rsidRPr="002C36C7" w:rsidRDefault="00157785" w:rsidP="00952597">
            <w:pPr>
              <w:spacing w:before="120" w:after="120"/>
              <w:rPr>
                <w:rFonts w:ascii="Verdana" w:hAnsi="Verdana"/>
                <w:bCs/>
              </w:rPr>
            </w:pPr>
            <w:r w:rsidRPr="002C36C7">
              <w:rPr>
                <w:rFonts w:ascii="Verdana" w:hAnsi="Verdana"/>
                <w:bCs/>
              </w:rPr>
              <w:t xml:space="preserve">Torchmark </w:t>
            </w:r>
          </w:p>
        </w:tc>
        <w:tc>
          <w:tcPr>
            <w:tcW w:w="3665" w:type="pct"/>
            <w:gridSpan w:val="2"/>
          </w:tcPr>
          <w:p w14:paraId="7CD84173" w14:textId="687BDAE6" w:rsidR="00157785" w:rsidRPr="00F25025" w:rsidRDefault="00157785" w:rsidP="00952597">
            <w:pPr>
              <w:spacing w:before="120" w:after="120"/>
              <w:rPr>
                <w:rFonts w:ascii="Verdana" w:hAnsi="Verdana"/>
              </w:rPr>
            </w:pPr>
            <w:r w:rsidRPr="009E4D46">
              <w:rPr>
                <w:rFonts w:ascii="Verdana" w:hAnsi="Verdana"/>
                <w:lang w:val="en"/>
              </w:rPr>
              <w:t xml:space="preserve">A </w:t>
            </w:r>
            <w:r w:rsidR="004A409E" w:rsidRPr="009E4D46">
              <w:rPr>
                <w:rFonts w:ascii="Verdana" w:hAnsi="Verdana"/>
                <w:lang w:val="en"/>
              </w:rPr>
              <w:t>financial service</w:t>
            </w:r>
            <w:r w:rsidRPr="009E4D46">
              <w:rPr>
                <w:rFonts w:ascii="Verdana" w:hAnsi="Verdana"/>
                <w:lang w:val="en"/>
              </w:rPr>
              <w:t xml:space="preserve"> holding company specializing in life and supplemental health insurance for middle-income Americans, marketed through multiple distribution channels including direct response and exclusive and independent insurance agencies.</w:t>
            </w:r>
            <w:r>
              <w:rPr>
                <w:rFonts w:ascii="Verdana" w:hAnsi="Verdana"/>
                <w:lang w:val="en"/>
              </w:rPr>
              <w:t xml:space="preserve"> </w:t>
            </w:r>
          </w:p>
        </w:tc>
      </w:tr>
      <w:tr w:rsidR="00031DB5" w:rsidRPr="00F25025" w14:paraId="424A6E3C" w14:textId="77777777" w:rsidTr="008829F4">
        <w:tc>
          <w:tcPr>
            <w:tcW w:w="1335" w:type="pct"/>
          </w:tcPr>
          <w:p w14:paraId="37B41F89" w14:textId="77777777" w:rsidR="00157785" w:rsidRPr="002C36C7" w:rsidRDefault="00157785" w:rsidP="00952597">
            <w:pPr>
              <w:spacing w:before="120" w:after="120"/>
              <w:rPr>
                <w:rFonts w:ascii="Verdana" w:hAnsi="Verdana"/>
                <w:bCs/>
                <w:color w:val="000000"/>
              </w:rPr>
            </w:pPr>
            <w:r w:rsidRPr="002C36C7">
              <w:rPr>
                <w:rFonts w:ascii="Verdana" w:hAnsi="Verdana"/>
                <w:bCs/>
                <w:color w:val="000000"/>
              </w:rPr>
              <w:t xml:space="preserve">Tracking Slip </w:t>
            </w:r>
          </w:p>
        </w:tc>
        <w:tc>
          <w:tcPr>
            <w:tcW w:w="3665" w:type="pct"/>
            <w:gridSpan w:val="2"/>
          </w:tcPr>
          <w:p w14:paraId="142AA00A" w14:textId="77777777" w:rsidR="00157785" w:rsidRPr="00F25025" w:rsidRDefault="00157785" w:rsidP="00952597">
            <w:pPr>
              <w:spacing w:before="120" w:after="120"/>
              <w:rPr>
                <w:rFonts w:ascii="Verdana" w:hAnsi="Verdana"/>
              </w:rPr>
            </w:pPr>
            <w:r w:rsidRPr="009E4D46">
              <w:rPr>
                <w:rFonts w:ascii="Verdana" w:hAnsi="Verdana"/>
              </w:rPr>
              <w:t>An Incoming Correspondence slip that states where it is going, type of document, other requests sent to processing, date and time received, and processor initials.</w:t>
            </w:r>
            <w:r>
              <w:rPr>
                <w:rFonts w:ascii="Verdana" w:hAnsi="Verdana"/>
              </w:rPr>
              <w:t xml:space="preserve"> </w:t>
            </w:r>
          </w:p>
        </w:tc>
      </w:tr>
      <w:tr w:rsidR="00031DB5" w:rsidRPr="00F25025" w14:paraId="4AD6120F" w14:textId="77777777" w:rsidTr="008829F4">
        <w:tc>
          <w:tcPr>
            <w:tcW w:w="1335" w:type="pct"/>
          </w:tcPr>
          <w:p w14:paraId="2C8C248D" w14:textId="1CBDE179" w:rsidR="00157785" w:rsidRPr="002C36C7" w:rsidRDefault="00157785" w:rsidP="00952597">
            <w:pPr>
              <w:spacing w:before="120" w:after="120"/>
              <w:rPr>
                <w:rFonts w:ascii="Verdana" w:hAnsi="Verdana"/>
                <w:bCs/>
              </w:rPr>
            </w:pPr>
            <w:r w:rsidRPr="002C36C7">
              <w:rPr>
                <w:rFonts w:ascii="Verdana" w:hAnsi="Verdana"/>
                <w:bCs/>
                <w:color w:val="000000"/>
              </w:rPr>
              <w:t>Transferring Party</w:t>
            </w:r>
          </w:p>
        </w:tc>
        <w:tc>
          <w:tcPr>
            <w:tcW w:w="3665" w:type="pct"/>
            <w:gridSpan w:val="2"/>
          </w:tcPr>
          <w:p w14:paraId="1762F823" w14:textId="77777777" w:rsidR="00157785" w:rsidRPr="00F25025" w:rsidRDefault="00157785" w:rsidP="00952597">
            <w:pPr>
              <w:spacing w:before="120" w:after="120"/>
              <w:rPr>
                <w:rFonts w:ascii="Verdana" w:hAnsi="Verdana"/>
              </w:rPr>
            </w:pPr>
            <w:r w:rsidRPr="00F25025">
              <w:rPr>
                <w:rFonts w:ascii="Verdana" w:hAnsi="Verdana"/>
              </w:rPr>
              <w:t>Party that is making the call to the receiving party.</w:t>
            </w:r>
          </w:p>
        </w:tc>
      </w:tr>
      <w:tr w:rsidR="00031DB5" w:rsidRPr="00F25025" w14:paraId="653ED18B" w14:textId="77777777" w:rsidTr="008829F4">
        <w:tc>
          <w:tcPr>
            <w:tcW w:w="1335" w:type="pct"/>
          </w:tcPr>
          <w:p w14:paraId="67D928DD" w14:textId="77777777" w:rsidR="00157785" w:rsidRPr="002C36C7" w:rsidRDefault="00157785" w:rsidP="00952597">
            <w:pPr>
              <w:tabs>
                <w:tab w:val="left" w:pos="7849"/>
              </w:tabs>
              <w:spacing w:before="120" w:after="120"/>
              <w:rPr>
                <w:rFonts w:ascii="Verdana" w:hAnsi="Verdana"/>
                <w:bCs/>
                <w:color w:val="000000"/>
              </w:rPr>
            </w:pPr>
            <w:r w:rsidRPr="002C36C7">
              <w:rPr>
                <w:rFonts w:ascii="Verdana" w:hAnsi="Verdana"/>
                <w:bCs/>
                <w:color w:val="000000"/>
              </w:rPr>
              <w:t>Transitional Fill</w:t>
            </w:r>
          </w:p>
        </w:tc>
        <w:tc>
          <w:tcPr>
            <w:tcW w:w="3665" w:type="pct"/>
            <w:gridSpan w:val="2"/>
          </w:tcPr>
          <w:p w14:paraId="6DA8A0BF" w14:textId="7D842A51" w:rsidR="003F6290" w:rsidRPr="00C4311D" w:rsidRDefault="008829F4" w:rsidP="003F6290">
            <w:pPr>
              <w:spacing w:before="120" w:after="120"/>
              <w:rPr>
                <w:rFonts w:ascii="Verdana" w:hAnsi="Verdana"/>
              </w:rPr>
            </w:pPr>
            <w:r>
              <w:rPr>
                <w:rFonts w:ascii="Verdana" w:hAnsi="Verdana" w:cs="Arial"/>
                <w:noProof/>
              </w:rPr>
              <w:drawing>
                <wp:inline distT="0" distB="0" distL="0" distR="0" wp14:anchorId="5DBDC3BA" wp14:editId="540AA517">
                  <wp:extent cx="304762" cy="304762"/>
                  <wp:effectExtent l="0" t="0" r="635" b="635"/>
                  <wp:docPr id="147371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9375" name="Picture 176439375"/>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cs="Arial"/>
              </w:rPr>
              <w:t xml:space="preserve"> </w:t>
            </w:r>
            <w:r w:rsidR="003F6290" w:rsidRPr="00C4311D">
              <w:rPr>
                <w:rFonts w:ascii="Verdana" w:hAnsi="Verdana"/>
              </w:rPr>
              <w:t>**Medicare/</w:t>
            </w:r>
            <w:proofErr w:type="spellStart"/>
            <w:r w:rsidR="003F6290" w:rsidRPr="00C4311D">
              <w:rPr>
                <w:rFonts w:ascii="Verdana" w:hAnsi="Verdana"/>
              </w:rPr>
              <w:t>EGWP</w:t>
            </w:r>
            <w:proofErr w:type="spellEnd"/>
            <w:r w:rsidR="003F6290" w:rsidRPr="00C4311D">
              <w:rPr>
                <w:rFonts w:ascii="Verdana" w:hAnsi="Verdana"/>
              </w:rPr>
              <w:t xml:space="preserve"> Member Transition Fill (TF):**</w:t>
            </w:r>
          </w:p>
          <w:p w14:paraId="69D76BEA" w14:textId="27793F32" w:rsidR="003F6290" w:rsidRDefault="00B061E6" w:rsidP="000A3EA6">
            <w:r w:rsidRPr="000A3EA6">
              <w:rPr>
                <w:rFonts w:ascii="Verdana" w:hAnsi="Verdana"/>
              </w:rPr>
              <w:t>A 30-day supply is provided to ensure continuous therapy and prevent interruptions in medication coverage. The transition fill offers beneficiaries a temporary supply of medications that are either not presently covered or require further authorization for plan inclusion.</w:t>
            </w:r>
          </w:p>
          <w:p w14:paraId="3EC1FB27" w14:textId="1E19BD60" w:rsidR="009D37F9" w:rsidRPr="000A3EA6" w:rsidRDefault="009D37F9" w:rsidP="000A3EA6">
            <w:pPr>
              <w:pStyle w:val="ListParagraph"/>
              <w:numPr>
                <w:ilvl w:val="0"/>
                <w:numId w:val="148"/>
              </w:numPr>
              <w:spacing w:before="120" w:after="120"/>
              <w:rPr>
                <w:rFonts w:ascii="Verdana" w:hAnsi="Verdana"/>
              </w:rPr>
            </w:pPr>
            <w:r w:rsidRPr="000A3EA6">
              <w:rPr>
                <w:rFonts w:ascii="Verdana" w:hAnsi="Verdana"/>
                <w:sz w:val="24"/>
                <w:szCs w:val="24"/>
              </w:rPr>
              <w:t xml:space="preserve">Does not apply to </w:t>
            </w:r>
            <w:proofErr w:type="spellStart"/>
            <w:proofErr w:type="gramStart"/>
            <w:r w:rsidRPr="000A3EA6">
              <w:rPr>
                <w:rFonts w:ascii="Verdana" w:hAnsi="Verdana"/>
                <w:sz w:val="24"/>
                <w:szCs w:val="24"/>
              </w:rPr>
              <w:t>non MED</w:t>
            </w:r>
            <w:proofErr w:type="spellEnd"/>
            <w:proofErr w:type="gramEnd"/>
            <w:r w:rsidRPr="000A3EA6">
              <w:rPr>
                <w:rFonts w:ascii="Verdana" w:hAnsi="Verdana"/>
                <w:sz w:val="24"/>
                <w:szCs w:val="24"/>
              </w:rPr>
              <w:t xml:space="preserve">-D </w:t>
            </w:r>
            <w:r w:rsidR="00E255B6">
              <w:rPr>
                <w:rFonts w:ascii="Verdana" w:hAnsi="Verdana"/>
                <w:sz w:val="24"/>
                <w:szCs w:val="24"/>
              </w:rPr>
              <w:t xml:space="preserve">covered </w:t>
            </w:r>
            <w:r w:rsidRPr="000A3EA6">
              <w:rPr>
                <w:rFonts w:ascii="Verdana" w:hAnsi="Verdana"/>
                <w:sz w:val="24"/>
                <w:szCs w:val="24"/>
              </w:rPr>
              <w:t>drugs</w:t>
            </w:r>
          </w:p>
          <w:p w14:paraId="20A4E21F" w14:textId="709FEFB5" w:rsidR="00C4311D" w:rsidRPr="000A3EA6" w:rsidRDefault="003F6290" w:rsidP="003F6290">
            <w:pPr>
              <w:pStyle w:val="ListParagraph"/>
              <w:numPr>
                <w:ilvl w:val="0"/>
                <w:numId w:val="148"/>
              </w:numPr>
              <w:spacing w:before="120" w:after="120"/>
              <w:rPr>
                <w:rFonts w:ascii="Verdana" w:hAnsi="Verdana"/>
                <w:sz w:val="24"/>
                <w:szCs w:val="24"/>
              </w:rPr>
            </w:pPr>
            <w:r w:rsidRPr="000A3EA6">
              <w:rPr>
                <w:rFonts w:ascii="Verdana" w:hAnsi="Verdana"/>
                <w:sz w:val="24"/>
                <w:szCs w:val="24"/>
              </w:rPr>
              <w:t>Formulary Disruption/Education letters will be sent out before</w:t>
            </w:r>
            <w:r w:rsidR="005A1A96">
              <w:rPr>
                <w:rFonts w:ascii="Verdana" w:hAnsi="Verdana"/>
                <w:sz w:val="24"/>
                <w:szCs w:val="24"/>
              </w:rPr>
              <w:t xml:space="preserve"> benefit start date</w:t>
            </w:r>
            <w:r w:rsidRPr="000A3EA6">
              <w:rPr>
                <w:rFonts w:ascii="Verdana" w:hAnsi="Verdana"/>
                <w:sz w:val="24"/>
                <w:szCs w:val="24"/>
              </w:rPr>
              <w:t xml:space="preserve"> to inform members that impacted drugs will not be covered, but a transition fill may be available.</w:t>
            </w:r>
          </w:p>
          <w:p w14:paraId="77493560" w14:textId="5CE0008F" w:rsidR="00C4311D" w:rsidRPr="000A3EA6" w:rsidRDefault="003F6290" w:rsidP="00747E69">
            <w:pPr>
              <w:pStyle w:val="ListParagraph"/>
              <w:numPr>
                <w:ilvl w:val="0"/>
                <w:numId w:val="148"/>
              </w:numPr>
              <w:spacing w:before="120" w:after="120"/>
              <w:rPr>
                <w:rFonts w:ascii="Verdana" w:hAnsi="Verdana"/>
                <w:sz w:val="24"/>
                <w:szCs w:val="24"/>
              </w:rPr>
            </w:pPr>
            <w:r w:rsidRPr="000A3EA6">
              <w:rPr>
                <w:rFonts w:ascii="Verdana" w:hAnsi="Verdana"/>
                <w:sz w:val="24"/>
                <w:szCs w:val="24"/>
              </w:rPr>
              <w:t>For TF-eligible drugs, members will receive a TF automatically upon filling medication at the pharmacy</w:t>
            </w:r>
            <w:r w:rsidR="00BA147C" w:rsidRPr="000A3EA6">
              <w:rPr>
                <w:rFonts w:ascii="Verdana" w:hAnsi="Verdana"/>
                <w:sz w:val="24"/>
                <w:szCs w:val="24"/>
              </w:rPr>
              <w:t xml:space="preserve"> within the first 90 days of coverage</w:t>
            </w:r>
            <w:r w:rsidR="00C4311D" w:rsidRPr="000A3EA6">
              <w:rPr>
                <w:rFonts w:ascii="Verdana" w:hAnsi="Verdana"/>
                <w:sz w:val="24"/>
                <w:szCs w:val="24"/>
              </w:rPr>
              <w:t>.</w:t>
            </w:r>
          </w:p>
          <w:p w14:paraId="644510DE" w14:textId="4E3235DD" w:rsidR="003F6290" w:rsidRDefault="003F6290" w:rsidP="003F6290">
            <w:pPr>
              <w:pStyle w:val="ListParagraph"/>
              <w:numPr>
                <w:ilvl w:val="0"/>
                <w:numId w:val="148"/>
              </w:numPr>
              <w:spacing w:before="120" w:after="120"/>
              <w:rPr>
                <w:rFonts w:ascii="Verdana" w:hAnsi="Verdana"/>
                <w:sz w:val="24"/>
                <w:szCs w:val="24"/>
              </w:rPr>
            </w:pPr>
            <w:r w:rsidRPr="000A3EA6">
              <w:rPr>
                <w:rFonts w:ascii="Verdana" w:hAnsi="Verdana"/>
                <w:sz w:val="24"/>
                <w:szCs w:val="24"/>
              </w:rPr>
              <w:t>Once a TF is initiated, POS messaging is available, and CVS will send an initial TF letter to both the member and provider and suppress subsequent lettering.</w:t>
            </w:r>
          </w:p>
          <w:p w14:paraId="0F5646E5" w14:textId="77777777" w:rsidR="00E255B6" w:rsidRDefault="00E255B6" w:rsidP="00E255B6">
            <w:pPr>
              <w:spacing w:before="120" w:after="120"/>
              <w:rPr>
                <w:rFonts w:ascii="Verdana" w:hAnsi="Verdana"/>
              </w:rPr>
            </w:pPr>
          </w:p>
          <w:p w14:paraId="05C4AD73" w14:textId="27378BFE" w:rsidR="003F6290" w:rsidRPr="00F25025" w:rsidRDefault="008829F4" w:rsidP="00952597">
            <w:pPr>
              <w:spacing w:before="120" w:after="120"/>
              <w:rPr>
                <w:rFonts w:ascii="Verdana" w:hAnsi="Verdana"/>
              </w:rPr>
            </w:pPr>
            <w:r>
              <w:rPr>
                <w:rFonts w:ascii="Verdana" w:hAnsi="Verdana"/>
                <w:b/>
                <w:bCs/>
              </w:rPr>
              <w:t xml:space="preserve">Note: </w:t>
            </w:r>
            <w:r w:rsidR="00E255B6">
              <w:rPr>
                <w:rFonts w:ascii="Verdana" w:hAnsi="Verdana"/>
              </w:rPr>
              <w:t xml:space="preserve">Transition Fill is for Medicare beneficiary’s ONLY. </w:t>
            </w:r>
            <w:r w:rsidR="00552044">
              <w:rPr>
                <w:rFonts w:ascii="Verdana" w:hAnsi="Verdana"/>
              </w:rPr>
              <w:t xml:space="preserve">See </w:t>
            </w:r>
            <w:hyperlink r:id="rId13" w:anchor="!/view?docid=c519df4e-f8c0-4bb2-88e1-a761524b9516" w:history="1">
              <w:r w:rsidR="00ED1BE0" w:rsidRPr="00ED1BE0">
                <w:rPr>
                  <w:rStyle w:val="Hyperlink"/>
                  <w:rFonts w:ascii="Verdana" w:hAnsi="Verdana"/>
                </w:rPr>
                <w:t>Prior Use Exception (PUE) (051692)</w:t>
              </w:r>
            </w:hyperlink>
            <w:r w:rsidR="00552044">
              <w:rPr>
                <w:rFonts w:ascii="Verdana" w:hAnsi="Verdana"/>
              </w:rPr>
              <w:t xml:space="preserve"> for Commercial clients.</w:t>
            </w:r>
          </w:p>
        </w:tc>
      </w:tr>
      <w:tr w:rsidR="00031DB5" w:rsidRPr="00F25025" w14:paraId="62417D94" w14:textId="77777777" w:rsidTr="008829F4">
        <w:tc>
          <w:tcPr>
            <w:tcW w:w="1335" w:type="pct"/>
          </w:tcPr>
          <w:p w14:paraId="45920F5A" w14:textId="77777777" w:rsidR="00157785" w:rsidRPr="002C36C7" w:rsidRDefault="00157785" w:rsidP="00952597">
            <w:pPr>
              <w:spacing w:before="120" w:after="120"/>
              <w:rPr>
                <w:rFonts w:ascii="Verdana" w:hAnsi="Verdana"/>
                <w:bCs/>
              </w:rPr>
            </w:pPr>
            <w:r w:rsidRPr="002C36C7">
              <w:rPr>
                <w:rFonts w:ascii="Verdana" w:hAnsi="Verdana"/>
                <w:bCs/>
                <w:color w:val="000000"/>
              </w:rPr>
              <w:t>Transparency</w:t>
            </w:r>
          </w:p>
        </w:tc>
        <w:tc>
          <w:tcPr>
            <w:tcW w:w="3665" w:type="pct"/>
            <w:gridSpan w:val="2"/>
          </w:tcPr>
          <w:p w14:paraId="01B04486" w14:textId="7F2EE360" w:rsidR="00157785" w:rsidRPr="00F25025" w:rsidRDefault="00157785" w:rsidP="00952597">
            <w:pPr>
              <w:spacing w:before="120" w:after="120"/>
              <w:rPr>
                <w:rFonts w:ascii="Verdana" w:hAnsi="Verdana"/>
              </w:rPr>
            </w:pPr>
            <w:r w:rsidRPr="00F25025">
              <w:rPr>
                <w:rFonts w:ascii="Verdana" w:hAnsi="Verdana"/>
                <w:bCs/>
              </w:rPr>
              <w:t>Reflects the concern that too much revenue may be flowing from the pharmaceutical companies to PBMs, and too little flowing down to plan sponsors. In a transparent model, the actual discounts and dispensing fees negotiated with the pharmacies, and rebates including all formulary, incentive and administrative fees earned on behalf of the sponsor, are “passed through” directly to the plan sponsor and members. This means the exact amount billed to the plan sponsor is the same amount paid to the pharmacy</w:t>
            </w:r>
            <w:r w:rsidR="005A0AB8" w:rsidRPr="00F25025">
              <w:rPr>
                <w:rFonts w:ascii="Verdana" w:hAnsi="Verdana"/>
                <w:bCs/>
              </w:rPr>
              <w:t xml:space="preserve">. </w:t>
            </w:r>
          </w:p>
        </w:tc>
      </w:tr>
      <w:tr w:rsidR="00031DB5" w:rsidRPr="00F25025" w14:paraId="3879DEC1" w14:textId="77777777" w:rsidTr="008829F4">
        <w:tc>
          <w:tcPr>
            <w:tcW w:w="1335" w:type="pct"/>
          </w:tcPr>
          <w:p w14:paraId="060466EA" w14:textId="77777777" w:rsidR="00157785" w:rsidRPr="002C36C7" w:rsidRDefault="00157785" w:rsidP="00952597">
            <w:pPr>
              <w:spacing w:before="120" w:after="120"/>
              <w:rPr>
                <w:rFonts w:ascii="Verdana" w:hAnsi="Verdana"/>
                <w:bCs/>
              </w:rPr>
            </w:pPr>
            <w:r w:rsidRPr="002C36C7">
              <w:rPr>
                <w:rFonts w:ascii="Verdana" w:hAnsi="Verdana"/>
                <w:bCs/>
                <w:color w:val="000000"/>
              </w:rPr>
              <w:t>Trial Period</w:t>
            </w:r>
          </w:p>
        </w:tc>
        <w:tc>
          <w:tcPr>
            <w:tcW w:w="3665" w:type="pct"/>
            <w:gridSpan w:val="2"/>
          </w:tcPr>
          <w:p w14:paraId="2370C673" w14:textId="2BDC4356" w:rsidR="00157785" w:rsidRPr="00F25025" w:rsidRDefault="00157785" w:rsidP="00952597">
            <w:pPr>
              <w:spacing w:before="120" w:after="120"/>
              <w:rPr>
                <w:rFonts w:ascii="Verdana" w:hAnsi="Verdana"/>
              </w:rPr>
            </w:pPr>
            <w:r w:rsidRPr="00F25025">
              <w:rPr>
                <w:rFonts w:ascii="Verdana" w:hAnsi="Verdana"/>
              </w:rPr>
              <w:t xml:space="preserve">Length of time a maintenance drug must be taken before the drug can be dispensed as a maintenance drug. </w:t>
            </w:r>
          </w:p>
        </w:tc>
      </w:tr>
      <w:tr w:rsidR="00031DB5" w:rsidRPr="00F25025" w14:paraId="46BE7A31" w14:textId="77777777" w:rsidTr="008829F4">
        <w:trPr>
          <w:trHeight w:val="1005"/>
        </w:trPr>
        <w:tc>
          <w:tcPr>
            <w:tcW w:w="1335" w:type="pct"/>
          </w:tcPr>
          <w:p w14:paraId="173C4215" w14:textId="3FC344EE" w:rsidR="00A13EC9" w:rsidRPr="00A13EC9" w:rsidRDefault="00157785" w:rsidP="00A13EC9">
            <w:pPr>
              <w:spacing w:before="120" w:after="120"/>
              <w:rPr>
                <w:rFonts w:ascii="Verdana" w:hAnsi="Verdana"/>
                <w:bCs/>
              </w:rPr>
            </w:pPr>
            <w:r w:rsidRPr="002C36C7">
              <w:rPr>
                <w:rFonts w:ascii="Verdana" w:hAnsi="Verdana"/>
                <w:bCs/>
              </w:rPr>
              <w:t xml:space="preserve">Troches </w:t>
            </w:r>
          </w:p>
        </w:tc>
        <w:tc>
          <w:tcPr>
            <w:tcW w:w="3665" w:type="pct"/>
            <w:gridSpan w:val="2"/>
          </w:tcPr>
          <w:p w14:paraId="7DBFEB9A" w14:textId="5CEFC586" w:rsidR="00A13EC9" w:rsidRPr="00A13EC9" w:rsidRDefault="00157785" w:rsidP="00A13EC9">
            <w:pPr>
              <w:spacing w:before="120" w:after="120"/>
              <w:rPr>
                <w:rFonts w:ascii="Verdana" w:hAnsi="Verdana"/>
              </w:rPr>
            </w:pPr>
            <w:r w:rsidRPr="5B5B21DD">
              <w:rPr>
                <w:rFonts w:ascii="Verdana" w:hAnsi="Verdana"/>
              </w:rPr>
              <w:t xml:space="preserve">A </w:t>
            </w:r>
            <w:r w:rsidR="00461476" w:rsidRPr="5B5B21DD">
              <w:rPr>
                <w:rFonts w:ascii="Verdana" w:hAnsi="Verdana"/>
              </w:rPr>
              <w:t>small, medicated</w:t>
            </w:r>
            <w:r w:rsidRPr="5B5B21DD">
              <w:rPr>
                <w:rFonts w:ascii="Verdana" w:hAnsi="Verdana"/>
              </w:rPr>
              <w:t xml:space="preserve"> lozenge designed to dissolve. </w:t>
            </w:r>
            <w:r w:rsidRPr="005A0AB8">
              <w:rPr>
                <w:rFonts w:ascii="Verdana" w:hAnsi="Verdana"/>
                <w:b/>
                <w:bCs/>
              </w:rPr>
              <w:t>Example:</w:t>
            </w:r>
            <w:r w:rsidRPr="5B5B21DD">
              <w:rPr>
                <w:rFonts w:ascii="Verdana" w:hAnsi="Verdana"/>
              </w:rPr>
              <w:t xml:space="preserve"> To soothe the throat as a cough drop. </w:t>
            </w:r>
          </w:p>
        </w:tc>
      </w:tr>
      <w:tr w:rsidR="00031DB5" w14:paraId="23876C31" w14:textId="77777777" w:rsidTr="008829F4">
        <w:trPr>
          <w:trHeight w:val="1005"/>
        </w:trPr>
        <w:tc>
          <w:tcPr>
            <w:tcW w:w="3457" w:type="dxa"/>
          </w:tcPr>
          <w:p w14:paraId="688BD0EB" w14:textId="42170CE4" w:rsidR="19AA5502" w:rsidRPr="000F5FFE" w:rsidRDefault="19AA5502" w:rsidP="005A0AB8">
            <w:pPr>
              <w:spacing w:before="120" w:after="120"/>
              <w:rPr>
                <w:rFonts w:ascii="Verdana" w:hAnsi="Verdana"/>
              </w:rPr>
            </w:pPr>
            <w:r w:rsidRPr="000F5FFE">
              <w:rPr>
                <w:rFonts w:ascii="Verdana" w:hAnsi="Verdana"/>
              </w:rPr>
              <w:t>True Accumulations</w:t>
            </w:r>
          </w:p>
        </w:tc>
        <w:tc>
          <w:tcPr>
            <w:tcW w:w="9493" w:type="dxa"/>
            <w:gridSpan w:val="2"/>
          </w:tcPr>
          <w:p w14:paraId="5ABD8193" w14:textId="5125D279" w:rsidR="006656DE" w:rsidRPr="00643D00" w:rsidRDefault="006656DE" w:rsidP="005A0AB8">
            <w:pPr>
              <w:spacing w:before="120" w:after="120"/>
              <w:rPr>
                <w:rFonts w:ascii="Verdana" w:hAnsi="Verdana"/>
              </w:rPr>
            </w:pPr>
            <w:r w:rsidRPr="000F5FFE">
              <w:rPr>
                <w:rFonts w:ascii="Verdana" w:hAnsi="Verdana"/>
                <w:color w:val="000000"/>
              </w:rPr>
              <w:t>Plan design strategy ensures only true member cost share (non-third-party dollars) are applied towards the accumulator (deductible/out-of-pocket) unless otherwise required by law.</w:t>
            </w:r>
            <w:r w:rsidRPr="00643D00">
              <w:rPr>
                <w:rFonts w:ascii="Verdana" w:hAnsi="Verdana"/>
              </w:rPr>
              <w:t xml:space="preserve"> </w:t>
            </w:r>
          </w:p>
          <w:p w14:paraId="47F0228C" w14:textId="77777777" w:rsidR="00514237" w:rsidRPr="000F5FFE" w:rsidRDefault="006656DE" w:rsidP="005A0AB8">
            <w:pPr>
              <w:spacing w:before="120" w:after="120"/>
              <w:rPr>
                <w:rFonts w:ascii="Verdana" w:hAnsi="Verdana"/>
              </w:rPr>
            </w:pPr>
            <w:r w:rsidRPr="000F5FFE">
              <w:rPr>
                <w:rFonts w:ascii="Verdana" w:hAnsi="Verdana"/>
              </w:rPr>
              <w:t>Refer to</w:t>
            </w:r>
            <w:r w:rsidR="00514237" w:rsidRPr="000F5FFE">
              <w:rPr>
                <w:rFonts w:ascii="Verdana" w:hAnsi="Verdana"/>
              </w:rPr>
              <w:t>:</w:t>
            </w:r>
          </w:p>
          <w:p w14:paraId="78781C45" w14:textId="15642B20" w:rsidR="00E77EE2" w:rsidRPr="00643D00" w:rsidRDefault="00514237" w:rsidP="00643D00">
            <w:pPr>
              <w:pStyle w:val="ListParagraph"/>
              <w:numPr>
                <w:ilvl w:val="0"/>
                <w:numId w:val="147"/>
              </w:numPr>
              <w:spacing w:before="120" w:after="120"/>
              <w:rPr>
                <w:rFonts w:ascii="Verdana" w:hAnsi="Verdana" w:cs="Helvetica"/>
                <w:color w:val="000000"/>
                <w:sz w:val="24"/>
                <w:szCs w:val="24"/>
                <w:shd w:val="clear" w:color="auto" w:fill="FFFFFF"/>
              </w:rPr>
            </w:pPr>
            <w:r w:rsidRPr="00643D00">
              <w:rPr>
                <w:rFonts w:ascii="Verdana" w:hAnsi="Verdana"/>
                <w:b/>
                <w:bCs/>
                <w:sz w:val="24"/>
                <w:szCs w:val="24"/>
              </w:rPr>
              <w:t xml:space="preserve">PeopleSafe users: </w:t>
            </w:r>
            <w:hyperlink r:id="rId14" w:anchor="!/view?docid=40a923d2-74fb-47db-8ae6-d150fcb77e1f" w:history="1">
              <w:r w:rsidR="006656DE" w:rsidRPr="00643D00">
                <w:rPr>
                  <w:rStyle w:val="Hyperlink"/>
                  <w:rFonts w:ascii="Verdana" w:hAnsi="Verdana" w:cs="Helvetica"/>
                  <w:sz w:val="24"/>
                  <w:szCs w:val="24"/>
                  <w:shd w:val="clear" w:color="auto" w:fill="FFFFFF"/>
                </w:rPr>
                <w:t xml:space="preserve">PeopleSafe - CVS Specialty </w:t>
              </w:r>
              <w:proofErr w:type="spellStart"/>
              <w:r w:rsidR="006656DE" w:rsidRPr="00643D00">
                <w:rPr>
                  <w:rStyle w:val="Hyperlink"/>
                  <w:rFonts w:ascii="Verdana" w:hAnsi="Verdana" w:cs="Helvetica"/>
                  <w:sz w:val="24"/>
                  <w:szCs w:val="24"/>
                  <w:shd w:val="clear" w:color="auto" w:fill="FFFFFF"/>
                </w:rPr>
                <w:t>CoPay</w:t>
              </w:r>
              <w:proofErr w:type="spellEnd"/>
              <w:r w:rsidR="006656DE" w:rsidRPr="00643D00">
                <w:rPr>
                  <w:rStyle w:val="Hyperlink"/>
                  <w:rFonts w:ascii="Verdana" w:hAnsi="Verdana" w:cs="Helvetica"/>
                  <w:sz w:val="24"/>
                  <w:szCs w:val="24"/>
                  <w:shd w:val="clear" w:color="auto" w:fill="FFFFFF"/>
                </w:rPr>
                <w:t xml:space="preserve"> Plan Design Strategies (113263)</w:t>
              </w:r>
            </w:hyperlink>
          </w:p>
          <w:p w14:paraId="4F66FF24" w14:textId="5C803C37" w:rsidR="5B5B21DD" w:rsidRPr="00643D00" w:rsidRDefault="00E77EE2" w:rsidP="00643D00">
            <w:pPr>
              <w:pStyle w:val="ListParagraph"/>
              <w:numPr>
                <w:ilvl w:val="0"/>
                <w:numId w:val="147"/>
              </w:numPr>
              <w:spacing w:before="120" w:after="120"/>
              <w:rPr>
                <w:rFonts w:ascii="Verdana" w:hAnsi="Verdana"/>
              </w:rPr>
            </w:pPr>
            <w:r w:rsidRPr="00643D00">
              <w:rPr>
                <w:rFonts w:ascii="Verdana" w:hAnsi="Verdana" w:cs="Helvetica"/>
                <w:b/>
                <w:bCs/>
                <w:color w:val="000000"/>
                <w:sz w:val="24"/>
                <w:szCs w:val="24"/>
                <w:shd w:val="clear" w:color="auto" w:fill="FFFFFF"/>
              </w:rPr>
              <w:t xml:space="preserve">Compass users: </w:t>
            </w:r>
            <w:hyperlink r:id="rId15" w:anchor="!/view?docid=61656868-2241-42ad-ac78-516f378f2a43" w:history="1">
              <w:r w:rsidRPr="00643D00">
                <w:rPr>
                  <w:rStyle w:val="Hyperlink"/>
                  <w:rFonts w:ascii="Verdana" w:hAnsi="Verdana"/>
                  <w:sz w:val="24"/>
                  <w:szCs w:val="24"/>
                </w:rPr>
                <w:t>Compass - CVS Specialty Copay Plan Design Strategies (058047)</w:t>
              </w:r>
            </w:hyperlink>
          </w:p>
        </w:tc>
      </w:tr>
    </w:tbl>
    <w:p w14:paraId="14627E66" w14:textId="77777777" w:rsidR="00CB65FF" w:rsidRPr="004E00B6" w:rsidRDefault="00CB65FF" w:rsidP="005A0AB8">
      <w:pPr>
        <w:spacing w:before="120" w:after="120"/>
        <w:rPr>
          <w:rFonts w:ascii="Verdana" w:hAnsi="Verdana"/>
          <w:sz w:val="20"/>
          <w:szCs w:val="20"/>
        </w:rPr>
      </w:pPr>
    </w:p>
    <w:p w14:paraId="5A159712" w14:textId="2A99E725" w:rsidR="00FD3703" w:rsidRPr="00820A91" w:rsidRDefault="00FD3703" w:rsidP="00952597">
      <w:pPr>
        <w:spacing w:before="120" w:after="120"/>
        <w:jc w:val="right"/>
        <w:rPr>
          <w:sz w:val="27"/>
          <w:szCs w:val="27"/>
        </w:rPr>
      </w:pPr>
      <w:hyperlink w:anchor="_top" w:history="1">
        <w:r w:rsidRPr="00820A91">
          <w:rPr>
            <w:rStyle w:val="Hyperlink"/>
            <w:rFonts w:ascii="Verdana" w:hAnsi="Verdana"/>
          </w:rPr>
          <w:t>Top of the Document</w:t>
        </w:r>
      </w:hyperlink>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2944"/>
      </w:tblGrid>
      <w:tr w:rsidR="00FD3703" w:rsidRPr="00FD3703" w14:paraId="161F8193" w14:textId="77777777" w:rsidTr="005A0AB8">
        <w:tc>
          <w:tcPr>
            <w:tcW w:w="5000" w:type="pct"/>
            <w:shd w:val="clear" w:color="auto" w:fill="C0C0C0"/>
            <w:tcMar>
              <w:top w:w="0" w:type="dxa"/>
              <w:left w:w="101" w:type="dxa"/>
              <w:bottom w:w="0" w:type="dxa"/>
              <w:right w:w="101" w:type="dxa"/>
            </w:tcMar>
            <w:hideMark/>
          </w:tcPr>
          <w:p w14:paraId="09517C70" w14:textId="77777777" w:rsidR="00FD3703" w:rsidRPr="00FD3703" w:rsidRDefault="00FD3703" w:rsidP="00952597">
            <w:pPr>
              <w:spacing w:before="120" w:after="120"/>
              <w:outlineLvl w:val="1"/>
              <w:rPr>
                <w:b/>
                <w:bCs/>
                <w:sz w:val="36"/>
                <w:szCs w:val="36"/>
              </w:rPr>
            </w:pPr>
            <w:bookmarkStart w:id="22" w:name="_Toc40954528"/>
            <w:bookmarkStart w:id="23" w:name="_Toc65746824"/>
            <w:bookmarkStart w:id="24" w:name="_Toc72244839"/>
            <w:bookmarkEnd w:id="22"/>
            <w:bookmarkEnd w:id="23"/>
            <w:r w:rsidRPr="00FD3703">
              <w:rPr>
                <w:rFonts w:ascii="Verdana" w:hAnsi="Verdana"/>
                <w:b/>
                <w:bCs/>
                <w:sz w:val="28"/>
                <w:szCs w:val="28"/>
              </w:rPr>
              <w:t>Related Documents</w:t>
            </w:r>
            <w:bookmarkEnd w:id="24"/>
          </w:p>
        </w:tc>
      </w:tr>
    </w:tbl>
    <w:p w14:paraId="51BA904F" w14:textId="33085801" w:rsidR="00FD3703" w:rsidRDefault="00FD3703" w:rsidP="005A0AB8">
      <w:pPr>
        <w:spacing w:before="120" w:after="120"/>
        <w:contextualSpacing/>
        <w:rPr>
          <w:rFonts w:ascii="Verdana" w:hAnsi="Verdana"/>
          <w:b/>
          <w:bCs/>
          <w:color w:val="000000"/>
        </w:rPr>
      </w:pPr>
    </w:p>
    <w:p w14:paraId="15C4F5FB" w14:textId="3EE5797A" w:rsidR="00E55B3A" w:rsidRPr="00A44F81" w:rsidRDefault="003932D5" w:rsidP="005A0AB8">
      <w:pPr>
        <w:spacing w:before="120" w:after="120"/>
        <w:rPr>
          <w:rFonts w:ascii="Verdana" w:hAnsi="Verdana"/>
        </w:rPr>
      </w:pPr>
      <w:hyperlink r:id="rId16" w:anchor="!/view?docid=c1f1028b-e42c-4b4f-a4cf-cc0b42c91606" w:history="1">
        <w:r>
          <w:rPr>
            <w:rStyle w:val="Hyperlink"/>
            <w:rFonts w:ascii="Verdana" w:hAnsi="Verdana" w:cs="Helvetica"/>
            <w:shd w:val="clear" w:color="auto" w:fill="FFFFFF"/>
          </w:rPr>
          <w:t>Customer Care Abbreviations, Definitions, and Terms Index (017428)</w:t>
        </w:r>
      </w:hyperlink>
    </w:p>
    <w:bookmarkStart w:id="25" w:name="OLE_LINK6"/>
    <w:p w14:paraId="1B528B74" w14:textId="72CCD97D" w:rsidR="00675566" w:rsidRPr="003D15F3" w:rsidRDefault="00820A91" w:rsidP="005A0AB8">
      <w:pPr>
        <w:spacing w:before="120" w:after="120"/>
        <w:jc w:val="right"/>
        <w:rPr>
          <w:rFonts w:ascii="Verdana" w:hAnsi="Verdana"/>
          <w:color w:val="FF0000"/>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675566" w:rsidRPr="00820A91">
        <w:rPr>
          <w:rStyle w:val="Hyperlink"/>
          <w:rFonts w:ascii="Verdana" w:hAnsi="Verdana"/>
        </w:rPr>
        <w:t>Top of the Document</w:t>
      </w:r>
      <w:r>
        <w:rPr>
          <w:rFonts w:ascii="Verdana" w:hAnsi="Verdana"/>
        </w:rPr>
        <w:fldChar w:fldCharType="end"/>
      </w:r>
    </w:p>
    <w:bookmarkEnd w:id="25"/>
    <w:p w14:paraId="48BC9ECE" w14:textId="77777777" w:rsidR="00ED4CFD" w:rsidRPr="004E00B6" w:rsidRDefault="00ED4CFD" w:rsidP="005A0AB8">
      <w:pPr>
        <w:spacing w:before="120" w:after="120"/>
        <w:jc w:val="center"/>
        <w:rPr>
          <w:rFonts w:ascii="Verdana" w:hAnsi="Verdana"/>
          <w:sz w:val="16"/>
          <w:szCs w:val="16"/>
        </w:rPr>
      </w:pPr>
    </w:p>
    <w:p w14:paraId="0725317C" w14:textId="5459CC07" w:rsidR="00ED4CFD" w:rsidRPr="004E00B6" w:rsidRDefault="00ED4CFD" w:rsidP="005A0AB8">
      <w:pPr>
        <w:spacing w:before="120" w:after="120"/>
        <w:jc w:val="center"/>
        <w:rPr>
          <w:rFonts w:ascii="Verdana" w:hAnsi="Verdana"/>
          <w:sz w:val="16"/>
          <w:szCs w:val="16"/>
        </w:rPr>
      </w:pPr>
      <w:r w:rsidRPr="004E00B6">
        <w:rPr>
          <w:rFonts w:ascii="Verdana" w:hAnsi="Verdana"/>
          <w:sz w:val="16"/>
          <w:szCs w:val="16"/>
        </w:rPr>
        <w:t xml:space="preserve">Not </w:t>
      </w:r>
      <w:r w:rsidR="00CE0701">
        <w:rPr>
          <w:rFonts w:ascii="Verdana" w:hAnsi="Verdana"/>
          <w:sz w:val="16"/>
          <w:szCs w:val="16"/>
        </w:rPr>
        <w:t>t</w:t>
      </w:r>
      <w:r w:rsidRPr="004E00B6">
        <w:rPr>
          <w:rFonts w:ascii="Verdana" w:hAnsi="Verdana"/>
          <w:sz w:val="16"/>
          <w:szCs w:val="16"/>
        </w:rPr>
        <w:t xml:space="preserve">o Be Reproduced </w:t>
      </w:r>
      <w:r w:rsidR="00CE0701">
        <w:rPr>
          <w:rFonts w:ascii="Verdana" w:hAnsi="Verdana"/>
          <w:sz w:val="16"/>
          <w:szCs w:val="16"/>
        </w:rPr>
        <w:t>o</w:t>
      </w:r>
      <w:r w:rsidRPr="004E00B6">
        <w:rPr>
          <w:rFonts w:ascii="Verdana" w:hAnsi="Verdana"/>
          <w:sz w:val="16"/>
          <w:szCs w:val="16"/>
        </w:rPr>
        <w:t>r Disclosed to Others Without Prior Written Approval</w:t>
      </w:r>
    </w:p>
    <w:p w14:paraId="38E8240F" w14:textId="77777777" w:rsidR="00ED4CFD" w:rsidRPr="00C247CB" w:rsidRDefault="00ED4CFD" w:rsidP="005A0AB8">
      <w:pPr>
        <w:spacing w:before="120" w:after="120"/>
        <w:jc w:val="center"/>
        <w:rPr>
          <w:rFonts w:ascii="Verdana" w:hAnsi="Verdana"/>
          <w:b/>
          <w:color w:val="000000"/>
          <w:sz w:val="16"/>
          <w:szCs w:val="16"/>
        </w:rPr>
      </w:pPr>
      <w:r w:rsidRPr="004E00B6">
        <w:rPr>
          <w:rFonts w:ascii="Verdana" w:hAnsi="Verdana"/>
          <w:b/>
          <w:color w:val="000000"/>
          <w:sz w:val="16"/>
          <w:szCs w:val="16"/>
        </w:rPr>
        <w:t>ELECTRONIC DATA = OFFICIAL VERSION – PAPER COPY – INFORMATIONAL ONLY</w:t>
      </w:r>
    </w:p>
    <w:p w14:paraId="3CBC2E43" w14:textId="2321B678" w:rsidR="00ED4CFD" w:rsidRPr="00A47CB1" w:rsidRDefault="00ED4CFD" w:rsidP="005A0AB8">
      <w:pPr>
        <w:spacing w:before="120" w:after="120"/>
        <w:jc w:val="right"/>
        <w:rPr>
          <w:rFonts w:ascii="Verdana" w:hAnsi="Verdana"/>
          <w:sz w:val="20"/>
          <w:szCs w:val="20"/>
        </w:rPr>
      </w:pPr>
    </w:p>
    <w:sectPr w:rsidR="00ED4CFD" w:rsidRPr="00A47CB1"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3F7BC" w14:textId="77777777" w:rsidR="00E21F45" w:rsidRDefault="00E21F45">
      <w:r>
        <w:separator/>
      </w:r>
    </w:p>
  </w:endnote>
  <w:endnote w:type="continuationSeparator" w:id="0">
    <w:p w14:paraId="572E38F9" w14:textId="77777777" w:rsidR="00E21F45" w:rsidRDefault="00E21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Noto Sans">
    <w:panose1 w:val="020B0502040504020204"/>
    <w:charset w:val="00"/>
    <w:family w:val="swiss"/>
    <w:pitch w:val="variable"/>
    <w:sig w:usb0="E00082FF" w:usb1="400078FF" w:usb2="00000021" w:usb3="00000000" w:csb0="0000019F" w:csb1="00000000"/>
  </w:font>
  <w:font w:name="MS Sans Serif">
    <w:altName w:val="Times New Roman"/>
    <w:panose1 w:val="00000000000000000000"/>
    <w:charset w:val="00"/>
    <w:family w:val="auto"/>
    <w:notTrueType/>
    <w:pitch w:val="default"/>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46E45" w14:textId="77777777" w:rsidR="00E21F45" w:rsidRDefault="00E21F45">
      <w:r>
        <w:separator/>
      </w:r>
    </w:p>
  </w:footnote>
  <w:footnote w:type="continuationSeparator" w:id="0">
    <w:p w14:paraId="4E6FD502" w14:textId="77777777" w:rsidR="00E21F45" w:rsidRDefault="00E21F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0983"/>
    <w:multiLevelType w:val="hybridMultilevel"/>
    <w:tmpl w:val="2F60BAB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 w15:restartNumberingAfterBreak="0">
    <w:nsid w:val="02885012"/>
    <w:multiLevelType w:val="hybridMultilevel"/>
    <w:tmpl w:val="ECD8E1E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31F97"/>
    <w:multiLevelType w:val="hybridMultilevel"/>
    <w:tmpl w:val="33664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1D1F78"/>
    <w:multiLevelType w:val="hybridMultilevel"/>
    <w:tmpl w:val="0A888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527D2"/>
    <w:multiLevelType w:val="hybridMultilevel"/>
    <w:tmpl w:val="D2CA2DC2"/>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6483C"/>
    <w:multiLevelType w:val="hybridMultilevel"/>
    <w:tmpl w:val="D6366D1E"/>
    <w:lvl w:ilvl="0" w:tplc="DD522A44">
      <w:start w:val="1"/>
      <w:numFmt w:val="decimal"/>
      <w:lvlText w:val="%1."/>
      <w:lvlJc w:val="left"/>
      <w:pPr>
        <w:ind w:left="360" w:hanging="360"/>
      </w:pPr>
      <w:rPr>
        <w:rFonts w:hint="default"/>
        <w:b w:val="0"/>
        <w:i w:val="0"/>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6BB6983"/>
    <w:multiLevelType w:val="hybridMultilevel"/>
    <w:tmpl w:val="0ED0C26A"/>
    <w:lvl w:ilvl="0" w:tplc="AD1822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091454"/>
    <w:multiLevelType w:val="hybridMultilevel"/>
    <w:tmpl w:val="2E8CF5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6B1682"/>
    <w:multiLevelType w:val="hybridMultilevel"/>
    <w:tmpl w:val="A5C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DD3CC7"/>
    <w:multiLevelType w:val="hybridMultilevel"/>
    <w:tmpl w:val="BAC0D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9CA4038"/>
    <w:multiLevelType w:val="multilevel"/>
    <w:tmpl w:val="C066B8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0A8659E8"/>
    <w:multiLevelType w:val="hybridMultilevel"/>
    <w:tmpl w:val="028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240922"/>
    <w:multiLevelType w:val="multilevel"/>
    <w:tmpl w:val="23F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14" w15:restartNumberingAfterBreak="0">
    <w:nsid w:val="0D743D8C"/>
    <w:multiLevelType w:val="hybridMultilevel"/>
    <w:tmpl w:val="D03C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34124D"/>
    <w:multiLevelType w:val="hybridMultilevel"/>
    <w:tmpl w:val="92EE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E6910E5"/>
    <w:multiLevelType w:val="hybridMultilevel"/>
    <w:tmpl w:val="AEC8AE90"/>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E7728BF"/>
    <w:multiLevelType w:val="hybridMultilevel"/>
    <w:tmpl w:val="A7ACEA94"/>
    <w:lvl w:ilvl="0" w:tplc="3480766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E921E3F"/>
    <w:multiLevelType w:val="hybridMultilevel"/>
    <w:tmpl w:val="062C1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0EF867E2"/>
    <w:multiLevelType w:val="hybridMultilevel"/>
    <w:tmpl w:val="40F097BE"/>
    <w:lvl w:ilvl="0" w:tplc="FB50EC2A">
      <w:start w:val="1"/>
      <w:numFmt w:val="bullet"/>
      <w:lvlText w:val=""/>
      <w:lvlJc w:val="left"/>
      <w:pPr>
        <w:tabs>
          <w:tab w:val="num" w:pos="1296"/>
        </w:tabs>
        <w:ind w:left="1296" w:hanging="288"/>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063630E"/>
    <w:multiLevelType w:val="hybridMultilevel"/>
    <w:tmpl w:val="D53279B8"/>
    <w:lvl w:ilvl="0" w:tplc="C868EF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C629A0"/>
    <w:multiLevelType w:val="multilevel"/>
    <w:tmpl w:val="33AC94EE"/>
    <w:lvl w:ilvl="0">
      <w:start w:val="1"/>
      <w:numFmt w:val="bullet"/>
      <w:lvlText w:val=""/>
      <w:lvlJc w:val="left"/>
      <w:pPr>
        <w:tabs>
          <w:tab w:val="num" w:pos="720"/>
        </w:tabs>
        <w:ind w:left="720" w:hanging="360"/>
      </w:pPr>
      <w:rPr>
        <w:rFonts w:ascii="Symbol" w:hAnsi="Symbol" w:hint="default"/>
        <w:b/>
        <w:bCs/>
        <w:sz w:val="24"/>
        <w:szCs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8003A5"/>
    <w:multiLevelType w:val="hybridMultilevel"/>
    <w:tmpl w:val="22BA7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1D2681D"/>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0F72B2"/>
    <w:multiLevelType w:val="multilevel"/>
    <w:tmpl w:val="CA6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9B7BB4"/>
    <w:multiLevelType w:val="hybridMultilevel"/>
    <w:tmpl w:val="EFB47630"/>
    <w:lvl w:ilvl="0" w:tplc="96D4C75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4A665FB"/>
    <w:multiLevelType w:val="hybridMultilevel"/>
    <w:tmpl w:val="AAE0B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4AC44F8"/>
    <w:multiLevelType w:val="hybridMultilevel"/>
    <w:tmpl w:val="5C56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5702678"/>
    <w:multiLevelType w:val="hybridMultilevel"/>
    <w:tmpl w:val="F218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60583E"/>
    <w:multiLevelType w:val="hybridMultilevel"/>
    <w:tmpl w:val="1708DB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8D02B3B"/>
    <w:multiLevelType w:val="multilevel"/>
    <w:tmpl w:val="52B2E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19742129"/>
    <w:multiLevelType w:val="hybridMultilevel"/>
    <w:tmpl w:val="C850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AC77AA6"/>
    <w:multiLevelType w:val="hybridMultilevel"/>
    <w:tmpl w:val="F8D0DED4"/>
    <w:lvl w:ilvl="0" w:tplc="AD1822DC">
      <w:start w:val="1"/>
      <w:numFmt w:val="bullet"/>
      <w:lvlText w:val=""/>
      <w:lvlJc w:val="left"/>
      <w:pPr>
        <w:tabs>
          <w:tab w:val="num" w:pos="1080"/>
        </w:tabs>
        <w:ind w:left="1080" w:hanging="432"/>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1BC57F36"/>
    <w:multiLevelType w:val="hybridMultilevel"/>
    <w:tmpl w:val="3D204A2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20081906"/>
    <w:multiLevelType w:val="multilevel"/>
    <w:tmpl w:val="829889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0312638"/>
    <w:multiLevelType w:val="hybridMultilevel"/>
    <w:tmpl w:val="E09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811C4F"/>
    <w:multiLevelType w:val="multilevel"/>
    <w:tmpl w:val="79563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0A6391C"/>
    <w:multiLevelType w:val="hybridMultilevel"/>
    <w:tmpl w:val="6414D0B8"/>
    <w:lvl w:ilvl="0" w:tplc="AD1822DC">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4C314AB"/>
    <w:multiLevelType w:val="hybridMultilevel"/>
    <w:tmpl w:val="412A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D66150"/>
    <w:multiLevelType w:val="hybridMultilevel"/>
    <w:tmpl w:val="EA6A8E48"/>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7383C65"/>
    <w:multiLevelType w:val="hybridMultilevel"/>
    <w:tmpl w:val="5A689B1C"/>
    <w:lvl w:ilvl="0" w:tplc="348076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692673"/>
    <w:multiLevelType w:val="hybridMultilevel"/>
    <w:tmpl w:val="9D38F2CE"/>
    <w:lvl w:ilvl="0" w:tplc="6422C32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7D26B19"/>
    <w:multiLevelType w:val="hybridMultilevel"/>
    <w:tmpl w:val="E2A0C756"/>
    <w:lvl w:ilvl="0" w:tplc="69E2A0F6">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15:restartNumberingAfterBreak="0">
    <w:nsid w:val="28253C8E"/>
    <w:multiLevelType w:val="hybridMultilevel"/>
    <w:tmpl w:val="BA724B80"/>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94874B3"/>
    <w:multiLevelType w:val="hybridMultilevel"/>
    <w:tmpl w:val="B24213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9EC0316"/>
    <w:multiLevelType w:val="hybridMultilevel"/>
    <w:tmpl w:val="11C63CBA"/>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A791365"/>
    <w:multiLevelType w:val="hybridMultilevel"/>
    <w:tmpl w:val="B3BCB2FE"/>
    <w:lvl w:ilvl="0" w:tplc="3C6697D8">
      <w:start w:val="1"/>
      <w:numFmt w:val="bullet"/>
      <w:lvlText w:val=""/>
      <w:lvlJc w:val="left"/>
      <w:pPr>
        <w:ind w:left="360" w:hanging="360"/>
      </w:pPr>
      <w:rPr>
        <w:rFonts w:ascii="Symbol" w:hAnsi="Symbol" w:hint="default"/>
        <w:b w:val="0"/>
        <w:i w:val="0"/>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A873DE5"/>
    <w:multiLevelType w:val="hybridMultilevel"/>
    <w:tmpl w:val="7EDAF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C6F57BD"/>
    <w:multiLevelType w:val="hybridMultilevel"/>
    <w:tmpl w:val="7E66AE9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9" w15:restartNumberingAfterBreak="0">
    <w:nsid w:val="2CCB1737"/>
    <w:multiLevelType w:val="hybridMultilevel"/>
    <w:tmpl w:val="819A8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D6660CF"/>
    <w:multiLevelType w:val="hybridMultilevel"/>
    <w:tmpl w:val="42D65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1" w15:restartNumberingAfterBreak="0">
    <w:nsid w:val="2E42547C"/>
    <w:multiLevelType w:val="hybridMultilevel"/>
    <w:tmpl w:val="A7A0578E"/>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E860477"/>
    <w:multiLevelType w:val="hybridMultilevel"/>
    <w:tmpl w:val="ED462534"/>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F7A1575"/>
    <w:multiLevelType w:val="multilevel"/>
    <w:tmpl w:val="D5E8A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304469E8"/>
    <w:multiLevelType w:val="hybridMultilevel"/>
    <w:tmpl w:val="8DB4BDA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13E5143"/>
    <w:multiLevelType w:val="multilevel"/>
    <w:tmpl w:val="B9CC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20C2AEE"/>
    <w:multiLevelType w:val="hybridMultilevel"/>
    <w:tmpl w:val="75524E5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3586128B"/>
    <w:multiLevelType w:val="hybridMultilevel"/>
    <w:tmpl w:val="642A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8107DF9"/>
    <w:multiLevelType w:val="multilevel"/>
    <w:tmpl w:val="017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8BB2A05"/>
    <w:multiLevelType w:val="hybridMultilevel"/>
    <w:tmpl w:val="49EE928C"/>
    <w:lvl w:ilvl="0" w:tplc="DD522A44">
      <w:start w:val="1"/>
      <w:numFmt w:val="decimal"/>
      <w:lvlText w:val="%1."/>
      <w:lvlJc w:val="left"/>
      <w:pPr>
        <w:ind w:left="360" w:hanging="360"/>
      </w:pPr>
      <w:rPr>
        <w:rFonts w:hint="default"/>
        <w:b w:val="0"/>
        <w:i w:val="0"/>
        <w:sz w:val="24"/>
        <w:szCs w:val="24"/>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99C51FA"/>
    <w:multiLevelType w:val="hybridMultilevel"/>
    <w:tmpl w:val="211E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AC67D75"/>
    <w:multiLevelType w:val="hybridMultilevel"/>
    <w:tmpl w:val="8C4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B7701A9"/>
    <w:multiLevelType w:val="hybridMultilevel"/>
    <w:tmpl w:val="C3423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3BF72796"/>
    <w:multiLevelType w:val="hybridMultilevel"/>
    <w:tmpl w:val="B8D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DD30662"/>
    <w:multiLevelType w:val="hybridMultilevel"/>
    <w:tmpl w:val="3FEC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E0B6ADF"/>
    <w:multiLevelType w:val="multilevel"/>
    <w:tmpl w:val="8F8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F126899"/>
    <w:multiLevelType w:val="hybridMultilevel"/>
    <w:tmpl w:val="190C5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FC659AA"/>
    <w:multiLevelType w:val="hybridMultilevel"/>
    <w:tmpl w:val="2BA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1B86BAE"/>
    <w:multiLevelType w:val="hybridMultilevel"/>
    <w:tmpl w:val="94F2B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204566F"/>
    <w:multiLevelType w:val="hybridMultilevel"/>
    <w:tmpl w:val="6E482A06"/>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28E1416"/>
    <w:multiLevelType w:val="multilevel"/>
    <w:tmpl w:val="831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424612A"/>
    <w:multiLevelType w:val="hybridMultilevel"/>
    <w:tmpl w:val="B622DDEC"/>
    <w:lvl w:ilvl="0" w:tplc="56DA4188">
      <w:start w:val="1"/>
      <w:numFmt w:val="bullet"/>
      <w:pStyle w:val="BulletLeve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44CB6C01"/>
    <w:multiLevelType w:val="multilevel"/>
    <w:tmpl w:val="7ED8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5563552"/>
    <w:multiLevelType w:val="hybridMultilevel"/>
    <w:tmpl w:val="9014F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5E11AFB"/>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64A595D"/>
    <w:multiLevelType w:val="hybridMultilevel"/>
    <w:tmpl w:val="2F32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7EB5252"/>
    <w:multiLevelType w:val="multilevel"/>
    <w:tmpl w:val="923C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80C3DEE"/>
    <w:multiLevelType w:val="hybridMultilevel"/>
    <w:tmpl w:val="10E69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9521049"/>
    <w:multiLevelType w:val="hybridMultilevel"/>
    <w:tmpl w:val="DB108F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9A0458D"/>
    <w:multiLevelType w:val="hybridMultilevel"/>
    <w:tmpl w:val="5D5043BA"/>
    <w:lvl w:ilvl="0" w:tplc="8360A1E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D1678EF"/>
    <w:multiLevelType w:val="hybridMultilevel"/>
    <w:tmpl w:val="C0D8D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1" w15:restartNumberingAfterBreak="0">
    <w:nsid w:val="4D4218DD"/>
    <w:multiLevelType w:val="multilevel"/>
    <w:tmpl w:val="0FF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DC953E4"/>
    <w:multiLevelType w:val="hybridMultilevel"/>
    <w:tmpl w:val="6B2E4F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4DE46C55"/>
    <w:multiLevelType w:val="hybridMultilevel"/>
    <w:tmpl w:val="DB6EAF66"/>
    <w:lvl w:ilvl="0" w:tplc="0409000F">
      <w:start w:val="1"/>
      <w:numFmt w:val="decimal"/>
      <w:pStyle w:val="BulletText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DF04165"/>
    <w:multiLevelType w:val="multilevel"/>
    <w:tmpl w:val="AA286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E487448"/>
    <w:multiLevelType w:val="hybridMultilevel"/>
    <w:tmpl w:val="7D8CF4E2"/>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4E8E5605"/>
    <w:multiLevelType w:val="hybridMultilevel"/>
    <w:tmpl w:val="A11658F0"/>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F94280E"/>
    <w:multiLevelType w:val="multilevel"/>
    <w:tmpl w:val="9C54A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FC61FCD"/>
    <w:multiLevelType w:val="hybridMultilevel"/>
    <w:tmpl w:val="34A28C30"/>
    <w:lvl w:ilvl="0" w:tplc="6E24D406">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00A4D4B"/>
    <w:multiLevelType w:val="hybridMultilevel"/>
    <w:tmpl w:val="E7FC7334"/>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50284A4C"/>
    <w:multiLevelType w:val="hybridMultilevel"/>
    <w:tmpl w:val="F42006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508F55A8"/>
    <w:multiLevelType w:val="hybridMultilevel"/>
    <w:tmpl w:val="ABE27D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211184D"/>
    <w:multiLevelType w:val="hybridMultilevel"/>
    <w:tmpl w:val="0B9E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273432D"/>
    <w:multiLevelType w:val="hybridMultilevel"/>
    <w:tmpl w:val="9D94A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55EC0589"/>
    <w:multiLevelType w:val="hybridMultilevel"/>
    <w:tmpl w:val="031826DA"/>
    <w:lvl w:ilvl="0" w:tplc="5798E208">
      <w:start w:val="1"/>
      <w:numFmt w:val="bullet"/>
      <w:lvlText w:val=""/>
      <w:lvlJc w:val="left"/>
      <w:pPr>
        <w:tabs>
          <w:tab w:val="num" w:pos="720"/>
        </w:tabs>
        <w:ind w:left="720" w:hanging="360"/>
      </w:pPr>
      <w:rPr>
        <w:rFonts w:ascii="Symbol" w:hAnsi="Symbol" w:hint="default"/>
        <w:color w:val="auto"/>
        <w:spacing w:val="0"/>
        <w:position w:val="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57674855"/>
    <w:multiLevelType w:val="hybridMultilevel"/>
    <w:tmpl w:val="452AB1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6" w15:restartNumberingAfterBreak="0">
    <w:nsid w:val="584C2F7C"/>
    <w:multiLevelType w:val="hybridMultilevel"/>
    <w:tmpl w:val="C87CF50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A787092"/>
    <w:multiLevelType w:val="hybridMultilevel"/>
    <w:tmpl w:val="5E72C06A"/>
    <w:lvl w:ilvl="0" w:tplc="4418A4DA">
      <w:start w:val="1"/>
      <w:numFmt w:val="bullet"/>
      <w:lvlText w:val=""/>
      <w:lvlJc w:val="left"/>
      <w:pPr>
        <w:tabs>
          <w:tab w:val="num" w:pos="720"/>
        </w:tabs>
        <w:ind w:left="720" w:hanging="360"/>
      </w:pPr>
      <w:rPr>
        <w:rFonts w:ascii="Symbol" w:hAnsi="Symbol" w:hint="default"/>
        <w:color w:val="000000"/>
      </w:rPr>
    </w:lvl>
    <w:lvl w:ilvl="1" w:tplc="32F447A6">
      <w:start w:val="1"/>
      <w:numFmt w:val="bullet"/>
      <w:lvlText w:val=""/>
      <w:lvlJc w:val="left"/>
      <w:pPr>
        <w:tabs>
          <w:tab w:val="num" w:pos="1253"/>
        </w:tabs>
        <w:ind w:left="1253" w:hanging="173"/>
      </w:pPr>
      <w:rPr>
        <w:rFonts w:ascii="Symbol" w:hAnsi="Symbol" w:hint="default"/>
        <w:b w:val="0"/>
        <w:i w:val="0"/>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5CEF7EE8"/>
    <w:multiLevelType w:val="hybridMultilevel"/>
    <w:tmpl w:val="2D7427E8"/>
    <w:lvl w:ilvl="0" w:tplc="7514E8AC">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9" w15:restartNumberingAfterBreak="0">
    <w:nsid w:val="5E10620E"/>
    <w:multiLevelType w:val="hybridMultilevel"/>
    <w:tmpl w:val="FB9A0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5E2F6FA3"/>
    <w:multiLevelType w:val="hybridMultilevel"/>
    <w:tmpl w:val="0BFAB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5ECD2FFC"/>
    <w:multiLevelType w:val="hybridMultilevel"/>
    <w:tmpl w:val="11A6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0AA12B5"/>
    <w:multiLevelType w:val="multilevel"/>
    <w:tmpl w:val="D70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0B53F95"/>
    <w:multiLevelType w:val="hybridMultilevel"/>
    <w:tmpl w:val="F5A6A7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15:restartNumberingAfterBreak="0">
    <w:nsid w:val="62035E06"/>
    <w:multiLevelType w:val="hybridMultilevel"/>
    <w:tmpl w:val="D0F6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289761B"/>
    <w:multiLevelType w:val="multilevel"/>
    <w:tmpl w:val="8EF6F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63075B3A"/>
    <w:multiLevelType w:val="hybridMultilevel"/>
    <w:tmpl w:val="2F3A25A8"/>
    <w:lvl w:ilvl="0" w:tplc="5AAC06DC">
      <w:start w:val="1"/>
      <w:numFmt w:val="bullet"/>
      <w:pStyle w:val="BulletText1"/>
      <w:lvlText w:val=""/>
      <w:lvlJc w:val="left"/>
      <w:pPr>
        <w:tabs>
          <w:tab w:val="num" w:pos="1800"/>
        </w:tabs>
        <w:ind w:left="1800" w:hanging="360"/>
      </w:pPr>
      <w:rPr>
        <w:rFonts w:ascii="Symbol" w:hAnsi="Symbol" w:hint="default"/>
      </w:rPr>
    </w:lvl>
    <w:lvl w:ilvl="1" w:tplc="8056E7F6">
      <w:start w:val="1"/>
      <w:numFmt w:val="bullet"/>
      <w:lvlText w:val="o"/>
      <w:lvlJc w:val="left"/>
      <w:pPr>
        <w:tabs>
          <w:tab w:val="num" w:pos="1627"/>
        </w:tabs>
        <w:ind w:left="1627" w:hanging="360"/>
      </w:pPr>
      <w:rPr>
        <w:rFonts w:ascii="Courier New" w:hAnsi="Courier New" w:hint="default"/>
      </w:rPr>
    </w:lvl>
    <w:lvl w:ilvl="2" w:tplc="61AA21D4">
      <w:start w:val="1"/>
      <w:numFmt w:val="bullet"/>
      <w:lvlText w:val=""/>
      <w:lvlJc w:val="left"/>
      <w:pPr>
        <w:tabs>
          <w:tab w:val="num" w:pos="2347"/>
        </w:tabs>
        <w:ind w:left="2347" w:hanging="360"/>
      </w:pPr>
      <w:rPr>
        <w:rFonts w:ascii="Wingdings" w:hAnsi="Wingdings" w:hint="default"/>
      </w:rPr>
    </w:lvl>
    <w:lvl w:ilvl="3" w:tplc="4B4C24EC" w:tentative="1">
      <w:start w:val="1"/>
      <w:numFmt w:val="bullet"/>
      <w:lvlText w:val=""/>
      <w:lvlJc w:val="left"/>
      <w:pPr>
        <w:tabs>
          <w:tab w:val="num" w:pos="3067"/>
        </w:tabs>
        <w:ind w:left="3067" w:hanging="360"/>
      </w:pPr>
      <w:rPr>
        <w:rFonts w:ascii="Symbol" w:hAnsi="Symbol" w:hint="default"/>
      </w:rPr>
    </w:lvl>
    <w:lvl w:ilvl="4" w:tplc="C2C802B2" w:tentative="1">
      <w:start w:val="1"/>
      <w:numFmt w:val="bullet"/>
      <w:lvlText w:val="o"/>
      <w:lvlJc w:val="left"/>
      <w:pPr>
        <w:tabs>
          <w:tab w:val="num" w:pos="3787"/>
        </w:tabs>
        <w:ind w:left="3787" w:hanging="360"/>
      </w:pPr>
      <w:rPr>
        <w:rFonts w:ascii="Courier New" w:hAnsi="Courier New" w:hint="default"/>
      </w:rPr>
    </w:lvl>
    <w:lvl w:ilvl="5" w:tplc="C3A4F38A" w:tentative="1">
      <w:start w:val="1"/>
      <w:numFmt w:val="bullet"/>
      <w:lvlText w:val=""/>
      <w:lvlJc w:val="left"/>
      <w:pPr>
        <w:tabs>
          <w:tab w:val="num" w:pos="4507"/>
        </w:tabs>
        <w:ind w:left="4507" w:hanging="360"/>
      </w:pPr>
      <w:rPr>
        <w:rFonts w:ascii="Wingdings" w:hAnsi="Wingdings" w:hint="default"/>
      </w:rPr>
    </w:lvl>
    <w:lvl w:ilvl="6" w:tplc="B6F0B382" w:tentative="1">
      <w:start w:val="1"/>
      <w:numFmt w:val="bullet"/>
      <w:lvlText w:val=""/>
      <w:lvlJc w:val="left"/>
      <w:pPr>
        <w:tabs>
          <w:tab w:val="num" w:pos="5227"/>
        </w:tabs>
        <w:ind w:left="5227" w:hanging="360"/>
      </w:pPr>
      <w:rPr>
        <w:rFonts w:ascii="Symbol" w:hAnsi="Symbol" w:hint="default"/>
      </w:rPr>
    </w:lvl>
    <w:lvl w:ilvl="7" w:tplc="19CAAE9E" w:tentative="1">
      <w:start w:val="1"/>
      <w:numFmt w:val="bullet"/>
      <w:lvlText w:val="o"/>
      <w:lvlJc w:val="left"/>
      <w:pPr>
        <w:tabs>
          <w:tab w:val="num" w:pos="5947"/>
        </w:tabs>
        <w:ind w:left="5947" w:hanging="360"/>
      </w:pPr>
      <w:rPr>
        <w:rFonts w:ascii="Courier New" w:hAnsi="Courier New" w:hint="default"/>
      </w:rPr>
    </w:lvl>
    <w:lvl w:ilvl="8" w:tplc="8DFA4BDA" w:tentative="1">
      <w:start w:val="1"/>
      <w:numFmt w:val="bullet"/>
      <w:lvlText w:val=""/>
      <w:lvlJc w:val="left"/>
      <w:pPr>
        <w:tabs>
          <w:tab w:val="num" w:pos="6667"/>
        </w:tabs>
        <w:ind w:left="6667" w:hanging="360"/>
      </w:pPr>
      <w:rPr>
        <w:rFonts w:ascii="Wingdings" w:hAnsi="Wingdings" w:hint="default"/>
      </w:rPr>
    </w:lvl>
  </w:abstractNum>
  <w:abstractNum w:abstractNumId="107" w15:restartNumberingAfterBreak="0">
    <w:nsid w:val="63BC784C"/>
    <w:multiLevelType w:val="hybridMultilevel"/>
    <w:tmpl w:val="C03C60A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64A8418F"/>
    <w:multiLevelType w:val="hybridMultilevel"/>
    <w:tmpl w:val="A91E7F3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4DA3ADF"/>
    <w:multiLevelType w:val="hybridMultilevel"/>
    <w:tmpl w:val="712AE59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64E75102"/>
    <w:multiLevelType w:val="hybridMultilevel"/>
    <w:tmpl w:val="13BA0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655A6F26"/>
    <w:multiLevelType w:val="multilevel"/>
    <w:tmpl w:val="966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59602C2"/>
    <w:multiLevelType w:val="hybridMultilevel"/>
    <w:tmpl w:val="E0E2D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662C69E8"/>
    <w:multiLevelType w:val="hybridMultilevel"/>
    <w:tmpl w:val="A93A8774"/>
    <w:lvl w:ilvl="0" w:tplc="04090001">
      <w:start w:val="1"/>
      <w:numFmt w:val="bullet"/>
      <w:lvlText w:val=""/>
      <w:lvlJc w:val="left"/>
      <w:pPr>
        <w:tabs>
          <w:tab w:val="num" w:pos="720"/>
        </w:tabs>
        <w:ind w:left="720" w:hanging="360"/>
      </w:pPr>
      <w:rPr>
        <w:rFonts w:ascii="Symbol" w:hAnsi="Symbol" w:hint="default"/>
      </w:rPr>
    </w:lvl>
    <w:lvl w:ilvl="1" w:tplc="AD1822DC">
      <w:start w:val="1"/>
      <w:numFmt w:val="bullet"/>
      <w:lvlText w:val=""/>
      <w:lvlJc w:val="left"/>
      <w:pPr>
        <w:tabs>
          <w:tab w:val="num" w:pos="1512"/>
        </w:tabs>
        <w:ind w:left="1512" w:hanging="432"/>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15:restartNumberingAfterBreak="0">
    <w:nsid w:val="66CF68B8"/>
    <w:multiLevelType w:val="hybridMultilevel"/>
    <w:tmpl w:val="538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72F53C2"/>
    <w:multiLevelType w:val="hybridMultilevel"/>
    <w:tmpl w:val="938626E2"/>
    <w:lvl w:ilvl="0" w:tplc="F0AED6C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8537AA6"/>
    <w:multiLevelType w:val="hybridMultilevel"/>
    <w:tmpl w:val="5E6AA688"/>
    <w:lvl w:ilvl="0" w:tplc="F18AD008">
      <w:numFmt w:val="bullet"/>
      <w:lvlText w:val=""/>
      <w:lvlJc w:val="left"/>
      <w:pPr>
        <w:tabs>
          <w:tab w:val="num" w:pos="360"/>
        </w:tabs>
        <w:ind w:left="360" w:hanging="360"/>
      </w:pPr>
      <w:rPr>
        <w:rFonts w:ascii="Symbol" w:eastAsia="Times New Roman" w:hAnsi="Symbol" w:cs="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7" w15:restartNumberingAfterBreak="0">
    <w:nsid w:val="69663E59"/>
    <w:multiLevelType w:val="hybridMultilevel"/>
    <w:tmpl w:val="1C70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9C618A4"/>
    <w:multiLevelType w:val="hybridMultilevel"/>
    <w:tmpl w:val="FE627E6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6A4A5E71"/>
    <w:multiLevelType w:val="multilevel"/>
    <w:tmpl w:val="A9A4A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6CB702ED"/>
    <w:multiLevelType w:val="hybridMultilevel"/>
    <w:tmpl w:val="B9102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6E2B3BA4"/>
    <w:multiLevelType w:val="hybridMultilevel"/>
    <w:tmpl w:val="A5D0A33E"/>
    <w:lvl w:ilvl="0" w:tplc="FB50EC2A">
      <w:start w:val="1"/>
      <w:numFmt w:val="bullet"/>
      <w:lvlText w:val=""/>
      <w:lvlJc w:val="left"/>
      <w:pPr>
        <w:tabs>
          <w:tab w:val="num" w:pos="1008"/>
        </w:tabs>
        <w:ind w:left="1008" w:hanging="288"/>
      </w:pPr>
      <w:rPr>
        <w:rFonts w:ascii="Symbol" w:hAnsi="Symbol" w:hint="default"/>
        <w:sz w:val="24"/>
        <w:szCs w:val="24"/>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22" w15:restartNumberingAfterBreak="0">
    <w:nsid w:val="6E4C18E4"/>
    <w:multiLevelType w:val="hybridMultilevel"/>
    <w:tmpl w:val="1FD47372"/>
    <w:lvl w:ilvl="0" w:tplc="04090001">
      <w:start w:val="1"/>
      <w:numFmt w:val="bullet"/>
      <w:lvlText w:val=""/>
      <w:lvlJc w:val="left"/>
      <w:pPr>
        <w:tabs>
          <w:tab w:val="num" w:pos="432"/>
        </w:tabs>
        <w:ind w:left="432" w:hanging="432"/>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3" w15:restartNumberingAfterBreak="0">
    <w:nsid w:val="6F67182F"/>
    <w:multiLevelType w:val="multilevel"/>
    <w:tmpl w:val="E4981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4" w15:restartNumberingAfterBreak="0">
    <w:nsid w:val="70BD644E"/>
    <w:multiLevelType w:val="multilevel"/>
    <w:tmpl w:val="BDA051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71CF51AA"/>
    <w:multiLevelType w:val="hybridMultilevel"/>
    <w:tmpl w:val="41D2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1E07217"/>
    <w:multiLevelType w:val="multilevel"/>
    <w:tmpl w:val="51267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7" w15:restartNumberingAfterBreak="0">
    <w:nsid w:val="722134C9"/>
    <w:multiLevelType w:val="hybridMultilevel"/>
    <w:tmpl w:val="66EA95C6"/>
    <w:lvl w:ilvl="0" w:tplc="34807664">
      <w:start w:val="1"/>
      <w:numFmt w:val="bullet"/>
      <w:lvlText w:val=""/>
      <w:lvlJc w:val="left"/>
      <w:pPr>
        <w:ind w:left="880" w:hanging="360"/>
      </w:pPr>
      <w:rPr>
        <w:rFonts w:ascii="Symbol" w:hAnsi="Symbol" w:hint="default"/>
        <w:color w:val="auto"/>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28" w15:restartNumberingAfterBreak="0">
    <w:nsid w:val="72544FAF"/>
    <w:multiLevelType w:val="multilevel"/>
    <w:tmpl w:val="47E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35E32F7"/>
    <w:multiLevelType w:val="hybridMultilevel"/>
    <w:tmpl w:val="D568A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74D97317"/>
    <w:multiLevelType w:val="hybridMultilevel"/>
    <w:tmpl w:val="FBAED5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1" w15:restartNumberingAfterBreak="0">
    <w:nsid w:val="7521407A"/>
    <w:multiLevelType w:val="hybridMultilevel"/>
    <w:tmpl w:val="AC20DFF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2" w15:restartNumberingAfterBreak="0">
    <w:nsid w:val="75A1704C"/>
    <w:multiLevelType w:val="hybridMultilevel"/>
    <w:tmpl w:val="4CCA4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7AE2430"/>
    <w:multiLevelType w:val="hybridMultilevel"/>
    <w:tmpl w:val="EFDEA76C"/>
    <w:lvl w:ilvl="0" w:tplc="8B9E9A66">
      <w:numFmt w:val="bullet"/>
      <w:lvlText w:val="•"/>
      <w:lvlJc w:val="left"/>
      <w:pPr>
        <w:ind w:left="1440" w:hanging="720"/>
      </w:pPr>
      <w:rPr>
        <w:rFonts w:ascii="Verdana" w:eastAsia="Calibri"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4" w15:restartNumberingAfterBreak="0">
    <w:nsid w:val="7817569C"/>
    <w:multiLevelType w:val="hybridMultilevel"/>
    <w:tmpl w:val="EDDCD4C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79D3683D"/>
    <w:multiLevelType w:val="hybridMultilevel"/>
    <w:tmpl w:val="76146778"/>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79EA69A0"/>
    <w:multiLevelType w:val="hybridMultilevel"/>
    <w:tmpl w:val="97168D2C"/>
    <w:lvl w:ilvl="0" w:tplc="61B8433A">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A211B6A"/>
    <w:multiLevelType w:val="hybridMultilevel"/>
    <w:tmpl w:val="EE027A1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7AC11362"/>
    <w:multiLevelType w:val="multilevel"/>
    <w:tmpl w:val="A8D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B077DEA"/>
    <w:multiLevelType w:val="hybridMultilevel"/>
    <w:tmpl w:val="9A006EE2"/>
    <w:lvl w:ilvl="0" w:tplc="C536332A">
      <w:numFmt w:val="bullet"/>
      <w:lvlText w:val="•"/>
      <w:lvlJc w:val="left"/>
      <w:pPr>
        <w:ind w:left="720" w:hanging="360"/>
      </w:pPr>
      <w:rPr>
        <w:rFonts w:ascii="Verdana" w:eastAsia="Times New Roman"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B3E579F"/>
    <w:multiLevelType w:val="hybridMultilevel"/>
    <w:tmpl w:val="9300EAE6"/>
    <w:lvl w:ilvl="0" w:tplc="5AACFADE">
      <w:start w:val="1"/>
      <w:numFmt w:val="bullet"/>
      <w:lvlText w:val=""/>
      <w:lvlJc w:val="left"/>
      <w:pPr>
        <w:tabs>
          <w:tab w:val="num" w:pos="1080"/>
        </w:tabs>
        <w:ind w:left="108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15:restartNumberingAfterBreak="0">
    <w:nsid w:val="7BA40A33"/>
    <w:multiLevelType w:val="hybridMultilevel"/>
    <w:tmpl w:val="926EF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C2D1A7C"/>
    <w:multiLevelType w:val="hybridMultilevel"/>
    <w:tmpl w:val="6784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C5A4BBD"/>
    <w:multiLevelType w:val="hybridMultilevel"/>
    <w:tmpl w:val="9430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D9C2AC9"/>
    <w:multiLevelType w:val="hybridMultilevel"/>
    <w:tmpl w:val="4F26F74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17681378">
    <w:abstractNumId w:val="71"/>
  </w:num>
  <w:num w:numId="2" w16cid:durableId="1297493362">
    <w:abstractNumId w:val="106"/>
  </w:num>
  <w:num w:numId="3" w16cid:durableId="1066876448">
    <w:abstractNumId w:val="85"/>
  </w:num>
  <w:num w:numId="4" w16cid:durableId="1683899721">
    <w:abstractNumId w:val="7"/>
  </w:num>
  <w:num w:numId="5" w16cid:durableId="1377587132">
    <w:abstractNumId w:val="44"/>
  </w:num>
  <w:num w:numId="6" w16cid:durableId="679817634">
    <w:abstractNumId w:val="107"/>
  </w:num>
  <w:num w:numId="7" w16cid:durableId="783113952">
    <w:abstractNumId w:val="78"/>
  </w:num>
  <w:num w:numId="8" w16cid:durableId="1003702465">
    <w:abstractNumId w:val="91"/>
  </w:num>
  <w:num w:numId="9" w16cid:durableId="1497694569">
    <w:abstractNumId w:val="89"/>
  </w:num>
  <w:num w:numId="10" w16cid:durableId="1307736106">
    <w:abstractNumId w:val="29"/>
  </w:num>
  <w:num w:numId="11" w16cid:durableId="2058310568">
    <w:abstractNumId w:val="108"/>
  </w:num>
  <w:num w:numId="12" w16cid:durableId="1599363322">
    <w:abstractNumId w:val="109"/>
  </w:num>
  <w:num w:numId="13" w16cid:durableId="131949036">
    <w:abstractNumId w:val="140"/>
  </w:num>
  <w:num w:numId="14" w16cid:durableId="1304775013">
    <w:abstractNumId w:val="144"/>
  </w:num>
  <w:num w:numId="15" w16cid:durableId="459566762">
    <w:abstractNumId w:val="1"/>
  </w:num>
  <w:num w:numId="16" w16cid:durableId="1482114990">
    <w:abstractNumId w:val="54"/>
  </w:num>
  <w:num w:numId="17" w16cid:durableId="1635868928">
    <w:abstractNumId w:val="134"/>
  </w:num>
  <w:num w:numId="18" w16cid:durableId="2015067946">
    <w:abstractNumId w:val="96"/>
  </w:num>
  <w:num w:numId="19" w16cid:durableId="1075736416">
    <w:abstractNumId w:val="137"/>
  </w:num>
  <w:num w:numId="20" w16cid:durableId="68619004">
    <w:abstractNumId w:val="56"/>
  </w:num>
  <w:num w:numId="21" w16cid:durableId="2133819099">
    <w:abstractNumId w:val="22"/>
  </w:num>
  <w:num w:numId="22" w16cid:durableId="819418468">
    <w:abstractNumId w:val="48"/>
  </w:num>
  <w:num w:numId="23" w16cid:durableId="1646467952">
    <w:abstractNumId w:val="37"/>
  </w:num>
  <w:num w:numId="24" w16cid:durableId="1739282709">
    <w:abstractNumId w:val="103"/>
  </w:num>
  <w:num w:numId="25" w16cid:durableId="803086719">
    <w:abstractNumId w:val="82"/>
  </w:num>
  <w:num w:numId="26" w16cid:durableId="497187411">
    <w:abstractNumId w:val="68"/>
  </w:num>
  <w:num w:numId="27" w16cid:durableId="1506437218">
    <w:abstractNumId w:val="10"/>
  </w:num>
  <w:num w:numId="28" w16cid:durableId="1670212174">
    <w:abstractNumId w:val="32"/>
  </w:num>
  <w:num w:numId="29" w16cid:durableId="806122515">
    <w:abstractNumId w:val="99"/>
  </w:num>
  <w:num w:numId="30" w16cid:durableId="967855011">
    <w:abstractNumId w:val="0"/>
  </w:num>
  <w:num w:numId="31" w16cid:durableId="1109548344">
    <w:abstractNumId w:val="26"/>
  </w:num>
  <w:num w:numId="32" w16cid:durableId="209612731">
    <w:abstractNumId w:val="120"/>
  </w:num>
  <w:num w:numId="33" w16cid:durableId="1205099456">
    <w:abstractNumId w:val="121"/>
  </w:num>
  <w:num w:numId="34" w16cid:durableId="136269766">
    <w:abstractNumId w:val="45"/>
  </w:num>
  <w:num w:numId="35" w16cid:durableId="1760371897">
    <w:abstractNumId w:val="19"/>
  </w:num>
  <w:num w:numId="36" w16cid:durableId="918562222">
    <w:abstractNumId w:val="16"/>
  </w:num>
  <w:num w:numId="37" w16cid:durableId="25451281">
    <w:abstractNumId w:val="98"/>
  </w:num>
  <w:num w:numId="38" w16cid:durableId="824778230">
    <w:abstractNumId w:val="9"/>
  </w:num>
  <w:num w:numId="39" w16cid:durableId="636106759">
    <w:abstractNumId w:val="130"/>
  </w:num>
  <w:num w:numId="40" w16cid:durableId="2120711615">
    <w:abstractNumId w:val="129"/>
  </w:num>
  <w:num w:numId="41" w16cid:durableId="1590458674">
    <w:abstractNumId w:val="116"/>
  </w:num>
  <w:num w:numId="42" w16cid:durableId="1083987454">
    <w:abstractNumId w:val="20"/>
  </w:num>
  <w:num w:numId="43" w16cid:durableId="1515025026">
    <w:abstractNumId w:val="13"/>
  </w:num>
  <w:num w:numId="44" w16cid:durableId="1819346422">
    <w:abstractNumId w:val="51"/>
  </w:num>
  <w:num w:numId="45" w16cid:durableId="1204362085">
    <w:abstractNumId w:val="25"/>
  </w:num>
  <w:num w:numId="46" w16cid:durableId="463624613">
    <w:abstractNumId w:val="27"/>
  </w:num>
  <w:num w:numId="47" w16cid:durableId="177355727">
    <w:abstractNumId w:val="94"/>
  </w:num>
  <w:num w:numId="48" w16cid:durableId="236747327">
    <w:abstractNumId w:val="131"/>
  </w:num>
  <w:num w:numId="49" w16cid:durableId="31881129">
    <w:abstractNumId w:val="125"/>
  </w:num>
  <w:num w:numId="50" w16cid:durableId="1525287916">
    <w:abstractNumId w:val="28"/>
  </w:num>
  <w:num w:numId="51" w16cid:durableId="238759153">
    <w:abstractNumId w:val="35"/>
  </w:num>
  <w:num w:numId="52" w16cid:durableId="11035406">
    <w:abstractNumId w:val="139"/>
  </w:num>
  <w:num w:numId="53" w16cid:durableId="920673328">
    <w:abstractNumId w:val="14"/>
  </w:num>
  <w:num w:numId="54" w16cid:durableId="881554047">
    <w:abstractNumId w:val="49"/>
  </w:num>
  <w:num w:numId="55" w16cid:durableId="1657951907">
    <w:abstractNumId w:val="86"/>
  </w:num>
  <w:num w:numId="56" w16cid:durableId="99884752">
    <w:abstractNumId w:val="69"/>
  </w:num>
  <w:num w:numId="57" w16cid:durableId="1539582307">
    <w:abstractNumId w:val="4"/>
  </w:num>
  <w:num w:numId="58" w16cid:durableId="1956905670">
    <w:abstractNumId w:val="52"/>
  </w:num>
  <w:num w:numId="59" w16cid:durableId="1927181643">
    <w:abstractNumId w:val="88"/>
  </w:num>
  <w:num w:numId="60" w16cid:durableId="118502157">
    <w:abstractNumId w:val="113"/>
  </w:num>
  <w:num w:numId="61" w16cid:durableId="555243724">
    <w:abstractNumId w:val="67"/>
  </w:num>
  <w:num w:numId="62" w16cid:durableId="1582982908">
    <w:abstractNumId w:val="63"/>
  </w:num>
  <w:num w:numId="63" w16cid:durableId="1102531369">
    <w:abstractNumId w:val="101"/>
  </w:num>
  <w:num w:numId="64" w16cid:durableId="1540123966">
    <w:abstractNumId w:val="64"/>
  </w:num>
  <w:num w:numId="65" w16cid:durableId="885028170">
    <w:abstractNumId w:val="62"/>
  </w:num>
  <w:num w:numId="66" w16cid:durableId="1665817282">
    <w:abstractNumId w:val="110"/>
  </w:num>
  <w:num w:numId="67" w16cid:durableId="2011256353">
    <w:abstractNumId w:val="114"/>
  </w:num>
  <w:num w:numId="68" w16cid:durableId="2026520905">
    <w:abstractNumId w:val="33"/>
  </w:num>
  <w:num w:numId="69" w16cid:durableId="472913485">
    <w:abstractNumId w:val="6"/>
  </w:num>
  <w:num w:numId="70" w16cid:durableId="1228881827">
    <w:abstractNumId w:val="112"/>
  </w:num>
  <w:num w:numId="71" w16cid:durableId="1092816676">
    <w:abstractNumId w:val="39"/>
  </w:num>
  <w:num w:numId="72" w16cid:durableId="93979361">
    <w:abstractNumId w:val="141"/>
  </w:num>
  <w:num w:numId="73" w16cid:durableId="446313438">
    <w:abstractNumId w:val="84"/>
  </w:num>
  <w:num w:numId="74" w16cid:durableId="1371808159">
    <w:abstractNumId w:val="57"/>
  </w:num>
  <w:num w:numId="75" w16cid:durableId="1631937046">
    <w:abstractNumId w:val="40"/>
  </w:num>
  <w:num w:numId="76" w16cid:durableId="870993858">
    <w:abstractNumId w:val="8"/>
  </w:num>
  <w:num w:numId="77" w16cid:durableId="200828188">
    <w:abstractNumId w:val="59"/>
  </w:num>
  <w:num w:numId="78" w16cid:durableId="324013648">
    <w:abstractNumId w:val="18"/>
  </w:num>
  <w:num w:numId="79" w16cid:durableId="2008514162">
    <w:abstractNumId w:val="80"/>
  </w:num>
  <w:num w:numId="80" w16cid:durableId="147139088">
    <w:abstractNumId w:val="87"/>
  </w:num>
  <w:num w:numId="81" w16cid:durableId="19665904">
    <w:abstractNumId w:val="138"/>
  </w:num>
  <w:num w:numId="82" w16cid:durableId="552162711">
    <w:abstractNumId w:val="23"/>
  </w:num>
  <w:num w:numId="83" w16cid:durableId="1030833733">
    <w:abstractNumId w:val="50"/>
  </w:num>
  <w:num w:numId="84" w16cid:durableId="1714618664">
    <w:abstractNumId w:val="74"/>
  </w:num>
  <w:num w:numId="85" w16cid:durableId="1780291025">
    <w:abstractNumId w:val="5"/>
  </w:num>
  <w:num w:numId="86" w16cid:durableId="2087724535">
    <w:abstractNumId w:val="70"/>
  </w:num>
  <w:num w:numId="87" w16cid:durableId="906456018">
    <w:abstractNumId w:val="11"/>
  </w:num>
  <w:num w:numId="88" w16cid:durableId="676275947">
    <w:abstractNumId w:val="46"/>
  </w:num>
  <w:num w:numId="89" w16cid:durableId="1589926606">
    <w:abstractNumId w:val="47"/>
  </w:num>
  <w:num w:numId="90" w16cid:durableId="1603952378">
    <w:abstractNumId w:val="143"/>
  </w:num>
  <w:num w:numId="91" w16cid:durableId="1425302029">
    <w:abstractNumId w:val="76"/>
  </w:num>
  <w:num w:numId="92" w16cid:durableId="1507787324">
    <w:abstractNumId w:val="2"/>
  </w:num>
  <w:num w:numId="93" w16cid:durableId="1712684424">
    <w:abstractNumId w:val="65"/>
  </w:num>
  <w:num w:numId="94" w16cid:durableId="53629586">
    <w:abstractNumId w:val="55"/>
  </w:num>
  <w:num w:numId="95" w16cid:durableId="1385249124">
    <w:abstractNumId w:val="93"/>
  </w:num>
  <w:num w:numId="96" w16cid:durableId="1753887643">
    <w:abstractNumId w:val="38"/>
  </w:num>
  <w:num w:numId="97" w16cid:durableId="1886330323">
    <w:abstractNumId w:val="122"/>
  </w:num>
  <w:num w:numId="98" w16cid:durableId="1165630128">
    <w:abstractNumId w:val="77"/>
  </w:num>
  <w:num w:numId="99" w16cid:durableId="1380011624">
    <w:abstractNumId w:val="100"/>
  </w:num>
  <w:num w:numId="100" w16cid:durableId="1452086380">
    <w:abstractNumId w:val="31"/>
  </w:num>
  <w:num w:numId="101" w16cid:durableId="368534207">
    <w:abstractNumId w:val="142"/>
  </w:num>
  <w:num w:numId="102" w16cid:durableId="1835805089">
    <w:abstractNumId w:val="133"/>
  </w:num>
  <w:num w:numId="103" w16cid:durableId="571547935">
    <w:abstractNumId w:val="73"/>
  </w:num>
  <w:num w:numId="104" w16cid:durableId="1039816804">
    <w:abstractNumId w:val="3"/>
  </w:num>
  <w:num w:numId="105" w16cid:durableId="1086461076">
    <w:abstractNumId w:val="83"/>
  </w:num>
  <w:num w:numId="106" w16cid:durableId="975450316">
    <w:abstractNumId w:val="97"/>
  </w:num>
  <w:num w:numId="107" w16cid:durableId="1914582206">
    <w:abstractNumId w:val="104"/>
  </w:num>
  <w:num w:numId="108" w16cid:durableId="1970938751">
    <w:abstractNumId w:val="61"/>
  </w:num>
  <w:num w:numId="109" w16cid:durableId="929587657">
    <w:abstractNumId w:val="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305553869">
    <w:abstractNumId w:val="117"/>
  </w:num>
  <w:num w:numId="111" w16cid:durableId="837504592">
    <w:abstractNumId w:val="15"/>
  </w:num>
  <w:num w:numId="112" w16cid:durableId="316343483">
    <w:abstractNumId w:val="111"/>
  </w:num>
  <w:num w:numId="113" w16cid:durableId="1959676348">
    <w:abstractNumId w:val="42"/>
  </w:num>
  <w:num w:numId="114" w16cid:durableId="1562011244">
    <w:abstractNumId w:val="102"/>
  </w:num>
  <w:num w:numId="115" w16cid:durableId="1791122324">
    <w:abstractNumId w:val="75"/>
  </w:num>
  <w:num w:numId="116" w16cid:durableId="560605477">
    <w:abstractNumId w:val="66"/>
  </w:num>
  <w:num w:numId="117" w16cid:durableId="2100758105">
    <w:abstractNumId w:val="92"/>
  </w:num>
  <w:num w:numId="118" w16cid:durableId="1680496974">
    <w:abstractNumId w:val="132"/>
  </w:num>
  <w:num w:numId="119" w16cid:durableId="641539403">
    <w:abstractNumId w:val="72"/>
  </w:num>
  <w:num w:numId="120" w16cid:durableId="979383362">
    <w:abstractNumId w:val="128"/>
  </w:num>
  <w:num w:numId="121" w16cid:durableId="897472513">
    <w:abstractNumId w:val="43"/>
  </w:num>
  <w:num w:numId="122" w16cid:durableId="618027467">
    <w:abstractNumId w:val="135"/>
  </w:num>
  <w:num w:numId="123" w16cid:durableId="537279575">
    <w:abstractNumId w:val="118"/>
  </w:num>
  <w:num w:numId="124" w16cid:durableId="669451699">
    <w:abstractNumId w:val="90"/>
  </w:num>
  <w:num w:numId="125" w16cid:durableId="1244796758">
    <w:abstractNumId w:val="137"/>
  </w:num>
  <w:num w:numId="126" w16cid:durableId="451021663">
    <w:abstractNumId w:val="21"/>
  </w:num>
  <w:num w:numId="127" w16cid:durableId="344133448">
    <w:abstractNumId w:val="105"/>
  </w:num>
  <w:num w:numId="128" w16cid:durableId="1274707591">
    <w:abstractNumId w:val="30"/>
  </w:num>
  <w:num w:numId="129" w16cid:durableId="1843277633">
    <w:abstractNumId w:val="36"/>
  </w:num>
  <w:num w:numId="130" w16cid:durableId="1645768342">
    <w:abstractNumId w:val="34"/>
  </w:num>
  <w:num w:numId="131" w16cid:durableId="142158576">
    <w:abstractNumId w:val="124"/>
  </w:num>
  <w:num w:numId="132" w16cid:durableId="1542206139">
    <w:abstractNumId w:val="119"/>
  </w:num>
  <w:num w:numId="133" w16cid:durableId="843783690">
    <w:abstractNumId w:val="126"/>
  </w:num>
  <w:num w:numId="134" w16cid:durableId="891814090">
    <w:abstractNumId w:val="123"/>
  </w:num>
  <w:num w:numId="135" w16cid:durableId="1857886290">
    <w:abstractNumId w:val="53"/>
  </w:num>
  <w:num w:numId="136" w16cid:durableId="528760844">
    <w:abstractNumId w:val="58"/>
  </w:num>
  <w:num w:numId="137" w16cid:durableId="1117217606">
    <w:abstractNumId w:val="24"/>
  </w:num>
  <w:num w:numId="138" w16cid:durableId="674693382">
    <w:abstractNumId w:val="12"/>
  </w:num>
  <w:num w:numId="139" w16cid:durableId="1532449666">
    <w:abstractNumId w:val="81"/>
  </w:num>
  <w:num w:numId="140" w16cid:durableId="204485741">
    <w:abstractNumId w:val="141"/>
  </w:num>
  <w:num w:numId="141" w16cid:durableId="504589529">
    <w:abstractNumId w:val="84"/>
  </w:num>
  <w:num w:numId="142" w16cid:durableId="1726564495">
    <w:abstractNumId w:val="17"/>
  </w:num>
  <w:num w:numId="143" w16cid:durableId="230508687">
    <w:abstractNumId w:val="127"/>
  </w:num>
  <w:num w:numId="144" w16cid:durableId="1833596420">
    <w:abstractNumId w:val="79"/>
  </w:num>
  <w:num w:numId="145" w16cid:durableId="1340425283">
    <w:abstractNumId w:val="136"/>
  </w:num>
  <w:num w:numId="146" w16cid:durableId="48110336">
    <w:abstractNumId w:val="41"/>
  </w:num>
  <w:num w:numId="147" w16cid:durableId="965430095">
    <w:abstractNumId w:val="115"/>
  </w:num>
  <w:num w:numId="148" w16cid:durableId="845749557">
    <w:abstractNumId w:val="60"/>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1F7"/>
    <w:rsid w:val="00002792"/>
    <w:rsid w:val="00003364"/>
    <w:rsid w:val="00004B28"/>
    <w:rsid w:val="0000515D"/>
    <w:rsid w:val="000054CE"/>
    <w:rsid w:val="00005B44"/>
    <w:rsid w:val="000075B1"/>
    <w:rsid w:val="00007C9C"/>
    <w:rsid w:val="00010611"/>
    <w:rsid w:val="00010681"/>
    <w:rsid w:val="00010C12"/>
    <w:rsid w:val="00010F77"/>
    <w:rsid w:val="00010FA6"/>
    <w:rsid w:val="000134AA"/>
    <w:rsid w:val="00014C17"/>
    <w:rsid w:val="00014D88"/>
    <w:rsid w:val="00015A2E"/>
    <w:rsid w:val="00017369"/>
    <w:rsid w:val="000201A8"/>
    <w:rsid w:val="000227E2"/>
    <w:rsid w:val="00023194"/>
    <w:rsid w:val="00025EFD"/>
    <w:rsid w:val="00026BC9"/>
    <w:rsid w:val="00027DA6"/>
    <w:rsid w:val="00031DB5"/>
    <w:rsid w:val="00031DC2"/>
    <w:rsid w:val="00032032"/>
    <w:rsid w:val="00032400"/>
    <w:rsid w:val="000335D9"/>
    <w:rsid w:val="000338DC"/>
    <w:rsid w:val="00034ACB"/>
    <w:rsid w:val="00035CE3"/>
    <w:rsid w:val="00036C9D"/>
    <w:rsid w:val="00037A58"/>
    <w:rsid w:val="00041AA8"/>
    <w:rsid w:val="00041E0B"/>
    <w:rsid w:val="00042AC2"/>
    <w:rsid w:val="00042CF8"/>
    <w:rsid w:val="00043F62"/>
    <w:rsid w:val="00044858"/>
    <w:rsid w:val="00045031"/>
    <w:rsid w:val="00045F69"/>
    <w:rsid w:val="00047C8F"/>
    <w:rsid w:val="00050572"/>
    <w:rsid w:val="00051400"/>
    <w:rsid w:val="0005167B"/>
    <w:rsid w:val="0005195C"/>
    <w:rsid w:val="00052241"/>
    <w:rsid w:val="00052BBC"/>
    <w:rsid w:val="000547CA"/>
    <w:rsid w:val="00055791"/>
    <w:rsid w:val="00056815"/>
    <w:rsid w:val="00056CD2"/>
    <w:rsid w:val="00056CE4"/>
    <w:rsid w:val="000622A5"/>
    <w:rsid w:val="00062302"/>
    <w:rsid w:val="0006245D"/>
    <w:rsid w:val="000625BD"/>
    <w:rsid w:val="0006270F"/>
    <w:rsid w:val="00064602"/>
    <w:rsid w:val="0006474D"/>
    <w:rsid w:val="00064FF2"/>
    <w:rsid w:val="000650AC"/>
    <w:rsid w:val="00066050"/>
    <w:rsid w:val="00071D07"/>
    <w:rsid w:val="00072569"/>
    <w:rsid w:val="00073BC9"/>
    <w:rsid w:val="000749B2"/>
    <w:rsid w:val="00074FA4"/>
    <w:rsid w:val="00076B01"/>
    <w:rsid w:val="000774D3"/>
    <w:rsid w:val="00077C9F"/>
    <w:rsid w:val="00080177"/>
    <w:rsid w:val="00080725"/>
    <w:rsid w:val="00082396"/>
    <w:rsid w:val="0008247E"/>
    <w:rsid w:val="000825E5"/>
    <w:rsid w:val="0008497F"/>
    <w:rsid w:val="00084B4D"/>
    <w:rsid w:val="000865DE"/>
    <w:rsid w:val="0008665F"/>
    <w:rsid w:val="00086C24"/>
    <w:rsid w:val="00086F6D"/>
    <w:rsid w:val="000871E4"/>
    <w:rsid w:val="00087F0B"/>
    <w:rsid w:val="00090296"/>
    <w:rsid w:val="00090565"/>
    <w:rsid w:val="00090879"/>
    <w:rsid w:val="00090B98"/>
    <w:rsid w:val="00090BC9"/>
    <w:rsid w:val="0009241D"/>
    <w:rsid w:val="00093AB8"/>
    <w:rsid w:val="000941B9"/>
    <w:rsid w:val="0009696D"/>
    <w:rsid w:val="00096E75"/>
    <w:rsid w:val="00097CF8"/>
    <w:rsid w:val="000A05D9"/>
    <w:rsid w:val="000A2255"/>
    <w:rsid w:val="000A2518"/>
    <w:rsid w:val="000A3EA6"/>
    <w:rsid w:val="000A7970"/>
    <w:rsid w:val="000B03DF"/>
    <w:rsid w:val="000B0EE5"/>
    <w:rsid w:val="000B1E6F"/>
    <w:rsid w:val="000B2078"/>
    <w:rsid w:val="000B3A78"/>
    <w:rsid w:val="000B3C4C"/>
    <w:rsid w:val="000B5AAA"/>
    <w:rsid w:val="000B5D64"/>
    <w:rsid w:val="000B5EC3"/>
    <w:rsid w:val="000B7FC0"/>
    <w:rsid w:val="000C0E7B"/>
    <w:rsid w:val="000C1DDD"/>
    <w:rsid w:val="000C2425"/>
    <w:rsid w:val="000C311D"/>
    <w:rsid w:val="000C370B"/>
    <w:rsid w:val="000C480B"/>
    <w:rsid w:val="000C49C7"/>
    <w:rsid w:val="000C53B6"/>
    <w:rsid w:val="000C70B2"/>
    <w:rsid w:val="000D13D0"/>
    <w:rsid w:val="000D5DE6"/>
    <w:rsid w:val="000D6714"/>
    <w:rsid w:val="000D79EF"/>
    <w:rsid w:val="000E055D"/>
    <w:rsid w:val="000E0A62"/>
    <w:rsid w:val="000E1315"/>
    <w:rsid w:val="000E26C9"/>
    <w:rsid w:val="000E381B"/>
    <w:rsid w:val="000E3FA8"/>
    <w:rsid w:val="000E6AF5"/>
    <w:rsid w:val="000E6C31"/>
    <w:rsid w:val="000E6FCB"/>
    <w:rsid w:val="000E7B23"/>
    <w:rsid w:val="000F07CA"/>
    <w:rsid w:val="000F2056"/>
    <w:rsid w:val="000F23E8"/>
    <w:rsid w:val="000F3BC0"/>
    <w:rsid w:val="000F4AA7"/>
    <w:rsid w:val="000F5FFE"/>
    <w:rsid w:val="000F710F"/>
    <w:rsid w:val="001017A0"/>
    <w:rsid w:val="00102D43"/>
    <w:rsid w:val="001033BC"/>
    <w:rsid w:val="00104A7D"/>
    <w:rsid w:val="001069EB"/>
    <w:rsid w:val="00111035"/>
    <w:rsid w:val="00111C18"/>
    <w:rsid w:val="0011275E"/>
    <w:rsid w:val="001128CA"/>
    <w:rsid w:val="00112EA0"/>
    <w:rsid w:val="0011383B"/>
    <w:rsid w:val="0011577D"/>
    <w:rsid w:val="00115EF2"/>
    <w:rsid w:val="0012224D"/>
    <w:rsid w:val="00122687"/>
    <w:rsid w:val="00122AB1"/>
    <w:rsid w:val="00122B8F"/>
    <w:rsid w:val="00122E3C"/>
    <w:rsid w:val="001234F8"/>
    <w:rsid w:val="001251F8"/>
    <w:rsid w:val="00127F40"/>
    <w:rsid w:val="0013059A"/>
    <w:rsid w:val="00130E21"/>
    <w:rsid w:val="0013188F"/>
    <w:rsid w:val="00134716"/>
    <w:rsid w:val="00134D7C"/>
    <w:rsid w:val="001358DD"/>
    <w:rsid w:val="00137140"/>
    <w:rsid w:val="001371BC"/>
    <w:rsid w:val="0014205C"/>
    <w:rsid w:val="001421BD"/>
    <w:rsid w:val="0014311F"/>
    <w:rsid w:val="00144859"/>
    <w:rsid w:val="00145ED7"/>
    <w:rsid w:val="0014616D"/>
    <w:rsid w:val="001463FF"/>
    <w:rsid w:val="00147B42"/>
    <w:rsid w:val="00150036"/>
    <w:rsid w:val="00153F68"/>
    <w:rsid w:val="001540E4"/>
    <w:rsid w:val="001541C7"/>
    <w:rsid w:val="00155DEB"/>
    <w:rsid w:val="00157785"/>
    <w:rsid w:val="001602C6"/>
    <w:rsid w:val="00161DAC"/>
    <w:rsid w:val="0016221B"/>
    <w:rsid w:val="0016273A"/>
    <w:rsid w:val="00163116"/>
    <w:rsid w:val="00167B21"/>
    <w:rsid w:val="00167CED"/>
    <w:rsid w:val="001736D9"/>
    <w:rsid w:val="00173A9A"/>
    <w:rsid w:val="00173D8A"/>
    <w:rsid w:val="00174371"/>
    <w:rsid w:val="0017769E"/>
    <w:rsid w:val="0018058A"/>
    <w:rsid w:val="00180D96"/>
    <w:rsid w:val="0018240D"/>
    <w:rsid w:val="0018433E"/>
    <w:rsid w:val="00184490"/>
    <w:rsid w:val="00185337"/>
    <w:rsid w:val="00185AB3"/>
    <w:rsid w:val="00185D44"/>
    <w:rsid w:val="001874F5"/>
    <w:rsid w:val="001902FC"/>
    <w:rsid w:val="00190387"/>
    <w:rsid w:val="00190D89"/>
    <w:rsid w:val="00191082"/>
    <w:rsid w:val="001914F7"/>
    <w:rsid w:val="00191C57"/>
    <w:rsid w:val="00191D97"/>
    <w:rsid w:val="001923C2"/>
    <w:rsid w:val="0019353A"/>
    <w:rsid w:val="00197F3D"/>
    <w:rsid w:val="001A0C09"/>
    <w:rsid w:val="001A2FB4"/>
    <w:rsid w:val="001A36CF"/>
    <w:rsid w:val="001A386D"/>
    <w:rsid w:val="001A3FCC"/>
    <w:rsid w:val="001A446E"/>
    <w:rsid w:val="001A5527"/>
    <w:rsid w:val="001A561F"/>
    <w:rsid w:val="001A60A3"/>
    <w:rsid w:val="001A7ABE"/>
    <w:rsid w:val="001B08F6"/>
    <w:rsid w:val="001B0AEC"/>
    <w:rsid w:val="001B1280"/>
    <w:rsid w:val="001B12F6"/>
    <w:rsid w:val="001B1CA3"/>
    <w:rsid w:val="001B1F6F"/>
    <w:rsid w:val="001B29ED"/>
    <w:rsid w:val="001B32B4"/>
    <w:rsid w:val="001B356C"/>
    <w:rsid w:val="001B4115"/>
    <w:rsid w:val="001B5416"/>
    <w:rsid w:val="001B619A"/>
    <w:rsid w:val="001B7AB7"/>
    <w:rsid w:val="001C0AEB"/>
    <w:rsid w:val="001C0E63"/>
    <w:rsid w:val="001C1A36"/>
    <w:rsid w:val="001C342D"/>
    <w:rsid w:val="001C358C"/>
    <w:rsid w:val="001C430A"/>
    <w:rsid w:val="001D0CC9"/>
    <w:rsid w:val="001D180A"/>
    <w:rsid w:val="001D3359"/>
    <w:rsid w:val="001D3364"/>
    <w:rsid w:val="001D354C"/>
    <w:rsid w:val="001D38AA"/>
    <w:rsid w:val="001D480E"/>
    <w:rsid w:val="001D586C"/>
    <w:rsid w:val="001D5F7C"/>
    <w:rsid w:val="001D76F9"/>
    <w:rsid w:val="001D7BC2"/>
    <w:rsid w:val="001D7DE5"/>
    <w:rsid w:val="001E1F63"/>
    <w:rsid w:val="001E263F"/>
    <w:rsid w:val="001E3A21"/>
    <w:rsid w:val="001F30D9"/>
    <w:rsid w:val="001F37C3"/>
    <w:rsid w:val="001F4265"/>
    <w:rsid w:val="001F4A1D"/>
    <w:rsid w:val="001F4EAD"/>
    <w:rsid w:val="001F70A8"/>
    <w:rsid w:val="001F76B7"/>
    <w:rsid w:val="00200BF9"/>
    <w:rsid w:val="002016B4"/>
    <w:rsid w:val="002026D3"/>
    <w:rsid w:val="0020323F"/>
    <w:rsid w:val="00203474"/>
    <w:rsid w:val="00204294"/>
    <w:rsid w:val="00205A1D"/>
    <w:rsid w:val="00205AFA"/>
    <w:rsid w:val="00206165"/>
    <w:rsid w:val="00207C7B"/>
    <w:rsid w:val="00210090"/>
    <w:rsid w:val="00210A1A"/>
    <w:rsid w:val="00210B00"/>
    <w:rsid w:val="00210D2C"/>
    <w:rsid w:val="00210F5C"/>
    <w:rsid w:val="00211238"/>
    <w:rsid w:val="00211E25"/>
    <w:rsid w:val="0021213A"/>
    <w:rsid w:val="0021326B"/>
    <w:rsid w:val="00213500"/>
    <w:rsid w:val="00213A73"/>
    <w:rsid w:val="002142D2"/>
    <w:rsid w:val="00214464"/>
    <w:rsid w:val="00214AB9"/>
    <w:rsid w:val="00215763"/>
    <w:rsid w:val="00215AC2"/>
    <w:rsid w:val="002160AF"/>
    <w:rsid w:val="00216B1A"/>
    <w:rsid w:val="00220D9D"/>
    <w:rsid w:val="002211BC"/>
    <w:rsid w:val="0022153E"/>
    <w:rsid w:val="00221600"/>
    <w:rsid w:val="002217A5"/>
    <w:rsid w:val="00222DB1"/>
    <w:rsid w:val="00223AE5"/>
    <w:rsid w:val="00224439"/>
    <w:rsid w:val="00224B19"/>
    <w:rsid w:val="00226C9F"/>
    <w:rsid w:val="00226CDD"/>
    <w:rsid w:val="00226E43"/>
    <w:rsid w:val="002272AF"/>
    <w:rsid w:val="002303F3"/>
    <w:rsid w:val="00230B0A"/>
    <w:rsid w:val="002310B0"/>
    <w:rsid w:val="00231F03"/>
    <w:rsid w:val="00232BCC"/>
    <w:rsid w:val="00233067"/>
    <w:rsid w:val="00233B04"/>
    <w:rsid w:val="00234586"/>
    <w:rsid w:val="002366F5"/>
    <w:rsid w:val="0024083A"/>
    <w:rsid w:val="002412C0"/>
    <w:rsid w:val="00241D5C"/>
    <w:rsid w:val="0024332A"/>
    <w:rsid w:val="002433B0"/>
    <w:rsid w:val="00243B19"/>
    <w:rsid w:val="002455B6"/>
    <w:rsid w:val="002467D2"/>
    <w:rsid w:val="00247342"/>
    <w:rsid w:val="00247B66"/>
    <w:rsid w:val="00251923"/>
    <w:rsid w:val="00251FEE"/>
    <w:rsid w:val="00252174"/>
    <w:rsid w:val="00254E5B"/>
    <w:rsid w:val="0025651E"/>
    <w:rsid w:val="002566E3"/>
    <w:rsid w:val="0025798A"/>
    <w:rsid w:val="002609A1"/>
    <w:rsid w:val="00260AAA"/>
    <w:rsid w:val="002619B4"/>
    <w:rsid w:val="002619E3"/>
    <w:rsid w:val="002636CD"/>
    <w:rsid w:val="00263706"/>
    <w:rsid w:val="00263A89"/>
    <w:rsid w:val="00263F14"/>
    <w:rsid w:val="00264F0F"/>
    <w:rsid w:val="002659D1"/>
    <w:rsid w:val="00266CC3"/>
    <w:rsid w:val="00267133"/>
    <w:rsid w:val="00270370"/>
    <w:rsid w:val="002708A6"/>
    <w:rsid w:val="0027147F"/>
    <w:rsid w:val="00271E64"/>
    <w:rsid w:val="00275183"/>
    <w:rsid w:val="002762C2"/>
    <w:rsid w:val="00276698"/>
    <w:rsid w:val="00284992"/>
    <w:rsid w:val="00284AA7"/>
    <w:rsid w:val="00285062"/>
    <w:rsid w:val="00287EB6"/>
    <w:rsid w:val="002905FA"/>
    <w:rsid w:val="00292101"/>
    <w:rsid w:val="00292EB4"/>
    <w:rsid w:val="00293A8B"/>
    <w:rsid w:val="00294613"/>
    <w:rsid w:val="00294EED"/>
    <w:rsid w:val="00296D87"/>
    <w:rsid w:val="002971C0"/>
    <w:rsid w:val="0029786C"/>
    <w:rsid w:val="002A08D6"/>
    <w:rsid w:val="002A180D"/>
    <w:rsid w:val="002A3B83"/>
    <w:rsid w:val="002A4437"/>
    <w:rsid w:val="002A5D8E"/>
    <w:rsid w:val="002A683B"/>
    <w:rsid w:val="002A6883"/>
    <w:rsid w:val="002B07E8"/>
    <w:rsid w:val="002B0BF7"/>
    <w:rsid w:val="002B1ECF"/>
    <w:rsid w:val="002B2BB0"/>
    <w:rsid w:val="002B3DDB"/>
    <w:rsid w:val="002B593E"/>
    <w:rsid w:val="002B5DF9"/>
    <w:rsid w:val="002B7102"/>
    <w:rsid w:val="002B7629"/>
    <w:rsid w:val="002C0572"/>
    <w:rsid w:val="002C1868"/>
    <w:rsid w:val="002C228F"/>
    <w:rsid w:val="002C2849"/>
    <w:rsid w:val="002C29DE"/>
    <w:rsid w:val="002C36C7"/>
    <w:rsid w:val="002C4B07"/>
    <w:rsid w:val="002C4F40"/>
    <w:rsid w:val="002C54EA"/>
    <w:rsid w:val="002C6D10"/>
    <w:rsid w:val="002C7767"/>
    <w:rsid w:val="002D06CE"/>
    <w:rsid w:val="002D0E33"/>
    <w:rsid w:val="002D0F23"/>
    <w:rsid w:val="002D1D3C"/>
    <w:rsid w:val="002D210E"/>
    <w:rsid w:val="002D2D8D"/>
    <w:rsid w:val="002D36A1"/>
    <w:rsid w:val="002D3B34"/>
    <w:rsid w:val="002D4B52"/>
    <w:rsid w:val="002D5C8D"/>
    <w:rsid w:val="002D5D79"/>
    <w:rsid w:val="002D6437"/>
    <w:rsid w:val="002D65B1"/>
    <w:rsid w:val="002D76F6"/>
    <w:rsid w:val="002D7736"/>
    <w:rsid w:val="002D79EF"/>
    <w:rsid w:val="002E1608"/>
    <w:rsid w:val="002E25BB"/>
    <w:rsid w:val="002E28ED"/>
    <w:rsid w:val="002E4276"/>
    <w:rsid w:val="002E4290"/>
    <w:rsid w:val="002E42B3"/>
    <w:rsid w:val="002E55E2"/>
    <w:rsid w:val="002E5C47"/>
    <w:rsid w:val="002E6108"/>
    <w:rsid w:val="002F01C7"/>
    <w:rsid w:val="002F06C9"/>
    <w:rsid w:val="002F0A9A"/>
    <w:rsid w:val="002F0B3F"/>
    <w:rsid w:val="002F1216"/>
    <w:rsid w:val="002F2CD6"/>
    <w:rsid w:val="002F4ACC"/>
    <w:rsid w:val="002F4C62"/>
    <w:rsid w:val="002F544B"/>
    <w:rsid w:val="002F62CD"/>
    <w:rsid w:val="002F69F2"/>
    <w:rsid w:val="002F784B"/>
    <w:rsid w:val="002F7FC8"/>
    <w:rsid w:val="00302C87"/>
    <w:rsid w:val="00303797"/>
    <w:rsid w:val="00303F88"/>
    <w:rsid w:val="003041D8"/>
    <w:rsid w:val="00305B05"/>
    <w:rsid w:val="00306638"/>
    <w:rsid w:val="0031097D"/>
    <w:rsid w:val="00311F4B"/>
    <w:rsid w:val="0031372D"/>
    <w:rsid w:val="00314F5E"/>
    <w:rsid w:val="00315000"/>
    <w:rsid w:val="00315494"/>
    <w:rsid w:val="003155AF"/>
    <w:rsid w:val="00315A3A"/>
    <w:rsid w:val="00315CAA"/>
    <w:rsid w:val="00315FF6"/>
    <w:rsid w:val="00316658"/>
    <w:rsid w:val="00316D1A"/>
    <w:rsid w:val="00320F1B"/>
    <w:rsid w:val="0032180F"/>
    <w:rsid w:val="00321A94"/>
    <w:rsid w:val="00321AB2"/>
    <w:rsid w:val="00321B36"/>
    <w:rsid w:val="003237B0"/>
    <w:rsid w:val="00325316"/>
    <w:rsid w:val="00325394"/>
    <w:rsid w:val="003270B3"/>
    <w:rsid w:val="00327435"/>
    <w:rsid w:val="0033007A"/>
    <w:rsid w:val="0033062C"/>
    <w:rsid w:val="00330FD0"/>
    <w:rsid w:val="003324B9"/>
    <w:rsid w:val="00332961"/>
    <w:rsid w:val="00336C60"/>
    <w:rsid w:val="0033787B"/>
    <w:rsid w:val="00337E37"/>
    <w:rsid w:val="003405F9"/>
    <w:rsid w:val="00341A97"/>
    <w:rsid w:val="00342A8A"/>
    <w:rsid w:val="003437C2"/>
    <w:rsid w:val="00344E15"/>
    <w:rsid w:val="00345335"/>
    <w:rsid w:val="00345A43"/>
    <w:rsid w:val="003461AA"/>
    <w:rsid w:val="00346385"/>
    <w:rsid w:val="00346731"/>
    <w:rsid w:val="00346AAA"/>
    <w:rsid w:val="00346AD1"/>
    <w:rsid w:val="003472E6"/>
    <w:rsid w:val="003473BA"/>
    <w:rsid w:val="00347AB2"/>
    <w:rsid w:val="003527E0"/>
    <w:rsid w:val="00354E8E"/>
    <w:rsid w:val="00357199"/>
    <w:rsid w:val="00362466"/>
    <w:rsid w:val="00363086"/>
    <w:rsid w:val="00364357"/>
    <w:rsid w:val="00365C0D"/>
    <w:rsid w:val="00367A2B"/>
    <w:rsid w:val="00367A49"/>
    <w:rsid w:val="00373AD8"/>
    <w:rsid w:val="003740E3"/>
    <w:rsid w:val="00374494"/>
    <w:rsid w:val="003746C3"/>
    <w:rsid w:val="00375E2C"/>
    <w:rsid w:val="0037627E"/>
    <w:rsid w:val="00376810"/>
    <w:rsid w:val="003801EA"/>
    <w:rsid w:val="0038087E"/>
    <w:rsid w:val="0038169E"/>
    <w:rsid w:val="00383D85"/>
    <w:rsid w:val="0038596E"/>
    <w:rsid w:val="00387D5D"/>
    <w:rsid w:val="00390AAA"/>
    <w:rsid w:val="00392867"/>
    <w:rsid w:val="003932D5"/>
    <w:rsid w:val="00393FB2"/>
    <w:rsid w:val="00394B2D"/>
    <w:rsid w:val="00396146"/>
    <w:rsid w:val="00397229"/>
    <w:rsid w:val="00397BE0"/>
    <w:rsid w:val="003A0007"/>
    <w:rsid w:val="003A027D"/>
    <w:rsid w:val="003A063F"/>
    <w:rsid w:val="003A116B"/>
    <w:rsid w:val="003A11FC"/>
    <w:rsid w:val="003A18AC"/>
    <w:rsid w:val="003A28F2"/>
    <w:rsid w:val="003A2BEC"/>
    <w:rsid w:val="003A4F2D"/>
    <w:rsid w:val="003A4F2E"/>
    <w:rsid w:val="003A63EC"/>
    <w:rsid w:val="003B031C"/>
    <w:rsid w:val="003B16FB"/>
    <w:rsid w:val="003B3337"/>
    <w:rsid w:val="003B4BF5"/>
    <w:rsid w:val="003B4DAA"/>
    <w:rsid w:val="003B5AF7"/>
    <w:rsid w:val="003B6AB1"/>
    <w:rsid w:val="003B7947"/>
    <w:rsid w:val="003C003A"/>
    <w:rsid w:val="003C04D7"/>
    <w:rsid w:val="003C06CF"/>
    <w:rsid w:val="003C3A53"/>
    <w:rsid w:val="003C46C8"/>
    <w:rsid w:val="003C5063"/>
    <w:rsid w:val="003C5837"/>
    <w:rsid w:val="003C66D9"/>
    <w:rsid w:val="003C67D7"/>
    <w:rsid w:val="003C69B6"/>
    <w:rsid w:val="003C75ED"/>
    <w:rsid w:val="003D1354"/>
    <w:rsid w:val="003D15F3"/>
    <w:rsid w:val="003D1D39"/>
    <w:rsid w:val="003D1F31"/>
    <w:rsid w:val="003D4683"/>
    <w:rsid w:val="003D4CF4"/>
    <w:rsid w:val="003D4FF7"/>
    <w:rsid w:val="003E09FD"/>
    <w:rsid w:val="003E0D0B"/>
    <w:rsid w:val="003E1A4B"/>
    <w:rsid w:val="003E2B88"/>
    <w:rsid w:val="003E3504"/>
    <w:rsid w:val="003E3D95"/>
    <w:rsid w:val="003E4CAB"/>
    <w:rsid w:val="003E6CFE"/>
    <w:rsid w:val="003E7859"/>
    <w:rsid w:val="003E7B74"/>
    <w:rsid w:val="003E7D51"/>
    <w:rsid w:val="003F03BE"/>
    <w:rsid w:val="003F0922"/>
    <w:rsid w:val="003F2BCC"/>
    <w:rsid w:val="003F5DFD"/>
    <w:rsid w:val="003F5E35"/>
    <w:rsid w:val="003F6290"/>
    <w:rsid w:val="003F72DB"/>
    <w:rsid w:val="00404501"/>
    <w:rsid w:val="00404816"/>
    <w:rsid w:val="00405C60"/>
    <w:rsid w:val="00405CC9"/>
    <w:rsid w:val="00406DB5"/>
    <w:rsid w:val="00410BD7"/>
    <w:rsid w:val="00410D46"/>
    <w:rsid w:val="004121A5"/>
    <w:rsid w:val="004142F4"/>
    <w:rsid w:val="00417019"/>
    <w:rsid w:val="0041743C"/>
    <w:rsid w:val="00422168"/>
    <w:rsid w:val="00422E2B"/>
    <w:rsid w:val="0042344D"/>
    <w:rsid w:val="004236AA"/>
    <w:rsid w:val="00423E87"/>
    <w:rsid w:val="00425288"/>
    <w:rsid w:val="00426062"/>
    <w:rsid w:val="004300BA"/>
    <w:rsid w:val="00430E41"/>
    <w:rsid w:val="004318E4"/>
    <w:rsid w:val="00431BF4"/>
    <w:rsid w:val="00432844"/>
    <w:rsid w:val="00433B1A"/>
    <w:rsid w:val="00433F25"/>
    <w:rsid w:val="0043478C"/>
    <w:rsid w:val="0043497C"/>
    <w:rsid w:val="00435D4B"/>
    <w:rsid w:val="00441873"/>
    <w:rsid w:val="00441956"/>
    <w:rsid w:val="00442614"/>
    <w:rsid w:val="004429A0"/>
    <w:rsid w:val="0044457D"/>
    <w:rsid w:val="004448F6"/>
    <w:rsid w:val="004454B4"/>
    <w:rsid w:val="00445E06"/>
    <w:rsid w:val="00446282"/>
    <w:rsid w:val="0044739F"/>
    <w:rsid w:val="00450646"/>
    <w:rsid w:val="004512A1"/>
    <w:rsid w:val="004517A6"/>
    <w:rsid w:val="00453F34"/>
    <w:rsid w:val="00456C4E"/>
    <w:rsid w:val="00456F41"/>
    <w:rsid w:val="0045711B"/>
    <w:rsid w:val="0045780A"/>
    <w:rsid w:val="00457EAE"/>
    <w:rsid w:val="00460203"/>
    <w:rsid w:val="00460722"/>
    <w:rsid w:val="004612D8"/>
    <w:rsid w:val="00461476"/>
    <w:rsid w:val="00461A82"/>
    <w:rsid w:val="00462E23"/>
    <w:rsid w:val="00462E9D"/>
    <w:rsid w:val="0046461C"/>
    <w:rsid w:val="00466D24"/>
    <w:rsid w:val="004674BD"/>
    <w:rsid w:val="00471225"/>
    <w:rsid w:val="00471F16"/>
    <w:rsid w:val="00473750"/>
    <w:rsid w:val="00473C32"/>
    <w:rsid w:val="00473C5E"/>
    <w:rsid w:val="00474E7C"/>
    <w:rsid w:val="0047549A"/>
    <w:rsid w:val="004764BB"/>
    <w:rsid w:val="004767EC"/>
    <w:rsid w:val="00477410"/>
    <w:rsid w:val="00477426"/>
    <w:rsid w:val="00477ADA"/>
    <w:rsid w:val="00477F32"/>
    <w:rsid w:val="0048102F"/>
    <w:rsid w:val="0048118C"/>
    <w:rsid w:val="00481677"/>
    <w:rsid w:val="00481AC5"/>
    <w:rsid w:val="0048347A"/>
    <w:rsid w:val="00485A27"/>
    <w:rsid w:val="00485B44"/>
    <w:rsid w:val="00490036"/>
    <w:rsid w:val="00490172"/>
    <w:rsid w:val="00490676"/>
    <w:rsid w:val="0049205C"/>
    <w:rsid w:val="00492890"/>
    <w:rsid w:val="004930C5"/>
    <w:rsid w:val="00493E6A"/>
    <w:rsid w:val="00493EFB"/>
    <w:rsid w:val="004946A2"/>
    <w:rsid w:val="00494AF4"/>
    <w:rsid w:val="00494C63"/>
    <w:rsid w:val="00496C7F"/>
    <w:rsid w:val="004A0083"/>
    <w:rsid w:val="004A1C82"/>
    <w:rsid w:val="004A1E8E"/>
    <w:rsid w:val="004A1ECB"/>
    <w:rsid w:val="004A338A"/>
    <w:rsid w:val="004A3C48"/>
    <w:rsid w:val="004A409E"/>
    <w:rsid w:val="004A475B"/>
    <w:rsid w:val="004A5A08"/>
    <w:rsid w:val="004A7E6D"/>
    <w:rsid w:val="004B0652"/>
    <w:rsid w:val="004B0E32"/>
    <w:rsid w:val="004B198D"/>
    <w:rsid w:val="004B2626"/>
    <w:rsid w:val="004B37EC"/>
    <w:rsid w:val="004B37FD"/>
    <w:rsid w:val="004B3884"/>
    <w:rsid w:val="004B5249"/>
    <w:rsid w:val="004B6956"/>
    <w:rsid w:val="004C184C"/>
    <w:rsid w:val="004C280B"/>
    <w:rsid w:val="004C31E0"/>
    <w:rsid w:val="004C647F"/>
    <w:rsid w:val="004C6E91"/>
    <w:rsid w:val="004C73F8"/>
    <w:rsid w:val="004C7705"/>
    <w:rsid w:val="004D05B6"/>
    <w:rsid w:val="004D09FC"/>
    <w:rsid w:val="004D2D8D"/>
    <w:rsid w:val="004D2F12"/>
    <w:rsid w:val="004D3B8D"/>
    <w:rsid w:val="004D43CB"/>
    <w:rsid w:val="004D490C"/>
    <w:rsid w:val="004D59ED"/>
    <w:rsid w:val="004D5C3B"/>
    <w:rsid w:val="004D64B1"/>
    <w:rsid w:val="004D732A"/>
    <w:rsid w:val="004E00B6"/>
    <w:rsid w:val="004E0273"/>
    <w:rsid w:val="004E0B1E"/>
    <w:rsid w:val="004E150A"/>
    <w:rsid w:val="004E1F93"/>
    <w:rsid w:val="004E2580"/>
    <w:rsid w:val="004E3EF1"/>
    <w:rsid w:val="004E440D"/>
    <w:rsid w:val="004E618E"/>
    <w:rsid w:val="004E6199"/>
    <w:rsid w:val="004E645B"/>
    <w:rsid w:val="004E6930"/>
    <w:rsid w:val="004F003E"/>
    <w:rsid w:val="004F7221"/>
    <w:rsid w:val="005006EA"/>
    <w:rsid w:val="005013F3"/>
    <w:rsid w:val="00502CA5"/>
    <w:rsid w:val="00503345"/>
    <w:rsid w:val="00505061"/>
    <w:rsid w:val="005051D3"/>
    <w:rsid w:val="0050535E"/>
    <w:rsid w:val="00505F78"/>
    <w:rsid w:val="00506F29"/>
    <w:rsid w:val="005108D7"/>
    <w:rsid w:val="005111E6"/>
    <w:rsid w:val="00511E85"/>
    <w:rsid w:val="00512C52"/>
    <w:rsid w:val="005132F6"/>
    <w:rsid w:val="00513A08"/>
    <w:rsid w:val="00514237"/>
    <w:rsid w:val="00514809"/>
    <w:rsid w:val="00515FDC"/>
    <w:rsid w:val="005171D1"/>
    <w:rsid w:val="005206FA"/>
    <w:rsid w:val="00520CC8"/>
    <w:rsid w:val="005212F0"/>
    <w:rsid w:val="0052170E"/>
    <w:rsid w:val="00522E77"/>
    <w:rsid w:val="00524CDD"/>
    <w:rsid w:val="00524FE7"/>
    <w:rsid w:val="005252CB"/>
    <w:rsid w:val="0052791A"/>
    <w:rsid w:val="00530089"/>
    <w:rsid w:val="00531298"/>
    <w:rsid w:val="00531786"/>
    <w:rsid w:val="005323C8"/>
    <w:rsid w:val="005333A8"/>
    <w:rsid w:val="00536752"/>
    <w:rsid w:val="00537581"/>
    <w:rsid w:val="0054227A"/>
    <w:rsid w:val="00543E91"/>
    <w:rsid w:val="00543EAA"/>
    <w:rsid w:val="0054427D"/>
    <w:rsid w:val="005455EE"/>
    <w:rsid w:val="00545CFB"/>
    <w:rsid w:val="005509DE"/>
    <w:rsid w:val="00552044"/>
    <w:rsid w:val="005533C5"/>
    <w:rsid w:val="005543ED"/>
    <w:rsid w:val="00554C3A"/>
    <w:rsid w:val="00554C54"/>
    <w:rsid w:val="00556139"/>
    <w:rsid w:val="00556A35"/>
    <w:rsid w:val="00560250"/>
    <w:rsid w:val="00560C74"/>
    <w:rsid w:val="00562B84"/>
    <w:rsid w:val="00564401"/>
    <w:rsid w:val="00564F39"/>
    <w:rsid w:val="0056649B"/>
    <w:rsid w:val="00566EBE"/>
    <w:rsid w:val="0057178A"/>
    <w:rsid w:val="00571EA9"/>
    <w:rsid w:val="0057253A"/>
    <w:rsid w:val="00573712"/>
    <w:rsid w:val="005744DC"/>
    <w:rsid w:val="0057499A"/>
    <w:rsid w:val="0057615C"/>
    <w:rsid w:val="0057737B"/>
    <w:rsid w:val="005779C6"/>
    <w:rsid w:val="00581225"/>
    <w:rsid w:val="00581A54"/>
    <w:rsid w:val="00581C8B"/>
    <w:rsid w:val="00582439"/>
    <w:rsid w:val="0058658C"/>
    <w:rsid w:val="00586E42"/>
    <w:rsid w:val="00587960"/>
    <w:rsid w:val="00587AD5"/>
    <w:rsid w:val="00590FF1"/>
    <w:rsid w:val="005910B5"/>
    <w:rsid w:val="00591B48"/>
    <w:rsid w:val="0059273D"/>
    <w:rsid w:val="005935B8"/>
    <w:rsid w:val="00593E04"/>
    <w:rsid w:val="00596803"/>
    <w:rsid w:val="00597205"/>
    <w:rsid w:val="005A0AB8"/>
    <w:rsid w:val="005A1A96"/>
    <w:rsid w:val="005A1AE1"/>
    <w:rsid w:val="005A46A7"/>
    <w:rsid w:val="005A50FA"/>
    <w:rsid w:val="005A7377"/>
    <w:rsid w:val="005B0A9E"/>
    <w:rsid w:val="005B0C21"/>
    <w:rsid w:val="005B0CE8"/>
    <w:rsid w:val="005B1530"/>
    <w:rsid w:val="005B1A46"/>
    <w:rsid w:val="005B3CEE"/>
    <w:rsid w:val="005B4747"/>
    <w:rsid w:val="005B4AC6"/>
    <w:rsid w:val="005B7389"/>
    <w:rsid w:val="005C0386"/>
    <w:rsid w:val="005C0B03"/>
    <w:rsid w:val="005C13AB"/>
    <w:rsid w:val="005C29FA"/>
    <w:rsid w:val="005C31F9"/>
    <w:rsid w:val="005C3397"/>
    <w:rsid w:val="005C429C"/>
    <w:rsid w:val="005C431C"/>
    <w:rsid w:val="005C4DA2"/>
    <w:rsid w:val="005C7484"/>
    <w:rsid w:val="005C7D92"/>
    <w:rsid w:val="005D11F5"/>
    <w:rsid w:val="005D1A75"/>
    <w:rsid w:val="005D1BCC"/>
    <w:rsid w:val="005D266A"/>
    <w:rsid w:val="005D26B0"/>
    <w:rsid w:val="005D41FB"/>
    <w:rsid w:val="005D5B64"/>
    <w:rsid w:val="005D5B6D"/>
    <w:rsid w:val="005D5BE6"/>
    <w:rsid w:val="005E0154"/>
    <w:rsid w:val="005E168F"/>
    <w:rsid w:val="005E2F78"/>
    <w:rsid w:val="005E3E70"/>
    <w:rsid w:val="005E6394"/>
    <w:rsid w:val="005E6AC9"/>
    <w:rsid w:val="005E76BF"/>
    <w:rsid w:val="005F13C5"/>
    <w:rsid w:val="005F1746"/>
    <w:rsid w:val="005F2010"/>
    <w:rsid w:val="005F301E"/>
    <w:rsid w:val="005F39BA"/>
    <w:rsid w:val="005F42B4"/>
    <w:rsid w:val="005F5B90"/>
    <w:rsid w:val="005F63B0"/>
    <w:rsid w:val="005F69C0"/>
    <w:rsid w:val="0060150F"/>
    <w:rsid w:val="0060220C"/>
    <w:rsid w:val="0060252B"/>
    <w:rsid w:val="006027AA"/>
    <w:rsid w:val="00603F21"/>
    <w:rsid w:val="00605403"/>
    <w:rsid w:val="00605B53"/>
    <w:rsid w:val="0060683E"/>
    <w:rsid w:val="00607515"/>
    <w:rsid w:val="006079CE"/>
    <w:rsid w:val="00607DB2"/>
    <w:rsid w:val="00610646"/>
    <w:rsid w:val="00610CF8"/>
    <w:rsid w:val="00610D01"/>
    <w:rsid w:val="00611B1F"/>
    <w:rsid w:val="00612BB2"/>
    <w:rsid w:val="00612CA5"/>
    <w:rsid w:val="00612F34"/>
    <w:rsid w:val="0061352A"/>
    <w:rsid w:val="00613A94"/>
    <w:rsid w:val="00613CF7"/>
    <w:rsid w:val="00614114"/>
    <w:rsid w:val="00614858"/>
    <w:rsid w:val="006158B6"/>
    <w:rsid w:val="00616034"/>
    <w:rsid w:val="0061711B"/>
    <w:rsid w:val="006206BF"/>
    <w:rsid w:val="00622228"/>
    <w:rsid w:val="00622D77"/>
    <w:rsid w:val="00622EE7"/>
    <w:rsid w:val="00623818"/>
    <w:rsid w:val="0062432C"/>
    <w:rsid w:val="00624EB8"/>
    <w:rsid w:val="00625247"/>
    <w:rsid w:val="00626804"/>
    <w:rsid w:val="00626A6A"/>
    <w:rsid w:val="00627D1F"/>
    <w:rsid w:val="00627FF2"/>
    <w:rsid w:val="00630550"/>
    <w:rsid w:val="00631327"/>
    <w:rsid w:val="00631394"/>
    <w:rsid w:val="0063204E"/>
    <w:rsid w:val="0063292F"/>
    <w:rsid w:val="006335A5"/>
    <w:rsid w:val="00633F48"/>
    <w:rsid w:val="00635ED9"/>
    <w:rsid w:val="00636078"/>
    <w:rsid w:val="00636B18"/>
    <w:rsid w:val="00637C21"/>
    <w:rsid w:val="00637CA1"/>
    <w:rsid w:val="0064290A"/>
    <w:rsid w:val="00642926"/>
    <w:rsid w:val="00643126"/>
    <w:rsid w:val="00643D00"/>
    <w:rsid w:val="00644E7C"/>
    <w:rsid w:val="00645492"/>
    <w:rsid w:val="00645F68"/>
    <w:rsid w:val="006472E6"/>
    <w:rsid w:val="0064734C"/>
    <w:rsid w:val="00650634"/>
    <w:rsid w:val="00652F46"/>
    <w:rsid w:val="0065471A"/>
    <w:rsid w:val="00654A2D"/>
    <w:rsid w:val="006557FE"/>
    <w:rsid w:val="00656928"/>
    <w:rsid w:val="00656E7C"/>
    <w:rsid w:val="00656EAF"/>
    <w:rsid w:val="00661CDC"/>
    <w:rsid w:val="006622F8"/>
    <w:rsid w:val="00663675"/>
    <w:rsid w:val="00663F2C"/>
    <w:rsid w:val="00664480"/>
    <w:rsid w:val="006656DE"/>
    <w:rsid w:val="00666CFF"/>
    <w:rsid w:val="006723B0"/>
    <w:rsid w:val="00672E75"/>
    <w:rsid w:val="00674CF6"/>
    <w:rsid w:val="00675566"/>
    <w:rsid w:val="00675E53"/>
    <w:rsid w:val="006778B7"/>
    <w:rsid w:val="00680781"/>
    <w:rsid w:val="00680C5C"/>
    <w:rsid w:val="00680D12"/>
    <w:rsid w:val="0068162D"/>
    <w:rsid w:val="006824AE"/>
    <w:rsid w:val="00684A2A"/>
    <w:rsid w:val="00684B06"/>
    <w:rsid w:val="00686C7B"/>
    <w:rsid w:val="00691C74"/>
    <w:rsid w:val="00691C97"/>
    <w:rsid w:val="0069312A"/>
    <w:rsid w:val="006959BE"/>
    <w:rsid w:val="006A0076"/>
    <w:rsid w:val="006A0481"/>
    <w:rsid w:val="006A26F0"/>
    <w:rsid w:val="006A2AF1"/>
    <w:rsid w:val="006A3D55"/>
    <w:rsid w:val="006A612D"/>
    <w:rsid w:val="006A76E4"/>
    <w:rsid w:val="006A7D08"/>
    <w:rsid w:val="006B1BEC"/>
    <w:rsid w:val="006B26F8"/>
    <w:rsid w:val="006B3418"/>
    <w:rsid w:val="006B3880"/>
    <w:rsid w:val="006B4FEC"/>
    <w:rsid w:val="006B5F05"/>
    <w:rsid w:val="006B60A6"/>
    <w:rsid w:val="006B619A"/>
    <w:rsid w:val="006B635B"/>
    <w:rsid w:val="006B6B6D"/>
    <w:rsid w:val="006B715B"/>
    <w:rsid w:val="006B7523"/>
    <w:rsid w:val="006C3958"/>
    <w:rsid w:val="006C4483"/>
    <w:rsid w:val="006C5FF7"/>
    <w:rsid w:val="006D09FF"/>
    <w:rsid w:val="006D15FC"/>
    <w:rsid w:val="006D3CFB"/>
    <w:rsid w:val="006D66A0"/>
    <w:rsid w:val="006D6B60"/>
    <w:rsid w:val="006D6DE2"/>
    <w:rsid w:val="006D73FF"/>
    <w:rsid w:val="006E03E5"/>
    <w:rsid w:val="006E1C3B"/>
    <w:rsid w:val="006E2D78"/>
    <w:rsid w:val="006E3006"/>
    <w:rsid w:val="006E4AC9"/>
    <w:rsid w:val="006E4C25"/>
    <w:rsid w:val="006E6B3F"/>
    <w:rsid w:val="006E70EB"/>
    <w:rsid w:val="006E716F"/>
    <w:rsid w:val="006E78D8"/>
    <w:rsid w:val="006F0949"/>
    <w:rsid w:val="006F1CC7"/>
    <w:rsid w:val="006F3332"/>
    <w:rsid w:val="006F37B4"/>
    <w:rsid w:val="006F4838"/>
    <w:rsid w:val="006F4912"/>
    <w:rsid w:val="006F49F1"/>
    <w:rsid w:val="006F4F32"/>
    <w:rsid w:val="006F581F"/>
    <w:rsid w:val="006F6CD3"/>
    <w:rsid w:val="006F7514"/>
    <w:rsid w:val="007009EF"/>
    <w:rsid w:val="0070204E"/>
    <w:rsid w:val="00704AF2"/>
    <w:rsid w:val="00705146"/>
    <w:rsid w:val="00705631"/>
    <w:rsid w:val="00706591"/>
    <w:rsid w:val="00707590"/>
    <w:rsid w:val="00707774"/>
    <w:rsid w:val="0071063A"/>
    <w:rsid w:val="007118FF"/>
    <w:rsid w:val="00711DB3"/>
    <w:rsid w:val="00711EDD"/>
    <w:rsid w:val="007140A6"/>
    <w:rsid w:val="00714B11"/>
    <w:rsid w:val="00714B8D"/>
    <w:rsid w:val="00714FC3"/>
    <w:rsid w:val="00716BC6"/>
    <w:rsid w:val="00720C9D"/>
    <w:rsid w:val="00720FC8"/>
    <w:rsid w:val="007210FC"/>
    <w:rsid w:val="00721303"/>
    <w:rsid w:val="00722B5B"/>
    <w:rsid w:val="00723D71"/>
    <w:rsid w:val="0072400D"/>
    <w:rsid w:val="00730C91"/>
    <w:rsid w:val="0073176B"/>
    <w:rsid w:val="007323B4"/>
    <w:rsid w:val="0073294A"/>
    <w:rsid w:val="00733608"/>
    <w:rsid w:val="00733AE2"/>
    <w:rsid w:val="00733E54"/>
    <w:rsid w:val="00734DE6"/>
    <w:rsid w:val="007354ED"/>
    <w:rsid w:val="007370DF"/>
    <w:rsid w:val="007376B5"/>
    <w:rsid w:val="00737883"/>
    <w:rsid w:val="00742761"/>
    <w:rsid w:val="00742E85"/>
    <w:rsid w:val="00744053"/>
    <w:rsid w:val="007456D0"/>
    <w:rsid w:val="00747494"/>
    <w:rsid w:val="00747E38"/>
    <w:rsid w:val="00747E69"/>
    <w:rsid w:val="0075011F"/>
    <w:rsid w:val="00751453"/>
    <w:rsid w:val="00752019"/>
    <w:rsid w:val="007526AC"/>
    <w:rsid w:val="00752801"/>
    <w:rsid w:val="007531EB"/>
    <w:rsid w:val="007539BC"/>
    <w:rsid w:val="00753D67"/>
    <w:rsid w:val="00754123"/>
    <w:rsid w:val="00754728"/>
    <w:rsid w:val="007549C5"/>
    <w:rsid w:val="00754DBD"/>
    <w:rsid w:val="007558CB"/>
    <w:rsid w:val="00757DE6"/>
    <w:rsid w:val="0076110B"/>
    <w:rsid w:val="00761653"/>
    <w:rsid w:val="00761BC5"/>
    <w:rsid w:val="00762A47"/>
    <w:rsid w:val="00762C77"/>
    <w:rsid w:val="0076344C"/>
    <w:rsid w:val="007666DD"/>
    <w:rsid w:val="00767853"/>
    <w:rsid w:val="00767C80"/>
    <w:rsid w:val="0077073C"/>
    <w:rsid w:val="00770A8D"/>
    <w:rsid w:val="00770F0C"/>
    <w:rsid w:val="007711BA"/>
    <w:rsid w:val="007719B2"/>
    <w:rsid w:val="007724CB"/>
    <w:rsid w:val="00772E5E"/>
    <w:rsid w:val="00774A7F"/>
    <w:rsid w:val="007752BC"/>
    <w:rsid w:val="00775ACA"/>
    <w:rsid w:val="00775E8D"/>
    <w:rsid w:val="007762DF"/>
    <w:rsid w:val="007802B6"/>
    <w:rsid w:val="0078128E"/>
    <w:rsid w:val="00783B39"/>
    <w:rsid w:val="00785C32"/>
    <w:rsid w:val="00786BEB"/>
    <w:rsid w:val="00791858"/>
    <w:rsid w:val="0079353D"/>
    <w:rsid w:val="00793FAE"/>
    <w:rsid w:val="00794628"/>
    <w:rsid w:val="007948B6"/>
    <w:rsid w:val="00795509"/>
    <w:rsid w:val="00795C26"/>
    <w:rsid w:val="00795C2C"/>
    <w:rsid w:val="00796611"/>
    <w:rsid w:val="00797157"/>
    <w:rsid w:val="00797908"/>
    <w:rsid w:val="007A1578"/>
    <w:rsid w:val="007A2CA6"/>
    <w:rsid w:val="007A433E"/>
    <w:rsid w:val="007A4371"/>
    <w:rsid w:val="007A5867"/>
    <w:rsid w:val="007A652B"/>
    <w:rsid w:val="007A7A36"/>
    <w:rsid w:val="007B024D"/>
    <w:rsid w:val="007B07F8"/>
    <w:rsid w:val="007B0FC0"/>
    <w:rsid w:val="007B1D6E"/>
    <w:rsid w:val="007B1E8C"/>
    <w:rsid w:val="007B40D2"/>
    <w:rsid w:val="007B539E"/>
    <w:rsid w:val="007B5947"/>
    <w:rsid w:val="007B6023"/>
    <w:rsid w:val="007B638D"/>
    <w:rsid w:val="007B6786"/>
    <w:rsid w:val="007B79C8"/>
    <w:rsid w:val="007B7F27"/>
    <w:rsid w:val="007C094E"/>
    <w:rsid w:val="007C1015"/>
    <w:rsid w:val="007C2A53"/>
    <w:rsid w:val="007C31BC"/>
    <w:rsid w:val="007C3B51"/>
    <w:rsid w:val="007C5BD1"/>
    <w:rsid w:val="007C664F"/>
    <w:rsid w:val="007D1060"/>
    <w:rsid w:val="007D1823"/>
    <w:rsid w:val="007D1ACB"/>
    <w:rsid w:val="007D1E52"/>
    <w:rsid w:val="007D3A6C"/>
    <w:rsid w:val="007D561D"/>
    <w:rsid w:val="007D58C5"/>
    <w:rsid w:val="007D7F69"/>
    <w:rsid w:val="007E1D22"/>
    <w:rsid w:val="007E2089"/>
    <w:rsid w:val="007E2467"/>
    <w:rsid w:val="007E2F4A"/>
    <w:rsid w:val="007E4BF6"/>
    <w:rsid w:val="007E5843"/>
    <w:rsid w:val="007E6730"/>
    <w:rsid w:val="007E6756"/>
    <w:rsid w:val="007E6C1A"/>
    <w:rsid w:val="007E73A8"/>
    <w:rsid w:val="007E7796"/>
    <w:rsid w:val="007F08D2"/>
    <w:rsid w:val="007F0C10"/>
    <w:rsid w:val="007F1CC2"/>
    <w:rsid w:val="007F312D"/>
    <w:rsid w:val="007F37D4"/>
    <w:rsid w:val="007F451C"/>
    <w:rsid w:val="008007C6"/>
    <w:rsid w:val="00801B80"/>
    <w:rsid w:val="00801C88"/>
    <w:rsid w:val="00803C9D"/>
    <w:rsid w:val="008066B6"/>
    <w:rsid w:val="00806B9D"/>
    <w:rsid w:val="00806E5B"/>
    <w:rsid w:val="0081050B"/>
    <w:rsid w:val="00812BF6"/>
    <w:rsid w:val="00813096"/>
    <w:rsid w:val="00815666"/>
    <w:rsid w:val="0081594A"/>
    <w:rsid w:val="00817AC4"/>
    <w:rsid w:val="008209A4"/>
    <w:rsid w:val="00820A91"/>
    <w:rsid w:val="00821310"/>
    <w:rsid w:val="00821A52"/>
    <w:rsid w:val="00823E5F"/>
    <w:rsid w:val="0082504D"/>
    <w:rsid w:val="008266C3"/>
    <w:rsid w:val="00826CC2"/>
    <w:rsid w:val="0083175B"/>
    <w:rsid w:val="00832690"/>
    <w:rsid w:val="008326E5"/>
    <w:rsid w:val="00836201"/>
    <w:rsid w:val="008379A9"/>
    <w:rsid w:val="0084038B"/>
    <w:rsid w:val="0084226E"/>
    <w:rsid w:val="0084421F"/>
    <w:rsid w:val="00844A09"/>
    <w:rsid w:val="008468F7"/>
    <w:rsid w:val="008471A3"/>
    <w:rsid w:val="0085126F"/>
    <w:rsid w:val="008513A9"/>
    <w:rsid w:val="0085281C"/>
    <w:rsid w:val="00854A9B"/>
    <w:rsid w:val="00854CE2"/>
    <w:rsid w:val="008562EC"/>
    <w:rsid w:val="00856749"/>
    <w:rsid w:val="00857E87"/>
    <w:rsid w:val="00857FB7"/>
    <w:rsid w:val="00861027"/>
    <w:rsid w:val="0086148F"/>
    <w:rsid w:val="00861910"/>
    <w:rsid w:val="00861AE7"/>
    <w:rsid w:val="008630AE"/>
    <w:rsid w:val="0086318F"/>
    <w:rsid w:val="00863B6D"/>
    <w:rsid w:val="00864785"/>
    <w:rsid w:val="00864F02"/>
    <w:rsid w:val="00866BB6"/>
    <w:rsid w:val="00866D9C"/>
    <w:rsid w:val="008726F0"/>
    <w:rsid w:val="00872C5D"/>
    <w:rsid w:val="00872E38"/>
    <w:rsid w:val="008739E5"/>
    <w:rsid w:val="00873C48"/>
    <w:rsid w:val="00874513"/>
    <w:rsid w:val="0087688E"/>
    <w:rsid w:val="00877414"/>
    <w:rsid w:val="00880264"/>
    <w:rsid w:val="00880B34"/>
    <w:rsid w:val="00880D3D"/>
    <w:rsid w:val="008818FD"/>
    <w:rsid w:val="00881AAB"/>
    <w:rsid w:val="008823B8"/>
    <w:rsid w:val="008829F4"/>
    <w:rsid w:val="00883078"/>
    <w:rsid w:val="008841A4"/>
    <w:rsid w:val="00885139"/>
    <w:rsid w:val="00885383"/>
    <w:rsid w:val="00885729"/>
    <w:rsid w:val="0088692F"/>
    <w:rsid w:val="0088699A"/>
    <w:rsid w:val="00890E8C"/>
    <w:rsid w:val="0089269E"/>
    <w:rsid w:val="00896182"/>
    <w:rsid w:val="008976F4"/>
    <w:rsid w:val="00897FE8"/>
    <w:rsid w:val="008A0A05"/>
    <w:rsid w:val="008A1E86"/>
    <w:rsid w:val="008A3CF7"/>
    <w:rsid w:val="008A3E3E"/>
    <w:rsid w:val="008A4081"/>
    <w:rsid w:val="008A42DB"/>
    <w:rsid w:val="008A519C"/>
    <w:rsid w:val="008A6BEF"/>
    <w:rsid w:val="008B158D"/>
    <w:rsid w:val="008B5686"/>
    <w:rsid w:val="008B5D87"/>
    <w:rsid w:val="008B6486"/>
    <w:rsid w:val="008B6773"/>
    <w:rsid w:val="008B6FAC"/>
    <w:rsid w:val="008B7300"/>
    <w:rsid w:val="008C2197"/>
    <w:rsid w:val="008C28D5"/>
    <w:rsid w:val="008C3204"/>
    <w:rsid w:val="008C3493"/>
    <w:rsid w:val="008C4E29"/>
    <w:rsid w:val="008C760D"/>
    <w:rsid w:val="008C7A67"/>
    <w:rsid w:val="008D08CC"/>
    <w:rsid w:val="008D11A6"/>
    <w:rsid w:val="008D201F"/>
    <w:rsid w:val="008D2D64"/>
    <w:rsid w:val="008D415F"/>
    <w:rsid w:val="008D46DE"/>
    <w:rsid w:val="008D4C74"/>
    <w:rsid w:val="008D4CE0"/>
    <w:rsid w:val="008D5ADB"/>
    <w:rsid w:val="008D72A9"/>
    <w:rsid w:val="008D7599"/>
    <w:rsid w:val="008E02A7"/>
    <w:rsid w:val="008E0491"/>
    <w:rsid w:val="008E1D59"/>
    <w:rsid w:val="008E22E2"/>
    <w:rsid w:val="008E2938"/>
    <w:rsid w:val="008E38D0"/>
    <w:rsid w:val="008E3F13"/>
    <w:rsid w:val="008E42C1"/>
    <w:rsid w:val="008E57B8"/>
    <w:rsid w:val="008E5D28"/>
    <w:rsid w:val="008E6952"/>
    <w:rsid w:val="008F0229"/>
    <w:rsid w:val="008F0434"/>
    <w:rsid w:val="008F0BBE"/>
    <w:rsid w:val="008F14B5"/>
    <w:rsid w:val="008F2025"/>
    <w:rsid w:val="008F32F4"/>
    <w:rsid w:val="008F4614"/>
    <w:rsid w:val="008F4EB8"/>
    <w:rsid w:val="008F585C"/>
    <w:rsid w:val="008F6B40"/>
    <w:rsid w:val="008F6B5A"/>
    <w:rsid w:val="009015B8"/>
    <w:rsid w:val="00901F9D"/>
    <w:rsid w:val="00902122"/>
    <w:rsid w:val="00902E07"/>
    <w:rsid w:val="00902EE9"/>
    <w:rsid w:val="0090383C"/>
    <w:rsid w:val="009044C2"/>
    <w:rsid w:val="0090482D"/>
    <w:rsid w:val="00904AD5"/>
    <w:rsid w:val="0090754C"/>
    <w:rsid w:val="0091173D"/>
    <w:rsid w:val="00911D78"/>
    <w:rsid w:val="0091309E"/>
    <w:rsid w:val="00913308"/>
    <w:rsid w:val="00914311"/>
    <w:rsid w:val="00914C1B"/>
    <w:rsid w:val="00915323"/>
    <w:rsid w:val="009158EA"/>
    <w:rsid w:val="009171F3"/>
    <w:rsid w:val="00917DED"/>
    <w:rsid w:val="0092006D"/>
    <w:rsid w:val="009210D2"/>
    <w:rsid w:val="00921453"/>
    <w:rsid w:val="0092225B"/>
    <w:rsid w:val="00923E67"/>
    <w:rsid w:val="009246BA"/>
    <w:rsid w:val="00924BED"/>
    <w:rsid w:val="009253B2"/>
    <w:rsid w:val="009266F9"/>
    <w:rsid w:val="00927694"/>
    <w:rsid w:val="00930A3C"/>
    <w:rsid w:val="00930ECB"/>
    <w:rsid w:val="00931D17"/>
    <w:rsid w:val="00931D2F"/>
    <w:rsid w:val="00932AD6"/>
    <w:rsid w:val="00933438"/>
    <w:rsid w:val="009339B8"/>
    <w:rsid w:val="009349ED"/>
    <w:rsid w:val="00934C9A"/>
    <w:rsid w:val="00934DD7"/>
    <w:rsid w:val="0093593A"/>
    <w:rsid w:val="0093667D"/>
    <w:rsid w:val="00937948"/>
    <w:rsid w:val="00940A2E"/>
    <w:rsid w:val="00940BB0"/>
    <w:rsid w:val="0094146F"/>
    <w:rsid w:val="009418C6"/>
    <w:rsid w:val="00941BB5"/>
    <w:rsid w:val="00942291"/>
    <w:rsid w:val="00942407"/>
    <w:rsid w:val="0094299E"/>
    <w:rsid w:val="00942D87"/>
    <w:rsid w:val="009441E4"/>
    <w:rsid w:val="0094531B"/>
    <w:rsid w:val="00945E5C"/>
    <w:rsid w:val="0094613C"/>
    <w:rsid w:val="00947C4B"/>
    <w:rsid w:val="00947CB0"/>
    <w:rsid w:val="009514B7"/>
    <w:rsid w:val="00951607"/>
    <w:rsid w:val="00951790"/>
    <w:rsid w:val="00951CD9"/>
    <w:rsid w:val="00952597"/>
    <w:rsid w:val="00955269"/>
    <w:rsid w:val="00955E87"/>
    <w:rsid w:val="00956016"/>
    <w:rsid w:val="00957B4F"/>
    <w:rsid w:val="00957F20"/>
    <w:rsid w:val="0096036D"/>
    <w:rsid w:val="0096151A"/>
    <w:rsid w:val="009619DB"/>
    <w:rsid w:val="009622CF"/>
    <w:rsid w:val="009627DB"/>
    <w:rsid w:val="0096455F"/>
    <w:rsid w:val="00964D7A"/>
    <w:rsid w:val="00964E9D"/>
    <w:rsid w:val="00965884"/>
    <w:rsid w:val="0096590E"/>
    <w:rsid w:val="009659F2"/>
    <w:rsid w:val="00967195"/>
    <w:rsid w:val="00967F3C"/>
    <w:rsid w:val="00971D57"/>
    <w:rsid w:val="00974346"/>
    <w:rsid w:val="0097458D"/>
    <w:rsid w:val="0097481B"/>
    <w:rsid w:val="00975349"/>
    <w:rsid w:val="009755D4"/>
    <w:rsid w:val="00975C48"/>
    <w:rsid w:val="00975E1C"/>
    <w:rsid w:val="0097752B"/>
    <w:rsid w:val="00977ABE"/>
    <w:rsid w:val="009806B5"/>
    <w:rsid w:val="009812BA"/>
    <w:rsid w:val="00981736"/>
    <w:rsid w:val="009820F9"/>
    <w:rsid w:val="0098222A"/>
    <w:rsid w:val="0098373A"/>
    <w:rsid w:val="00983A80"/>
    <w:rsid w:val="0098541D"/>
    <w:rsid w:val="009902FC"/>
    <w:rsid w:val="00990D16"/>
    <w:rsid w:val="00990E74"/>
    <w:rsid w:val="009914A6"/>
    <w:rsid w:val="00991B81"/>
    <w:rsid w:val="00992E2D"/>
    <w:rsid w:val="00993B95"/>
    <w:rsid w:val="00993CF8"/>
    <w:rsid w:val="00993D2F"/>
    <w:rsid w:val="00995A54"/>
    <w:rsid w:val="00996A7B"/>
    <w:rsid w:val="009A0EF7"/>
    <w:rsid w:val="009A2795"/>
    <w:rsid w:val="009A45C6"/>
    <w:rsid w:val="009A4F5E"/>
    <w:rsid w:val="009A66D7"/>
    <w:rsid w:val="009A688C"/>
    <w:rsid w:val="009A7882"/>
    <w:rsid w:val="009B1178"/>
    <w:rsid w:val="009B1C3D"/>
    <w:rsid w:val="009B28A2"/>
    <w:rsid w:val="009B36DD"/>
    <w:rsid w:val="009B3EDF"/>
    <w:rsid w:val="009B4010"/>
    <w:rsid w:val="009B709C"/>
    <w:rsid w:val="009B7A24"/>
    <w:rsid w:val="009B7CC7"/>
    <w:rsid w:val="009C2AC6"/>
    <w:rsid w:val="009C2C76"/>
    <w:rsid w:val="009C3BF3"/>
    <w:rsid w:val="009C4190"/>
    <w:rsid w:val="009C55E4"/>
    <w:rsid w:val="009C638D"/>
    <w:rsid w:val="009C7202"/>
    <w:rsid w:val="009C7A0E"/>
    <w:rsid w:val="009C7C91"/>
    <w:rsid w:val="009D14C0"/>
    <w:rsid w:val="009D1561"/>
    <w:rsid w:val="009D2102"/>
    <w:rsid w:val="009D37F9"/>
    <w:rsid w:val="009D3E31"/>
    <w:rsid w:val="009D521B"/>
    <w:rsid w:val="009D6B35"/>
    <w:rsid w:val="009D6FD7"/>
    <w:rsid w:val="009D74C5"/>
    <w:rsid w:val="009D77AC"/>
    <w:rsid w:val="009E1512"/>
    <w:rsid w:val="009E23A4"/>
    <w:rsid w:val="009E24E9"/>
    <w:rsid w:val="009E2FD7"/>
    <w:rsid w:val="009E4D46"/>
    <w:rsid w:val="009E50DB"/>
    <w:rsid w:val="009E5657"/>
    <w:rsid w:val="009E56D8"/>
    <w:rsid w:val="009E5748"/>
    <w:rsid w:val="009E6055"/>
    <w:rsid w:val="009E61E9"/>
    <w:rsid w:val="009E6F64"/>
    <w:rsid w:val="009E7815"/>
    <w:rsid w:val="009F2F81"/>
    <w:rsid w:val="009F3020"/>
    <w:rsid w:val="009F44C5"/>
    <w:rsid w:val="009F4540"/>
    <w:rsid w:val="009F4CD6"/>
    <w:rsid w:val="009F5D47"/>
    <w:rsid w:val="009F6B5A"/>
    <w:rsid w:val="009F705D"/>
    <w:rsid w:val="009F7199"/>
    <w:rsid w:val="009F7CF2"/>
    <w:rsid w:val="00A00BEB"/>
    <w:rsid w:val="00A020F5"/>
    <w:rsid w:val="00A03B9D"/>
    <w:rsid w:val="00A06145"/>
    <w:rsid w:val="00A06C42"/>
    <w:rsid w:val="00A07033"/>
    <w:rsid w:val="00A076B6"/>
    <w:rsid w:val="00A109F5"/>
    <w:rsid w:val="00A10F58"/>
    <w:rsid w:val="00A11658"/>
    <w:rsid w:val="00A135A9"/>
    <w:rsid w:val="00A13EC9"/>
    <w:rsid w:val="00A141FD"/>
    <w:rsid w:val="00A16111"/>
    <w:rsid w:val="00A16A2F"/>
    <w:rsid w:val="00A207BF"/>
    <w:rsid w:val="00A215AF"/>
    <w:rsid w:val="00A21985"/>
    <w:rsid w:val="00A21F36"/>
    <w:rsid w:val="00A230D4"/>
    <w:rsid w:val="00A2364A"/>
    <w:rsid w:val="00A23FFC"/>
    <w:rsid w:val="00A242FD"/>
    <w:rsid w:val="00A24566"/>
    <w:rsid w:val="00A26301"/>
    <w:rsid w:val="00A279D2"/>
    <w:rsid w:val="00A302CF"/>
    <w:rsid w:val="00A32031"/>
    <w:rsid w:val="00A330CB"/>
    <w:rsid w:val="00A332A5"/>
    <w:rsid w:val="00A3399C"/>
    <w:rsid w:val="00A357F1"/>
    <w:rsid w:val="00A35BA2"/>
    <w:rsid w:val="00A379E8"/>
    <w:rsid w:val="00A37FD9"/>
    <w:rsid w:val="00A40E31"/>
    <w:rsid w:val="00A418DE"/>
    <w:rsid w:val="00A419F4"/>
    <w:rsid w:val="00A431DD"/>
    <w:rsid w:val="00A44F81"/>
    <w:rsid w:val="00A46385"/>
    <w:rsid w:val="00A4687B"/>
    <w:rsid w:val="00A47393"/>
    <w:rsid w:val="00A47BD9"/>
    <w:rsid w:val="00A47CB1"/>
    <w:rsid w:val="00A50B6A"/>
    <w:rsid w:val="00A529B6"/>
    <w:rsid w:val="00A5389F"/>
    <w:rsid w:val="00A54108"/>
    <w:rsid w:val="00A54650"/>
    <w:rsid w:val="00A54B44"/>
    <w:rsid w:val="00A54EEF"/>
    <w:rsid w:val="00A5761B"/>
    <w:rsid w:val="00A57C54"/>
    <w:rsid w:val="00A57EE8"/>
    <w:rsid w:val="00A636B0"/>
    <w:rsid w:val="00A63889"/>
    <w:rsid w:val="00A64111"/>
    <w:rsid w:val="00A64541"/>
    <w:rsid w:val="00A6499F"/>
    <w:rsid w:val="00A66729"/>
    <w:rsid w:val="00A70518"/>
    <w:rsid w:val="00A7166B"/>
    <w:rsid w:val="00A72B7F"/>
    <w:rsid w:val="00A733A9"/>
    <w:rsid w:val="00A755F9"/>
    <w:rsid w:val="00A768E2"/>
    <w:rsid w:val="00A76FA7"/>
    <w:rsid w:val="00A77BC5"/>
    <w:rsid w:val="00A8067B"/>
    <w:rsid w:val="00A80816"/>
    <w:rsid w:val="00A813F7"/>
    <w:rsid w:val="00A8184A"/>
    <w:rsid w:val="00A825AC"/>
    <w:rsid w:val="00A8428E"/>
    <w:rsid w:val="00A85045"/>
    <w:rsid w:val="00A85582"/>
    <w:rsid w:val="00A856C3"/>
    <w:rsid w:val="00A85803"/>
    <w:rsid w:val="00A8689A"/>
    <w:rsid w:val="00A91637"/>
    <w:rsid w:val="00A9262E"/>
    <w:rsid w:val="00A92C20"/>
    <w:rsid w:val="00A93974"/>
    <w:rsid w:val="00A93BAA"/>
    <w:rsid w:val="00A94747"/>
    <w:rsid w:val="00A949E9"/>
    <w:rsid w:val="00A95AD8"/>
    <w:rsid w:val="00A964A6"/>
    <w:rsid w:val="00A97223"/>
    <w:rsid w:val="00A97B7D"/>
    <w:rsid w:val="00A97EED"/>
    <w:rsid w:val="00AA1305"/>
    <w:rsid w:val="00AA13C3"/>
    <w:rsid w:val="00AA14B5"/>
    <w:rsid w:val="00AA1EFD"/>
    <w:rsid w:val="00AA459F"/>
    <w:rsid w:val="00AA493C"/>
    <w:rsid w:val="00AA4F51"/>
    <w:rsid w:val="00AA6C8C"/>
    <w:rsid w:val="00AB0EEA"/>
    <w:rsid w:val="00AB2634"/>
    <w:rsid w:val="00AB2645"/>
    <w:rsid w:val="00AB2790"/>
    <w:rsid w:val="00AB2929"/>
    <w:rsid w:val="00AB2A7E"/>
    <w:rsid w:val="00AB2F33"/>
    <w:rsid w:val="00AB33E1"/>
    <w:rsid w:val="00AB44D1"/>
    <w:rsid w:val="00AB4BB3"/>
    <w:rsid w:val="00AB50ED"/>
    <w:rsid w:val="00AB5149"/>
    <w:rsid w:val="00AB5E03"/>
    <w:rsid w:val="00AB692C"/>
    <w:rsid w:val="00AB6DFA"/>
    <w:rsid w:val="00AB7CF0"/>
    <w:rsid w:val="00AC0980"/>
    <w:rsid w:val="00AC1291"/>
    <w:rsid w:val="00AC2211"/>
    <w:rsid w:val="00AC24FB"/>
    <w:rsid w:val="00AC2A58"/>
    <w:rsid w:val="00AC40D4"/>
    <w:rsid w:val="00AC4CD7"/>
    <w:rsid w:val="00AC525F"/>
    <w:rsid w:val="00AD1646"/>
    <w:rsid w:val="00AD1A5E"/>
    <w:rsid w:val="00AD2DE2"/>
    <w:rsid w:val="00AD3043"/>
    <w:rsid w:val="00AD36B2"/>
    <w:rsid w:val="00AD4D8B"/>
    <w:rsid w:val="00AD621F"/>
    <w:rsid w:val="00AD6442"/>
    <w:rsid w:val="00AE0FC6"/>
    <w:rsid w:val="00AE12E3"/>
    <w:rsid w:val="00AE1B97"/>
    <w:rsid w:val="00AE6059"/>
    <w:rsid w:val="00AE672A"/>
    <w:rsid w:val="00AE7067"/>
    <w:rsid w:val="00AF0A29"/>
    <w:rsid w:val="00AF1BCE"/>
    <w:rsid w:val="00AF4C92"/>
    <w:rsid w:val="00AF61C9"/>
    <w:rsid w:val="00AF653D"/>
    <w:rsid w:val="00AF73B4"/>
    <w:rsid w:val="00AF777A"/>
    <w:rsid w:val="00B015E8"/>
    <w:rsid w:val="00B01917"/>
    <w:rsid w:val="00B0262B"/>
    <w:rsid w:val="00B0332E"/>
    <w:rsid w:val="00B04C53"/>
    <w:rsid w:val="00B04C7D"/>
    <w:rsid w:val="00B061E6"/>
    <w:rsid w:val="00B073A3"/>
    <w:rsid w:val="00B10176"/>
    <w:rsid w:val="00B10EC2"/>
    <w:rsid w:val="00B1137C"/>
    <w:rsid w:val="00B11DF8"/>
    <w:rsid w:val="00B12727"/>
    <w:rsid w:val="00B1305F"/>
    <w:rsid w:val="00B1476F"/>
    <w:rsid w:val="00B14F9B"/>
    <w:rsid w:val="00B15BC3"/>
    <w:rsid w:val="00B17352"/>
    <w:rsid w:val="00B20EBD"/>
    <w:rsid w:val="00B20ED3"/>
    <w:rsid w:val="00B2176D"/>
    <w:rsid w:val="00B224A0"/>
    <w:rsid w:val="00B225E3"/>
    <w:rsid w:val="00B2268E"/>
    <w:rsid w:val="00B22BF1"/>
    <w:rsid w:val="00B24122"/>
    <w:rsid w:val="00B24544"/>
    <w:rsid w:val="00B246E4"/>
    <w:rsid w:val="00B248AC"/>
    <w:rsid w:val="00B24F52"/>
    <w:rsid w:val="00B26045"/>
    <w:rsid w:val="00B260BF"/>
    <w:rsid w:val="00B265B7"/>
    <w:rsid w:val="00B26E99"/>
    <w:rsid w:val="00B27A33"/>
    <w:rsid w:val="00B300AA"/>
    <w:rsid w:val="00B3071F"/>
    <w:rsid w:val="00B3251F"/>
    <w:rsid w:val="00B33A73"/>
    <w:rsid w:val="00B34F67"/>
    <w:rsid w:val="00B377CA"/>
    <w:rsid w:val="00B37A75"/>
    <w:rsid w:val="00B37C83"/>
    <w:rsid w:val="00B41D1C"/>
    <w:rsid w:val="00B43338"/>
    <w:rsid w:val="00B4339F"/>
    <w:rsid w:val="00B46A95"/>
    <w:rsid w:val="00B46DC7"/>
    <w:rsid w:val="00B50DC3"/>
    <w:rsid w:val="00B5152B"/>
    <w:rsid w:val="00B516F3"/>
    <w:rsid w:val="00B519EF"/>
    <w:rsid w:val="00B535CF"/>
    <w:rsid w:val="00B5441D"/>
    <w:rsid w:val="00B54492"/>
    <w:rsid w:val="00B548B1"/>
    <w:rsid w:val="00B54C9B"/>
    <w:rsid w:val="00B56A3F"/>
    <w:rsid w:val="00B570A0"/>
    <w:rsid w:val="00B60F39"/>
    <w:rsid w:val="00B619FA"/>
    <w:rsid w:val="00B6209E"/>
    <w:rsid w:val="00B62B2B"/>
    <w:rsid w:val="00B6394D"/>
    <w:rsid w:val="00B65DC0"/>
    <w:rsid w:val="00B65DF9"/>
    <w:rsid w:val="00B65F43"/>
    <w:rsid w:val="00B65FA5"/>
    <w:rsid w:val="00B66786"/>
    <w:rsid w:val="00B66D2E"/>
    <w:rsid w:val="00B70130"/>
    <w:rsid w:val="00B70A4A"/>
    <w:rsid w:val="00B7173B"/>
    <w:rsid w:val="00B73FE9"/>
    <w:rsid w:val="00B7487A"/>
    <w:rsid w:val="00B84CA6"/>
    <w:rsid w:val="00B85B3D"/>
    <w:rsid w:val="00B85C63"/>
    <w:rsid w:val="00B8600E"/>
    <w:rsid w:val="00B86C8E"/>
    <w:rsid w:val="00B875DA"/>
    <w:rsid w:val="00B90103"/>
    <w:rsid w:val="00B91F5A"/>
    <w:rsid w:val="00B92265"/>
    <w:rsid w:val="00B92B4B"/>
    <w:rsid w:val="00B92FBD"/>
    <w:rsid w:val="00B93477"/>
    <w:rsid w:val="00B93CC9"/>
    <w:rsid w:val="00B956D9"/>
    <w:rsid w:val="00B97B33"/>
    <w:rsid w:val="00BA090E"/>
    <w:rsid w:val="00BA0993"/>
    <w:rsid w:val="00BA147C"/>
    <w:rsid w:val="00BA1D37"/>
    <w:rsid w:val="00BA31B0"/>
    <w:rsid w:val="00BA392E"/>
    <w:rsid w:val="00BA4A3A"/>
    <w:rsid w:val="00BA582D"/>
    <w:rsid w:val="00BA7C48"/>
    <w:rsid w:val="00BA7FD1"/>
    <w:rsid w:val="00BB143A"/>
    <w:rsid w:val="00BB1AAB"/>
    <w:rsid w:val="00BB2A2A"/>
    <w:rsid w:val="00BB371A"/>
    <w:rsid w:val="00BB42E7"/>
    <w:rsid w:val="00BB5D24"/>
    <w:rsid w:val="00BB5EBB"/>
    <w:rsid w:val="00BB6701"/>
    <w:rsid w:val="00BB7658"/>
    <w:rsid w:val="00BC0DB3"/>
    <w:rsid w:val="00BC42A9"/>
    <w:rsid w:val="00BC46DA"/>
    <w:rsid w:val="00BC5120"/>
    <w:rsid w:val="00BC5433"/>
    <w:rsid w:val="00BC54C8"/>
    <w:rsid w:val="00BD1220"/>
    <w:rsid w:val="00BD13FA"/>
    <w:rsid w:val="00BD445C"/>
    <w:rsid w:val="00BD481D"/>
    <w:rsid w:val="00BD4939"/>
    <w:rsid w:val="00BD5AF6"/>
    <w:rsid w:val="00BD6A37"/>
    <w:rsid w:val="00BE03DC"/>
    <w:rsid w:val="00BE1D79"/>
    <w:rsid w:val="00BE20B1"/>
    <w:rsid w:val="00BE31AE"/>
    <w:rsid w:val="00BE35CC"/>
    <w:rsid w:val="00BE7F3E"/>
    <w:rsid w:val="00BF0186"/>
    <w:rsid w:val="00BF1724"/>
    <w:rsid w:val="00BF39F0"/>
    <w:rsid w:val="00BF6455"/>
    <w:rsid w:val="00BF661E"/>
    <w:rsid w:val="00BF685D"/>
    <w:rsid w:val="00BF74E9"/>
    <w:rsid w:val="00BF7E49"/>
    <w:rsid w:val="00C00137"/>
    <w:rsid w:val="00C0133D"/>
    <w:rsid w:val="00C01392"/>
    <w:rsid w:val="00C016CD"/>
    <w:rsid w:val="00C03485"/>
    <w:rsid w:val="00C03C70"/>
    <w:rsid w:val="00C04719"/>
    <w:rsid w:val="00C05498"/>
    <w:rsid w:val="00C066CB"/>
    <w:rsid w:val="00C067D3"/>
    <w:rsid w:val="00C07E61"/>
    <w:rsid w:val="00C12018"/>
    <w:rsid w:val="00C12046"/>
    <w:rsid w:val="00C12819"/>
    <w:rsid w:val="00C13E5C"/>
    <w:rsid w:val="00C1404F"/>
    <w:rsid w:val="00C140F0"/>
    <w:rsid w:val="00C14684"/>
    <w:rsid w:val="00C15FCC"/>
    <w:rsid w:val="00C16CF3"/>
    <w:rsid w:val="00C1746C"/>
    <w:rsid w:val="00C17C58"/>
    <w:rsid w:val="00C200B1"/>
    <w:rsid w:val="00C20293"/>
    <w:rsid w:val="00C21C38"/>
    <w:rsid w:val="00C2210D"/>
    <w:rsid w:val="00C22B9F"/>
    <w:rsid w:val="00C23651"/>
    <w:rsid w:val="00C247EA"/>
    <w:rsid w:val="00C25AD6"/>
    <w:rsid w:val="00C26773"/>
    <w:rsid w:val="00C27530"/>
    <w:rsid w:val="00C2764F"/>
    <w:rsid w:val="00C30526"/>
    <w:rsid w:val="00C30B80"/>
    <w:rsid w:val="00C30C41"/>
    <w:rsid w:val="00C31094"/>
    <w:rsid w:val="00C31276"/>
    <w:rsid w:val="00C322E8"/>
    <w:rsid w:val="00C32ED7"/>
    <w:rsid w:val="00C33261"/>
    <w:rsid w:val="00C34314"/>
    <w:rsid w:val="00C3484F"/>
    <w:rsid w:val="00C360FD"/>
    <w:rsid w:val="00C36518"/>
    <w:rsid w:val="00C4043B"/>
    <w:rsid w:val="00C40AD8"/>
    <w:rsid w:val="00C42496"/>
    <w:rsid w:val="00C42C84"/>
    <w:rsid w:val="00C4311D"/>
    <w:rsid w:val="00C43B16"/>
    <w:rsid w:val="00C45D36"/>
    <w:rsid w:val="00C47656"/>
    <w:rsid w:val="00C47962"/>
    <w:rsid w:val="00C51DBD"/>
    <w:rsid w:val="00C52F78"/>
    <w:rsid w:val="00C53542"/>
    <w:rsid w:val="00C53B17"/>
    <w:rsid w:val="00C53BF2"/>
    <w:rsid w:val="00C540AC"/>
    <w:rsid w:val="00C54BB2"/>
    <w:rsid w:val="00C55209"/>
    <w:rsid w:val="00C566B3"/>
    <w:rsid w:val="00C56CEF"/>
    <w:rsid w:val="00C57373"/>
    <w:rsid w:val="00C57A62"/>
    <w:rsid w:val="00C57AD3"/>
    <w:rsid w:val="00C57C69"/>
    <w:rsid w:val="00C608EA"/>
    <w:rsid w:val="00C63086"/>
    <w:rsid w:val="00C63F30"/>
    <w:rsid w:val="00C66D1C"/>
    <w:rsid w:val="00C678D3"/>
    <w:rsid w:val="00C67B0D"/>
    <w:rsid w:val="00C67B32"/>
    <w:rsid w:val="00C70265"/>
    <w:rsid w:val="00C70398"/>
    <w:rsid w:val="00C70622"/>
    <w:rsid w:val="00C70D67"/>
    <w:rsid w:val="00C716DA"/>
    <w:rsid w:val="00C72104"/>
    <w:rsid w:val="00C725A0"/>
    <w:rsid w:val="00C762A6"/>
    <w:rsid w:val="00C77063"/>
    <w:rsid w:val="00C80A3A"/>
    <w:rsid w:val="00C81823"/>
    <w:rsid w:val="00C81A21"/>
    <w:rsid w:val="00C821CD"/>
    <w:rsid w:val="00C82496"/>
    <w:rsid w:val="00C833AC"/>
    <w:rsid w:val="00C8393B"/>
    <w:rsid w:val="00C852F2"/>
    <w:rsid w:val="00C87480"/>
    <w:rsid w:val="00C8772A"/>
    <w:rsid w:val="00C909FD"/>
    <w:rsid w:val="00C91884"/>
    <w:rsid w:val="00C92C8F"/>
    <w:rsid w:val="00C92E4D"/>
    <w:rsid w:val="00C93102"/>
    <w:rsid w:val="00C9380B"/>
    <w:rsid w:val="00C943FA"/>
    <w:rsid w:val="00C94E78"/>
    <w:rsid w:val="00C94F96"/>
    <w:rsid w:val="00C9521A"/>
    <w:rsid w:val="00C95DDC"/>
    <w:rsid w:val="00C95DFC"/>
    <w:rsid w:val="00C9627D"/>
    <w:rsid w:val="00C966AB"/>
    <w:rsid w:val="00C9674B"/>
    <w:rsid w:val="00C96B95"/>
    <w:rsid w:val="00C96D91"/>
    <w:rsid w:val="00C96EA5"/>
    <w:rsid w:val="00C96F93"/>
    <w:rsid w:val="00CA145F"/>
    <w:rsid w:val="00CA1D0A"/>
    <w:rsid w:val="00CA1F1D"/>
    <w:rsid w:val="00CA3DCB"/>
    <w:rsid w:val="00CA4359"/>
    <w:rsid w:val="00CB0765"/>
    <w:rsid w:val="00CB0C1D"/>
    <w:rsid w:val="00CB1937"/>
    <w:rsid w:val="00CB25D1"/>
    <w:rsid w:val="00CB40BB"/>
    <w:rsid w:val="00CB4965"/>
    <w:rsid w:val="00CB4B07"/>
    <w:rsid w:val="00CB5B1D"/>
    <w:rsid w:val="00CB65FF"/>
    <w:rsid w:val="00CC1AE1"/>
    <w:rsid w:val="00CC2209"/>
    <w:rsid w:val="00CC2958"/>
    <w:rsid w:val="00CC4504"/>
    <w:rsid w:val="00CC4BFE"/>
    <w:rsid w:val="00CC4C95"/>
    <w:rsid w:val="00CC4F3A"/>
    <w:rsid w:val="00CC5320"/>
    <w:rsid w:val="00CD0384"/>
    <w:rsid w:val="00CD17D5"/>
    <w:rsid w:val="00CD19A3"/>
    <w:rsid w:val="00CD2058"/>
    <w:rsid w:val="00CD225C"/>
    <w:rsid w:val="00CD27B9"/>
    <w:rsid w:val="00CD28E0"/>
    <w:rsid w:val="00CD2BA1"/>
    <w:rsid w:val="00CD331E"/>
    <w:rsid w:val="00CD384B"/>
    <w:rsid w:val="00CD44A0"/>
    <w:rsid w:val="00CD4EBB"/>
    <w:rsid w:val="00CD50F9"/>
    <w:rsid w:val="00CD5868"/>
    <w:rsid w:val="00CD71A0"/>
    <w:rsid w:val="00CD79A8"/>
    <w:rsid w:val="00CD7A95"/>
    <w:rsid w:val="00CE02C8"/>
    <w:rsid w:val="00CE0701"/>
    <w:rsid w:val="00CE1DFE"/>
    <w:rsid w:val="00CE205A"/>
    <w:rsid w:val="00CE2D97"/>
    <w:rsid w:val="00CE37ED"/>
    <w:rsid w:val="00CE4237"/>
    <w:rsid w:val="00CE4669"/>
    <w:rsid w:val="00CE47D7"/>
    <w:rsid w:val="00CE6EAB"/>
    <w:rsid w:val="00CE75ED"/>
    <w:rsid w:val="00CE7845"/>
    <w:rsid w:val="00CF0337"/>
    <w:rsid w:val="00CF1FBA"/>
    <w:rsid w:val="00CF2B94"/>
    <w:rsid w:val="00CF3459"/>
    <w:rsid w:val="00CF3587"/>
    <w:rsid w:val="00CF4320"/>
    <w:rsid w:val="00CF5075"/>
    <w:rsid w:val="00CF74F1"/>
    <w:rsid w:val="00D00111"/>
    <w:rsid w:val="00D003E2"/>
    <w:rsid w:val="00D00690"/>
    <w:rsid w:val="00D00CF4"/>
    <w:rsid w:val="00D02312"/>
    <w:rsid w:val="00D02EBE"/>
    <w:rsid w:val="00D05247"/>
    <w:rsid w:val="00D06262"/>
    <w:rsid w:val="00D070EE"/>
    <w:rsid w:val="00D07B96"/>
    <w:rsid w:val="00D102FF"/>
    <w:rsid w:val="00D1062A"/>
    <w:rsid w:val="00D16686"/>
    <w:rsid w:val="00D17C56"/>
    <w:rsid w:val="00D17CE4"/>
    <w:rsid w:val="00D20E02"/>
    <w:rsid w:val="00D21E42"/>
    <w:rsid w:val="00D226FE"/>
    <w:rsid w:val="00D22D79"/>
    <w:rsid w:val="00D2338D"/>
    <w:rsid w:val="00D240B8"/>
    <w:rsid w:val="00D2641E"/>
    <w:rsid w:val="00D2714D"/>
    <w:rsid w:val="00D2750A"/>
    <w:rsid w:val="00D27763"/>
    <w:rsid w:val="00D306A9"/>
    <w:rsid w:val="00D313E0"/>
    <w:rsid w:val="00D31731"/>
    <w:rsid w:val="00D319C9"/>
    <w:rsid w:val="00D33489"/>
    <w:rsid w:val="00D36733"/>
    <w:rsid w:val="00D37BD6"/>
    <w:rsid w:val="00D41508"/>
    <w:rsid w:val="00D461A6"/>
    <w:rsid w:val="00D46C61"/>
    <w:rsid w:val="00D471B5"/>
    <w:rsid w:val="00D5253F"/>
    <w:rsid w:val="00D52D91"/>
    <w:rsid w:val="00D53948"/>
    <w:rsid w:val="00D53D0B"/>
    <w:rsid w:val="00D542AB"/>
    <w:rsid w:val="00D54846"/>
    <w:rsid w:val="00D55087"/>
    <w:rsid w:val="00D551C9"/>
    <w:rsid w:val="00D571DB"/>
    <w:rsid w:val="00D57C54"/>
    <w:rsid w:val="00D60223"/>
    <w:rsid w:val="00D61F30"/>
    <w:rsid w:val="00D62FEE"/>
    <w:rsid w:val="00D64E81"/>
    <w:rsid w:val="00D64F21"/>
    <w:rsid w:val="00D669B8"/>
    <w:rsid w:val="00D67245"/>
    <w:rsid w:val="00D72B6E"/>
    <w:rsid w:val="00D73804"/>
    <w:rsid w:val="00D74426"/>
    <w:rsid w:val="00D74A26"/>
    <w:rsid w:val="00D75D82"/>
    <w:rsid w:val="00D760CA"/>
    <w:rsid w:val="00D762E4"/>
    <w:rsid w:val="00D77C1B"/>
    <w:rsid w:val="00D805E3"/>
    <w:rsid w:val="00D808A4"/>
    <w:rsid w:val="00D80EB9"/>
    <w:rsid w:val="00D82AA1"/>
    <w:rsid w:val="00D83530"/>
    <w:rsid w:val="00D83571"/>
    <w:rsid w:val="00D84489"/>
    <w:rsid w:val="00D84DF6"/>
    <w:rsid w:val="00D85254"/>
    <w:rsid w:val="00D8531B"/>
    <w:rsid w:val="00D858E1"/>
    <w:rsid w:val="00D87929"/>
    <w:rsid w:val="00D8794D"/>
    <w:rsid w:val="00D90BC0"/>
    <w:rsid w:val="00D9300C"/>
    <w:rsid w:val="00D94A25"/>
    <w:rsid w:val="00D97A3C"/>
    <w:rsid w:val="00D97AD8"/>
    <w:rsid w:val="00DA0D0F"/>
    <w:rsid w:val="00DA1A50"/>
    <w:rsid w:val="00DA1E95"/>
    <w:rsid w:val="00DA1F95"/>
    <w:rsid w:val="00DA25D7"/>
    <w:rsid w:val="00DA4815"/>
    <w:rsid w:val="00DA4C6F"/>
    <w:rsid w:val="00DA6198"/>
    <w:rsid w:val="00DA64CB"/>
    <w:rsid w:val="00DA70DA"/>
    <w:rsid w:val="00DA7E4E"/>
    <w:rsid w:val="00DB04F0"/>
    <w:rsid w:val="00DB055F"/>
    <w:rsid w:val="00DB0D76"/>
    <w:rsid w:val="00DB0F83"/>
    <w:rsid w:val="00DB16EE"/>
    <w:rsid w:val="00DB1A5A"/>
    <w:rsid w:val="00DB2503"/>
    <w:rsid w:val="00DB28F5"/>
    <w:rsid w:val="00DB2B22"/>
    <w:rsid w:val="00DB48C7"/>
    <w:rsid w:val="00DB54F8"/>
    <w:rsid w:val="00DB596E"/>
    <w:rsid w:val="00DB64A9"/>
    <w:rsid w:val="00DB67E4"/>
    <w:rsid w:val="00DB6981"/>
    <w:rsid w:val="00DB7360"/>
    <w:rsid w:val="00DB7A5B"/>
    <w:rsid w:val="00DC03D3"/>
    <w:rsid w:val="00DC09BA"/>
    <w:rsid w:val="00DC11CF"/>
    <w:rsid w:val="00DC1B50"/>
    <w:rsid w:val="00DC2EB9"/>
    <w:rsid w:val="00DC2EC3"/>
    <w:rsid w:val="00DC3DB4"/>
    <w:rsid w:val="00DC481B"/>
    <w:rsid w:val="00DC57F9"/>
    <w:rsid w:val="00DC61A1"/>
    <w:rsid w:val="00DC6D50"/>
    <w:rsid w:val="00DD0A19"/>
    <w:rsid w:val="00DD15CC"/>
    <w:rsid w:val="00DD1AFC"/>
    <w:rsid w:val="00DD2D02"/>
    <w:rsid w:val="00DD3455"/>
    <w:rsid w:val="00DD4774"/>
    <w:rsid w:val="00DD693E"/>
    <w:rsid w:val="00DE205F"/>
    <w:rsid w:val="00DE2D0E"/>
    <w:rsid w:val="00DE43F6"/>
    <w:rsid w:val="00DE4731"/>
    <w:rsid w:val="00DE4EF5"/>
    <w:rsid w:val="00DE5BB1"/>
    <w:rsid w:val="00DE606A"/>
    <w:rsid w:val="00DE675E"/>
    <w:rsid w:val="00DE6909"/>
    <w:rsid w:val="00DE6AE5"/>
    <w:rsid w:val="00DE713C"/>
    <w:rsid w:val="00DE7786"/>
    <w:rsid w:val="00DF1ACB"/>
    <w:rsid w:val="00DF261E"/>
    <w:rsid w:val="00DF2804"/>
    <w:rsid w:val="00DF2CD2"/>
    <w:rsid w:val="00DF3A98"/>
    <w:rsid w:val="00DF4400"/>
    <w:rsid w:val="00DF470B"/>
    <w:rsid w:val="00DF4D38"/>
    <w:rsid w:val="00DF4FFD"/>
    <w:rsid w:val="00DF555D"/>
    <w:rsid w:val="00DF5881"/>
    <w:rsid w:val="00DF5CE1"/>
    <w:rsid w:val="00DF6EA6"/>
    <w:rsid w:val="00DF7528"/>
    <w:rsid w:val="00DF7796"/>
    <w:rsid w:val="00DF7837"/>
    <w:rsid w:val="00DF7D6E"/>
    <w:rsid w:val="00E03031"/>
    <w:rsid w:val="00E041FD"/>
    <w:rsid w:val="00E04D7B"/>
    <w:rsid w:val="00E05BAE"/>
    <w:rsid w:val="00E07547"/>
    <w:rsid w:val="00E075A6"/>
    <w:rsid w:val="00E10687"/>
    <w:rsid w:val="00E10AA5"/>
    <w:rsid w:val="00E12038"/>
    <w:rsid w:val="00E123A9"/>
    <w:rsid w:val="00E12AC3"/>
    <w:rsid w:val="00E1365B"/>
    <w:rsid w:val="00E2026D"/>
    <w:rsid w:val="00E214B3"/>
    <w:rsid w:val="00E21F45"/>
    <w:rsid w:val="00E242C2"/>
    <w:rsid w:val="00E255B6"/>
    <w:rsid w:val="00E256ED"/>
    <w:rsid w:val="00E25BEC"/>
    <w:rsid w:val="00E26006"/>
    <w:rsid w:val="00E277A5"/>
    <w:rsid w:val="00E30334"/>
    <w:rsid w:val="00E31756"/>
    <w:rsid w:val="00E31EAD"/>
    <w:rsid w:val="00E3226C"/>
    <w:rsid w:val="00E33869"/>
    <w:rsid w:val="00E347BE"/>
    <w:rsid w:val="00E34A76"/>
    <w:rsid w:val="00E34AC7"/>
    <w:rsid w:val="00E36029"/>
    <w:rsid w:val="00E36810"/>
    <w:rsid w:val="00E36904"/>
    <w:rsid w:val="00E371ED"/>
    <w:rsid w:val="00E40346"/>
    <w:rsid w:val="00E40916"/>
    <w:rsid w:val="00E410D9"/>
    <w:rsid w:val="00E41186"/>
    <w:rsid w:val="00E4129D"/>
    <w:rsid w:val="00E42511"/>
    <w:rsid w:val="00E42B67"/>
    <w:rsid w:val="00E42DDC"/>
    <w:rsid w:val="00E43758"/>
    <w:rsid w:val="00E44445"/>
    <w:rsid w:val="00E453CD"/>
    <w:rsid w:val="00E4587D"/>
    <w:rsid w:val="00E46115"/>
    <w:rsid w:val="00E47400"/>
    <w:rsid w:val="00E47690"/>
    <w:rsid w:val="00E50D46"/>
    <w:rsid w:val="00E51423"/>
    <w:rsid w:val="00E517E4"/>
    <w:rsid w:val="00E51A62"/>
    <w:rsid w:val="00E51D5A"/>
    <w:rsid w:val="00E520D8"/>
    <w:rsid w:val="00E527C6"/>
    <w:rsid w:val="00E543A9"/>
    <w:rsid w:val="00E54A35"/>
    <w:rsid w:val="00E556CD"/>
    <w:rsid w:val="00E55B3A"/>
    <w:rsid w:val="00E568AB"/>
    <w:rsid w:val="00E56DAC"/>
    <w:rsid w:val="00E5752D"/>
    <w:rsid w:val="00E57C27"/>
    <w:rsid w:val="00E60315"/>
    <w:rsid w:val="00E60955"/>
    <w:rsid w:val="00E6235B"/>
    <w:rsid w:val="00E6283D"/>
    <w:rsid w:val="00E63A9F"/>
    <w:rsid w:val="00E6456A"/>
    <w:rsid w:val="00E64FFD"/>
    <w:rsid w:val="00E64FFE"/>
    <w:rsid w:val="00E664D6"/>
    <w:rsid w:val="00E66DC6"/>
    <w:rsid w:val="00E7226C"/>
    <w:rsid w:val="00E744DF"/>
    <w:rsid w:val="00E74A33"/>
    <w:rsid w:val="00E74D07"/>
    <w:rsid w:val="00E755C8"/>
    <w:rsid w:val="00E76C94"/>
    <w:rsid w:val="00E773C4"/>
    <w:rsid w:val="00E77EE2"/>
    <w:rsid w:val="00E809CA"/>
    <w:rsid w:val="00E80AEF"/>
    <w:rsid w:val="00E81024"/>
    <w:rsid w:val="00E81C67"/>
    <w:rsid w:val="00E82F93"/>
    <w:rsid w:val="00E83962"/>
    <w:rsid w:val="00E83A0A"/>
    <w:rsid w:val="00E84E23"/>
    <w:rsid w:val="00E87251"/>
    <w:rsid w:val="00E926E1"/>
    <w:rsid w:val="00E92999"/>
    <w:rsid w:val="00E94460"/>
    <w:rsid w:val="00E94C36"/>
    <w:rsid w:val="00E94C3E"/>
    <w:rsid w:val="00E95BCD"/>
    <w:rsid w:val="00E96BA9"/>
    <w:rsid w:val="00E97EC3"/>
    <w:rsid w:val="00EA00FA"/>
    <w:rsid w:val="00EA0B33"/>
    <w:rsid w:val="00EA160D"/>
    <w:rsid w:val="00EA2559"/>
    <w:rsid w:val="00EA39DB"/>
    <w:rsid w:val="00EA4A50"/>
    <w:rsid w:val="00EA4FC9"/>
    <w:rsid w:val="00EA754B"/>
    <w:rsid w:val="00EA7804"/>
    <w:rsid w:val="00EB0402"/>
    <w:rsid w:val="00EB084E"/>
    <w:rsid w:val="00EB131A"/>
    <w:rsid w:val="00EB226D"/>
    <w:rsid w:val="00EB247C"/>
    <w:rsid w:val="00EB26B3"/>
    <w:rsid w:val="00EB273F"/>
    <w:rsid w:val="00EB2985"/>
    <w:rsid w:val="00EB3533"/>
    <w:rsid w:val="00EB41A2"/>
    <w:rsid w:val="00EB4618"/>
    <w:rsid w:val="00EB4741"/>
    <w:rsid w:val="00EB52F0"/>
    <w:rsid w:val="00EB57EB"/>
    <w:rsid w:val="00EB5CD8"/>
    <w:rsid w:val="00EB6B19"/>
    <w:rsid w:val="00EB6C30"/>
    <w:rsid w:val="00EC1D6B"/>
    <w:rsid w:val="00EC1F58"/>
    <w:rsid w:val="00EC7C86"/>
    <w:rsid w:val="00ED0A3A"/>
    <w:rsid w:val="00ED0B54"/>
    <w:rsid w:val="00ED1BE0"/>
    <w:rsid w:val="00ED2382"/>
    <w:rsid w:val="00ED24FE"/>
    <w:rsid w:val="00ED3257"/>
    <w:rsid w:val="00ED3899"/>
    <w:rsid w:val="00ED446E"/>
    <w:rsid w:val="00ED4CFD"/>
    <w:rsid w:val="00ED60C4"/>
    <w:rsid w:val="00ED776F"/>
    <w:rsid w:val="00EE21F3"/>
    <w:rsid w:val="00EE2419"/>
    <w:rsid w:val="00EE2561"/>
    <w:rsid w:val="00EE25B1"/>
    <w:rsid w:val="00EE4E0F"/>
    <w:rsid w:val="00EE54FC"/>
    <w:rsid w:val="00EE63A6"/>
    <w:rsid w:val="00EE70B5"/>
    <w:rsid w:val="00EE7554"/>
    <w:rsid w:val="00EE7935"/>
    <w:rsid w:val="00EF1FBB"/>
    <w:rsid w:val="00EF2B24"/>
    <w:rsid w:val="00EF536B"/>
    <w:rsid w:val="00EF65FB"/>
    <w:rsid w:val="00EF69F3"/>
    <w:rsid w:val="00EF783C"/>
    <w:rsid w:val="00EF7B7B"/>
    <w:rsid w:val="00F00265"/>
    <w:rsid w:val="00F012BE"/>
    <w:rsid w:val="00F01B3A"/>
    <w:rsid w:val="00F02124"/>
    <w:rsid w:val="00F0702E"/>
    <w:rsid w:val="00F0736A"/>
    <w:rsid w:val="00F1064D"/>
    <w:rsid w:val="00F11D4B"/>
    <w:rsid w:val="00F1283B"/>
    <w:rsid w:val="00F13693"/>
    <w:rsid w:val="00F15231"/>
    <w:rsid w:val="00F155A4"/>
    <w:rsid w:val="00F15AAE"/>
    <w:rsid w:val="00F1687F"/>
    <w:rsid w:val="00F170BE"/>
    <w:rsid w:val="00F2072D"/>
    <w:rsid w:val="00F207C6"/>
    <w:rsid w:val="00F21458"/>
    <w:rsid w:val="00F21DA8"/>
    <w:rsid w:val="00F24374"/>
    <w:rsid w:val="00F24CF0"/>
    <w:rsid w:val="00F25025"/>
    <w:rsid w:val="00F25590"/>
    <w:rsid w:val="00F25D74"/>
    <w:rsid w:val="00F26A72"/>
    <w:rsid w:val="00F31B4A"/>
    <w:rsid w:val="00F328D0"/>
    <w:rsid w:val="00F33DC0"/>
    <w:rsid w:val="00F3665A"/>
    <w:rsid w:val="00F373D9"/>
    <w:rsid w:val="00F37911"/>
    <w:rsid w:val="00F37FA0"/>
    <w:rsid w:val="00F40BB6"/>
    <w:rsid w:val="00F40DD8"/>
    <w:rsid w:val="00F41638"/>
    <w:rsid w:val="00F4232F"/>
    <w:rsid w:val="00F42B48"/>
    <w:rsid w:val="00F43E4B"/>
    <w:rsid w:val="00F4496C"/>
    <w:rsid w:val="00F44E3B"/>
    <w:rsid w:val="00F44F76"/>
    <w:rsid w:val="00F4531F"/>
    <w:rsid w:val="00F45562"/>
    <w:rsid w:val="00F51150"/>
    <w:rsid w:val="00F5172F"/>
    <w:rsid w:val="00F52014"/>
    <w:rsid w:val="00F522A8"/>
    <w:rsid w:val="00F552E2"/>
    <w:rsid w:val="00F55FA3"/>
    <w:rsid w:val="00F56005"/>
    <w:rsid w:val="00F573B5"/>
    <w:rsid w:val="00F5780E"/>
    <w:rsid w:val="00F603E4"/>
    <w:rsid w:val="00F6085F"/>
    <w:rsid w:val="00F6152D"/>
    <w:rsid w:val="00F61B42"/>
    <w:rsid w:val="00F6292E"/>
    <w:rsid w:val="00F62A35"/>
    <w:rsid w:val="00F641E7"/>
    <w:rsid w:val="00F6427E"/>
    <w:rsid w:val="00F64286"/>
    <w:rsid w:val="00F64382"/>
    <w:rsid w:val="00F655F6"/>
    <w:rsid w:val="00F67BD0"/>
    <w:rsid w:val="00F70760"/>
    <w:rsid w:val="00F72B42"/>
    <w:rsid w:val="00F72D5D"/>
    <w:rsid w:val="00F743F1"/>
    <w:rsid w:val="00F74BF4"/>
    <w:rsid w:val="00F754E2"/>
    <w:rsid w:val="00F755F1"/>
    <w:rsid w:val="00F75686"/>
    <w:rsid w:val="00F7570D"/>
    <w:rsid w:val="00F809AB"/>
    <w:rsid w:val="00F8114A"/>
    <w:rsid w:val="00F83F71"/>
    <w:rsid w:val="00F84061"/>
    <w:rsid w:val="00F859B7"/>
    <w:rsid w:val="00F85B1A"/>
    <w:rsid w:val="00F864A9"/>
    <w:rsid w:val="00F86918"/>
    <w:rsid w:val="00F86A41"/>
    <w:rsid w:val="00F8785E"/>
    <w:rsid w:val="00F9146A"/>
    <w:rsid w:val="00F9340B"/>
    <w:rsid w:val="00F93455"/>
    <w:rsid w:val="00F93789"/>
    <w:rsid w:val="00F93A35"/>
    <w:rsid w:val="00F93B44"/>
    <w:rsid w:val="00F948A6"/>
    <w:rsid w:val="00F96254"/>
    <w:rsid w:val="00F96DBF"/>
    <w:rsid w:val="00F972E5"/>
    <w:rsid w:val="00F97EA5"/>
    <w:rsid w:val="00FA0E70"/>
    <w:rsid w:val="00FA2127"/>
    <w:rsid w:val="00FA2412"/>
    <w:rsid w:val="00FA414B"/>
    <w:rsid w:val="00FA4651"/>
    <w:rsid w:val="00FA5767"/>
    <w:rsid w:val="00FA70A2"/>
    <w:rsid w:val="00FB12D3"/>
    <w:rsid w:val="00FB13A6"/>
    <w:rsid w:val="00FB4564"/>
    <w:rsid w:val="00FB500C"/>
    <w:rsid w:val="00FB7618"/>
    <w:rsid w:val="00FC0B06"/>
    <w:rsid w:val="00FC13AB"/>
    <w:rsid w:val="00FC1C44"/>
    <w:rsid w:val="00FC1DB3"/>
    <w:rsid w:val="00FC2647"/>
    <w:rsid w:val="00FC3EFB"/>
    <w:rsid w:val="00FC49D1"/>
    <w:rsid w:val="00FC5F75"/>
    <w:rsid w:val="00FC774F"/>
    <w:rsid w:val="00FD0D61"/>
    <w:rsid w:val="00FD30E6"/>
    <w:rsid w:val="00FD3703"/>
    <w:rsid w:val="00FD5D31"/>
    <w:rsid w:val="00FD688F"/>
    <w:rsid w:val="00FD69E0"/>
    <w:rsid w:val="00FD70DE"/>
    <w:rsid w:val="00FD797E"/>
    <w:rsid w:val="00FD79CB"/>
    <w:rsid w:val="00FD7EB8"/>
    <w:rsid w:val="00FE05CF"/>
    <w:rsid w:val="00FE2BA3"/>
    <w:rsid w:val="00FE2F1D"/>
    <w:rsid w:val="00FE2FBC"/>
    <w:rsid w:val="00FE3B4A"/>
    <w:rsid w:val="00FE4A38"/>
    <w:rsid w:val="00FE4F7F"/>
    <w:rsid w:val="00FE693F"/>
    <w:rsid w:val="00FE6DED"/>
    <w:rsid w:val="00FF0936"/>
    <w:rsid w:val="00FF1150"/>
    <w:rsid w:val="00FF2EF0"/>
    <w:rsid w:val="00FF5A0D"/>
    <w:rsid w:val="00FF5AE6"/>
    <w:rsid w:val="12AE5170"/>
    <w:rsid w:val="19AA5502"/>
    <w:rsid w:val="1C38A8CA"/>
    <w:rsid w:val="40161029"/>
    <w:rsid w:val="4C74F8B3"/>
    <w:rsid w:val="5B5B2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3913A"/>
  <w15:chartTrackingRefBased/>
  <w15:docId w15:val="{116C7657-266F-49FF-A07F-FE6E861C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BodyLevel1">
    <w:name w:val="BodyLevel1"/>
    <w:basedOn w:val="Normal"/>
    <w:link w:val="BodyLevel1Char"/>
    <w:rsid w:val="005935B8"/>
    <w:pPr>
      <w:overflowPunct w:val="0"/>
      <w:autoSpaceDE w:val="0"/>
      <w:autoSpaceDN w:val="0"/>
      <w:adjustRightInd w:val="0"/>
      <w:spacing w:before="160"/>
      <w:ind w:left="360"/>
      <w:textAlignment w:val="baseline"/>
    </w:pPr>
    <w:rPr>
      <w:rFonts w:ascii="Arial" w:hAnsi="Arial"/>
      <w:color w:val="000000"/>
      <w:sz w:val="22"/>
      <w:szCs w:val="20"/>
    </w:rPr>
  </w:style>
  <w:style w:type="character" w:customStyle="1" w:styleId="BodyLevel1Char">
    <w:name w:val="BodyLevel1 Char"/>
    <w:link w:val="BodyLevel1"/>
    <w:rsid w:val="005935B8"/>
    <w:rPr>
      <w:rFonts w:ascii="Arial" w:hAnsi="Arial"/>
      <w:color w:val="000000"/>
      <w:sz w:val="22"/>
      <w:lang w:val="en-US" w:eastAsia="en-US" w:bidi="ar-SA"/>
    </w:rPr>
  </w:style>
  <w:style w:type="paragraph" w:styleId="NormalWeb">
    <w:name w:val="Normal (Web)"/>
    <w:basedOn w:val="Normal"/>
    <w:uiPriority w:val="99"/>
    <w:rsid w:val="0057499A"/>
    <w:pPr>
      <w:spacing w:after="100" w:afterAutospacing="1"/>
    </w:pPr>
    <w:rPr>
      <w:rFonts w:ascii="Arial Unicode MS" w:eastAsia="Arial Unicode MS" w:hAnsi="Arial Unicode MS" w:cs="Arial Unicode MS"/>
    </w:rPr>
  </w:style>
  <w:style w:type="character" w:customStyle="1" w:styleId="bodybold1">
    <w:name w:val="bodybold1"/>
    <w:rsid w:val="006206BF"/>
    <w:rPr>
      <w:b/>
      <w:bCs/>
    </w:rPr>
  </w:style>
  <w:style w:type="paragraph" w:customStyle="1" w:styleId="BulletText1">
    <w:name w:val="Bullet Text 1"/>
    <w:basedOn w:val="Normal"/>
    <w:rsid w:val="00F170BE"/>
    <w:pPr>
      <w:numPr>
        <w:numId w:val="2"/>
      </w:numPr>
      <w:tabs>
        <w:tab w:val="left" w:pos="187"/>
      </w:tabs>
    </w:pPr>
    <w:rPr>
      <w:szCs w:val="20"/>
    </w:rPr>
  </w:style>
  <w:style w:type="paragraph" w:customStyle="1" w:styleId="BulletLevel1">
    <w:name w:val="BulletLevel1"/>
    <w:basedOn w:val="Normal"/>
    <w:rsid w:val="00F170BE"/>
    <w:pPr>
      <w:keepNext/>
      <w:numPr>
        <w:numId w:val="1"/>
      </w:numPr>
      <w:tabs>
        <w:tab w:val="left" w:pos="720"/>
        <w:tab w:val="left" w:pos="1008"/>
      </w:tabs>
      <w:overflowPunct w:val="0"/>
      <w:autoSpaceDE w:val="0"/>
      <w:autoSpaceDN w:val="0"/>
      <w:adjustRightInd w:val="0"/>
      <w:spacing w:before="120"/>
      <w:ind w:right="288"/>
      <w:textAlignment w:val="baseline"/>
    </w:pPr>
    <w:rPr>
      <w:rFonts w:ascii="Arial" w:hAnsi="Arial"/>
      <w:color w:val="000000"/>
      <w:sz w:val="22"/>
      <w:szCs w:val="20"/>
    </w:rPr>
  </w:style>
  <w:style w:type="paragraph" w:styleId="BodyTextIndent">
    <w:name w:val="Body Text Indent"/>
    <w:basedOn w:val="Normal"/>
    <w:rsid w:val="00F13693"/>
    <w:pPr>
      <w:ind w:left="2070" w:hanging="2070"/>
    </w:pPr>
    <w:rPr>
      <w:rFonts w:ascii="Arial" w:hAnsi="Arial"/>
      <w:szCs w:val="20"/>
    </w:rPr>
  </w:style>
  <w:style w:type="paragraph" w:customStyle="1" w:styleId="Default">
    <w:name w:val="Default"/>
    <w:rsid w:val="00F44E3B"/>
    <w:pPr>
      <w:widowControl w:val="0"/>
      <w:autoSpaceDE w:val="0"/>
      <w:autoSpaceDN w:val="0"/>
      <w:adjustRightInd w:val="0"/>
    </w:pPr>
    <w:rPr>
      <w:color w:val="000000"/>
      <w:sz w:val="24"/>
      <w:szCs w:val="24"/>
    </w:rPr>
  </w:style>
  <w:style w:type="paragraph" w:styleId="BalloonText">
    <w:name w:val="Balloon Text"/>
    <w:basedOn w:val="Normal"/>
    <w:semiHidden/>
    <w:rsid w:val="00A47CB1"/>
    <w:rPr>
      <w:rFonts w:ascii="Tahoma" w:hAnsi="Tahoma" w:cs="Tahoma"/>
      <w:sz w:val="16"/>
      <w:szCs w:val="16"/>
    </w:rPr>
  </w:style>
  <w:style w:type="character" w:styleId="Emphasis">
    <w:name w:val="Emphasis"/>
    <w:uiPriority w:val="20"/>
    <w:qFormat/>
    <w:rsid w:val="009B3EDF"/>
    <w:rPr>
      <w:b/>
      <w:bCs/>
      <w:i w:val="0"/>
      <w:iCs w:val="0"/>
    </w:rPr>
  </w:style>
  <w:style w:type="paragraph" w:styleId="PlainText">
    <w:name w:val="Plain Text"/>
    <w:basedOn w:val="Normal"/>
    <w:link w:val="PlainTextChar"/>
    <w:uiPriority w:val="99"/>
    <w:unhideWhenUsed/>
    <w:rsid w:val="00B56A3F"/>
    <w:rPr>
      <w:rFonts w:ascii="Consolas" w:eastAsia="Calibri" w:hAnsi="Consolas"/>
      <w:sz w:val="21"/>
      <w:szCs w:val="21"/>
      <w:lang w:val="x-none" w:eastAsia="x-none"/>
    </w:rPr>
  </w:style>
  <w:style w:type="character" w:customStyle="1" w:styleId="PlainTextChar">
    <w:name w:val="Plain Text Char"/>
    <w:link w:val="PlainText"/>
    <w:uiPriority w:val="99"/>
    <w:rsid w:val="00B56A3F"/>
    <w:rPr>
      <w:rFonts w:ascii="Consolas" w:eastAsia="Calibri" w:hAnsi="Consolas" w:cs="Times New Roman"/>
      <w:sz w:val="21"/>
      <w:szCs w:val="21"/>
    </w:rPr>
  </w:style>
  <w:style w:type="paragraph" w:styleId="Revision">
    <w:name w:val="Revision"/>
    <w:hidden/>
    <w:uiPriority w:val="99"/>
    <w:semiHidden/>
    <w:rsid w:val="00D21E42"/>
    <w:rPr>
      <w:sz w:val="24"/>
      <w:szCs w:val="24"/>
    </w:rPr>
  </w:style>
  <w:style w:type="character" w:styleId="CommentReference">
    <w:name w:val="annotation reference"/>
    <w:rsid w:val="007A7A36"/>
    <w:rPr>
      <w:sz w:val="16"/>
      <w:szCs w:val="16"/>
    </w:rPr>
  </w:style>
  <w:style w:type="paragraph" w:styleId="CommentText">
    <w:name w:val="annotation text"/>
    <w:basedOn w:val="Normal"/>
    <w:link w:val="CommentTextChar"/>
    <w:rsid w:val="007A7A36"/>
    <w:rPr>
      <w:sz w:val="20"/>
      <w:szCs w:val="20"/>
    </w:rPr>
  </w:style>
  <w:style w:type="character" w:customStyle="1" w:styleId="CommentTextChar">
    <w:name w:val="Comment Text Char"/>
    <w:basedOn w:val="DefaultParagraphFont"/>
    <w:link w:val="CommentText"/>
    <w:rsid w:val="007A7A36"/>
  </w:style>
  <w:style w:type="paragraph" w:styleId="CommentSubject">
    <w:name w:val="annotation subject"/>
    <w:basedOn w:val="CommentText"/>
    <w:next w:val="CommentText"/>
    <w:link w:val="CommentSubjectChar"/>
    <w:rsid w:val="007A7A36"/>
    <w:rPr>
      <w:b/>
      <w:bCs/>
      <w:lang w:val="x-none" w:eastAsia="x-none"/>
    </w:rPr>
  </w:style>
  <w:style w:type="character" w:customStyle="1" w:styleId="CommentSubjectChar">
    <w:name w:val="Comment Subject Char"/>
    <w:link w:val="CommentSubject"/>
    <w:rsid w:val="007A7A36"/>
    <w:rPr>
      <w:b/>
      <w:bCs/>
    </w:rPr>
  </w:style>
  <w:style w:type="paragraph" w:styleId="HTMLPreformatted">
    <w:name w:val="HTML Preformatted"/>
    <w:basedOn w:val="Normal"/>
    <w:link w:val="HTMLPreformattedChar"/>
    <w:uiPriority w:val="99"/>
    <w:unhideWhenUsed/>
    <w:rsid w:val="0034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lang w:val="x-none" w:eastAsia="x-none"/>
    </w:rPr>
  </w:style>
  <w:style w:type="character" w:customStyle="1" w:styleId="HTMLPreformattedChar">
    <w:name w:val="HTML Preformatted Char"/>
    <w:link w:val="HTMLPreformatted"/>
    <w:uiPriority w:val="99"/>
    <w:rsid w:val="00346AAA"/>
    <w:rPr>
      <w:rFonts w:ascii="Courier New" w:eastAsia="Calibri" w:hAnsi="Courier New" w:cs="Courier New"/>
    </w:rPr>
  </w:style>
  <w:style w:type="character" w:customStyle="1" w:styleId="st1">
    <w:name w:val="st1"/>
    <w:rsid w:val="007711BA"/>
    <w:rPr>
      <w:rFonts w:ascii="Times New Roman" w:hAnsi="Times New Roman" w:cs="Times New Roman" w:hint="default"/>
    </w:rPr>
  </w:style>
  <w:style w:type="paragraph" w:customStyle="1" w:styleId="Dotbullet">
    <w:name w:val="Dot bullet"/>
    <w:basedOn w:val="Normal"/>
    <w:rsid w:val="00BF39F0"/>
    <w:pPr>
      <w:widowControl w:val="0"/>
      <w:numPr>
        <w:numId w:val="43"/>
      </w:numPr>
      <w:tabs>
        <w:tab w:val="clear" w:pos="360"/>
        <w:tab w:val="num" w:pos="720"/>
      </w:tabs>
      <w:ind w:left="720"/>
    </w:pPr>
    <w:rPr>
      <w:rFonts w:ascii="Verdana" w:hAnsi="Verdana"/>
      <w:szCs w:val="20"/>
    </w:rPr>
  </w:style>
  <w:style w:type="paragraph" w:styleId="ListParagraph">
    <w:name w:val="List Paragraph"/>
    <w:basedOn w:val="Normal"/>
    <w:uiPriority w:val="34"/>
    <w:qFormat/>
    <w:rsid w:val="00B535CF"/>
    <w:pPr>
      <w:ind w:left="720"/>
      <w:contextualSpacing/>
    </w:pPr>
    <w:rPr>
      <w:rFonts w:ascii="Calibri" w:eastAsia="Calibri" w:hAnsi="Calibri"/>
      <w:sz w:val="22"/>
      <w:szCs w:val="22"/>
    </w:rPr>
  </w:style>
  <w:style w:type="character" w:customStyle="1" w:styleId="HeaderChar">
    <w:name w:val="Header Char"/>
    <w:link w:val="Header"/>
    <w:rsid w:val="0091309E"/>
    <w:rPr>
      <w:sz w:val="24"/>
      <w:szCs w:val="24"/>
    </w:rPr>
  </w:style>
  <w:style w:type="paragraph" w:customStyle="1" w:styleId="BulletText2">
    <w:name w:val="Bullet Text 2"/>
    <w:basedOn w:val="Normal"/>
    <w:rsid w:val="00EA39DB"/>
    <w:pPr>
      <w:numPr>
        <w:numId w:val="105"/>
      </w:numPr>
    </w:pPr>
    <w:rPr>
      <w:color w:val="000000"/>
      <w:szCs w:val="20"/>
    </w:rPr>
  </w:style>
  <w:style w:type="paragraph" w:customStyle="1" w:styleId="cont">
    <w:name w:val="cont"/>
    <w:basedOn w:val="Normal"/>
    <w:rsid w:val="0043478C"/>
    <w:rPr>
      <w:rFonts w:ascii="Arial" w:hAnsi="Arial" w:cs="Arial"/>
      <w:color w:val="56595C"/>
      <w:sz w:val="21"/>
      <w:szCs w:val="21"/>
    </w:rPr>
  </w:style>
  <w:style w:type="character" w:styleId="UnresolvedMention">
    <w:name w:val="Unresolved Mention"/>
    <w:uiPriority w:val="99"/>
    <w:semiHidden/>
    <w:unhideWhenUsed/>
    <w:rsid w:val="002905FA"/>
    <w:rPr>
      <w:color w:val="605E5C"/>
      <w:shd w:val="clear" w:color="auto" w:fill="E1DFDD"/>
    </w:rPr>
  </w:style>
  <w:style w:type="numbering" w:customStyle="1" w:styleId="NoList1">
    <w:name w:val="No List1"/>
    <w:next w:val="NoList"/>
    <w:uiPriority w:val="99"/>
    <w:semiHidden/>
    <w:unhideWhenUsed/>
    <w:rsid w:val="00AC0980"/>
  </w:style>
  <w:style w:type="numbering" w:customStyle="1" w:styleId="NoList2">
    <w:name w:val="No List2"/>
    <w:next w:val="NoList"/>
    <w:uiPriority w:val="99"/>
    <w:semiHidden/>
    <w:unhideWhenUsed/>
    <w:rsid w:val="00345A43"/>
  </w:style>
  <w:style w:type="character" w:customStyle="1" w:styleId="glossarylink">
    <w:name w:val="glossarylink"/>
    <w:basedOn w:val="DefaultParagraphFont"/>
    <w:rsid w:val="00931D17"/>
  </w:style>
  <w:style w:type="character" w:customStyle="1" w:styleId="jpfdse">
    <w:name w:val="jpfdse"/>
    <w:basedOn w:val="DefaultParagraphFont"/>
    <w:rsid w:val="008B6486"/>
  </w:style>
  <w:style w:type="character" w:styleId="Mention">
    <w:name w:val="Mention"/>
    <w:basedOn w:val="DefaultParagraphFont"/>
    <w:uiPriority w:val="99"/>
    <w:unhideWhenUsed/>
    <w:rsid w:val="0088692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6887">
      <w:bodyDiv w:val="1"/>
      <w:marLeft w:val="0"/>
      <w:marRight w:val="0"/>
      <w:marTop w:val="0"/>
      <w:marBottom w:val="0"/>
      <w:divBdr>
        <w:top w:val="none" w:sz="0" w:space="0" w:color="auto"/>
        <w:left w:val="none" w:sz="0" w:space="0" w:color="auto"/>
        <w:bottom w:val="none" w:sz="0" w:space="0" w:color="auto"/>
        <w:right w:val="none" w:sz="0" w:space="0" w:color="auto"/>
      </w:divBdr>
    </w:div>
    <w:div w:id="38823455">
      <w:bodyDiv w:val="1"/>
      <w:marLeft w:val="0"/>
      <w:marRight w:val="0"/>
      <w:marTop w:val="0"/>
      <w:marBottom w:val="0"/>
      <w:divBdr>
        <w:top w:val="none" w:sz="0" w:space="0" w:color="auto"/>
        <w:left w:val="none" w:sz="0" w:space="0" w:color="auto"/>
        <w:bottom w:val="none" w:sz="0" w:space="0" w:color="auto"/>
        <w:right w:val="none" w:sz="0" w:space="0" w:color="auto"/>
      </w:divBdr>
    </w:div>
    <w:div w:id="41292399">
      <w:bodyDiv w:val="1"/>
      <w:marLeft w:val="0"/>
      <w:marRight w:val="0"/>
      <w:marTop w:val="0"/>
      <w:marBottom w:val="0"/>
      <w:divBdr>
        <w:top w:val="none" w:sz="0" w:space="0" w:color="auto"/>
        <w:left w:val="none" w:sz="0" w:space="0" w:color="auto"/>
        <w:bottom w:val="none" w:sz="0" w:space="0" w:color="auto"/>
        <w:right w:val="none" w:sz="0" w:space="0" w:color="auto"/>
      </w:divBdr>
    </w:div>
    <w:div w:id="42296602">
      <w:bodyDiv w:val="1"/>
      <w:marLeft w:val="0"/>
      <w:marRight w:val="0"/>
      <w:marTop w:val="0"/>
      <w:marBottom w:val="0"/>
      <w:divBdr>
        <w:top w:val="none" w:sz="0" w:space="0" w:color="auto"/>
        <w:left w:val="none" w:sz="0" w:space="0" w:color="auto"/>
        <w:bottom w:val="none" w:sz="0" w:space="0" w:color="auto"/>
        <w:right w:val="none" w:sz="0" w:space="0" w:color="auto"/>
      </w:divBdr>
    </w:div>
    <w:div w:id="47457662">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430030">
      <w:bodyDiv w:val="1"/>
      <w:marLeft w:val="0"/>
      <w:marRight w:val="0"/>
      <w:marTop w:val="0"/>
      <w:marBottom w:val="0"/>
      <w:divBdr>
        <w:top w:val="none" w:sz="0" w:space="0" w:color="auto"/>
        <w:left w:val="none" w:sz="0" w:space="0" w:color="auto"/>
        <w:bottom w:val="none" w:sz="0" w:space="0" w:color="auto"/>
        <w:right w:val="none" w:sz="0" w:space="0" w:color="auto"/>
      </w:divBdr>
    </w:div>
    <w:div w:id="59719191">
      <w:bodyDiv w:val="1"/>
      <w:marLeft w:val="0"/>
      <w:marRight w:val="0"/>
      <w:marTop w:val="0"/>
      <w:marBottom w:val="0"/>
      <w:divBdr>
        <w:top w:val="none" w:sz="0" w:space="0" w:color="auto"/>
        <w:left w:val="none" w:sz="0" w:space="0" w:color="auto"/>
        <w:bottom w:val="none" w:sz="0" w:space="0" w:color="auto"/>
        <w:right w:val="none" w:sz="0" w:space="0" w:color="auto"/>
      </w:divBdr>
    </w:div>
    <w:div w:id="81344439">
      <w:bodyDiv w:val="1"/>
      <w:marLeft w:val="0"/>
      <w:marRight w:val="0"/>
      <w:marTop w:val="0"/>
      <w:marBottom w:val="0"/>
      <w:divBdr>
        <w:top w:val="none" w:sz="0" w:space="0" w:color="auto"/>
        <w:left w:val="none" w:sz="0" w:space="0" w:color="auto"/>
        <w:bottom w:val="none" w:sz="0" w:space="0" w:color="auto"/>
        <w:right w:val="none" w:sz="0" w:space="0" w:color="auto"/>
      </w:divBdr>
    </w:div>
    <w:div w:id="92752790">
      <w:bodyDiv w:val="1"/>
      <w:marLeft w:val="0"/>
      <w:marRight w:val="0"/>
      <w:marTop w:val="0"/>
      <w:marBottom w:val="0"/>
      <w:divBdr>
        <w:top w:val="none" w:sz="0" w:space="0" w:color="auto"/>
        <w:left w:val="none" w:sz="0" w:space="0" w:color="auto"/>
        <w:bottom w:val="none" w:sz="0" w:space="0" w:color="auto"/>
        <w:right w:val="none" w:sz="0" w:space="0" w:color="auto"/>
      </w:divBdr>
    </w:div>
    <w:div w:id="151413387">
      <w:bodyDiv w:val="1"/>
      <w:marLeft w:val="0"/>
      <w:marRight w:val="0"/>
      <w:marTop w:val="0"/>
      <w:marBottom w:val="0"/>
      <w:divBdr>
        <w:top w:val="none" w:sz="0" w:space="0" w:color="auto"/>
        <w:left w:val="none" w:sz="0" w:space="0" w:color="auto"/>
        <w:bottom w:val="none" w:sz="0" w:space="0" w:color="auto"/>
        <w:right w:val="none" w:sz="0" w:space="0" w:color="auto"/>
      </w:divBdr>
    </w:div>
    <w:div w:id="161774530">
      <w:bodyDiv w:val="1"/>
      <w:marLeft w:val="0"/>
      <w:marRight w:val="0"/>
      <w:marTop w:val="0"/>
      <w:marBottom w:val="0"/>
      <w:divBdr>
        <w:top w:val="none" w:sz="0" w:space="0" w:color="auto"/>
        <w:left w:val="none" w:sz="0" w:space="0" w:color="auto"/>
        <w:bottom w:val="none" w:sz="0" w:space="0" w:color="auto"/>
        <w:right w:val="none" w:sz="0" w:space="0" w:color="auto"/>
      </w:divBdr>
    </w:div>
    <w:div w:id="168102620">
      <w:bodyDiv w:val="1"/>
      <w:marLeft w:val="0"/>
      <w:marRight w:val="0"/>
      <w:marTop w:val="0"/>
      <w:marBottom w:val="0"/>
      <w:divBdr>
        <w:top w:val="none" w:sz="0" w:space="0" w:color="auto"/>
        <w:left w:val="none" w:sz="0" w:space="0" w:color="auto"/>
        <w:bottom w:val="none" w:sz="0" w:space="0" w:color="auto"/>
        <w:right w:val="none" w:sz="0" w:space="0" w:color="auto"/>
      </w:divBdr>
    </w:div>
    <w:div w:id="174346038">
      <w:bodyDiv w:val="1"/>
      <w:marLeft w:val="0"/>
      <w:marRight w:val="0"/>
      <w:marTop w:val="0"/>
      <w:marBottom w:val="0"/>
      <w:divBdr>
        <w:top w:val="none" w:sz="0" w:space="0" w:color="auto"/>
        <w:left w:val="none" w:sz="0" w:space="0" w:color="auto"/>
        <w:bottom w:val="none" w:sz="0" w:space="0" w:color="auto"/>
        <w:right w:val="none" w:sz="0" w:space="0" w:color="auto"/>
      </w:divBdr>
    </w:div>
    <w:div w:id="176044608">
      <w:bodyDiv w:val="1"/>
      <w:marLeft w:val="0"/>
      <w:marRight w:val="0"/>
      <w:marTop w:val="0"/>
      <w:marBottom w:val="0"/>
      <w:divBdr>
        <w:top w:val="none" w:sz="0" w:space="0" w:color="auto"/>
        <w:left w:val="none" w:sz="0" w:space="0" w:color="auto"/>
        <w:bottom w:val="none" w:sz="0" w:space="0" w:color="auto"/>
        <w:right w:val="none" w:sz="0" w:space="0" w:color="auto"/>
      </w:divBdr>
    </w:div>
    <w:div w:id="201403943">
      <w:bodyDiv w:val="1"/>
      <w:marLeft w:val="0"/>
      <w:marRight w:val="0"/>
      <w:marTop w:val="0"/>
      <w:marBottom w:val="0"/>
      <w:divBdr>
        <w:top w:val="none" w:sz="0" w:space="0" w:color="auto"/>
        <w:left w:val="none" w:sz="0" w:space="0" w:color="auto"/>
        <w:bottom w:val="none" w:sz="0" w:space="0" w:color="auto"/>
        <w:right w:val="none" w:sz="0" w:space="0" w:color="auto"/>
      </w:divBdr>
    </w:div>
    <w:div w:id="229656158">
      <w:bodyDiv w:val="1"/>
      <w:marLeft w:val="0"/>
      <w:marRight w:val="0"/>
      <w:marTop w:val="0"/>
      <w:marBottom w:val="0"/>
      <w:divBdr>
        <w:top w:val="none" w:sz="0" w:space="0" w:color="auto"/>
        <w:left w:val="none" w:sz="0" w:space="0" w:color="auto"/>
        <w:bottom w:val="none" w:sz="0" w:space="0" w:color="auto"/>
        <w:right w:val="none" w:sz="0" w:space="0" w:color="auto"/>
      </w:divBdr>
    </w:div>
    <w:div w:id="241911002">
      <w:bodyDiv w:val="1"/>
      <w:marLeft w:val="0"/>
      <w:marRight w:val="0"/>
      <w:marTop w:val="0"/>
      <w:marBottom w:val="0"/>
      <w:divBdr>
        <w:top w:val="none" w:sz="0" w:space="0" w:color="auto"/>
        <w:left w:val="none" w:sz="0" w:space="0" w:color="auto"/>
        <w:bottom w:val="none" w:sz="0" w:space="0" w:color="auto"/>
        <w:right w:val="none" w:sz="0" w:space="0" w:color="auto"/>
      </w:divBdr>
    </w:div>
    <w:div w:id="247808284">
      <w:bodyDiv w:val="1"/>
      <w:marLeft w:val="0"/>
      <w:marRight w:val="0"/>
      <w:marTop w:val="0"/>
      <w:marBottom w:val="0"/>
      <w:divBdr>
        <w:top w:val="none" w:sz="0" w:space="0" w:color="auto"/>
        <w:left w:val="none" w:sz="0" w:space="0" w:color="auto"/>
        <w:bottom w:val="none" w:sz="0" w:space="0" w:color="auto"/>
        <w:right w:val="none" w:sz="0" w:space="0" w:color="auto"/>
      </w:divBdr>
    </w:div>
    <w:div w:id="264577696">
      <w:bodyDiv w:val="1"/>
      <w:marLeft w:val="0"/>
      <w:marRight w:val="0"/>
      <w:marTop w:val="0"/>
      <w:marBottom w:val="0"/>
      <w:divBdr>
        <w:top w:val="none" w:sz="0" w:space="0" w:color="auto"/>
        <w:left w:val="none" w:sz="0" w:space="0" w:color="auto"/>
        <w:bottom w:val="none" w:sz="0" w:space="0" w:color="auto"/>
        <w:right w:val="none" w:sz="0" w:space="0" w:color="auto"/>
      </w:divBdr>
    </w:div>
    <w:div w:id="297032567">
      <w:bodyDiv w:val="1"/>
      <w:marLeft w:val="0"/>
      <w:marRight w:val="0"/>
      <w:marTop w:val="0"/>
      <w:marBottom w:val="0"/>
      <w:divBdr>
        <w:top w:val="none" w:sz="0" w:space="0" w:color="auto"/>
        <w:left w:val="none" w:sz="0" w:space="0" w:color="auto"/>
        <w:bottom w:val="none" w:sz="0" w:space="0" w:color="auto"/>
        <w:right w:val="none" w:sz="0" w:space="0" w:color="auto"/>
      </w:divBdr>
    </w:div>
    <w:div w:id="301352985">
      <w:bodyDiv w:val="1"/>
      <w:marLeft w:val="0"/>
      <w:marRight w:val="0"/>
      <w:marTop w:val="0"/>
      <w:marBottom w:val="0"/>
      <w:divBdr>
        <w:top w:val="none" w:sz="0" w:space="0" w:color="auto"/>
        <w:left w:val="none" w:sz="0" w:space="0" w:color="auto"/>
        <w:bottom w:val="none" w:sz="0" w:space="0" w:color="auto"/>
        <w:right w:val="none" w:sz="0" w:space="0" w:color="auto"/>
      </w:divBdr>
    </w:div>
    <w:div w:id="310333452">
      <w:bodyDiv w:val="1"/>
      <w:marLeft w:val="0"/>
      <w:marRight w:val="0"/>
      <w:marTop w:val="0"/>
      <w:marBottom w:val="0"/>
      <w:divBdr>
        <w:top w:val="none" w:sz="0" w:space="0" w:color="auto"/>
        <w:left w:val="none" w:sz="0" w:space="0" w:color="auto"/>
        <w:bottom w:val="none" w:sz="0" w:space="0" w:color="auto"/>
        <w:right w:val="none" w:sz="0" w:space="0" w:color="auto"/>
      </w:divBdr>
    </w:div>
    <w:div w:id="316805165">
      <w:bodyDiv w:val="1"/>
      <w:marLeft w:val="0"/>
      <w:marRight w:val="0"/>
      <w:marTop w:val="0"/>
      <w:marBottom w:val="0"/>
      <w:divBdr>
        <w:top w:val="none" w:sz="0" w:space="0" w:color="auto"/>
        <w:left w:val="none" w:sz="0" w:space="0" w:color="auto"/>
        <w:bottom w:val="none" w:sz="0" w:space="0" w:color="auto"/>
        <w:right w:val="none" w:sz="0" w:space="0" w:color="auto"/>
      </w:divBdr>
    </w:div>
    <w:div w:id="320280588">
      <w:bodyDiv w:val="1"/>
      <w:marLeft w:val="0"/>
      <w:marRight w:val="0"/>
      <w:marTop w:val="0"/>
      <w:marBottom w:val="0"/>
      <w:divBdr>
        <w:top w:val="none" w:sz="0" w:space="0" w:color="auto"/>
        <w:left w:val="none" w:sz="0" w:space="0" w:color="auto"/>
        <w:bottom w:val="none" w:sz="0" w:space="0" w:color="auto"/>
        <w:right w:val="none" w:sz="0" w:space="0" w:color="auto"/>
      </w:divBdr>
    </w:div>
    <w:div w:id="338772158">
      <w:bodyDiv w:val="1"/>
      <w:marLeft w:val="0"/>
      <w:marRight w:val="0"/>
      <w:marTop w:val="0"/>
      <w:marBottom w:val="0"/>
      <w:divBdr>
        <w:top w:val="none" w:sz="0" w:space="0" w:color="auto"/>
        <w:left w:val="none" w:sz="0" w:space="0" w:color="auto"/>
        <w:bottom w:val="none" w:sz="0" w:space="0" w:color="auto"/>
        <w:right w:val="none" w:sz="0" w:space="0" w:color="auto"/>
      </w:divBdr>
    </w:div>
    <w:div w:id="369765934">
      <w:bodyDiv w:val="1"/>
      <w:marLeft w:val="0"/>
      <w:marRight w:val="0"/>
      <w:marTop w:val="0"/>
      <w:marBottom w:val="0"/>
      <w:divBdr>
        <w:top w:val="none" w:sz="0" w:space="0" w:color="auto"/>
        <w:left w:val="none" w:sz="0" w:space="0" w:color="auto"/>
        <w:bottom w:val="none" w:sz="0" w:space="0" w:color="auto"/>
        <w:right w:val="none" w:sz="0" w:space="0" w:color="auto"/>
      </w:divBdr>
    </w:div>
    <w:div w:id="370541526">
      <w:bodyDiv w:val="1"/>
      <w:marLeft w:val="0"/>
      <w:marRight w:val="0"/>
      <w:marTop w:val="0"/>
      <w:marBottom w:val="0"/>
      <w:divBdr>
        <w:top w:val="none" w:sz="0" w:space="0" w:color="auto"/>
        <w:left w:val="none" w:sz="0" w:space="0" w:color="auto"/>
        <w:bottom w:val="none" w:sz="0" w:space="0" w:color="auto"/>
        <w:right w:val="none" w:sz="0" w:space="0" w:color="auto"/>
      </w:divBdr>
    </w:div>
    <w:div w:id="401828600">
      <w:bodyDiv w:val="1"/>
      <w:marLeft w:val="0"/>
      <w:marRight w:val="0"/>
      <w:marTop w:val="0"/>
      <w:marBottom w:val="0"/>
      <w:divBdr>
        <w:top w:val="none" w:sz="0" w:space="0" w:color="auto"/>
        <w:left w:val="none" w:sz="0" w:space="0" w:color="auto"/>
        <w:bottom w:val="none" w:sz="0" w:space="0" w:color="auto"/>
        <w:right w:val="none" w:sz="0" w:space="0" w:color="auto"/>
      </w:divBdr>
      <w:divsChild>
        <w:div w:id="1755585528">
          <w:marLeft w:val="0"/>
          <w:marRight w:val="0"/>
          <w:marTop w:val="0"/>
          <w:marBottom w:val="0"/>
          <w:divBdr>
            <w:top w:val="none" w:sz="0" w:space="0" w:color="auto"/>
            <w:left w:val="none" w:sz="0" w:space="0" w:color="auto"/>
            <w:bottom w:val="none" w:sz="0" w:space="0" w:color="auto"/>
            <w:right w:val="none" w:sz="0" w:space="0" w:color="auto"/>
          </w:divBdr>
          <w:divsChild>
            <w:div w:id="785735369">
              <w:marLeft w:val="0"/>
              <w:marRight w:val="0"/>
              <w:marTop w:val="0"/>
              <w:marBottom w:val="0"/>
              <w:divBdr>
                <w:top w:val="none" w:sz="0" w:space="0" w:color="auto"/>
                <w:left w:val="none" w:sz="0" w:space="0" w:color="auto"/>
                <w:bottom w:val="none" w:sz="0" w:space="0" w:color="auto"/>
                <w:right w:val="none" w:sz="0" w:space="0" w:color="auto"/>
              </w:divBdr>
              <w:divsChild>
                <w:div w:id="1434326746">
                  <w:marLeft w:val="0"/>
                  <w:marRight w:val="0"/>
                  <w:marTop w:val="0"/>
                  <w:marBottom w:val="0"/>
                  <w:divBdr>
                    <w:top w:val="none" w:sz="0" w:space="0" w:color="auto"/>
                    <w:left w:val="none" w:sz="0" w:space="0" w:color="auto"/>
                    <w:bottom w:val="none" w:sz="0" w:space="0" w:color="auto"/>
                    <w:right w:val="none" w:sz="0" w:space="0" w:color="auto"/>
                  </w:divBdr>
                  <w:divsChild>
                    <w:div w:id="1634797611">
                      <w:marLeft w:val="300"/>
                      <w:marRight w:val="0"/>
                      <w:marTop w:val="0"/>
                      <w:marBottom w:val="0"/>
                      <w:divBdr>
                        <w:top w:val="none" w:sz="0" w:space="0" w:color="auto"/>
                        <w:left w:val="none" w:sz="0" w:space="0" w:color="auto"/>
                        <w:bottom w:val="none" w:sz="0" w:space="0" w:color="auto"/>
                        <w:right w:val="none" w:sz="0" w:space="0" w:color="auto"/>
                      </w:divBdr>
                      <w:divsChild>
                        <w:div w:id="180054236">
                          <w:marLeft w:val="-300"/>
                          <w:marRight w:val="0"/>
                          <w:marTop w:val="0"/>
                          <w:marBottom w:val="0"/>
                          <w:divBdr>
                            <w:top w:val="none" w:sz="0" w:space="0" w:color="auto"/>
                            <w:left w:val="none" w:sz="0" w:space="0" w:color="auto"/>
                            <w:bottom w:val="none" w:sz="0" w:space="0" w:color="auto"/>
                            <w:right w:val="none" w:sz="0" w:space="0" w:color="auto"/>
                          </w:divBdr>
                          <w:divsChild>
                            <w:div w:id="597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
    <w:div w:id="437018989">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79424902">
      <w:bodyDiv w:val="1"/>
      <w:marLeft w:val="0"/>
      <w:marRight w:val="0"/>
      <w:marTop w:val="0"/>
      <w:marBottom w:val="0"/>
      <w:divBdr>
        <w:top w:val="none" w:sz="0" w:space="0" w:color="auto"/>
        <w:left w:val="none" w:sz="0" w:space="0" w:color="auto"/>
        <w:bottom w:val="none" w:sz="0" w:space="0" w:color="auto"/>
        <w:right w:val="none" w:sz="0" w:space="0" w:color="auto"/>
      </w:divBdr>
    </w:div>
    <w:div w:id="488592370">
      <w:bodyDiv w:val="1"/>
      <w:marLeft w:val="0"/>
      <w:marRight w:val="0"/>
      <w:marTop w:val="0"/>
      <w:marBottom w:val="0"/>
      <w:divBdr>
        <w:top w:val="none" w:sz="0" w:space="0" w:color="auto"/>
        <w:left w:val="none" w:sz="0" w:space="0" w:color="auto"/>
        <w:bottom w:val="none" w:sz="0" w:space="0" w:color="auto"/>
        <w:right w:val="none" w:sz="0" w:space="0" w:color="auto"/>
      </w:divBdr>
    </w:div>
    <w:div w:id="576091505">
      <w:bodyDiv w:val="1"/>
      <w:marLeft w:val="0"/>
      <w:marRight w:val="0"/>
      <w:marTop w:val="0"/>
      <w:marBottom w:val="0"/>
      <w:divBdr>
        <w:top w:val="none" w:sz="0" w:space="0" w:color="auto"/>
        <w:left w:val="none" w:sz="0" w:space="0" w:color="auto"/>
        <w:bottom w:val="none" w:sz="0" w:space="0" w:color="auto"/>
        <w:right w:val="none" w:sz="0" w:space="0" w:color="auto"/>
      </w:divBdr>
    </w:div>
    <w:div w:id="579946794">
      <w:bodyDiv w:val="1"/>
      <w:marLeft w:val="0"/>
      <w:marRight w:val="0"/>
      <w:marTop w:val="0"/>
      <w:marBottom w:val="0"/>
      <w:divBdr>
        <w:top w:val="none" w:sz="0" w:space="0" w:color="auto"/>
        <w:left w:val="none" w:sz="0" w:space="0" w:color="auto"/>
        <w:bottom w:val="none" w:sz="0" w:space="0" w:color="auto"/>
        <w:right w:val="none" w:sz="0" w:space="0" w:color="auto"/>
      </w:divBdr>
    </w:div>
    <w:div w:id="584342329">
      <w:bodyDiv w:val="1"/>
      <w:marLeft w:val="0"/>
      <w:marRight w:val="0"/>
      <w:marTop w:val="0"/>
      <w:marBottom w:val="0"/>
      <w:divBdr>
        <w:top w:val="none" w:sz="0" w:space="0" w:color="auto"/>
        <w:left w:val="none" w:sz="0" w:space="0" w:color="auto"/>
        <w:bottom w:val="none" w:sz="0" w:space="0" w:color="auto"/>
        <w:right w:val="none" w:sz="0" w:space="0" w:color="auto"/>
      </w:divBdr>
    </w:div>
    <w:div w:id="606621695">
      <w:bodyDiv w:val="1"/>
      <w:marLeft w:val="0"/>
      <w:marRight w:val="0"/>
      <w:marTop w:val="0"/>
      <w:marBottom w:val="0"/>
      <w:divBdr>
        <w:top w:val="none" w:sz="0" w:space="0" w:color="auto"/>
        <w:left w:val="none" w:sz="0" w:space="0" w:color="auto"/>
        <w:bottom w:val="none" w:sz="0" w:space="0" w:color="auto"/>
        <w:right w:val="none" w:sz="0" w:space="0" w:color="auto"/>
      </w:divBdr>
    </w:div>
    <w:div w:id="629164299">
      <w:bodyDiv w:val="1"/>
      <w:marLeft w:val="0"/>
      <w:marRight w:val="0"/>
      <w:marTop w:val="0"/>
      <w:marBottom w:val="0"/>
      <w:divBdr>
        <w:top w:val="none" w:sz="0" w:space="0" w:color="auto"/>
        <w:left w:val="none" w:sz="0" w:space="0" w:color="auto"/>
        <w:bottom w:val="none" w:sz="0" w:space="0" w:color="auto"/>
        <w:right w:val="none" w:sz="0" w:space="0" w:color="auto"/>
      </w:divBdr>
    </w:div>
    <w:div w:id="673990746">
      <w:bodyDiv w:val="1"/>
      <w:marLeft w:val="0"/>
      <w:marRight w:val="0"/>
      <w:marTop w:val="0"/>
      <w:marBottom w:val="0"/>
      <w:divBdr>
        <w:top w:val="none" w:sz="0" w:space="0" w:color="auto"/>
        <w:left w:val="none" w:sz="0" w:space="0" w:color="auto"/>
        <w:bottom w:val="none" w:sz="0" w:space="0" w:color="auto"/>
        <w:right w:val="none" w:sz="0" w:space="0" w:color="auto"/>
      </w:divBdr>
    </w:div>
    <w:div w:id="697047074">
      <w:bodyDiv w:val="1"/>
      <w:marLeft w:val="0"/>
      <w:marRight w:val="0"/>
      <w:marTop w:val="0"/>
      <w:marBottom w:val="0"/>
      <w:divBdr>
        <w:top w:val="none" w:sz="0" w:space="0" w:color="auto"/>
        <w:left w:val="none" w:sz="0" w:space="0" w:color="auto"/>
        <w:bottom w:val="none" w:sz="0" w:space="0" w:color="auto"/>
        <w:right w:val="none" w:sz="0" w:space="0" w:color="auto"/>
      </w:divBdr>
    </w:div>
    <w:div w:id="702632269">
      <w:bodyDiv w:val="1"/>
      <w:marLeft w:val="0"/>
      <w:marRight w:val="0"/>
      <w:marTop w:val="0"/>
      <w:marBottom w:val="0"/>
      <w:divBdr>
        <w:top w:val="none" w:sz="0" w:space="0" w:color="auto"/>
        <w:left w:val="none" w:sz="0" w:space="0" w:color="auto"/>
        <w:bottom w:val="none" w:sz="0" w:space="0" w:color="auto"/>
        <w:right w:val="none" w:sz="0" w:space="0" w:color="auto"/>
      </w:divBdr>
    </w:div>
    <w:div w:id="713626555">
      <w:bodyDiv w:val="1"/>
      <w:marLeft w:val="0"/>
      <w:marRight w:val="0"/>
      <w:marTop w:val="0"/>
      <w:marBottom w:val="0"/>
      <w:divBdr>
        <w:top w:val="none" w:sz="0" w:space="0" w:color="auto"/>
        <w:left w:val="none" w:sz="0" w:space="0" w:color="auto"/>
        <w:bottom w:val="none" w:sz="0" w:space="0" w:color="auto"/>
        <w:right w:val="none" w:sz="0" w:space="0" w:color="auto"/>
      </w:divBdr>
    </w:div>
    <w:div w:id="71535656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8820941">
      <w:bodyDiv w:val="1"/>
      <w:marLeft w:val="0"/>
      <w:marRight w:val="0"/>
      <w:marTop w:val="0"/>
      <w:marBottom w:val="0"/>
      <w:divBdr>
        <w:top w:val="none" w:sz="0" w:space="0" w:color="auto"/>
        <w:left w:val="none" w:sz="0" w:space="0" w:color="auto"/>
        <w:bottom w:val="none" w:sz="0" w:space="0" w:color="auto"/>
        <w:right w:val="none" w:sz="0" w:space="0" w:color="auto"/>
      </w:divBdr>
    </w:div>
    <w:div w:id="724061636">
      <w:bodyDiv w:val="1"/>
      <w:marLeft w:val="0"/>
      <w:marRight w:val="0"/>
      <w:marTop w:val="0"/>
      <w:marBottom w:val="0"/>
      <w:divBdr>
        <w:top w:val="none" w:sz="0" w:space="0" w:color="auto"/>
        <w:left w:val="none" w:sz="0" w:space="0" w:color="auto"/>
        <w:bottom w:val="none" w:sz="0" w:space="0" w:color="auto"/>
        <w:right w:val="none" w:sz="0" w:space="0" w:color="auto"/>
      </w:divBdr>
    </w:div>
    <w:div w:id="724262068">
      <w:bodyDiv w:val="1"/>
      <w:marLeft w:val="0"/>
      <w:marRight w:val="0"/>
      <w:marTop w:val="0"/>
      <w:marBottom w:val="0"/>
      <w:divBdr>
        <w:top w:val="none" w:sz="0" w:space="0" w:color="auto"/>
        <w:left w:val="none" w:sz="0" w:space="0" w:color="auto"/>
        <w:bottom w:val="none" w:sz="0" w:space="0" w:color="auto"/>
        <w:right w:val="none" w:sz="0" w:space="0" w:color="auto"/>
      </w:divBdr>
    </w:div>
    <w:div w:id="726992008">
      <w:bodyDiv w:val="1"/>
      <w:marLeft w:val="0"/>
      <w:marRight w:val="0"/>
      <w:marTop w:val="0"/>
      <w:marBottom w:val="0"/>
      <w:divBdr>
        <w:top w:val="none" w:sz="0" w:space="0" w:color="auto"/>
        <w:left w:val="none" w:sz="0" w:space="0" w:color="auto"/>
        <w:bottom w:val="none" w:sz="0" w:space="0" w:color="auto"/>
        <w:right w:val="none" w:sz="0" w:space="0" w:color="auto"/>
      </w:divBdr>
    </w:div>
    <w:div w:id="733506164">
      <w:bodyDiv w:val="1"/>
      <w:marLeft w:val="0"/>
      <w:marRight w:val="0"/>
      <w:marTop w:val="0"/>
      <w:marBottom w:val="0"/>
      <w:divBdr>
        <w:top w:val="none" w:sz="0" w:space="0" w:color="auto"/>
        <w:left w:val="none" w:sz="0" w:space="0" w:color="auto"/>
        <w:bottom w:val="none" w:sz="0" w:space="0" w:color="auto"/>
        <w:right w:val="none" w:sz="0" w:space="0" w:color="auto"/>
      </w:divBdr>
    </w:div>
    <w:div w:id="744107306">
      <w:bodyDiv w:val="1"/>
      <w:marLeft w:val="0"/>
      <w:marRight w:val="0"/>
      <w:marTop w:val="0"/>
      <w:marBottom w:val="0"/>
      <w:divBdr>
        <w:top w:val="none" w:sz="0" w:space="0" w:color="auto"/>
        <w:left w:val="none" w:sz="0" w:space="0" w:color="auto"/>
        <w:bottom w:val="none" w:sz="0" w:space="0" w:color="auto"/>
        <w:right w:val="none" w:sz="0" w:space="0" w:color="auto"/>
      </w:divBdr>
    </w:div>
    <w:div w:id="747117461">
      <w:bodyDiv w:val="1"/>
      <w:marLeft w:val="0"/>
      <w:marRight w:val="0"/>
      <w:marTop w:val="0"/>
      <w:marBottom w:val="0"/>
      <w:divBdr>
        <w:top w:val="none" w:sz="0" w:space="0" w:color="auto"/>
        <w:left w:val="none" w:sz="0" w:space="0" w:color="auto"/>
        <w:bottom w:val="none" w:sz="0" w:space="0" w:color="auto"/>
        <w:right w:val="none" w:sz="0" w:space="0" w:color="auto"/>
      </w:divBdr>
      <w:divsChild>
        <w:div w:id="2078235238">
          <w:marLeft w:val="0"/>
          <w:marRight w:val="0"/>
          <w:marTop w:val="0"/>
          <w:marBottom w:val="0"/>
          <w:divBdr>
            <w:top w:val="none" w:sz="0" w:space="0" w:color="auto"/>
            <w:left w:val="none" w:sz="0" w:space="0" w:color="auto"/>
            <w:bottom w:val="none" w:sz="0" w:space="0" w:color="auto"/>
            <w:right w:val="none" w:sz="0" w:space="0" w:color="auto"/>
          </w:divBdr>
          <w:divsChild>
            <w:div w:id="773012284">
              <w:marLeft w:val="0"/>
              <w:marRight w:val="0"/>
              <w:marTop w:val="0"/>
              <w:marBottom w:val="0"/>
              <w:divBdr>
                <w:top w:val="none" w:sz="0" w:space="0" w:color="auto"/>
                <w:left w:val="none" w:sz="0" w:space="0" w:color="auto"/>
                <w:bottom w:val="none" w:sz="0" w:space="0" w:color="auto"/>
                <w:right w:val="none" w:sz="0" w:space="0" w:color="auto"/>
              </w:divBdr>
              <w:divsChild>
                <w:div w:id="1898274770">
                  <w:marLeft w:val="0"/>
                  <w:marRight w:val="0"/>
                  <w:marTop w:val="0"/>
                  <w:marBottom w:val="0"/>
                  <w:divBdr>
                    <w:top w:val="none" w:sz="0" w:space="0" w:color="auto"/>
                    <w:left w:val="none" w:sz="0" w:space="0" w:color="auto"/>
                    <w:bottom w:val="none" w:sz="0" w:space="0" w:color="auto"/>
                    <w:right w:val="none" w:sz="0" w:space="0" w:color="auto"/>
                  </w:divBdr>
                  <w:divsChild>
                    <w:div w:id="2005433235">
                      <w:marLeft w:val="300"/>
                      <w:marRight w:val="0"/>
                      <w:marTop w:val="0"/>
                      <w:marBottom w:val="0"/>
                      <w:divBdr>
                        <w:top w:val="none" w:sz="0" w:space="0" w:color="auto"/>
                        <w:left w:val="none" w:sz="0" w:space="0" w:color="auto"/>
                        <w:bottom w:val="none" w:sz="0" w:space="0" w:color="auto"/>
                        <w:right w:val="none" w:sz="0" w:space="0" w:color="auto"/>
                      </w:divBdr>
                      <w:divsChild>
                        <w:div w:id="863514203">
                          <w:marLeft w:val="-300"/>
                          <w:marRight w:val="0"/>
                          <w:marTop w:val="0"/>
                          <w:marBottom w:val="0"/>
                          <w:divBdr>
                            <w:top w:val="none" w:sz="0" w:space="0" w:color="auto"/>
                            <w:left w:val="none" w:sz="0" w:space="0" w:color="auto"/>
                            <w:bottom w:val="none" w:sz="0" w:space="0" w:color="auto"/>
                            <w:right w:val="none" w:sz="0" w:space="0" w:color="auto"/>
                          </w:divBdr>
                          <w:divsChild>
                            <w:div w:id="19673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9482">
      <w:bodyDiv w:val="1"/>
      <w:marLeft w:val="0"/>
      <w:marRight w:val="0"/>
      <w:marTop w:val="0"/>
      <w:marBottom w:val="0"/>
      <w:divBdr>
        <w:top w:val="none" w:sz="0" w:space="0" w:color="auto"/>
        <w:left w:val="none" w:sz="0" w:space="0" w:color="auto"/>
        <w:bottom w:val="none" w:sz="0" w:space="0" w:color="auto"/>
        <w:right w:val="none" w:sz="0" w:space="0" w:color="auto"/>
      </w:divBdr>
    </w:div>
    <w:div w:id="775637407">
      <w:bodyDiv w:val="1"/>
      <w:marLeft w:val="0"/>
      <w:marRight w:val="0"/>
      <w:marTop w:val="0"/>
      <w:marBottom w:val="0"/>
      <w:divBdr>
        <w:top w:val="none" w:sz="0" w:space="0" w:color="auto"/>
        <w:left w:val="none" w:sz="0" w:space="0" w:color="auto"/>
        <w:bottom w:val="none" w:sz="0" w:space="0" w:color="auto"/>
        <w:right w:val="none" w:sz="0" w:space="0" w:color="auto"/>
      </w:divBdr>
    </w:div>
    <w:div w:id="785662363">
      <w:bodyDiv w:val="1"/>
      <w:marLeft w:val="0"/>
      <w:marRight w:val="0"/>
      <w:marTop w:val="0"/>
      <w:marBottom w:val="0"/>
      <w:divBdr>
        <w:top w:val="none" w:sz="0" w:space="0" w:color="auto"/>
        <w:left w:val="none" w:sz="0" w:space="0" w:color="auto"/>
        <w:bottom w:val="none" w:sz="0" w:space="0" w:color="auto"/>
        <w:right w:val="none" w:sz="0" w:space="0" w:color="auto"/>
      </w:divBdr>
    </w:div>
    <w:div w:id="824664301">
      <w:bodyDiv w:val="1"/>
      <w:marLeft w:val="0"/>
      <w:marRight w:val="0"/>
      <w:marTop w:val="0"/>
      <w:marBottom w:val="0"/>
      <w:divBdr>
        <w:top w:val="none" w:sz="0" w:space="0" w:color="auto"/>
        <w:left w:val="none" w:sz="0" w:space="0" w:color="auto"/>
        <w:bottom w:val="none" w:sz="0" w:space="0" w:color="auto"/>
        <w:right w:val="none" w:sz="0" w:space="0" w:color="auto"/>
      </w:divBdr>
    </w:div>
    <w:div w:id="832188191">
      <w:bodyDiv w:val="1"/>
      <w:marLeft w:val="0"/>
      <w:marRight w:val="0"/>
      <w:marTop w:val="0"/>
      <w:marBottom w:val="0"/>
      <w:divBdr>
        <w:top w:val="none" w:sz="0" w:space="0" w:color="auto"/>
        <w:left w:val="none" w:sz="0" w:space="0" w:color="auto"/>
        <w:bottom w:val="none" w:sz="0" w:space="0" w:color="auto"/>
        <w:right w:val="none" w:sz="0" w:space="0" w:color="auto"/>
      </w:divBdr>
    </w:div>
    <w:div w:id="853960724">
      <w:bodyDiv w:val="1"/>
      <w:marLeft w:val="0"/>
      <w:marRight w:val="0"/>
      <w:marTop w:val="0"/>
      <w:marBottom w:val="0"/>
      <w:divBdr>
        <w:top w:val="none" w:sz="0" w:space="0" w:color="auto"/>
        <w:left w:val="none" w:sz="0" w:space="0" w:color="auto"/>
        <w:bottom w:val="none" w:sz="0" w:space="0" w:color="auto"/>
        <w:right w:val="none" w:sz="0" w:space="0" w:color="auto"/>
      </w:divBdr>
    </w:div>
    <w:div w:id="874735811">
      <w:bodyDiv w:val="1"/>
      <w:marLeft w:val="0"/>
      <w:marRight w:val="0"/>
      <w:marTop w:val="0"/>
      <w:marBottom w:val="0"/>
      <w:divBdr>
        <w:top w:val="none" w:sz="0" w:space="0" w:color="auto"/>
        <w:left w:val="none" w:sz="0" w:space="0" w:color="auto"/>
        <w:bottom w:val="none" w:sz="0" w:space="0" w:color="auto"/>
        <w:right w:val="none" w:sz="0" w:space="0" w:color="auto"/>
      </w:divBdr>
    </w:div>
    <w:div w:id="880095059">
      <w:bodyDiv w:val="1"/>
      <w:marLeft w:val="0"/>
      <w:marRight w:val="0"/>
      <w:marTop w:val="0"/>
      <w:marBottom w:val="0"/>
      <w:divBdr>
        <w:top w:val="none" w:sz="0" w:space="0" w:color="auto"/>
        <w:left w:val="none" w:sz="0" w:space="0" w:color="auto"/>
        <w:bottom w:val="none" w:sz="0" w:space="0" w:color="auto"/>
        <w:right w:val="none" w:sz="0" w:space="0" w:color="auto"/>
      </w:divBdr>
    </w:div>
    <w:div w:id="903879418">
      <w:bodyDiv w:val="1"/>
      <w:marLeft w:val="0"/>
      <w:marRight w:val="0"/>
      <w:marTop w:val="0"/>
      <w:marBottom w:val="0"/>
      <w:divBdr>
        <w:top w:val="none" w:sz="0" w:space="0" w:color="auto"/>
        <w:left w:val="none" w:sz="0" w:space="0" w:color="auto"/>
        <w:bottom w:val="none" w:sz="0" w:space="0" w:color="auto"/>
        <w:right w:val="none" w:sz="0" w:space="0" w:color="auto"/>
      </w:divBdr>
      <w:divsChild>
        <w:div w:id="1883713687">
          <w:marLeft w:val="0"/>
          <w:marRight w:val="0"/>
          <w:marTop w:val="0"/>
          <w:marBottom w:val="0"/>
          <w:divBdr>
            <w:top w:val="none" w:sz="0" w:space="0" w:color="auto"/>
            <w:left w:val="none" w:sz="0" w:space="0" w:color="auto"/>
            <w:bottom w:val="none" w:sz="0" w:space="0" w:color="auto"/>
            <w:right w:val="none" w:sz="0" w:space="0" w:color="auto"/>
          </w:divBdr>
          <w:divsChild>
            <w:div w:id="1308516769">
              <w:marLeft w:val="0"/>
              <w:marRight w:val="0"/>
              <w:marTop w:val="0"/>
              <w:marBottom w:val="0"/>
              <w:divBdr>
                <w:top w:val="none" w:sz="0" w:space="0" w:color="auto"/>
                <w:left w:val="none" w:sz="0" w:space="0" w:color="auto"/>
                <w:bottom w:val="none" w:sz="0" w:space="0" w:color="auto"/>
                <w:right w:val="none" w:sz="0" w:space="0" w:color="auto"/>
              </w:divBdr>
              <w:divsChild>
                <w:div w:id="1618485362">
                  <w:marLeft w:val="0"/>
                  <w:marRight w:val="0"/>
                  <w:marTop w:val="0"/>
                  <w:marBottom w:val="0"/>
                  <w:divBdr>
                    <w:top w:val="none" w:sz="0" w:space="0" w:color="auto"/>
                    <w:left w:val="none" w:sz="0" w:space="0" w:color="auto"/>
                    <w:bottom w:val="none" w:sz="0" w:space="0" w:color="auto"/>
                    <w:right w:val="none" w:sz="0" w:space="0" w:color="auto"/>
                  </w:divBdr>
                  <w:divsChild>
                    <w:div w:id="1236747588">
                      <w:marLeft w:val="300"/>
                      <w:marRight w:val="0"/>
                      <w:marTop w:val="0"/>
                      <w:marBottom w:val="0"/>
                      <w:divBdr>
                        <w:top w:val="none" w:sz="0" w:space="0" w:color="auto"/>
                        <w:left w:val="none" w:sz="0" w:space="0" w:color="auto"/>
                        <w:bottom w:val="none" w:sz="0" w:space="0" w:color="auto"/>
                        <w:right w:val="none" w:sz="0" w:space="0" w:color="auto"/>
                      </w:divBdr>
                      <w:divsChild>
                        <w:div w:id="1523934230">
                          <w:marLeft w:val="-300"/>
                          <w:marRight w:val="0"/>
                          <w:marTop w:val="0"/>
                          <w:marBottom w:val="0"/>
                          <w:divBdr>
                            <w:top w:val="none" w:sz="0" w:space="0" w:color="auto"/>
                            <w:left w:val="none" w:sz="0" w:space="0" w:color="auto"/>
                            <w:bottom w:val="none" w:sz="0" w:space="0" w:color="auto"/>
                            <w:right w:val="none" w:sz="0" w:space="0" w:color="auto"/>
                          </w:divBdr>
                          <w:divsChild>
                            <w:div w:id="211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8268">
      <w:bodyDiv w:val="1"/>
      <w:marLeft w:val="0"/>
      <w:marRight w:val="0"/>
      <w:marTop w:val="0"/>
      <w:marBottom w:val="0"/>
      <w:divBdr>
        <w:top w:val="none" w:sz="0" w:space="0" w:color="auto"/>
        <w:left w:val="none" w:sz="0" w:space="0" w:color="auto"/>
        <w:bottom w:val="none" w:sz="0" w:space="0" w:color="auto"/>
        <w:right w:val="none" w:sz="0" w:space="0" w:color="auto"/>
      </w:divBdr>
    </w:div>
    <w:div w:id="909467363">
      <w:bodyDiv w:val="1"/>
      <w:marLeft w:val="0"/>
      <w:marRight w:val="0"/>
      <w:marTop w:val="0"/>
      <w:marBottom w:val="0"/>
      <w:divBdr>
        <w:top w:val="none" w:sz="0" w:space="0" w:color="auto"/>
        <w:left w:val="none" w:sz="0" w:space="0" w:color="auto"/>
        <w:bottom w:val="none" w:sz="0" w:space="0" w:color="auto"/>
        <w:right w:val="none" w:sz="0" w:space="0" w:color="auto"/>
      </w:divBdr>
    </w:div>
    <w:div w:id="942569103">
      <w:bodyDiv w:val="1"/>
      <w:marLeft w:val="0"/>
      <w:marRight w:val="0"/>
      <w:marTop w:val="0"/>
      <w:marBottom w:val="0"/>
      <w:divBdr>
        <w:top w:val="none" w:sz="0" w:space="0" w:color="auto"/>
        <w:left w:val="none" w:sz="0" w:space="0" w:color="auto"/>
        <w:bottom w:val="none" w:sz="0" w:space="0" w:color="auto"/>
        <w:right w:val="none" w:sz="0" w:space="0" w:color="auto"/>
      </w:divBdr>
    </w:div>
    <w:div w:id="949581289">
      <w:bodyDiv w:val="1"/>
      <w:marLeft w:val="0"/>
      <w:marRight w:val="0"/>
      <w:marTop w:val="0"/>
      <w:marBottom w:val="0"/>
      <w:divBdr>
        <w:top w:val="none" w:sz="0" w:space="0" w:color="auto"/>
        <w:left w:val="none" w:sz="0" w:space="0" w:color="auto"/>
        <w:bottom w:val="none" w:sz="0" w:space="0" w:color="auto"/>
        <w:right w:val="none" w:sz="0" w:space="0" w:color="auto"/>
      </w:divBdr>
    </w:div>
    <w:div w:id="954749172">
      <w:bodyDiv w:val="1"/>
      <w:marLeft w:val="0"/>
      <w:marRight w:val="0"/>
      <w:marTop w:val="0"/>
      <w:marBottom w:val="0"/>
      <w:divBdr>
        <w:top w:val="none" w:sz="0" w:space="0" w:color="auto"/>
        <w:left w:val="none" w:sz="0" w:space="0" w:color="auto"/>
        <w:bottom w:val="none" w:sz="0" w:space="0" w:color="auto"/>
        <w:right w:val="none" w:sz="0" w:space="0" w:color="auto"/>
      </w:divBdr>
    </w:div>
    <w:div w:id="956760858">
      <w:bodyDiv w:val="1"/>
      <w:marLeft w:val="0"/>
      <w:marRight w:val="0"/>
      <w:marTop w:val="0"/>
      <w:marBottom w:val="0"/>
      <w:divBdr>
        <w:top w:val="none" w:sz="0" w:space="0" w:color="auto"/>
        <w:left w:val="none" w:sz="0" w:space="0" w:color="auto"/>
        <w:bottom w:val="none" w:sz="0" w:space="0" w:color="auto"/>
        <w:right w:val="none" w:sz="0" w:space="0" w:color="auto"/>
      </w:divBdr>
    </w:div>
    <w:div w:id="965501782">
      <w:bodyDiv w:val="1"/>
      <w:marLeft w:val="0"/>
      <w:marRight w:val="0"/>
      <w:marTop w:val="0"/>
      <w:marBottom w:val="0"/>
      <w:divBdr>
        <w:top w:val="none" w:sz="0" w:space="0" w:color="auto"/>
        <w:left w:val="none" w:sz="0" w:space="0" w:color="auto"/>
        <w:bottom w:val="none" w:sz="0" w:space="0" w:color="auto"/>
        <w:right w:val="none" w:sz="0" w:space="0" w:color="auto"/>
      </w:divBdr>
    </w:div>
    <w:div w:id="1004091473">
      <w:bodyDiv w:val="1"/>
      <w:marLeft w:val="0"/>
      <w:marRight w:val="0"/>
      <w:marTop w:val="0"/>
      <w:marBottom w:val="0"/>
      <w:divBdr>
        <w:top w:val="none" w:sz="0" w:space="0" w:color="auto"/>
        <w:left w:val="none" w:sz="0" w:space="0" w:color="auto"/>
        <w:bottom w:val="none" w:sz="0" w:space="0" w:color="auto"/>
        <w:right w:val="none" w:sz="0" w:space="0" w:color="auto"/>
      </w:divBdr>
    </w:div>
    <w:div w:id="1043871919">
      <w:bodyDiv w:val="1"/>
      <w:marLeft w:val="0"/>
      <w:marRight w:val="0"/>
      <w:marTop w:val="0"/>
      <w:marBottom w:val="0"/>
      <w:divBdr>
        <w:top w:val="none" w:sz="0" w:space="0" w:color="auto"/>
        <w:left w:val="none" w:sz="0" w:space="0" w:color="auto"/>
        <w:bottom w:val="none" w:sz="0" w:space="0" w:color="auto"/>
        <w:right w:val="none" w:sz="0" w:space="0" w:color="auto"/>
      </w:divBdr>
    </w:div>
    <w:div w:id="1052313232">
      <w:bodyDiv w:val="1"/>
      <w:marLeft w:val="0"/>
      <w:marRight w:val="0"/>
      <w:marTop w:val="0"/>
      <w:marBottom w:val="0"/>
      <w:divBdr>
        <w:top w:val="none" w:sz="0" w:space="0" w:color="auto"/>
        <w:left w:val="none" w:sz="0" w:space="0" w:color="auto"/>
        <w:bottom w:val="none" w:sz="0" w:space="0" w:color="auto"/>
        <w:right w:val="none" w:sz="0" w:space="0" w:color="auto"/>
      </w:divBdr>
      <w:divsChild>
        <w:div w:id="114568828">
          <w:marLeft w:val="0"/>
          <w:marRight w:val="0"/>
          <w:marTop w:val="0"/>
          <w:marBottom w:val="0"/>
          <w:divBdr>
            <w:top w:val="none" w:sz="0" w:space="0" w:color="auto"/>
            <w:left w:val="none" w:sz="0" w:space="0" w:color="auto"/>
            <w:bottom w:val="none" w:sz="0" w:space="0" w:color="auto"/>
            <w:right w:val="none" w:sz="0" w:space="0" w:color="auto"/>
          </w:divBdr>
          <w:divsChild>
            <w:div w:id="1107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051">
      <w:bodyDiv w:val="1"/>
      <w:marLeft w:val="0"/>
      <w:marRight w:val="0"/>
      <w:marTop w:val="0"/>
      <w:marBottom w:val="0"/>
      <w:divBdr>
        <w:top w:val="none" w:sz="0" w:space="0" w:color="auto"/>
        <w:left w:val="none" w:sz="0" w:space="0" w:color="auto"/>
        <w:bottom w:val="none" w:sz="0" w:space="0" w:color="auto"/>
        <w:right w:val="none" w:sz="0" w:space="0" w:color="auto"/>
      </w:divBdr>
    </w:div>
    <w:div w:id="1069309060">
      <w:bodyDiv w:val="1"/>
      <w:marLeft w:val="0"/>
      <w:marRight w:val="0"/>
      <w:marTop w:val="0"/>
      <w:marBottom w:val="0"/>
      <w:divBdr>
        <w:top w:val="none" w:sz="0" w:space="0" w:color="auto"/>
        <w:left w:val="none" w:sz="0" w:space="0" w:color="auto"/>
        <w:bottom w:val="none" w:sz="0" w:space="0" w:color="auto"/>
        <w:right w:val="none" w:sz="0" w:space="0" w:color="auto"/>
      </w:divBdr>
    </w:div>
    <w:div w:id="1073577077">
      <w:bodyDiv w:val="1"/>
      <w:marLeft w:val="0"/>
      <w:marRight w:val="0"/>
      <w:marTop w:val="0"/>
      <w:marBottom w:val="0"/>
      <w:divBdr>
        <w:top w:val="none" w:sz="0" w:space="0" w:color="auto"/>
        <w:left w:val="none" w:sz="0" w:space="0" w:color="auto"/>
        <w:bottom w:val="none" w:sz="0" w:space="0" w:color="auto"/>
        <w:right w:val="none" w:sz="0" w:space="0" w:color="auto"/>
      </w:divBdr>
    </w:div>
    <w:div w:id="1096973704">
      <w:bodyDiv w:val="1"/>
      <w:marLeft w:val="0"/>
      <w:marRight w:val="0"/>
      <w:marTop w:val="0"/>
      <w:marBottom w:val="0"/>
      <w:divBdr>
        <w:top w:val="none" w:sz="0" w:space="0" w:color="auto"/>
        <w:left w:val="none" w:sz="0" w:space="0" w:color="auto"/>
        <w:bottom w:val="none" w:sz="0" w:space="0" w:color="auto"/>
        <w:right w:val="none" w:sz="0" w:space="0" w:color="auto"/>
      </w:divBdr>
    </w:div>
    <w:div w:id="1107576725">
      <w:bodyDiv w:val="1"/>
      <w:marLeft w:val="0"/>
      <w:marRight w:val="0"/>
      <w:marTop w:val="0"/>
      <w:marBottom w:val="0"/>
      <w:divBdr>
        <w:top w:val="none" w:sz="0" w:space="0" w:color="auto"/>
        <w:left w:val="none" w:sz="0" w:space="0" w:color="auto"/>
        <w:bottom w:val="none" w:sz="0" w:space="0" w:color="auto"/>
        <w:right w:val="none" w:sz="0" w:space="0" w:color="auto"/>
      </w:divBdr>
    </w:div>
    <w:div w:id="1114445493">
      <w:bodyDiv w:val="1"/>
      <w:marLeft w:val="0"/>
      <w:marRight w:val="0"/>
      <w:marTop w:val="0"/>
      <w:marBottom w:val="0"/>
      <w:divBdr>
        <w:top w:val="none" w:sz="0" w:space="0" w:color="auto"/>
        <w:left w:val="none" w:sz="0" w:space="0" w:color="auto"/>
        <w:bottom w:val="none" w:sz="0" w:space="0" w:color="auto"/>
        <w:right w:val="none" w:sz="0" w:space="0" w:color="auto"/>
      </w:divBdr>
    </w:div>
    <w:div w:id="1125149723">
      <w:bodyDiv w:val="1"/>
      <w:marLeft w:val="0"/>
      <w:marRight w:val="0"/>
      <w:marTop w:val="0"/>
      <w:marBottom w:val="0"/>
      <w:divBdr>
        <w:top w:val="none" w:sz="0" w:space="0" w:color="auto"/>
        <w:left w:val="none" w:sz="0" w:space="0" w:color="auto"/>
        <w:bottom w:val="none" w:sz="0" w:space="0" w:color="auto"/>
        <w:right w:val="none" w:sz="0" w:space="0" w:color="auto"/>
      </w:divBdr>
    </w:div>
    <w:div w:id="1129930326">
      <w:bodyDiv w:val="1"/>
      <w:marLeft w:val="0"/>
      <w:marRight w:val="0"/>
      <w:marTop w:val="0"/>
      <w:marBottom w:val="0"/>
      <w:divBdr>
        <w:top w:val="none" w:sz="0" w:space="0" w:color="auto"/>
        <w:left w:val="none" w:sz="0" w:space="0" w:color="auto"/>
        <w:bottom w:val="none" w:sz="0" w:space="0" w:color="auto"/>
        <w:right w:val="none" w:sz="0" w:space="0" w:color="auto"/>
      </w:divBdr>
    </w:div>
    <w:div w:id="1145583920">
      <w:bodyDiv w:val="1"/>
      <w:marLeft w:val="0"/>
      <w:marRight w:val="0"/>
      <w:marTop w:val="0"/>
      <w:marBottom w:val="0"/>
      <w:divBdr>
        <w:top w:val="none" w:sz="0" w:space="0" w:color="auto"/>
        <w:left w:val="none" w:sz="0" w:space="0" w:color="auto"/>
        <w:bottom w:val="none" w:sz="0" w:space="0" w:color="auto"/>
        <w:right w:val="none" w:sz="0" w:space="0" w:color="auto"/>
      </w:divBdr>
    </w:div>
    <w:div w:id="1146123069">
      <w:bodyDiv w:val="1"/>
      <w:marLeft w:val="0"/>
      <w:marRight w:val="0"/>
      <w:marTop w:val="0"/>
      <w:marBottom w:val="0"/>
      <w:divBdr>
        <w:top w:val="none" w:sz="0" w:space="0" w:color="auto"/>
        <w:left w:val="none" w:sz="0" w:space="0" w:color="auto"/>
        <w:bottom w:val="none" w:sz="0" w:space="0" w:color="auto"/>
        <w:right w:val="none" w:sz="0" w:space="0" w:color="auto"/>
      </w:divBdr>
    </w:div>
    <w:div w:id="1153448556">
      <w:bodyDiv w:val="1"/>
      <w:marLeft w:val="0"/>
      <w:marRight w:val="0"/>
      <w:marTop w:val="0"/>
      <w:marBottom w:val="0"/>
      <w:divBdr>
        <w:top w:val="none" w:sz="0" w:space="0" w:color="auto"/>
        <w:left w:val="none" w:sz="0" w:space="0" w:color="auto"/>
        <w:bottom w:val="none" w:sz="0" w:space="0" w:color="auto"/>
        <w:right w:val="none" w:sz="0" w:space="0" w:color="auto"/>
      </w:divBdr>
    </w:div>
    <w:div w:id="1155681591">
      <w:bodyDiv w:val="1"/>
      <w:marLeft w:val="0"/>
      <w:marRight w:val="0"/>
      <w:marTop w:val="0"/>
      <w:marBottom w:val="0"/>
      <w:divBdr>
        <w:top w:val="none" w:sz="0" w:space="0" w:color="auto"/>
        <w:left w:val="none" w:sz="0" w:space="0" w:color="auto"/>
        <w:bottom w:val="none" w:sz="0" w:space="0" w:color="auto"/>
        <w:right w:val="none" w:sz="0" w:space="0" w:color="auto"/>
      </w:divBdr>
    </w:div>
    <w:div w:id="1171944563">
      <w:bodyDiv w:val="1"/>
      <w:marLeft w:val="0"/>
      <w:marRight w:val="0"/>
      <w:marTop w:val="0"/>
      <w:marBottom w:val="0"/>
      <w:divBdr>
        <w:top w:val="none" w:sz="0" w:space="0" w:color="auto"/>
        <w:left w:val="none" w:sz="0" w:space="0" w:color="auto"/>
        <w:bottom w:val="none" w:sz="0" w:space="0" w:color="auto"/>
        <w:right w:val="none" w:sz="0" w:space="0" w:color="auto"/>
      </w:divBdr>
    </w:div>
    <w:div w:id="1177386465">
      <w:bodyDiv w:val="1"/>
      <w:marLeft w:val="0"/>
      <w:marRight w:val="0"/>
      <w:marTop w:val="0"/>
      <w:marBottom w:val="0"/>
      <w:divBdr>
        <w:top w:val="none" w:sz="0" w:space="0" w:color="auto"/>
        <w:left w:val="none" w:sz="0" w:space="0" w:color="auto"/>
        <w:bottom w:val="none" w:sz="0" w:space="0" w:color="auto"/>
        <w:right w:val="none" w:sz="0" w:space="0" w:color="auto"/>
      </w:divBdr>
    </w:div>
    <w:div w:id="1212232146">
      <w:bodyDiv w:val="1"/>
      <w:marLeft w:val="0"/>
      <w:marRight w:val="0"/>
      <w:marTop w:val="0"/>
      <w:marBottom w:val="0"/>
      <w:divBdr>
        <w:top w:val="none" w:sz="0" w:space="0" w:color="auto"/>
        <w:left w:val="none" w:sz="0" w:space="0" w:color="auto"/>
        <w:bottom w:val="none" w:sz="0" w:space="0" w:color="auto"/>
        <w:right w:val="none" w:sz="0" w:space="0" w:color="auto"/>
      </w:divBdr>
    </w:div>
    <w:div w:id="1214587286">
      <w:bodyDiv w:val="1"/>
      <w:marLeft w:val="0"/>
      <w:marRight w:val="0"/>
      <w:marTop w:val="0"/>
      <w:marBottom w:val="0"/>
      <w:divBdr>
        <w:top w:val="none" w:sz="0" w:space="0" w:color="auto"/>
        <w:left w:val="none" w:sz="0" w:space="0" w:color="auto"/>
        <w:bottom w:val="none" w:sz="0" w:space="0" w:color="auto"/>
        <w:right w:val="none" w:sz="0" w:space="0" w:color="auto"/>
      </w:divBdr>
    </w:div>
    <w:div w:id="1224364209">
      <w:bodyDiv w:val="1"/>
      <w:marLeft w:val="0"/>
      <w:marRight w:val="0"/>
      <w:marTop w:val="0"/>
      <w:marBottom w:val="0"/>
      <w:divBdr>
        <w:top w:val="none" w:sz="0" w:space="0" w:color="auto"/>
        <w:left w:val="none" w:sz="0" w:space="0" w:color="auto"/>
        <w:bottom w:val="none" w:sz="0" w:space="0" w:color="auto"/>
        <w:right w:val="none" w:sz="0" w:space="0" w:color="auto"/>
      </w:divBdr>
    </w:div>
    <w:div w:id="1225027144">
      <w:bodyDiv w:val="1"/>
      <w:marLeft w:val="0"/>
      <w:marRight w:val="0"/>
      <w:marTop w:val="0"/>
      <w:marBottom w:val="0"/>
      <w:divBdr>
        <w:top w:val="none" w:sz="0" w:space="0" w:color="auto"/>
        <w:left w:val="none" w:sz="0" w:space="0" w:color="auto"/>
        <w:bottom w:val="none" w:sz="0" w:space="0" w:color="auto"/>
        <w:right w:val="none" w:sz="0" w:space="0" w:color="auto"/>
      </w:divBdr>
    </w:div>
    <w:div w:id="1228685849">
      <w:bodyDiv w:val="1"/>
      <w:marLeft w:val="0"/>
      <w:marRight w:val="0"/>
      <w:marTop w:val="0"/>
      <w:marBottom w:val="0"/>
      <w:divBdr>
        <w:top w:val="none" w:sz="0" w:space="0" w:color="auto"/>
        <w:left w:val="none" w:sz="0" w:space="0" w:color="auto"/>
        <w:bottom w:val="none" w:sz="0" w:space="0" w:color="auto"/>
        <w:right w:val="none" w:sz="0" w:space="0" w:color="auto"/>
      </w:divBdr>
    </w:div>
    <w:div w:id="1251426195">
      <w:bodyDiv w:val="1"/>
      <w:marLeft w:val="0"/>
      <w:marRight w:val="0"/>
      <w:marTop w:val="0"/>
      <w:marBottom w:val="0"/>
      <w:divBdr>
        <w:top w:val="none" w:sz="0" w:space="0" w:color="auto"/>
        <w:left w:val="none" w:sz="0" w:space="0" w:color="auto"/>
        <w:bottom w:val="none" w:sz="0" w:space="0" w:color="auto"/>
        <w:right w:val="none" w:sz="0" w:space="0" w:color="auto"/>
      </w:divBdr>
    </w:div>
    <w:div w:id="1258488679">
      <w:bodyDiv w:val="1"/>
      <w:marLeft w:val="0"/>
      <w:marRight w:val="0"/>
      <w:marTop w:val="0"/>
      <w:marBottom w:val="0"/>
      <w:divBdr>
        <w:top w:val="none" w:sz="0" w:space="0" w:color="auto"/>
        <w:left w:val="none" w:sz="0" w:space="0" w:color="auto"/>
        <w:bottom w:val="none" w:sz="0" w:space="0" w:color="auto"/>
        <w:right w:val="none" w:sz="0" w:space="0" w:color="auto"/>
      </w:divBdr>
    </w:div>
    <w:div w:id="1281573330">
      <w:bodyDiv w:val="1"/>
      <w:marLeft w:val="0"/>
      <w:marRight w:val="0"/>
      <w:marTop w:val="0"/>
      <w:marBottom w:val="0"/>
      <w:divBdr>
        <w:top w:val="none" w:sz="0" w:space="0" w:color="auto"/>
        <w:left w:val="none" w:sz="0" w:space="0" w:color="auto"/>
        <w:bottom w:val="none" w:sz="0" w:space="0" w:color="auto"/>
        <w:right w:val="none" w:sz="0" w:space="0" w:color="auto"/>
      </w:divBdr>
    </w:div>
    <w:div w:id="1298800846">
      <w:bodyDiv w:val="1"/>
      <w:marLeft w:val="0"/>
      <w:marRight w:val="0"/>
      <w:marTop w:val="0"/>
      <w:marBottom w:val="0"/>
      <w:divBdr>
        <w:top w:val="none" w:sz="0" w:space="0" w:color="auto"/>
        <w:left w:val="none" w:sz="0" w:space="0" w:color="auto"/>
        <w:bottom w:val="none" w:sz="0" w:space="0" w:color="auto"/>
        <w:right w:val="none" w:sz="0" w:space="0" w:color="auto"/>
      </w:divBdr>
    </w:div>
    <w:div w:id="1331521221">
      <w:bodyDiv w:val="1"/>
      <w:marLeft w:val="0"/>
      <w:marRight w:val="0"/>
      <w:marTop w:val="0"/>
      <w:marBottom w:val="0"/>
      <w:divBdr>
        <w:top w:val="none" w:sz="0" w:space="0" w:color="auto"/>
        <w:left w:val="none" w:sz="0" w:space="0" w:color="auto"/>
        <w:bottom w:val="none" w:sz="0" w:space="0" w:color="auto"/>
        <w:right w:val="none" w:sz="0" w:space="0" w:color="auto"/>
      </w:divBdr>
    </w:div>
    <w:div w:id="1332836362">
      <w:bodyDiv w:val="1"/>
      <w:marLeft w:val="0"/>
      <w:marRight w:val="0"/>
      <w:marTop w:val="0"/>
      <w:marBottom w:val="0"/>
      <w:divBdr>
        <w:top w:val="none" w:sz="0" w:space="0" w:color="auto"/>
        <w:left w:val="none" w:sz="0" w:space="0" w:color="auto"/>
        <w:bottom w:val="none" w:sz="0" w:space="0" w:color="auto"/>
        <w:right w:val="none" w:sz="0" w:space="0" w:color="auto"/>
      </w:divBdr>
    </w:div>
    <w:div w:id="1348406466">
      <w:bodyDiv w:val="1"/>
      <w:marLeft w:val="0"/>
      <w:marRight w:val="0"/>
      <w:marTop w:val="0"/>
      <w:marBottom w:val="0"/>
      <w:divBdr>
        <w:top w:val="none" w:sz="0" w:space="0" w:color="auto"/>
        <w:left w:val="none" w:sz="0" w:space="0" w:color="auto"/>
        <w:bottom w:val="none" w:sz="0" w:space="0" w:color="auto"/>
        <w:right w:val="none" w:sz="0" w:space="0" w:color="auto"/>
      </w:divBdr>
    </w:div>
    <w:div w:id="1394154376">
      <w:bodyDiv w:val="1"/>
      <w:marLeft w:val="0"/>
      <w:marRight w:val="0"/>
      <w:marTop w:val="0"/>
      <w:marBottom w:val="0"/>
      <w:divBdr>
        <w:top w:val="none" w:sz="0" w:space="0" w:color="auto"/>
        <w:left w:val="none" w:sz="0" w:space="0" w:color="auto"/>
        <w:bottom w:val="none" w:sz="0" w:space="0" w:color="auto"/>
        <w:right w:val="none" w:sz="0" w:space="0" w:color="auto"/>
      </w:divBdr>
    </w:div>
    <w:div w:id="1409771413">
      <w:bodyDiv w:val="1"/>
      <w:marLeft w:val="0"/>
      <w:marRight w:val="0"/>
      <w:marTop w:val="0"/>
      <w:marBottom w:val="0"/>
      <w:divBdr>
        <w:top w:val="none" w:sz="0" w:space="0" w:color="auto"/>
        <w:left w:val="none" w:sz="0" w:space="0" w:color="auto"/>
        <w:bottom w:val="none" w:sz="0" w:space="0" w:color="auto"/>
        <w:right w:val="none" w:sz="0" w:space="0" w:color="auto"/>
      </w:divBdr>
    </w:div>
    <w:div w:id="1435860499">
      <w:bodyDiv w:val="1"/>
      <w:marLeft w:val="0"/>
      <w:marRight w:val="0"/>
      <w:marTop w:val="0"/>
      <w:marBottom w:val="0"/>
      <w:divBdr>
        <w:top w:val="none" w:sz="0" w:space="0" w:color="auto"/>
        <w:left w:val="none" w:sz="0" w:space="0" w:color="auto"/>
        <w:bottom w:val="none" w:sz="0" w:space="0" w:color="auto"/>
        <w:right w:val="none" w:sz="0" w:space="0" w:color="auto"/>
      </w:divBdr>
    </w:div>
    <w:div w:id="1451902808">
      <w:bodyDiv w:val="1"/>
      <w:marLeft w:val="0"/>
      <w:marRight w:val="0"/>
      <w:marTop w:val="0"/>
      <w:marBottom w:val="0"/>
      <w:divBdr>
        <w:top w:val="none" w:sz="0" w:space="0" w:color="auto"/>
        <w:left w:val="none" w:sz="0" w:space="0" w:color="auto"/>
        <w:bottom w:val="none" w:sz="0" w:space="0" w:color="auto"/>
        <w:right w:val="none" w:sz="0" w:space="0" w:color="auto"/>
      </w:divBdr>
    </w:div>
    <w:div w:id="1478104544">
      <w:bodyDiv w:val="1"/>
      <w:marLeft w:val="0"/>
      <w:marRight w:val="0"/>
      <w:marTop w:val="0"/>
      <w:marBottom w:val="0"/>
      <w:divBdr>
        <w:top w:val="none" w:sz="0" w:space="0" w:color="auto"/>
        <w:left w:val="none" w:sz="0" w:space="0" w:color="auto"/>
        <w:bottom w:val="none" w:sz="0" w:space="0" w:color="auto"/>
        <w:right w:val="none" w:sz="0" w:space="0" w:color="auto"/>
      </w:divBdr>
    </w:div>
    <w:div w:id="1498810202">
      <w:bodyDiv w:val="1"/>
      <w:marLeft w:val="0"/>
      <w:marRight w:val="0"/>
      <w:marTop w:val="0"/>
      <w:marBottom w:val="0"/>
      <w:divBdr>
        <w:top w:val="none" w:sz="0" w:space="0" w:color="auto"/>
        <w:left w:val="none" w:sz="0" w:space="0" w:color="auto"/>
        <w:bottom w:val="none" w:sz="0" w:space="0" w:color="auto"/>
        <w:right w:val="none" w:sz="0" w:space="0" w:color="auto"/>
      </w:divBdr>
    </w:div>
    <w:div w:id="151259870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571417">
      <w:bodyDiv w:val="1"/>
      <w:marLeft w:val="0"/>
      <w:marRight w:val="0"/>
      <w:marTop w:val="0"/>
      <w:marBottom w:val="0"/>
      <w:divBdr>
        <w:top w:val="none" w:sz="0" w:space="0" w:color="auto"/>
        <w:left w:val="none" w:sz="0" w:space="0" w:color="auto"/>
        <w:bottom w:val="none" w:sz="0" w:space="0" w:color="auto"/>
        <w:right w:val="none" w:sz="0" w:space="0" w:color="auto"/>
      </w:divBdr>
    </w:div>
    <w:div w:id="1537964359">
      <w:bodyDiv w:val="1"/>
      <w:marLeft w:val="0"/>
      <w:marRight w:val="0"/>
      <w:marTop w:val="0"/>
      <w:marBottom w:val="0"/>
      <w:divBdr>
        <w:top w:val="none" w:sz="0" w:space="0" w:color="auto"/>
        <w:left w:val="none" w:sz="0" w:space="0" w:color="auto"/>
        <w:bottom w:val="none" w:sz="0" w:space="0" w:color="auto"/>
        <w:right w:val="none" w:sz="0" w:space="0" w:color="auto"/>
      </w:divBdr>
    </w:div>
    <w:div w:id="1555120362">
      <w:bodyDiv w:val="1"/>
      <w:marLeft w:val="0"/>
      <w:marRight w:val="0"/>
      <w:marTop w:val="0"/>
      <w:marBottom w:val="0"/>
      <w:divBdr>
        <w:top w:val="none" w:sz="0" w:space="0" w:color="auto"/>
        <w:left w:val="none" w:sz="0" w:space="0" w:color="auto"/>
        <w:bottom w:val="none" w:sz="0" w:space="0" w:color="auto"/>
        <w:right w:val="none" w:sz="0" w:space="0" w:color="auto"/>
      </w:divBdr>
    </w:div>
    <w:div w:id="1560087904">
      <w:bodyDiv w:val="1"/>
      <w:marLeft w:val="0"/>
      <w:marRight w:val="0"/>
      <w:marTop w:val="0"/>
      <w:marBottom w:val="0"/>
      <w:divBdr>
        <w:top w:val="none" w:sz="0" w:space="0" w:color="auto"/>
        <w:left w:val="none" w:sz="0" w:space="0" w:color="auto"/>
        <w:bottom w:val="none" w:sz="0" w:space="0" w:color="auto"/>
        <w:right w:val="none" w:sz="0" w:space="0" w:color="auto"/>
      </w:divBdr>
    </w:div>
    <w:div w:id="1565140163">
      <w:bodyDiv w:val="1"/>
      <w:marLeft w:val="0"/>
      <w:marRight w:val="0"/>
      <w:marTop w:val="0"/>
      <w:marBottom w:val="0"/>
      <w:divBdr>
        <w:top w:val="none" w:sz="0" w:space="0" w:color="auto"/>
        <w:left w:val="none" w:sz="0" w:space="0" w:color="auto"/>
        <w:bottom w:val="none" w:sz="0" w:space="0" w:color="auto"/>
        <w:right w:val="none" w:sz="0" w:space="0" w:color="auto"/>
      </w:divBdr>
    </w:div>
    <w:div w:id="1594628360">
      <w:bodyDiv w:val="1"/>
      <w:marLeft w:val="0"/>
      <w:marRight w:val="0"/>
      <w:marTop w:val="0"/>
      <w:marBottom w:val="0"/>
      <w:divBdr>
        <w:top w:val="none" w:sz="0" w:space="0" w:color="auto"/>
        <w:left w:val="none" w:sz="0" w:space="0" w:color="auto"/>
        <w:bottom w:val="none" w:sz="0" w:space="0" w:color="auto"/>
        <w:right w:val="none" w:sz="0" w:space="0" w:color="auto"/>
      </w:divBdr>
    </w:div>
    <w:div w:id="1620186433">
      <w:bodyDiv w:val="1"/>
      <w:marLeft w:val="0"/>
      <w:marRight w:val="0"/>
      <w:marTop w:val="0"/>
      <w:marBottom w:val="0"/>
      <w:divBdr>
        <w:top w:val="none" w:sz="0" w:space="0" w:color="auto"/>
        <w:left w:val="none" w:sz="0" w:space="0" w:color="auto"/>
        <w:bottom w:val="none" w:sz="0" w:space="0" w:color="auto"/>
        <w:right w:val="none" w:sz="0" w:space="0" w:color="auto"/>
      </w:divBdr>
    </w:div>
    <w:div w:id="1642153954">
      <w:bodyDiv w:val="1"/>
      <w:marLeft w:val="0"/>
      <w:marRight w:val="0"/>
      <w:marTop w:val="0"/>
      <w:marBottom w:val="0"/>
      <w:divBdr>
        <w:top w:val="none" w:sz="0" w:space="0" w:color="auto"/>
        <w:left w:val="none" w:sz="0" w:space="0" w:color="auto"/>
        <w:bottom w:val="none" w:sz="0" w:space="0" w:color="auto"/>
        <w:right w:val="none" w:sz="0" w:space="0" w:color="auto"/>
      </w:divBdr>
    </w:div>
    <w:div w:id="1644578076">
      <w:bodyDiv w:val="1"/>
      <w:marLeft w:val="0"/>
      <w:marRight w:val="0"/>
      <w:marTop w:val="0"/>
      <w:marBottom w:val="0"/>
      <w:divBdr>
        <w:top w:val="none" w:sz="0" w:space="0" w:color="auto"/>
        <w:left w:val="none" w:sz="0" w:space="0" w:color="auto"/>
        <w:bottom w:val="none" w:sz="0" w:space="0" w:color="auto"/>
        <w:right w:val="none" w:sz="0" w:space="0" w:color="auto"/>
      </w:divBdr>
    </w:div>
    <w:div w:id="1647389448">
      <w:bodyDiv w:val="1"/>
      <w:marLeft w:val="0"/>
      <w:marRight w:val="0"/>
      <w:marTop w:val="0"/>
      <w:marBottom w:val="0"/>
      <w:divBdr>
        <w:top w:val="none" w:sz="0" w:space="0" w:color="auto"/>
        <w:left w:val="none" w:sz="0" w:space="0" w:color="auto"/>
        <w:bottom w:val="none" w:sz="0" w:space="0" w:color="auto"/>
        <w:right w:val="none" w:sz="0" w:space="0" w:color="auto"/>
      </w:divBdr>
    </w:div>
    <w:div w:id="1654677119">
      <w:bodyDiv w:val="1"/>
      <w:marLeft w:val="0"/>
      <w:marRight w:val="0"/>
      <w:marTop w:val="0"/>
      <w:marBottom w:val="0"/>
      <w:divBdr>
        <w:top w:val="none" w:sz="0" w:space="0" w:color="auto"/>
        <w:left w:val="none" w:sz="0" w:space="0" w:color="auto"/>
        <w:bottom w:val="none" w:sz="0" w:space="0" w:color="auto"/>
        <w:right w:val="none" w:sz="0" w:space="0" w:color="auto"/>
      </w:divBdr>
    </w:div>
    <w:div w:id="1668049837">
      <w:bodyDiv w:val="1"/>
      <w:marLeft w:val="0"/>
      <w:marRight w:val="0"/>
      <w:marTop w:val="0"/>
      <w:marBottom w:val="0"/>
      <w:divBdr>
        <w:top w:val="none" w:sz="0" w:space="0" w:color="auto"/>
        <w:left w:val="none" w:sz="0" w:space="0" w:color="auto"/>
        <w:bottom w:val="none" w:sz="0" w:space="0" w:color="auto"/>
        <w:right w:val="none" w:sz="0" w:space="0" w:color="auto"/>
      </w:divBdr>
    </w:div>
    <w:div w:id="1679573428">
      <w:bodyDiv w:val="1"/>
      <w:marLeft w:val="0"/>
      <w:marRight w:val="0"/>
      <w:marTop w:val="0"/>
      <w:marBottom w:val="0"/>
      <w:divBdr>
        <w:top w:val="none" w:sz="0" w:space="0" w:color="auto"/>
        <w:left w:val="none" w:sz="0" w:space="0" w:color="auto"/>
        <w:bottom w:val="none" w:sz="0" w:space="0" w:color="auto"/>
        <w:right w:val="none" w:sz="0" w:space="0" w:color="auto"/>
      </w:divBdr>
    </w:div>
    <w:div w:id="1680694166">
      <w:bodyDiv w:val="1"/>
      <w:marLeft w:val="0"/>
      <w:marRight w:val="0"/>
      <w:marTop w:val="0"/>
      <w:marBottom w:val="0"/>
      <w:divBdr>
        <w:top w:val="none" w:sz="0" w:space="0" w:color="auto"/>
        <w:left w:val="none" w:sz="0" w:space="0" w:color="auto"/>
        <w:bottom w:val="none" w:sz="0" w:space="0" w:color="auto"/>
        <w:right w:val="none" w:sz="0" w:space="0" w:color="auto"/>
      </w:divBdr>
    </w:div>
    <w:div w:id="1681198051">
      <w:bodyDiv w:val="1"/>
      <w:marLeft w:val="0"/>
      <w:marRight w:val="0"/>
      <w:marTop w:val="0"/>
      <w:marBottom w:val="0"/>
      <w:divBdr>
        <w:top w:val="none" w:sz="0" w:space="0" w:color="auto"/>
        <w:left w:val="none" w:sz="0" w:space="0" w:color="auto"/>
        <w:bottom w:val="none" w:sz="0" w:space="0" w:color="auto"/>
        <w:right w:val="none" w:sz="0" w:space="0" w:color="auto"/>
      </w:divBdr>
    </w:div>
    <w:div w:id="1699892775">
      <w:bodyDiv w:val="1"/>
      <w:marLeft w:val="0"/>
      <w:marRight w:val="0"/>
      <w:marTop w:val="0"/>
      <w:marBottom w:val="0"/>
      <w:divBdr>
        <w:top w:val="none" w:sz="0" w:space="0" w:color="auto"/>
        <w:left w:val="none" w:sz="0" w:space="0" w:color="auto"/>
        <w:bottom w:val="none" w:sz="0" w:space="0" w:color="auto"/>
        <w:right w:val="none" w:sz="0" w:space="0" w:color="auto"/>
      </w:divBdr>
    </w:div>
    <w:div w:id="1736053220">
      <w:bodyDiv w:val="1"/>
      <w:marLeft w:val="0"/>
      <w:marRight w:val="0"/>
      <w:marTop w:val="0"/>
      <w:marBottom w:val="0"/>
      <w:divBdr>
        <w:top w:val="none" w:sz="0" w:space="0" w:color="auto"/>
        <w:left w:val="none" w:sz="0" w:space="0" w:color="auto"/>
        <w:bottom w:val="none" w:sz="0" w:space="0" w:color="auto"/>
        <w:right w:val="none" w:sz="0" w:space="0" w:color="auto"/>
      </w:divBdr>
    </w:div>
    <w:div w:id="1745450015">
      <w:bodyDiv w:val="1"/>
      <w:marLeft w:val="0"/>
      <w:marRight w:val="0"/>
      <w:marTop w:val="0"/>
      <w:marBottom w:val="0"/>
      <w:divBdr>
        <w:top w:val="none" w:sz="0" w:space="0" w:color="auto"/>
        <w:left w:val="none" w:sz="0" w:space="0" w:color="auto"/>
        <w:bottom w:val="none" w:sz="0" w:space="0" w:color="auto"/>
        <w:right w:val="none" w:sz="0" w:space="0" w:color="auto"/>
      </w:divBdr>
    </w:div>
    <w:div w:id="1762799547">
      <w:bodyDiv w:val="1"/>
      <w:marLeft w:val="0"/>
      <w:marRight w:val="0"/>
      <w:marTop w:val="0"/>
      <w:marBottom w:val="0"/>
      <w:divBdr>
        <w:top w:val="none" w:sz="0" w:space="0" w:color="auto"/>
        <w:left w:val="none" w:sz="0" w:space="0" w:color="auto"/>
        <w:bottom w:val="none" w:sz="0" w:space="0" w:color="auto"/>
        <w:right w:val="none" w:sz="0" w:space="0" w:color="auto"/>
      </w:divBdr>
    </w:div>
    <w:div w:id="1774007855">
      <w:bodyDiv w:val="1"/>
      <w:marLeft w:val="0"/>
      <w:marRight w:val="0"/>
      <w:marTop w:val="0"/>
      <w:marBottom w:val="0"/>
      <w:divBdr>
        <w:top w:val="none" w:sz="0" w:space="0" w:color="auto"/>
        <w:left w:val="none" w:sz="0" w:space="0" w:color="auto"/>
        <w:bottom w:val="none" w:sz="0" w:space="0" w:color="auto"/>
        <w:right w:val="none" w:sz="0" w:space="0" w:color="auto"/>
      </w:divBdr>
    </w:div>
    <w:div w:id="1779173737">
      <w:bodyDiv w:val="1"/>
      <w:marLeft w:val="0"/>
      <w:marRight w:val="0"/>
      <w:marTop w:val="0"/>
      <w:marBottom w:val="0"/>
      <w:divBdr>
        <w:top w:val="none" w:sz="0" w:space="0" w:color="auto"/>
        <w:left w:val="none" w:sz="0" w:space="0" w:color="auto"/>
        <w:bottom w:val="none" w:sz="0" w:space="0" w:color="auto"/>
        <w:right w:val="none" w:sz="0" w:space="0" w:color="auto"/>
      </w:divBdr>
    </w:div>
    <w:div w:id="1799103693">
      <w:bodyDiv w:val="1"/>
      <w:marLeft w:val="0"/>
      <w:marRight w:val="0"/>
      <w:marTop w:val="0"/>
      <w:marBottom w:val="0"/>
      <w:divBdr>
        <w:top w:val="none" w:sz="0" w:space="0" w:color="auto"/>
        <w:left w:val="none" w:sz="0" w:space="0" w:color="auto"/>
        <w:bottom w:val="none" w:sz="0" w:space="0" w:color="auto"/>
        <w:right w:val="none" w:sz="0" w:space="0" w:color="auto"/>
      </w:divBdr>
    </w:div>
    <w:div w:id="1800536288">
      <w:bodyDiv w:val="1"/>
      <w:marLeft w:val="0"/>
      <w:marRight w:val="0"/>
      <w:marTop w:val="0"/>
      <w:marBottom w:val="0"/>
      <w:divBdr>
        <w:top w:val="none" w:sz="0" w:space="0" w:color="auto"/>
        <w:left w:val="none" w:sz="0" w:space="0" w:color="auto"/>
        <w:bottom w:val="none" w:sz="0" w:space="0" w:color="auto"/>
        <w:right w:val="none" w:sz="0" w:space="0" w:color="auto"/>
      </w:divBdr>
    </w:div>
    <w:div w:id="1831368924">
      <w:bodyDiv w:val="1"/>
      <w:marLeft w:val="0"/>
      <w:marRight w:val="0"/>
      <w:marTop w:val="0"/>
      <w:marBottom w:val="0"/>
      <w:divBdr>
        <w:top w:val="none" w:sz="0" w:space="0" w:color="auto"/>
        <w:left w:val="none" w:sz="0" w:space="0" w:color="auto"/>
        <w:bottom w:val="none" w:sz="0" w:space="0" w:color="auto"/>
        <w:right w:val="none" w:sz="0" w:space="0" w:color="auto"/>
      </w:divBdr>
    </w:div>
    <w:div w:id="1879656459">
      <w:bodyDiv w:val="1"/>
      <w:marLeft w:val="0"/>
      <w:marRight w:val="0"/>
      <w:marTop w:val="0"/>
      <w:marBottom w:val="0"/>
      <w:divBdr>
        <w:top w:val="none" w:sz="0" w:space="0" w:color="auto"/>
        <w:left w:val="none" w:sz="0" w:space="0" w:color="auto"/>
        <w:bottom w:val="none" w:sz="0" w:space="0" w:color="auto"/>
        <w:right w:val="none" w:sz="0" w:space="0" w:color="auto"/>
      </w:divBdr>
    </w:div>
    <w:div w:id="1941326927">
      <w:bodyDiv w:val="1"/>
      <w:marLeft w:val="0"/>
      <w:marRight w:val="0"/>
      <w:marTop w:val="0"/>
      <w:marBottom w:val="0"/>
      <w:divBdr>
        <w:top w:val="none" w:sz="0" w:space="0" w:color="auto"/>
        <w:left w:val="none" w:sz="0" w:space="0" w:color="auto"/>
        <w:bottom w:val="none" w:sz="0" w:space="0" w:color="auto"/>
        <w:right w:val="none" w:sz="0" w:space="0" w:color="auto"/>
      </w:divBdr>
    </w:div>
    <w:div w:id="1953200122">
      <w:bodyDiv w:val="1"/>
      <w:marLeft w:val="0"/>
      <w:marRight w:val="0"/>
      <w:marTop w:val="0"/>
      <w:marBottom w:val="0"/>
      <w:divBdr>
        <w:top w:val="none" w:sz="0" w:space="0" w:color="auto"/>
        <w:left w:val="none" w:sz="0" w:space="0" w:color="auto"/>
        <w:bottom w:val="none" w:sz="0" w:space="0" w:color="auto"/>
        <w:right w:val="none" w:sz="0" w:space="0" w:color="auto"/>
      </w:divBdr>
    </w:div>
    <w:div w:id="1964574578">
      <w:bodyDiv w:val="1"/>
      <w:marLeft w:val="0"/>
      <w:marRight w:val="0"/>
      <w:marTop w:val="0"/>
      <w:marBottom w:val="0"/>
      <w:divBdr>
        <w:top w:val="none" w:sz="0" w:space="0" w:color="auto"/>
        <w:left w:val="none" w:sz="0" w:space="0" w:color="auto"/>
        <w:bottom w:val="none" w:sz="0" w:space="0" w:color="auto"/>
        <w:right w:val="none" w:sz="0" w:space="0" w:color="auto"/>
      </w:divBdr>
    </w:div>
    <w:div w:id="1966083980">
      <w:bodyDiv w:val="1"/>
      <w:marLeft w:val="0"/>
      <w:marRight w:val="0"/>
      <w:marTop w:val="0"/>
      <w:marBottom w:val="0"/>
      <w:divBdr>
        <w:top w:val="none" w:sz="0" w:space="0" w:color="auto"/>
        <w:left w:val="none" w:sz="0" w:space="0" w:color="auto"/>
        <w:bottom w:val="none" w:sz="0" w:space="0" w:color="auto"/>
        <w:right w:val="none" w:sz="0" w:space="0" w:color="auto"/>
      </w:divBdr>
    </w:div>
    <w:div w:id="1981305828">
      <w:bodyDiv w:val="1"/>
      <w:marLeft w:val="0"/>
      <w:marRight w:val="0"/>
      <w:marTop w:val="0"/>
      <w:marBottom w:val="0"/>
      <w:divBdr>
        <w:top w:val="none" w:sz="0" w:space="0" w:color="auto"/>
        <w:left w:val="none" w:sz="0" w:space="0" w:color="auto"/>
        <w:bottom w:val="none" w:sz="0" w:space="0" w:color="auto"/>
        <w:right w:val="none" w:sz="0" w:space="0" w:color="auto"/>
      </w:divBdr>
    </w:div>
    <w:div w:id="1998994966">
      <w:bodyDiv w:val="1"/>
      <w:marLeft w:val="0"/>
      <w:marRight w:val="0"/>
      <w:marTop w:val="0"/>
      <w:marBottom w:val="0"/>
      <w:divBdr>
        <w:top w:val="none" w:sz="0" w:space="0" w:color="auto"/>
        <w:left w:val="none" w:sz="0" w:space="0" w:color="auto"/>
        <w:bottom w:val="none" w:sz="0" w:space="0" w:color="auto"/>
        <w:right w:val="none" w:sz="0" w:space="0" w:color="auto"/>
      </w:divBdr>
    </w:div>
    <w:div w:id="2002157009">
      <w:bodyDiv w:val="1"/>
      <w:marLeft w:val="0"/>
      <w:marRight w:val="0"/>
      <w:marTop w:val="0"/>
      <w:marBottom w:val="0"/>
      <w:divBdr>
        <w:top w:val="none" w:sz="0" w:space="0" w:color="auto"/>
        <w:left w:val="none" w:sz="0" w:space="0" w:color="auto"/>
        <w:bottom w:val="none" w:sz="0" w:space="0" w:color="auto"/>
        <w:right w:val="none" w:sz="0" w:space="0" w:color="auto"/>
      </w:divBdr>
    </w:div>
    <w:div w:id="2030450440">
      <w:bodyDiv w:val="1"/>
      <w:marLeft w:val="0"/>
      <w:marRight w:val="0"/>
      <w:marTop w:val="0"/>
      <w:marBottom w:val="0"/>
      <w:divBdr>
        <w:top w:val="none" w:sz="0" w:space="0" w:color="auto"/>
        <w:left w:val="none" w:sz="0" w:space="0" w:color="auto"/>
        <w:bottom w:val="none" w:sz="0" w:space="0" w:color="auto"/>
        <w:right w:val="none" w:sz="0" w:space="0" w:color="auto"/>
      </w:divBdr>
    </w:div>
    <w:div w:id="2042897900">
      <w:bodyDiv w:val="1"/>
      <w:marLeft w:val="0"/>
      <w:marRight w:val="0"/>
      <w:marTop w:val="0"/>
      <w:marBottom w:val="0"/>
      <w:divBdr>
        <w:top w:val="none" w:sz="0" w:space="0" w:color="auto"/>
        <w:left w:val="none" w:sz="0" w:space="0" w:color="auto"/>
        <w:bottom w:val="none" w:sz="0" w:space="0" w:color="auto"/>
        <w:right w:val="none" w:sz="0" w:space="0" w:color="auto"/>
      </w:divBdr>
    </w:div>
    <w:div w:id="2088384177">
      <w:bodyDiv w:val="1"/>
      <w:marLeft w:val="0"/>
      <w:marRight w:val="0"/>
      <w:marTop w:val="0"/>
      <w:marBottom w:val="0"/>
      <w:divBdr>
        <w:top w:val="none" w:sz="0" w:space="0" w:color="auto"/>
        <w:left w:val="none" w:sz="0" w:space="0" w:color="auto"/>
        <w:bottom w:val="none" w:sz="0" w:space="0" w:color="auto"/>
        <w:right w:val="none" w:sz="0" w:space="0" w:color="auto"/>
      </w:divBdr>
    </w:div>
    <w:div w:id="2104108957">
      <w:bodyDiv w:val="1"/>
      <w:marLeft w:val="0"/>
      <w:marRight w:val="0"/>
      <w:marTop w:val="0"/>
      <w:marBottom w:val="0"/>
      <w:divBdr>
        <w:top w:val="none" w:sz="0" w:space="0" w:color="auto"/>
        <w:left w:val="none" w:sz="0" w:space="0" w:color="auto"/>
        <w:bottom w:val="none" w:sz="0" w:space="0" w:color="auto"/>
        <w:right w:val="none" w:sz="0" w:space="0" w:color="auto"/>
      </w:divBdr>
    </w:div>
    <w:div w:id="2116359454">
      <w:bodyDiv w:val="1"/>
      <w:marLeft w:val="0"/>
      <w:marRight w:val="0"/>
      <w:marTop w:val="0"/>
      <w:marBottom w:val="0"/>
      <w:divBdr>
        <w:top w:val="none" w:sz="0" w:space="0" w:color="auto"/>
        <w:left w:val="none" w:sz="0" w:space="0" w:color="auto"/>
        <w:bottom w:val="none" w:sz="0" w:space="0" w:color="auto"/>
        <w:right w:val="none" w:sz="0" w:space="0" w:color="auto"/>
      </w:divBdr>
    </w:div>
    <w:div w:id="213964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0E6C7D-7CC6-4D5C-9E48-452AEDF32DFA}">
  <ds:schemaRefs>
    <ds:schemaRef ds:uri="http://schemas.microsoft.com/sharepoint/v3/contenttype/forms"/>
  </ds:schemaRefs>
</ds:datastoreItem>
</file>

<file path=customXml/itemProps2.xml><?xml version="1.0" encoding="utf-8"?>
<ds:datastoreItem xmlns:ds="http://schemas.openxmlformats.org/officeDocument/2006/customXml" ds:itemID="{5DEF379A-AAAF-42CD-91D7-8E1C28A1DB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55945F-918D-477B-925A-C7786F883630}">
  <ds:schemaRefs>
    <ds:schemaRef ds:uri="http://schemas.openxmlformats.org/officeDocument/2006/bibliography"/>
  </ds:schemaRefs>
</ds:datastoreItem>
</file>

<file path=customXml/itemProps4.xml><?xml version="1.0" encoding="utf-8"?>
<ds:datastoreItem xmlns:ds="http://schemas.openxmlformats.org/officeDocument/2006/customXml" ds:itemID="{D4C8B358-292F-424E-A640-BA7AFB3A27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24</TotalTime>
  <Pages>1</Pages>
  <Words>3006</Words>
  <Characters>17831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20796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Dugdale, Brienna</cp:lastModifiedBy>
  <cp:revision>22</cp:revision>
  <dcterms:created xsi:type="dcterms:W3CDTF">2025-09-08T14:04:00Z</dcterms:created>
  <dcterms:modified xsi:type="dcterms:W3CDTF">2025-09-08T19:09:00Z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1670122802</vt:i4>
  </property>
  <property fmtid="{D5CDD505-2E9C-101B-9397-08002B2CF9AE}" pid="3" name="_ReviewCycleID">
    <vt:i4>1670122802</vt:i4>
  </property>
  <property fmtid="{D5CDD505-2E9C-101B-9397-08002B2CF9AE}" pid="4" name="_NewReviewCycle">
    <vt:lpwstr/>
  </property>
  <property fmtid="{D5CDD505-2E9C-101B-9397-08002B2CF9AE}" pid="5" name="_EmailEntryID">
    <vt:lpwstr>000000000686971C48ACC94DBA1F73F08C35D9E2070074003E8994FF8D43BBFD4581006EFC97000000000109000074003E8994FF8D43BBFD4581006EFC970000E87442A20000</vt:lpwstr>
  </property>
  <property fmtid="{D5CDD505-2E9C-101B-9397-08002B2CF9AE}" pid="6" name="_EmailStoreID0">
    <vt:lpwstr>0000000038A1BB1005E5101AA1BB08002B2A56C20000454D534D44422E444C4C00000000000000001B55FA20AA6611CD9BC800AA002FC45A0C000000457A656B69656C2E4B72697374656B404356534865616C74682E636F6D002F6F3D45786368616E67654C6162732F6F753D45786368616E67652041646D696E697374726</vt:lpwstr>
  </property>
  <property fmtid="{D5CDD505-2E9C-101B-9397-08002B2CF9AE}" pid="7" name="_EmailStoreID1">
    <vt:lpwstr>1746976652047726F7570202846594449424F484632335350444C54292F636E3D526563697069656E74732F636E3D63323935303662616536336634626666393337303035653134663964383531362D3136393735303800E94632F44E000000020000001000000045007A0065006B00690065006C002E004B00720069007300</vt:lpwstr>
  </property>
  <property fmtid="{D5CDD505-2E9C-101B-9397-08002B2CF9AE}" pid="8" name="_EmailStoreID2">
    <vt:lpwstr>740065006B0040004300560053004800650061006C00740068002E0063006F006D0000000000</vt:lpwstr>
  </property>
  <property fmtid="{D5CDD505-2E9C-101B-9397-08002B2CF9AE}" pid="9" name="MSIP_Label_67599526-06ca-49cc-9fa9-5307800a949a_Enabled">
    <vt:lpwstr>true</vt:lpwstr>
  </property>
  <property fmtid="{D5CDD505-2E9C-101B-9397-08002B2CF9AE}" pid="10" name="MSIP_Label_67599526-06ca-49cc-9fa9-5307800a949a_SetDate">
    <vt:lpwstr>2022-01-04T13:40:54Z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b58f1d2e-3022-4041-b613-a339fbf7307b</vt:lpwstr>
  </property>
  <property fmtid="{D5CDD505-2E9C-101B-9397-08002B2CF9AE}" pid="15" name="MSIP_Label_67599526-06ca-49cc-9fa9-5307800a949a_ContentBits">
    <vt:lpwstr>0</vt:lpwstr>
  </property>
  <property fmtid="{D5CDD505-2E9C-101B-9397-08002B2CF9AE}" pid="16" name="ContentTypeId">
    <vt:lpwstr>0x010100C54942C34D83FF4FA91571050E536A93</vt:lpwstr>
  </property>
  <property fmtid="{D5CDD505-2E9C-101B-9397-08002B2CF9AE}" pid="17" name="_ReviewingToolsShownOnce">
    <vt:lpwstr/>
  </property>
</Properties>
</file>