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6C27" w14:textId="356AB964" w:rsidR="00B749C0" w:rsidRDefault="007E07D2" w:rsidP="00D90BF4">
      <w:pPr>
        <w:spacing w:before="120" w:after="120"/>
        <w:rPr>
          <w:b/>
          <w:bCs/>
          <w:color w:val="000000" w:themeColor="text1"/>
          <w:sz w:val="36"/>
          <w:szCs w:val="36"/>
        </w:rPr>
      </w:pPr>
      <w:bookmarkStart w:id="0" w:name="_top"/>
      <w:bookmarkStart w:id="1" w:name="OLE_LINK11"/>
      <w:bookmarkStart w:id="2" w:name="OLE_LINK77"/>
      <w:bookmarkEnd w:id="0"/>
      <w:r w:rsidRPr="3A5586AF">
        <w:rPr>
          <w:b/>
          <w:bCs/>
          <w:color w:val="000000" w:themeColor="text1"/>
          <w:sz w:val="36"/>
          <w:szCs w:val="36"/>
        </w:rPr>
        <w:t xml:space="preserve">Compass - </w:t>
      </w:r>
      <w:r w:rsidR="009B08A7" w:rsidRPr="3A5586AF">
        <w:rPr>
          <w:b/>
          <w:bCs/>
          <w:color w:val="000000" w:themeColor="text1"/>
          <w:sz w:val="36"/>
          <w:szCs w:val="36"/>
        </w:rPr>
        <w:t>Power of Attorney (POA)</w:t>
      </w:r>
      <w:bookmarkEnd w:id="1"/>
    </w:p>
    <w:bookmarkEnd w:id="2"/>
    <w:p w14:paraId="24931695" w14:textId="5DAF44E9" w:rsidR="00DD434E" w:rsidRDefault="00660AD5" w:rsidP="00F173CC">
      <w:pPr>
        <w:pStyle w:val="TOC1"/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A655E2">
        <w:rPr>
          <w:rFonts w:asciiTheme="minorHAnsi" w:hAnsiTheme="minorHAnsi"/>
          <w:b/>
          <w:bCs/>
          <w:sz w:val="22"/>
        </w:rPr>
        <w:fldChar w:fldCharType="begin"/>
      </w:r>
      <w:r w:rsidRPr="00A655E2">
        <w:rPr>
          <w:b/>
          <w:bCs/>
        </w:rPr>
        <w:instrText xml:space="preserve"> TOC \n \p " " \h \z \u \t "Heading 2,1" </w:instrText>
      </w:r>
      <w:r w:rsidRPr="00A655E2">
        <w:rPr>
          <w:rFonts w:asciiTheme="minorHAnsi" w:hAnsiTheme="minorHAnsi"/>
          <w:b/>
          <w:bCs/>
          <w:sz w:val="22"/>
        </w:rPr>
        <w:fldChar w:fldCharType="separate"/>
      </w:r>
      <w:hyperlink w:anchor="_Toc188036630" w:history="1">
        <w:r w:rsidR="00DD434E" w:rsidRPr="00163B36">
          <w:rPr>
            <w:rStyle w:val="Hyperlink"/>
            <w:rFonts w:eastAsia="Verdana" w:cs="Verdana"/>
            <w:noProof/>
          </w:rPr>
          <w:t>Power of Attorney (POA) Authorization</w:t>
        </w:r>
      </w:hyperlink>
    </w:p>
    <w:p w14:paraId="39D61364" w14:textId="420EA278" w:rsidR="00DD434E" w:rsidRDefault="00DD434E" w:rsidP="00F173CC">
      <w:pPr>
        <w:pStyle w:val="TOC1"/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88036631" w:history="1">
        <w:r w:rsidRPr="00163B36">
          <w:rPr>
            <w:rStyle w:val="Hyperlink"/>
            <w:noProof/>
          </w:rPr>
          <w:t>Mailing Addresses for a POA Authorization Form</w:t>
        </w:r>
      </w:hyperlink>
    </w:p>
    <w:p w14:paraId="64B2C52F" w14:textId="129E6025" w:rsidR="00DD434E" w:rsidRDefault="00DD434E" w:rsidP="00F173CC">
      <w:pPr>
        <w:pStyle w:val="TOC1"/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88036632" w:history="1">
        <w:r w:rsidRPr="00163B36">
          <w:rPr>
            <w:rStyle w:val="Hyperlink"/>
            <w:noProof/>
          </w:rPr>
          <w:t>Viewing POA Authorizations on File in Compass</w:t>
        </w:r>
      </w:hyperlink>
    </w:p>
    <w:p w14:paraId="39437E75" w14:textId="52EFFB84" w:rsidR="00DD434E" w:rsidRDefault="00DD434E" w:rsidP="00F173CC">
      <w:pPr>
        <w:pStyle w:val="TOC1"/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88036633" w:history="1">
        <w:r w:rsidRPr="00163B36">
          <w:rPr>
            <w:rStyle w:val="Hyperlink"/>
            <w:noProof/>
          </w:rPr>
          <w:t>Information Needed to Include with a POA Add or Revoke (Remove) Request</w:t>
        </w:r>
      </w:hyperlink>
    </w:p>
    <w:p w14:paraId="6D5714EF" w14:textId="5C50BCCE" w:rsidR="00DD434E" w:rsidRDefault="00DD434E" w:rsidP="00F173CC">
      <w:pPr>
        <w:pStyle w:val="TOC1"/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88036634" w:history="1">
        <w:r w:rsidRPr="00163B36">
          <w:rPr>
            <w:rStyle w:val="Hyperlink"/>
            <w:noProof/>
          </w:rPr>
          <w:t>Turn Around Time</w:t>
        </w:r>
      </w:hyperlink>
    </w:p>
    <w:p w14:paraId="40CB0B23" w14:textId="55F79F6F" w:rsidR="00DD434E" w:rsidRDefault="00DD434E" w:rsidP="00F173CC">
      <w:pPr>
        <w:pStyle w:val="TOC1"/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88036635" w:history="1">
        <w:r w:rsidRPr="00163B36">
          <w:rPr>
            <w:rStyle w:val="Hyperlink"/>
            <w:noProof/>
          </w:rPr>
          <w:t>Related Documents</w:t>
        </w:r>
      </w:hyperlink>
    </w:p>
    <w:p w14:paraId="2472DC07" w14:textId="4877105C" w:rsidR="002C074D" w:rsidRDefault="00660AD5" w:rsidP="00D90BF4">
      <w:pPr>
        <w:spacing w:before="120" w:after="120"/>
        <w:rPr>
          <w:b/>
          <w:bCs/>
        </w:rPr>
      </w:pPr>
      <w:r w:rsidRPr="00A655E2">
        <w:rPr>
          <w:b/>
          <w:bCs/>
          <w:szCs w:val="24"/>
        </w:rPr>
        <w:fldChar w:fldCharType="end"/>
      </w:r>
    </w:p>
    <w:p w14:paraId="2D09B9FE" w14:textId="714CA56B" w:rsidR="009B08A7" w:rsidRDefault="009B08A7" w:rsidP="00D90BF4">
      <w:pPr>
        <w:spacing w:before="120" w:after="120"/>
      </w:pPr>
      <w:r>
        <w:rPr>
          <w:b/>
          <w:bCs/>
        </w:rPr>
        <w:t>Description:</w:t>
      </w:r>
      <w:r>
        <w:t>  </w:t>
      </w:r>
      <w:bookmarkStart w:id="3" w:name="OLE_LINK5"/>
      <w:r w:rsidR="000C551D">
        <w:t>How to</w:t>
      </w:r>
      <w:r>
        <w:t xml:space="preserve"> add and revoke a Power of Attorney</w:t>
      </w:r>
      <w:r w:rsidR="00922E84">
        <w:t xml:space="preserve"> (</w:t>
      </w:r>
      <w:r w:rsidR="00922E84" w:rsidRPr="00D90BF4">
        <w:rPr>
          <w:b/>
          <w:bCs/>
        </w:rPr>
        <w:t>POA</w:t>
      </w:r>
      <w:r w:rsidR="00922E84">
        <w:t>)</w:t>
      </w:r>
      <w:r>
        <w:t xml:space="preserve"> Authorization form on file with us</w:t>
      </w:r>
      <w:r w:rsidR="003409D8">
        <w:t xml:space="preserve"> </w:t>
      </w:r>
      <w:r w:rsidR="000C551D">
        <w:t>and</w:t>
      </w:r>
      <w:r>
        <w:t xml:space="preserve"> how to determine the authorized agent’s name for the Power of Attorney and when the Authorization becomes invalid</w:t>
      </w:r>
      <w:bookmarkEnd w:id="3"/>
      <w:r>
        <w:t>. </w:t>
      </w:r>
    </w:p>
    <w:p w14:paraId="73A043F7" w14:textId="77777777" w:rsidR="002C074D" w:rsidRDefault="002C074D" w:rsidP="00D90BF4">
      <w:pPr>
        <w:spacing w:before="120" w:after="120"/>
      </w:pPr>
    </w:p>
    <w:tbl>
      <w:tblPr>
        <w:tblW w:w="5000" w:type="pct"/>
        <w:tblLook w:val="06A0" w:firstRow="1" w:lastRow="0" w:firstColumn="1" w:lastColumn="0" w:noHBand="1" w:noVBand="1"/>
      </w:tblPr>
      <w:tblGrid>
        <w:gridCol w:w="12944"/>
      </w:tblGrid>
      <w:tr w:rsidR="00A67C5D" w14:paraId="06DD8E26" w14:textId="77777777" w:rsidTr="00C53793">
        <w:trPr>
          <w:trHeight w:val="300"/>
        </w:trPr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1" w:type="dxa"/>
              <w:right w:w="101" w:type="dxa"/>
            </w:tcMar>
          </w:tcPr>
          <w:p w14:paraId="23555DB1" w14:textId="706EA6D6" w:rsidR="302F43EF" w:rsidRDefault="302F43EF" w:rsidP="00A67C5D">
            <w:pPr>
              <w:pStyle w:val="Heading2"/>
              <w:spacing w:before="120" w:after="120"/>
              <w:rPr>
                <w:rFonts w:eastAsia="Verdana" w:cs="Verdana"/>
              </w:rPr>
            </w:pPr>
            <w:bookmarkStart w:id="4" w:name="_Toc188036630"/>
            <w:r w:rsidRPr="302F43EF">
              <w:rPr>
                <w:rFonts w:eastAsia="Verdana" w:cs="Verdana"/>
              </w:rPr>
              <w:t>Power of Attorney (POA) Authorization</w:t>
            </w:r>
            <w:bookmarkEnd w:id="4"/>
          </w:p>
        </w:tc>
      </w:tr>
    </w:tbl>
    <w:p w14:paraId="1558B870" w14:textId="5E40AA2E" w:rsidR="492467FD" w:rsidRDefault="492467FD" w:rsidP="00A67C5D">
      <w:pPr>
        <w:spacing w:before="120" w:after="120"/>
        <w:rPr>
          <w:rFonts w:eastAsia="Verdana" w:cs="Verdana"/>
          <w:color w:val="000000" w:themeColor="text1"/>
          <w:szCs w:val="24"/>
        </w:rPr>
      </w:pPr>
      <w:r w:rsidRPr="302F43EF">
        <w:rPr>
          <w:rFonts w:eastAsia="Verdana" w:cs="Verdana"/>
          <w:color w:val="000000" w:themeColor="text1"/>
          <w:szCs w:val="24"/>
        </w:rPr>
        <w:t xml:space="preserve"> </w:t>
      </w:r>
    </w:p>
    <w:p w14:paraId="442AA0B5" w14:textId="2D89EA75" w:rsidR="492467FD" w:rsidRDefault="492467FD" w:rsidP="00A67C5D">
      <w:pPr>
        <w:spacing w:before="120" w:after="120"/>
        <w:rPr>
          <w:rFonts w:eastAsia="Verdana" w:cs="Verdana"/>
          <w:color w:val="000000" w:themeColor="text1"/>
          <w:szCs w:val="24"/>
        </w:rPr>
      </w:pPr>
      <w:r w:rsidRPr="302F43EF">
        <w:rPr>
          <w:rFonts w:eastAsia="Verdana" w:cs="Verdana"/>
          <w:color w:val="000000" w:themeColor="text1"/>
          <w:szCs w:val="24"/>
        </w:rPr>
        <w:t>Refer to the table below:</w:t>
      </w:r>
    </w:p>
    <w:tbl>
      <w:tblPr>
        <w:tblW w:w="5000" w:type="pct"/>
        <w:tblLook w:val="06A0" w:firstRow="1" w:lastRow="0" w:firstColumn="1" w:lastColumn="0" w:noHBand="1" w:noVBand="1"/>
      </w:tblPr>
      <w:tblGrid>
        <w:gridCol w:w="1787"/>
        <w:gridCol w:w="1478"/>
        <w:gridCol w:w="9679"/>
      </w:tblGrid>
      <w:tr w:rsidR="302F43EF" w14:paraId="444404A9" w14:textId="77777777" w:rsidTr="00C53793">
        <w:trPr>
          <w:trHeight w:val="300"/>
        </w:trPr>
        <w:tc>
          <w:tcPr>
            <w:tcW w:w="62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101" w:type="dxa"/>
              <w:right w:w="101" w:type="dxa"/>
            </w:tcMar>
          </w:tcPr>
          <w:p w14:paraId="54B6B106" w14:textId="115ED447" w:rsidR="302F43EF" w:rsidRDefault="302F43EF" w:rsidP="00A67C5D">
            <w:pPr>
              <w:spacing w:before="120" w:after="120"/>
              <w:jc w:val="center"/>
              <w:rPr>
                <w:rFonts w:eastAsia="Verdana" w:cs="Verdana"/>
                <w:b/>
                <w:bCs/>
                <w:szCs w:val="24"/>
              </w:rPr>
            </w:pPr>
            <w:r w:rsidRPr="302F43EF">
              <w:rPr>
                <w:rFonts w:eastAsia="Verdana" w:cs="Verdana"/>
                <w:b/>
                <w:bCs/>
                <w:szCs w:val="24"/>
              </w:rPr>
              <w:t>Timeframe Valid</w:t>
            </w:r>
          </w:p>
        </w:tc>
        <w:tc>
          <w:tcPr>
            <w:tcW w:w="4372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101" w:type="dxa"/>
              <w:right w:w="101" w:type="dxa"/>
            </w:tcMar>
          </w:tcPr>
          <w:p w14:paraId="3B58C750" w14:textId="026034DF" w:rsidR="302F43EF" w:rsidRDefault="302F43EF" w:rsidP="00A67C5D">
            <w:pPr>
              <w:spacing w:before="120" w:after="120"/>
              <w:jc w:val="center"/>
              <w:rPr>
                <w:rFonts w:eastAsia="Verdana" w:cs="Verdana"/>
                <w:b/>
                <w:bCs/>
                <w:szCs w:val="24"/>
              </w:rPr>
            </w:pPr>
            <w:r w:rsidRPr="302F43EF">
              <w:rPr>
                <w:rFonts w:eastAsia="Verdana" w:cs="Verdana"/>
                <w:b/>
                <w:bCs/>
                <w:szCs w:val="24"/>
              </w:rPr>
              <w:t>Authorization</w:t>
            </w:r>
          </w:p>
        </w:tc>
      </w:tr>
      <w:tr w:rsidR="302F43EF" w14:paraId="73DBBA34" w14:textId="77777777" w:rsidTr="00C53793">
        <w:trPr>
          <w:trHeight w:val="300"/>
        </w:trPr>
        <w:tc>
          <w:tcPr>
            <w:tcW w:w="628" w:type="pct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1" w:type="dxa"/>
              <w:right w:w="101" w:type="dxa"/>
            </w:tcMar>
          </w:tcPr>
          <w:p w14:paraId="79399FEF" w14:textId="58B3CA8B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Valid until authorization is revoked or beneficiary is deceased.</w:t>
            </w:r>
          </w:p>
        </w:tc>
        <w:tc>
          <w:tcPr>
            <w:tcW w:w="4372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1" w:type="dxa"/>
              <w:right w:w="101" w:type="dxa"/>
            </w:tcMar>
          </w:tcPr>
          <w:p w14:paraId="3ACFE401" w14:textId="35FD828C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Power of Attorney is a legal document, which authorizes the designated individual to manage </w:t>
            </w:r>
            <w:r w:rsidRPr="302F43EF">
              <w:rPr>
                <w:rFonts w:eastAsia="Verdana" w:cs="Verdana"/>
                <w:b/>
                <w:bCs/>
                <w:szCs w:val="24"/>
              </w:rPr>
              <w:t>all</w:t>
            </w:r>
            <w:r w:rsidRPr="302F43EF">
              <w:rPr>
                <w:rFonts w:eastAsia="Verdana" w:cs="Verdana"/>
                <w:szCs w:val="24"/>
              </w:rPr>
              <w:t xml:space="preserve"> aspects of a beneficiary’s account. This form should be suggested in instances when the beneficiary feels a representative should have access to unlimited </w:t>
            </w:r>
            <w:r w:rsidR="00D90BF4" w:rsidRPr="00D90BF4">
              <w:rPr>
                <w:rFonts w:eastAsia="Verdana" w:cs="Verdana"/>
                <w:szCs w:val="24"/>
              </w:rPr>
              <w:t xml:space="preserve">Protected Health Information </w:t>
            </w:r>
            <w:r w:rsidR="00D90BF4">
              <w:rPr>
                <w:rFonts w:eastAsia="Verdana" w:cs="Verdana"/>
                <w:szCs w:val="24"/>
              </w:rPr>
              <w:t>(</w:t>
            </w:r>
            <w:r w:rsidRPr="00D90BF4">
              <w:rPr>
                <w:rFonts w:eastAsia="Verdana" w:cs="Verdana"/>
                <w:b/>
                <w:bCs/>
                <w:szCs w:val="24"/>
              </w:rPr>
              <w:t>PHI</w:t>
            </w:r>
            <w:r w:rsidR="00D90BF4">
              <w:rPr>
                <w:rFonts w:eastAsia="Verdana" w:cs="Verdana"/>
                <w:szCs w:val="24"/>
              </w:rPr>
              <w:t>)</w:t>
            </w:r>
            <w:r w:rsidRPr="302F43EF">
              <w:rPr>
                <w:rFonts w:eastAsia="Verdana" w:cs="Verdana"/>
                <w:szCs w:val="24"/>
              </w:rPr>
              <w:t xml:space="preserve"> and authorization to make changes to the account, such as address and payment changes.</w:t>
            </w:r>
          </w:p>
          <w:p w14:paraId="5C8536AB" w14:textId="42D36DE1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 </w:t>
            </w:r>
          </w:p>
          <w:p w14:paraId="75741E8B" w14:textId="6A9FB827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The POA can be used:</w:t>
            </w:r>
          </w:p>
          <w:p w14:paraId="4F1631DE" w14:textId="5204C103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Disclosure of PHI/</w:t>
            </w:r>
            <w:r w:rsidRPr="00D90BF4">
              <w:rPr>
                <w:rFonts w:eastAsia="Verdana" w:cs="Verdana"/>
                <w:b/>
                <w:bCs/>
                <w:szCs w:val="24"/>
              </w:rPr>
              <w:t>PII</w:t>
            </w:r>
            <w:r w:rsidR="00D90BF4">
              <w:rPr>
                <w:rFonts w:eastAsia="Verdana" w:cs="Verdana"/>
                <w:b/>
                <w:bCs/>
                <w:szCs w:val="24"/>
              </w:rPr>
              <w:t xml:space="preserve"> </w:t>
            </w:r>
            <w:r w:rsidR="00D90BF4">
              <w:rPr>
                <w:rFonts w:eastAsia="Verdana" w:cs="Verdana"/>
                <w:szCs w:val="24"/>
              </w:rPr>
              <w:t>(</w:t>
            </w:r>
            <w:r w:rsidR="00D90BF4" w:rsidRPr="00D90BF4">
              <w:rPr>
                <w:rFonts w:eastAsia="Verdana" w:cs="Verdana"/>
                <w:szCs w:val="24"/>
              </w:rPr>
              <w:t>Personally Identifiable Information</w:t>
            </w:r>
            <w:r w:rsidR="00D90BF4">
              <w:rPr>
                <w:rFonts w:eastAsia="Verdana" w:cs="Verdana"/>
                <w:szCs w:val="24"/>
              </w:rPr>
              <w:t>)</w:t>
            </w:r>
          </w:p>
          <w:p w14:paraId="7E49E5E6" w14:textId="1ED8924B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Authorization to make account changes, including enrollment and disenrollment requests</w:t>
            </w:r>
          </w:p>
          <w:p w14:paraId="0142C3D3" w14:textId="3088EAD4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Grievances</w:t>
            </w:r>
          </w:p>
          <w:p w14:paraId="03DE71B4" w14:textId="501CB2A3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Coverage determination/appeals</w:t>
            </w:r>
          </w:p>
          <w:p w14:paraId="172584AD" w14:textId="4F160304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 </w:t>
            </w:r>
          </w:p>
          <w:p w14:paraId="00C1AAB9" w14:textId="1988AA97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The POA must meet the regulations set by the state in which the beneficiary lives.</w:t>
            </w:r>
          </w:p>
          <w:p w14:paraId="3FD507FD" w14:textId="5A786534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 </w:t>
            </w:r>
          </w:p>
          <w:p w14:paraId="6AC24A1B" w14:textId="026E2723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POA is no longer valid upon the death of the beneficiary. To address any issues on the account for a deceased beneficiary, CVS Caremark must receive one of the following (copies are acceptable):</w:t>
            </w:r>
          </w:p>
          <w:p w14:paraId="0B6010F8" w14:textId="2066BE2D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Letters of Testamentary</w:t>
            </w:r>
          </w:p>
          <w:p w14:paraId="05B3E538" w14:textId="197C7FA0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Executor of Estate</w:t>
            </w:r>
          </w:p>
          <w:p w14:paraId="6A590F7C" w14:textId="59AB387A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Death Certificate and affidavit stating no one else is in line for their estate</w:t>
            </w:r>
          </w:p>
          <w:p w14:paraId="6A4E1944" w14:textId="6AB5F8C6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 </w:t>
            </w:r>
          </w:p>
          <w:p w14:paraId="64BE483D" w14:textId="5B040767" w:rsidR="302F43EF" w:rsidRDefault="302F43EF" w:rsidP="00A67C5D">
            <w:pPr>
              <w:spacing w:before="120" w:after="120"/>
              <w:rPr>
                <w:rFonts w:eastAsia="Verdana" w:cs="Verdana"/>
                <w:b/>
                <w:bCs/>
                <w:szCs w:val="24"/>
              </w:rPr>
            </w:pPr>
            <w:r w:rsidRPr="302F43EF">
              <w:rPr>
                <w:rFonts w:eastAsia="Verdana" w:cs="Verdana"/>
                <w:b/>
                <w:bCs/>
                <w:szCs w:val="24"/>
              </w:rPr>
              <w:t>Notes:</w:t>
            </w:r>
          </w:p>
          <w:p w14:paraId="074A35DC" w14:textId="30618A71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POA forms are not available from CVS Caremark as legal requirements vary by state.</w:t>
            </w:r>
          </w:p>
          <w:p w14:paraId="1D00012D" w14:textId="0A735635" w:rsidR="302F43EF" w:rsidRDefault="302F43EF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If a POA is denied, the beneficiary will be sent a denial letter along with the original POA.</w:t>
            </w:r>
          </w:p>
          <w:p w14:paraId="19DDAC96" w14:textId="10209BA1" w:rsidR="003C06AD" w:rsidRPr="003C06AD" w:rsidRDefault="00C53793" w:rsidP="003C06AD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rFonts w:cs="Courier New"/>
              </w:rPr>
            </w:pPr>
            <w:r>
              <w:rPr>
                <w:rFonts w:cs="Courier New"/>
                <w:noProof/>
              </w:rPr>
              <w:drawing>
                <wp:inline distT="0" distB="0" distL="0" distR="0" wp14:anchorId="4DFF36E5" wp14:editId="025A385D">
                  <wp:extent cx="304762" cy="304762"/>
                  <wp:effectExtent l="0" t="0" r="635" b="635"/>
                  <wp:docPr id="780867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867638" name="Picture 78086763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ourier New"/>
              </w:rPr>
              <w:t xml:space="preserve"> </w:t>
            </w:r>
            <w:r w:rsidR="003C06AD">
              <w:rPr>
                <w:rFonts w:cs="Courier New"/>
              </w:rPr>
              <w:t xml:space="preserve">Member may have multiple POA’s. </w:t>
            </w:r>
          </w:p>
          <w:p w14:paraId="17FFE236" w14:textId="3E22158B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 </w:t>
            </w:r>
          </w:p>
          <w:p w14:paraId="3D0634E6" w14:textId="62A1216E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There are 4 different types of POA:</w:t>
            </w:r>
          </w:p>
        </w:tc>
      </w:tr>
      <w:tr w:rsidR="302F43EF" w14:paraId="74B55F86" w14:textId="77777777" w:rsidTr="00C53793">
        <w:trPr>
          <w:trHeight w:val="300"/>
        </w:trPr>
        <w:tc>
          <w:tcPr>
            <w:tcW w:w="628" w:type="pct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B098432" w14:textId="77777777" w:rsidR="008B3F8B" w:rsidRDefault="008B3F8B"/>
        </w:tc>
        <w:tc>
          <w:tcPr>
            <w:tcW w:w="51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tcMar>
              <w:left w:w="101" w:type="dxa"/>
              <w:right w:w="101" w:type="dxa"/>
            </w:tcMar>
          </w:tcPr>
          <w:p w14:paraId="309804D0" w14:textId="272AA80C" w:rsidR="302F43EF" w:rsidRDefault="302F43EF" w:rsidP="00A67C5D">
            <w:pPr>
              <w:spacing w:before="120" w:after="120"/>
              <w:jc w:val="center"/>
              <w:rPr>
                <w:rFonts w:eastAsia="Verdana" w:cs="Verdana"/>
                <w:b/>
                <w:bCs/>
                <w:szCs w:val="24"/>
              </w:rPr>
            </w:pPr>
            <w:r w:rsidRPr="302F43EF">
              <w:rPr>
                <w:rFonts w:eastAsia="Verdana" w:cs="Verdana"/>
                <w:b/>
                <w:bCs/>
                <w:szCs w:val="24"/>
              </w:rPr>
              <w:t>POA Type</w:t>
            </w:r>
          </w:p>
        </w:tc>
        <w:tc>
          <w:tcPr>
            <w:tcW w:w="3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tcMar>
              <w:left w:w="101" w:type="dxa"/>
              <w:right w:w="101" w:type="dxa"/>
            </w:tcMar>
          </w:tcPr>
          <w:p w14:paraId="7A8B0945" w14:textId="380A9D7C" w:rsidR="302F43EF" w:rsidRDefault="302F43EF" w:rsidP="00A67C5D">
            <w:pPr>
              <w:spacing w:before="120" w:after="120"/>
              <w:jc w:val="center"/>
              <w:rPr>
                <w:rFonts w:eastAsia="Verdana" w:cs="Verdana"/>
                <w:b/>
                <w:bCs/>
                <w:szCs w:val="24"/>
              </w:rPr>
            </w:pPr>
            <w:r w:rsidRPr="302F43EF">
              <w:rPr>
                <w:rFonts w:eastAsia="Verdana" w:cs="Verdana"/>
                <w:b/>
                <w:bCs/>
                <w:szCs w:val="24"/>
              </w:rPr>
              <w:t>Details</w:t>
            </w:r>
          </w:p>
        </w:tc>
      </w:tr>
      <w:tr w:rsidR="302F43EF" w14:paraId="1CE85137" w14:textId="77777777" w:rsidTr="00C53793">
        <w:trPr>
          <w:trHeight w:val="300"/>
        </w:trPr>
        <w:tc>
          <w:tcPr>
            <w:tcW w:w="628" w:type="pct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A1A648C" w14:textId="77777777" w:rsidR="008B3F8B" w:rsidRDefault="008B3F8B"/>
        </w:tc>
        <w:tc>
          <w:tcPr>
            <w:tcW w:w="519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7FE46B92" w14:textId="2C8B2143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POAD (Durable)</w:t>
            </w:r>
          </w:p>
        </w:tc>
        <w:tc>
          <w:tcPr>
            <w:tcW w:w="3853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2CA78E92" w14:textId="78B2E6AB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Names a designated individual to handle </w:t>
            </w:r>
            <w:r w:rsidRPr="302F43EF">
              <w:rPr>
                <w:rFonts w:eastAsia="Verdana" w:cs="Verdana"/>
                <w:b/>
                <w:bCs/>
                <w:szCs w:val="24"/>
              </w:rPr>
              <w:t>all</w:t>
            </w:r>
            <w:r w:rsidRPr="302F43EF">
              <w:rPr>
                <w:rFonts w:eastAsia="Verdana" w:cs="Verdana"/>
                <w:szCs w:val="24"/>
              </w:rPr>
              <w:t xml:space="preserve"> of a beneficiary’s affairs.</w:t>
            </w:r>
          </w:p>
        </w:tc>
      </w:tr>
      <w:tr w:rsidR="302F43EF" w14:paraId="5BCCDB67" w14:textId="77777777" w:rsidTr="00C53793">
        <w:trPr>
          <w:trHeight w:val="300"/>
        </w:trPr>
        <w:tc>
          <w:tcPr>
            <w:tcW w:w="628" w:type="pct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1DBCA58" w14:textId="77777777" w:rsidR="008B3F8B" w:rsidRDefault="008B3F8B"/>
        </w:tc>
        <w:tc>
          <w:tcPr>
            <w:tcW w:w="519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03A3AE89" w14:textId="0A9CB1CE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POAF (Financial)</w:t>
            </w:r>
          </w:p>
        </w:tc>
        <w:tc>
          <w:tcPr>
            <w:tcW w:w="3853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74D0B053" w14:textId="35C9C852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This allows the designated individual to handle </w:t>
            </w:r>
            <w:r w:rsidRPr="302F43EF">
              <w:rPr>
                <w:rFonts w:eastAsia="Verdana" w:cs="Verdana"/>
                <w:b/>
                <w:bCs/>
                <w:szCs w:val="24"/>
              </w:rPr>
              <w:t>any and all</w:t>
            </w:r>
            <w:r w:rsidRPr="302F43EF">
              <w:rPr>
                <w:rFonts w:eastAsia="Verdana" w:cs="Verdana"/>
                <w:b/>
                <w:bCs/>
                <w:i/>
                <w:iCs/>
                <w:szCs w:val="24"/>
              </w:rPr>
              <w:t xml:space="preserve"> </w:t>
            </w:r>
            <w:r w:rsidRPr="302F43EF">
              <w:rPr>
                <w:rFonts w:eastAsia="Verdana" w:cs="Verdana"/>
                <w:szCs w:val="24"/>
              </w:rPr>
              <w:t xml:space="preserve">of the beneficiary’s </w:t>
            </w:r>
            <w:r w:rsidRPr="302F43EF">
              <w:rPr>
                <w:rFonts w:eastAsia="Verdana" w:cs="Verdana"/>
                <w:b/>
                <w:bCs/>
                <w:szCs w:val="24"/>
              </w:rPr>
              <w:t>finances</w:t>
            </w:r>
            <w:r w:rsidRPr="302F43EF">
              <w:rPr>
                <w:rFonts w:eastAsia="Verdana" w:cs="Verdana"/>
                <w:szCs w:val="24"/>
              </w:rPr>
              <w:t xml:space="preserve"> (</w:t>
            </w:r>
            <w:r w:rsidRPr="302F43EF">
              <w:rPr>
                <w:rFonts w:eastAsia="Verdana" w:cs="Verdana"/>
                <w:b/>
                <w:bCs/>
                <w:szCs w:val="24"/>
              </w:rPr>
              <w:t xml:space="preserve">Example: </w:t>
            </w:r>
            <w:r w:rsidRPr="302F43EF">
              <w:rPr>
                <w:rFonts w:eastAsia="Verdana" w:cs="Verdana"/>
                <w:szCs w:val="24"/>
              </w:rPr>
              <w:t>Paying bills, opening bank accounts, applying for loan, etc</w:t>
            </w:r>
            <w:r w:rsidR="00A67C5D">
              <w:rPr>
                <w:rFonts w:eastAsia="Verdana" w:cs="Verdana"/>
                <w:szCs w:val="24"/>
              </w:rPr>
              <w:t>etera</w:t>
            </w:r>
            <w:r w:rsidRPr="302F43EF">
              <w:rPr>
                <w:rFonts w:eastAsia="Verdana" w:cs="Verdana"/>
                <w:szCs w:val="24"/>
              </w:rPr>
              <w:t>).</w:t>
            </w:r>
          </w:p>
        </w:tc>
      </w:tr>
      <w:tr w:rsidR="302F43EF" w14:paraId="6247114B" w14:textId="77777777" w:rsidTr="00C53793">
        <w:trPr>
          <w:trHeight w:val="300"/>
        </w:trPr>
        <w:tc>
          <w:tcPr>
            <w:tcW w:w="628" w:type="pct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79EAA79" w14:textId="77777777" w:rsidR="008B3F8B" w:rsidRDefault="008B3F8B"/>
        </w:tc>
        <w:tc>
          <w:tcPr>
            <w:tcW w:w="519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1C8C06FE" w14:textId="0856B9F8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POAG (General)</w:t>
            </w:r>
          </w:p>
        </w:tc>
        <w:tc>
          <w:tcPr>
            <w:tcW w:w="3853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068EA5C3" w14:textId="1916D166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This is a non-specific POA that basically states: “I, the beneficiary, give the designated individual the powers to handle my affairs”.</w:t>
            </w:r>
          </w:p>
        </w:tc>
      </w:tr>
      <w:tr w:rsidR="302F43EF" w14:paraId="7660719F" w14:textId="77777777" w:rsidTr="00C53793">
        <w:trPr>
          <w:trHeight w:val="300"/>
        </w:trPr>
        <w:tc>
          <w:tcPr>
            <w:tcW w:w="628" w:type="pct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AE7F87" w14:textId="77777777" w:rsidR="008B3F8B" w:rsidRDefault="008B3F8B"/>
        </w:tc>
        <w:tc>
          <w:tcPr>
            <w:tcW w:w="519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4F059CF2" w14:textId="77E29908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>POAM (Medical)</w:t>
            </w:r>
          </w:p>
        </w:tc>
        <w:tc>
          <w:tcPr>
            <w:tcW w:w="3853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98" w:type="dxa"/>
            </w:tcMar>
          </w:tcPr>
          <w:p w14:paraId="0E88AF50" w14:textId="45056422" w:rsidR="302F43EF" w:rsidRDefault="302F43EF" w:rsidP="00A67C5D">
            <w:pPr>
              <w:spacing w:before="120" w:after="120"/>
              <w:rPr>
                <w:rFonts w:eastAsia="Verdana" w:cs="Verdana"/>
                <w:szCs w:val="24"/>
              </w:rPr>
            </w:pPr>
            <w:r w:rsidRPr="302F43EF">
              <w:rPr>
                <w:rFonts w:eastAsia="Verdana" w:cs="Verdana"/>
                <w:szCs w:val="24"/>
              </w:rPr>
              <w:t xml:space="preserve">Allows the designated individual to make </w:t>
            </w:r>
            <w:r w:rsidRPr="302F43EF">
              <w:rPr>
                <w:rFonts w:eastAsia="Verdana" w:cs="Verdana"/>
                <w:b/>
                <w:bCs/>
                <w:szCs w:val="24"/>
              </w:rPr>
              <w:t>any</w:t>
            </w:r>
            <w:r w:rsidRPr="302F43EF">
              <w:rPr>
                <w:rFonts w:eastAsia="Verdana" w:cs="Verdana"/>
                <w:szCs w:val="24"/>
              </w:rPr>
              <w:t xml:space="preserve"> changes to medical plans and make medical decisions for the beneficiary.</w:t>
            </w:r>
          </w:p>
        </w:tc>
      </w:tr>
    </w:tbl>
    <w:p w14:paraId="4E0241BD" w14:textId="6FCCD2D1" w:rsidR="302F43EF" w:rsidRDefault="302F43EF" w:rsidP="302F43EF">
      <w:pPr>
        <w:rPr>
          <w:b/>
          <w:bCs/>
        </w:rPr>
      </w:pPr>
    </w:p>
    <w:p w14:paraId="44C5140D" w14:textId="5F9B1429" w:rsidR="302F43EF" w:rsidRPr="00D90BF4" w:rsidRDefault="00D90BF4" w:rsidP="00D90BF4">
      <w:pPr>
        <w:spacing w:before="120" w:after="120"/>
        <w:jc w:val="right"/>
      </w:pPr>
      <w:hyperlink w:anchor="_top" w:history="1">
        <w:r w:rsidRPr="00DD434E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B08A7" w14:paraId="7577FD82" w14:textId="77777777" w:rsidTr="00D90BF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EAB03D" w14:textId="42115528" w:rsidR="009B08A7" w:rsidRPr="00997821" w:rsidRDefault="009B08A7" w:rsidP="00D90BF4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5" w:name="_Mailing_Addresses_for"/>
            <w:bookmarkStart w:id="6" w:name="_Toc93470491"/>
            <w:bookmarkStart w:id="7" w:name="_Toc188036631"/>
            <w:bookmarkStart w:id="8" w:name="OLE_LINK1"/>
            <w:bookmarkEnd w:id="5"/>
            <w:r w:rsidRPr="00997821">
              <w:rPr>
                <w:iCs w:val="0"/>
              </w:rPr>
              <w:t xml:space="preserve">Mailing Addresses for a </w:t>
            </w:r>
            <w:r w:rsidR="008E6501">
              <w:rPr>
                <w:iCs w:val="0"/>
              </w:rPr>
              <w:t>P</w:t>
            </w:r>
            <w:r w:rsidR="008E6501" w:rsidRPr="008E6501">
              <w:rPr>
                <w:iCs w:val="0"/>
              </w:rPr>
              <w:t>OA</w:t>
            </w:r>
            <w:r w:rsidRPr="00997821">
              <w:rPr>
                <w:iCs w:val="0"/>
              </w:rPr>
              <w:t xml:space="preserve"> Authorization Form</w:t>
            </w:r>
            <w:bookmarkEnd w:id="6"/>
            <w:bookmarkEnd w:id="7"/>
            <w:r w:rsidRPr="00997821">
              <w:rPr>
                <w:iCs w:val="0"/>
              </w:rPr>
              <w:t xml:space="preserve">     </w:t>
            </w:r>
            <w:bookmarkEnd w:id="8"/>
          </w:p>
        </w:tc>
      </w:tr>
    </w:tbl>
    <w:p w14:paraId="17454D0E" w14:textId="1B6C0734" w:rsidR="009B08A7" w:rsidRPr="002F1CBF" w:rsidRDefault="009B08A7" w:rsidP="00D90BF4">
      <w:pPr>
        <w:spacing w:before="120" w:after="120"/>
        <w:rPr>
          <w:rFonts w:cs="Courier New"/>
          <w:bCs/>
          <w:color w:val="000000"/>
          <w:szCs w:val="24"/>
        </w:rPr>
      </w:pPr>
      <w:bookmarkStart w:id="9" w:name="OLE_LINK7"/>
      <w:r w:rsidRPr="002F1CBF">
        <w:rPr>
          <w:color w:val="000000"/>
          <w:szCs w:val="24"/>
        </w:rPr>
        <w:t xml:space="preserve">These addresses are used when adding or revoking (removing) a Power of Attorney Authorization from the member’s account. </w:t>
      </w:r>
      <w:bookmarkStart w:id="10" w:name="OLE_LINK13"/>
      <w:r w:rsidRPr="002F1CBF">
        <w:rPr>
          <w:color w:val="000000"/>
          <w:szCs w:val="24"/>
        </w:rPr>
        <w:t>Allowing custodial parents, legal guardians</w:t>
      </w:r>
      <w:r w:rsidR="005B51CB">
        <w:rPr>
          <w:color w:val="000000"/>
          <w:szCs w:val="24"/>
        </w:rPr>
        <w:t>,</w:t>
      </w:r>
      <w:r w:rsidRPr="002F1CBF">
        <w:rPr>
          <w:color w:val="000000"/>
          <w:szCs w:val="24"/>
        </w:rPr>
        <w:t xml:space="preserve"> etc</w:t>
      </w:r>
      <w:r w:rsidR="00D90BF4">
        <w:rPr>
          <w:color w:val="000000"/>
          <w:szCs w:val="24"/>
        </w:rPr>
        <w:t>etera</w:t>
      </w:r>
      <w:r w:rsidRPr="002F1CBF">
        <w:rPr>
          <w:color w:val="000000"/>
          <w:szCs w:val="24"/>
        </w:rPr>
        <w:t xml:space="preserve"> to speak on </w:t>
      </w:r>
      <w:r w:rsidR="005B51CB">
        <w:rPr>
          <w:color w:val="000000"/>
          <w:szCs w:val="24"/>
        </w:rPr>
        <w:t xml:space="preserve">the </w:t>
      </w:r>
      <w:r w:rsidRPr="002F1CBF">
        <w:rPr>
          <w:color w:val="000000"/>
          <w:szCs w:val="24"/>
        </w:rPr>
        <w:t>member</w:t>
      </w:r>
      <w:r w:rsidR="005B51CB">
        <w:rPr>
          <w:color w:val="000000"/>
          <w:szCs w:val="24"/>
        </w:rPr>
        <w:t>’</w:t>
      </w:r>
      <w:r w:rsidRPr="002F1CBF">
        <w:rPr>
          <w:color w:val="000000"/>
          <w:szCs w:val="24"/>
        </w:rPr>
        <w:t>s behalf.</w:t>
      </w:r>
    </w:p>
    <w:p w14:paraId="58A9CA0E" w14:textId="77777777" w:rsidR="009B08A7" w:rsidRPr="002F1CBF" w:rsidRDefault="009B08A7" w:rsidP="00D90BF4">
      <w:pPr>
        <w:spacing w:before="120" w:after="120"/>
        <w:rPr>
          <w:rFonts w:cs="Times New Roman"/>
          <w:color w:val="000000"/>
          <w:szCs w:val="24"/>
        </w:rPr>
      </w:pPr>
    </w:p>
    <w:bookmarkEnd w:id="9"/>
    <w:bookmarkEnd w:id="10"/>
    <w:p w14:paraId="04B96F3B" w14:textId="4D8BC78B" w:rsidR="009B08A7" w:rsidRDefault="00000000" w:rsidP="00D90BF4">
      <w:pPr>
        <w:spacing w:before="120" w:after="120"/>
        <w:rPr>
          <w:rFonts w:cs="Courier New"/>
          <w:color w:val="000000"/>
          <w:szCs w:val="24"/>
        </w:rPr>
      </w:pPr>
      <w:r>
        <w:pict w14:anchorId="16BF4E56">
          <v:shape id="_x0000_i1026" type="#_x0000_t75" style="width:18pt;height:15.75pt;visibility:visible" o:bullet="t">
            <v:imagedata r:id="rId12" o:title=""/>
          </v:shape>
        </w:pict>
      </w:r>
      <w:r w:rsidR="009B08A7" w:rsidRPr="002F1CBF">
        <w:rPr>
          <w:rFonts w:cs="Courier New"/>
          <w:bCs/>
          <w:color w:val="000000"/>
          <w:szCs w:val="24"/>
        </w:rPr>
        <w:t xml:space="preserve"> Do not</w:t>
      </w:r>
      <w:r w:rsidR="009B08A7" w:rsidRPr="002F1CBF">
        <w:rPr>
          <w:rFonts w:cs="Courier New"/>
          <w:color w:val="000000"/>
          <w:szCs w:val="24"/>
        </w:rPr>
        <w:t xml:space="preserve"> instruct the member to fax or mail information directly to the call center</w:t>
      </w:r>
      <w:r w:rsidR="00D90BF4">
        <w:rPr>
          <w:rFonts w:cs="Courier New"/>
          <w:color w:val="000000"/>
          <w:szCs w:val="24"/>
        </w:rPr>
        <w:t>.</w:t>
      </w:r>
    </w:p>
    <w:p w14:paraId="36023D08" w14:textId="77777777" w:rsidR="00D90BF4" w:rsidRDefault="00D90BF4" w:rsidP="00D90BF4">
      <w:pPr>
        <w:spacing w:before="120" w:after="120"/>
        <w:rPr>
          <w:rFonts w:cs="Courier New"/>
          <w:color w:val="000000"/>
          <w:szCs w:val="24"/>
        </w:rPr>
      </w:pPr>
    </w:p>
    <w:p w14:paraId="1D26DF8E" w14:textId="1B56D609" w:rsidR="00997821" w:rsidRPr="00D90BF4" w:rsidRDefault="00D90BF4" w:rsidP="00D90BF4">
      <w:pPr>
        <w:spacing w:before="120" w:after="120"/>
        <w:rPr>
          <w:rFonts w:cs="Courier New"/>
          <w:b/>
          <w:bCs/>
          <w:color w:val="000000"/>
          <w:szCs w:val="24"/>
        </w:rPr>
      </w:pPr>
      <w:r w:rsidRPr="00D90BF4">
        <w:rPr>
          <w:rFonts w:cs="Courier New"/>
          <w:b/>
          <w:bCs/>
          <w:color w:val="000000"/>
          <w:szCs w:val="24"/>
        </w:rPr>
        <w:t xml:space="preserve">Documentation must be sent to the below addresses: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4"/>
        <w:gridCol w:w="4318"/>
        <w:gridCol w:w="4318"/>
      </w:tblGrid>
      <w:tr w:rsidR="0016720F" w14:paraId="29B2AD8D" w14:textId="77777777" w:rsidTr="00D90BF4">
        <w:tc>
          <w:tcPr>
            <w:tcW w:w="1666" w:type="pct"/>
            <w:shd w:val="clear" w:color="auto" w:fill="D9D9D9" w:themeFill="background1" w:themeFillShade="D9"/>
          </w:tcPr>
          <w:p w14:paraId="0BF270B4" w14:textId="280B3D91" w:rsidR="0016720F" w:rsidRPr="0016720F" w:rsidRDefault="0016720F" w:rsidP="00D90BF4">
            <w:pPr>
              <w:spacing w:before="120" w:after="120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bookmarkStart w:id="11" w:name="OLE_LINK71"/>
            <w:r w:rsidRPr="0016720F">
              <w:rPr>
                <w:rFonts w:eastAsia="Calibri" w:cs="Arial"/>
                <w:b/>
                <w:color w:val="000000"/>
                <w:szCs w:val="24"/>
              </w:rPr>
              <w:t>Commercial members</w:t>
            </w:r>
            <w:bookmarkEnd w:id="11"/>
          </w:p>
        </w:tc>
        <w:tc>
          <w:tcPr>
            <w:tcW w:w="1667" w:type="pct"/>
            <w:shd w:val="clear" w:color="auto" w:fill="D9D9D9" w:themeFill="background1" w:themeFillShade="D9"/>
          </w:tcPr>
          <w:p w14:paraId="6EDA5B4A" w14:textId="588A025D" w:rsidR="0016720F" w:rsidRPr="0016720F" w:rsidRDefault="0016720F" w:rsidP="00D90B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Calibri" w:cs="Times New Roman"/>
                <w:b/>
                <w:color w:val="000000"/>
                <w:szCs w:val="24"/>
              </w:rPr>
            </w:pPr>
            <w:r w:rsidRPr="0016720F">
              <w:rPr>
                <w:rFonts w:eastAsia="Calibri" w:cs="Times New Roman"/>
                <w:b/>
                <w:color w:val="000000"/>
                <w:szCs w:val="24"/>
              </w:rPr>
              <w:t>Medicare D members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49ED2509" w14:textId="0B98ED71" w:rsidR="0016720F" w:rsidRPr="00450B75" w:rsidRDefault="00450B75" w:rsidP="00D90BF4">
            <w:pPr>
              <w:spacing w:before="120" w:after="120"/>
              <w:jc w:val="center"/>
              <w:rPr>
                <w:rFonts w:cs="Courier New"/>
                <w:b/>
                <w:bCs/>
                <w:color w:val="000000"/>
                <w:szCs w:val="24"/>
              </w:rPr>
            </w:pPr>
            <w:r>
              <w:rPr>
                <w:rFonts w:cs="Courier New"/>
                <w:b/>
                <w:bCs/>
                <w:color w:val="000000"/>
                <w:szCs w:val="24"/>
              </w:rPr>
              <w:t>Urgent</w:t>
            </w:r>
          </w:p>
        </w:tc>
      </w:tr>
      <w:tr w:rsidR="0016720F" w14:paraId="7FDD8E0C" w14:textId="77777777" w:rsidTr="00506C44">
        <w:tc>
          <w:tcPr>
            <w:tcW w:w="1666" w:type="pct"/>
          </w:tcPr>
          <w:p w14:paraId="1CCF9693" w14:textId="77777777" w:rsidR="0016720F" w:rsidRPr="0016720F" w:rsidRDefault="0016720F" w:rsidP="00D90BF4">
            <w:pPr>
              <w:spacing w:before="120" w:after="120"/>
              <w:rPr>
                <w:rFonts w:cs="Courier New"/>
                <w:color w:val="000000"/>
                <w:szCs w:val="24"/>
              </w:rPr>
            </w:pPr>
            <w:r w:rsidRPr="0016720F">
              <w:rPr>
                <w:rFonts w:cs="Courier New"/>
                <w:color w:val="000000"/>
                <w:szCs w:val="24"/>
              </w:rPr>
              <w:t>&lt;PBM Name&gt;</w:t>
            </w:r>
          </w:p>
          <w:p w14:paraId="62D0429E" w14:textId="77777777" w:rsidR="0016720F" w:rsidRPr="0016720F" w:rsidRDefault="0016720F" w:rsidP="00D90BF4">
            <w:pPr>
              <w:spacing w:before="120" w:after="120"/>
              <w:rPr>
                <w:rFonts w:cs="Courier New"/>
                <w:color w:val="000000"/>
                <w:szCs w:val="24"/>
              </w:rPr>
            </w:pPr>
            <w:r w:rsidRPr="0016720F">
              <w:rPr>
                <w:rFonts w:cs="Courier New"/>
                <w:color w:val="000000"/>
                <w:szCs w:val="24"/>
              </w:rPr>
              <w:t>PO BOX 6590</w:t>
            </w:r>
          </w:p>
          <w:p w14:paraId="6A989098" w14:textId="77777777" w:rsidR="0016720F" w:rsidRPr="0016720F" w:rsidRDefault="0016720F" w:rsidP="00D90BF4">
            <w:pPr>
              <w:spacing w:before="120" w:after="120"/>
              <w:rPr>
                <w:rFonts w:cs="Courier New"/>
                <w:color w:val="000000"/>
                <w:szCs w:val="24"/>
              </w:rPr>
            </w:pPr>
            <w:r w:rsidRPr="0016720F">
              <w:rPr>
                <w:rFonts w:cs="Courier New"/>
                <w:color w:val="000000"/>
                <w:szCs w:val="24"/>
              </w:rPr>
              <w:t>Lee’s Summit, MO 64064-6590</w:t>
            </w:r>
          </w:p>
          <w:p w14:paraId="185D7F97" w14:textId="77777777" w:rsidR="0016720F" w:rsidRDefault="0016720F" w:rsidP="00D90BF4">
            <w:pPr>
              <w:spacing w:before="120" w:after="120"/>
              <w:rPr>
                <w:color w:val="000000"/>
                <w:szCs w:val="24"/>
              </w:rPr>
            </w:pPr>
          </w:p>
          <w:p w14:paraId="756193CD" w14:textId="4219A86A" w:rsidR="0016720F" w:rsidRPr="002A16DF" w:rsidRDefault="0016720F" w:rsidP="00D90BF4">
            <w:pPr>
              <w:spacing w:before="120" w:after="120"/>
              <w:rPr>
                <w:szCs w:val="24"/>
              </w:rPr>
            </w:pPr>
            <w:r w:rsidRPr="15445B5B">
              <w:rPr>
                <w:color w:val="000000" w:themeColor="text1"/>
                <w:szCs w:val="24"/>
              </w:rPr>
              <w:t>Refer to</w:t>
            </w:r>
            <w:r w:rsidRPr="15445B5B">
              <w:rPr>
                <w:szCs w:val="24"/>
              </w:rPr>
              <w:t> </w:t>
            </w:r>
            <w:hyperlink r:id="rId13" w:anchor="!/view?docid=91b652db-c5b2-4769-b300-e1e2c95ec009">
              <w:r w:rsidR="00D90BF4">
                <w:rPr>
                  <w:rStyle w:val="Hyperlink"/>
                  <w:szCs w:val="24"/>
                </w:rPr>
                <w:t>Compass - Forms Members Can Submit to Authorize Access and Release of Information for Their Account (053891)</w:t>
              </w:r>
            </w:hyperlink>
            <w:r w:rsidR="00D90BF4">
              <w:t>.</w:t>
            </w:r>
          </w:p>
          <w:p w14:paraId="46B8C78C" w14:textId="77777777" w:rsidR="0016720F" w:rsidRDefault="0016720F" w:rsidP="00D90BF4">
            <w:pPr>
              <w:spacing w:before="120" w:after="120"/>
              <w:rPr>
                <w:rFonts w:cs="Courier New"/>
                <w:color w:val="000000"/>
                <w:szCs w:val="24"/>
              </w:rPr>
            </w:pPr>
          </w:p>
        </w:tc>
        <w:tc>
          <w:tcPr>
            <w:tcW w:w="1667" w:type="pct"/>
          </w:tcPr>
          <w:p w14:paraId="6E3A9BEB" w14:textId="77777777" w:rsidR="002652AF" w:rsidRDefault="002652AF" w:rsidP="00D90BF4">
            <w:pPr>
              <w:autoSpaceDE w:val="0"/>
              <w:autoSpaceDN w:val="0"/>
              <w:adjustRightInd w:val="0"/>
              <w:spacing w:before="120" w:after="120"/>
              <w:rPr>
                <w:rFonts w:eastAsia="Calibri" w:cs="Times New Roman"/>
                <w:color w:val="000000"/>
                <w:szCs w:val="24"/>
              </w:rPr>
            </w:pPr>
            <w:bookmarkStart w:id="12" w:name="OLE_LINK12"/>
          </w:p>
          <w:p w14:paraId="082E6971" w14:textId="2C20BD8E" w:rsidR="0016720F" w:rsidRPr="0016720F" w:rsidRDefault="73140B66" w:rsidP="00D90BF4">
            <w:pPr>
              <w:autoSpaceDE w:val="0"/>
              <w:autoSpaceDN w:val="0"/>
              <w:adjustRightInd w:val="0"/>
              <w:spacing w:before="120" w:after="120"/>
              <w:rPr>
                <w:rFonts w:eastAsia="Calibri" w:cs="Times New Roman"/>
                <w:szCs w:val="24"/>
              </w:rPr>
            </w:pPr>
            <w:r w:rsidRPr="002369C7">
              <w:rPr>
                <w:rFonts w:eastAsia="Verdana" w:cs="Verdana"/>
                <w:b/>
                <w:bCs/>
                <w:color w:val="000000" w:themeColor="text1"/>
                <w:szCs w:val="24"/>
              </w:rPr>
              <w:t xml:space="preserve">Medicare D members, including SilverScript, Blue MedicareRx, EGWP/HealthPlan: </w:t>
            </w:r>
            <w:r w:rsidR="002C074D" w:rsidRPr="002369C7">
              <w:rPr>
                <w:rFonts w:eastAsia="Verdana" w:cs="Verdana"/>
                <w:b/>
                <w:bCs/>
                <w:color w:val="000000" w:themeColor="text1"/>
                <w:szCs w:val="24"/>
              </w:rPr>
              <w:t xml:space="preserve"> </w:t>
            </w:r>
            <w:r w:rsidR="2985FBE6" w:rsidRPr="002369C7">
              <w:rPr>
                <w:rFonts w:eastAsia="Calibri" w:cs="Times New Roman"/>
                <w:color w:val="000000" w:themeColor="text1"/>
                <w:szCs w:val="24"/>
              </w:rPr>
              <w:t xml:space="preserve">Refer to </w:t>
            </w:r>
            <w:hyperlink r:id="rId14" w:anchor="!/view?docid=64c3fc62-48c3-4ad3-ae83-c736cebd521b">
              <w:r w:rsidR="004C024A">
                <w:rPr>
                  <w:rFonts w:eastAsia="Calibri" w:cs="Times New Roman"/>
                  <w:color w:val="0000FF"/>
                  <w:szCs w:val="24"/>
                  <w:u w:val="single"/>
                </w:rPr>
                <w:t>Compass MED D - Appointed Representative Form (AOR) or Power of Attorney (POA) (061884)</w:t>
              </w:r>
            </w:hyperlink>
            <w:r w:rsidR="17094EED" w:rsidRPr="002369C7">
              <w:rPr>
                <w:rFonts w:eastAsia="Calibri" w:cs="Times New Roman"/>
                <w:szCs w:val="24"/>
              </w:rPr>
              <w:t xml:space="preserve"> </w:t>
            </w:r>
            <w:r w:rsidR="40F1CD8F" w:rsidRPr="002369C7">
              <w:rPr>
                <w:rFonts w:eastAsia="Helvetica" w:cs="Helvetica"/>
                <w:color w:val="000000" w:themeColor="text1"/>
                <w:szCs w:val="24"/>
              </w:rPr>
              <w:t>for addresses and other information.</w:t>
            </w:r>
            <w:bookmarkEnd w:id="12"/>
          </w:p>
          <w:p w14:paraId="39CC3115" w14:textId="77777777" w:rsidR="0016720F" w:rsidRDefault="0016720F" w:rsidP="00D90BF4">
            <w:pPr>
              <w:spacing w:before="120" w:after="120"/>
              <w:rPr>
                <w:rFonts w:cs="Courier New"/>
                <w:color w:val="000000"/>
                <w:szCs w:val="24"/>
              </w:rPr>
            </w:pPr>
          </w:p>
        </w:tc>
        <w:tc>
          <w:tcPr>
            <w:tcW w:w="1667" w:type="pct"/>
          </w:tcPr>
          <w:p w14:paraId="706D4A42" w14:textId="77777777" w:rsidR="00450B75" w:rsidRPr="002369C7" w:rsidRDefault="00450B75" w:rsidP="00D90BF4">
            <w:pPr>
              <w:autoSpaceDE w:val="0"/>
              <w:autoSpaceDN w:val="0"/>
              <w:adjustRightInd w:val="0"/>
              <w:spacing w:before="120" w:after="120"/>
              <w:rPr>
                <w:rFonts w:eastAsia="Calibri" w:cs="Courier New"/>
                <w:color w:val="000000"/>
                <w:szCs w:val="24"/>
              </w:rPr>
            </w:pPr>
            <w:r w:rsidRPr="00450B75">
              <w:rPr>
                <w:rFonts w:eastAsia="Calibri" w:cs="Courier New"/>
                <w:color w:val="000000"/>
                <w:szCs w:val="24"/>
              </w:rPr>
              <w:t xml:space="preserve">For </w:t>
            </w:r>
            <w:r w:rsidRPr="00450B75">
              <w:rPr>
                <w:rFonts w:eastAsia="Calibri" w:cs="Courier New"/>
                <w:bCs/>
                <w:color w:val="000000"/>
                <w:szCs w:val="24"/>
              </w:rPr>
              <w:t>urgent situations in which the member needs to send the information via Express shipping</w:t>
            </w:r>
            <w:r w:rsidRPr="00450B75">
              <w:rPr>
                <w:rFonts w:eastAsia="Calibri" w:cs="Courier New"/>
                <w:color w:val="000000"/>
                <w:szCs w:val="24"/>
              </w:rPr>
              <w:t xml:space="preserve"> requiring a physical address, </w:t>
            </w:r>
            <w:r w:rsidRPr="002369C7">
              <w:rPr>
                <w:rFonts w:eastAsia="Calibri" w:cs="Courier New"/>
                <w:color w:val="000000"/>
                <w:szCs w:val="24"/>
              </w:rPr>
              <w:t>provide the address below:</w:t>
            </w:r>
          </w:p>
          <w:p w14:paraId="2BC6CC66" w14:textId="77777777" w:rsidR="00450B75" w:rsidRPr="00450B75" w:rsidRDefault="00450B75" w:rsidP="00D90BF4">
            <w:pPr>
              <w:autoSpaceDE w:val="0"/>
              <w:autoSpaceDN w:val="0"/>
              <w:adjustRightInd w:val="0"/>
              <w:spacing w:before="120" w:after="120"/>
              <w:rPr>
                <w:rFonts w:eastAsia="Calibri" w:cs="Arial"/>
                <w:color w:val="000000"/>
                <w:szCs w:val="24"/>
                <w:lang w:val="es-ES_tradnl"/>
              </w:rPr>
            </w:pPr>
          </w:p>
          <w:p w14:paraId="049C39CD" w14:textId="77777777" w:rsidR="00450B75" w:rsidRPr="00450B75" w:rsidRDefault="00450B75" w:rsidP="00D90BF4">
            <w:pPr>
              <w:autoSpaceDE w:val="0"/>
              <w:autoSpaceDN w:val="0"/>
              <w:adjustRightInd w:val="0"/>
              <w:spacing w:before="120" w:after="120"/>
              <w:rPr>
                <w:rFonts w:eastAsia="Calibri" w:cs="Arial"/>
                <w:color w:val="000000"/>
                <w:szCs w:val="24"/>
                <w:lang w:val="es-ES"/>
              </w:rPr>
            </w:pPr>
            <w:r w:rsidRPr="15445B5B">
              <w:rPr>
                <w:rFonts w:eastAsia="Calibri" w:cs="Arial"/>
                <w:color w:val="000000" w:themeColor="text1"/>
                <w:szCs w:val="24"/>
                <w:lang w:val="es-ES"/>
              </w:rPr>
              <w:t>Research Team</w:t>
            </w:r>
          </w:p>
          <w:p w14:paraId="786231A7" w14:textId="77777777" w:rsidR="00450B75" w:rsidRPr="00450B75" w:rsidRDefault="00450B75" w:rsidP="00D90BF4">
            <w:pPr>
              <w:autoSpaceDE w:val="0"/>
              <w:autoSpaceDN w:val="0"/>
              <w:adjustRightInd w:val="0"/>
              <w:spacing w:before="120" w:after="120"/>
              <w:rPr>
                <w:rFonts w:eastAsia="Calibri" w:cs="Arial"/>
                <w:color w:val="000000"/>
                <w:szCs w:val="24"/>
                <w:lang w:val="es-ES"/>
              </w:rPr>
            </w:pPr>
            <w:r w:rsidRPr="15445B5B">
              <w:rPr>
                <w:rFonts w:eastAsia="Calibri" w:cs="Arial"/>
                <w:color w:val="000000" w:themeColor="text1"/>
                <w:szCs w:val="24"/>
                <w:lang w:val="es-ES"/>
              </w:rPr>
              <w:t xml:space="preserve">800 NW Chipman RD Suite #5830 </w:t>
            </w:r>
          </w:p>
          <w:p w14:paraId="6A17DF1B" w14:textId="77777777" w:rsidR="00450B75" w:rsidRPr="00450B75" w:rsidRDefault="00450B75" w:rsidP="00D90BF4">
            <w:pPr>
              <w:autoSpaceDE w:val="0"/>
              <w:autoSpaceDN w:val="0"/>
              <w:adjustRightInd w:val="0"/>
              <w:spacing w:before="120" w:after="120"/>
              <w:rPr>
                <w:rFonts w:eastAsia="Calibri" w:cs="Arial"/>
                <w:color w:val="000000"/>
                <w:szCs w:val="24"/>
                <w:lang w:val="es-ES"/>
              </w:rPr>
            </w:pPr>
            <w:r w:rsidRPr="15445B5B">
              <w:rPr>
                <w:rFonts w:eastAsia="Calibri" w:cs="Arial"/>
                <w:color w:val="000000" w:themeColor="text1"/>
                <w:szCs w:val="24"/>
                <w:lang w:val="es-ES"/>
              </w:rPr>
              <w:t>Lee’s Summit, MO 64063</w:t>
            </w:r>
          </w:p>
          <w:p w14:paraId="7767CEBC" w14:textId="7F902DB3" w:rsidR="0016720F" w:rsidRDefault="0016720F" w:rsidP="00D90BF4">
            <w:pPr>
              <w:spacing w:before="120" w:after="120"/>
              <w:rPr>
                <w:rFonts w:cs="Courier New"/>
                <w:color w:val="000000" w:themeColor="text1"/>
                <w:szCs w:val="24"/>
              </w:rPr>
            </w:pPr>
          </w:p>
          <w:p w14:paraId="6983C9B2" w14:textId="2D5F1316" w:rsidR="0016720F" w:rsidRDefault="4E52E6C9" w:rsidP="00D90BF4">
            <w:pPr>
              <w:spacing w:before="120" w:after="120"/>
              <w:rPr>
                <w:rFonts w:cs="Courier New"/>
                <w:color w:val="000000"/>
                <w:szCs w:val="24"/>
              </w:rPr>
            </w:pPr>
            <w:r w:rsidRPr="00D90BF4">
              <w:rPr>
                <w:rFonts w:cs="Courier New"/>
                <w:b/>
                <w:bCs/>
                <w:color w:val="000000" w:themeColor="text1"/>
                <w:szCs w:val="24"/>
              </w:rPr>
              <w:t>Note:</w:t>
            </w:r>
            <w:r w:rsidR="002369C7">
              <w:rPr>
                <w:rFonts w:cs="Courier New"/>
                <w:b/>
                <w:bCs/>
                <w:color w:val="000000" w:themeColor="text1"/>
                <w:szCs w:val="24"/>
              </w:rPr>
              <w:t xml:space="preserve"> </w:t>
            </w:r>
            <w:r w:rsidRPr="15445B5B">
              <w:rPr>
                <w:rFonts w:cs="Courier New"/>
                <w:color w:val="000000" w:themeColor="text1"/>
                <w:szCs w:val="24"/>
              </w:rPr>
              <w:t xml:space="preserve"> </w:t>
            </w:r>
            <w:bookmarkStart w:id="13" w:name="_Hlk174707596"/>
            <w:r w:rsidRPr="00D90BF4">
              <w:t>Mailing via Express shipping</w:t>
            </w:r>
            <w:r w:rsidRPr="15445B5B">
              <w:rPr>
                <w:rFonts w:cs="Courier New"/>
                <w:color w:val="000000" w:themeColor="text1"/>
                <w:szCs w:val="24"/>
              </w:rPr>
              <w:t xml:space="preserve"> only gets the form to us faster, but due to the amount of mail we get, the </w:t>
            </w:r>
            <w:r w:rsidR="658B388F" w:rsidRPr="15445B5B">
              <w:rPr>
                <w:rFonts w:cs="Courier New"/>
                <w:color w:val="000000" w:themeColor="text1"/>
                <w:szCs w:val="24"/>
              </w:rPr>
              <w:t xml:space="preserve">TAT is still up to 10 business days. If </w:t>
            </w:r>
            <w:r w:rsidR="25358667" w:rsidRPr="15445B5B">
              <w:rPr>
                <w:rFonts w:cs="Courier New"/>
                <w:color w:val="000000" w:themeColor="text1"/>
                <w:szCs w:val="24"/>
              </w:rPr>
              <w:t xml:space="preserve">a </w:t>
            </w:r>
            <w:r w:rsidR="658B388F" w:rsidRPr="15445B5B">
              <w:rPr>
                <w:rFonts w:cs="Courier New"/>
                <w:color w:val="000000" w:themeColor="text1"/>
                <w:szCs w:val="24"/>
              </w:rPr>
              <w:t>member is asking for us to expedite the processing</w:t>
            </w:r>
            <w:r w:rsidR="0F57B27F" w:rsidRPr="15445B5B">
              <w:rPr>
                <w:rFonts w:cs="Courier New"/>
                <w:color w:val="000000" w:themeColor="text1"/>
                <w:szCs w:val="24"/>
              </w:rPr>
              <w:t>,</w:t>
            </w:r>
            <w:r w:rsidR="658B388F" w:rsidRPr="15445B5B">
              <w:rPr>
                <w:rFonts w:cs="Courier New"/>
                <w:color w:val="000000" w:themeColor="text1"/>
                <w:szCs w:val="24"/>
              </w:rPr>
              <w:t xml:space="preserve"> call </w:t>
            </w:r>
            <w:r w:rsidR="002369C7" w:rsidRPr="15445B5B">
              <w:rPr>
                <w:rFonts w:cs="Courier New"/>
                <w:color w:val="000000" w:themeColor="text1"/>
                <w:szCs w:val="24"/>
              </w:rPr>
              <w:t>S</w:t>
            </w:r>
            <w:r w:rsidR="002369C7">
              <w:rPr>
                <w:rFonts w:cs="Courier New"/>
                <w:color w:val="000000" w:themeColor="text1"/>
                <w:szCs w:val="24"/>
              </w:rPr>
              <w:t>enior Team</w:t>
            </w:r>
            <w:r w:rsidR="002369C7" w:rsidRPr="15445B5B">
              <w:rPr>
                <w:rFonts w:cs="Courier New"/>
                <w:color w:val="000000" w:themeColor="text1"/>
                <w:szCs w:val="24"/>
              </w:rPr>
              <w:t xml:space="preserve"> </w:t>
            </w:r>
            <w:r w:rsidR="658B388F" w:rsidRPr="15445B5B">
              <w:rPr>
                <w:rFonts w:cs="Courier New"/>
                <w:color w:val="000000" w:themeColor="text1"/>
                <w:szCs w:val="24"/>
              </w:rPr>
              <w:t>to submi</w:t>
            </w:r>
            <w:r w:rsidR="54162EC1" w:rsidRPr="15445B5B">
              <w:rPr>
                <w:rFonts w:cs="Courier New"/>
                <w:color w:val="000000" w:themeColor="text1"/>
                <w:szCs w:val="24"/>
              </w:rPr>
              <w:t>t Inquiry Task</w:t>
            </w:r>
            <w:r w:rsidR="1FD954DB" w:rsidRPr="15445B5B">
              <w:rPr>
                <w:rFonts w:cs="Courier New"/>
                <w:color w:val="000000" w:themeColor="text1"/>
                <w:szCs w:val="24"/>
              </w:rPr>
              <w:t xml:space="preserve"> to attempt to speed up processed but advise member it is not guaranteed to work. </w:t>
            </w:r>
            <w:bookmarkEnd w:id="13"/>
          </w:p>
        </w:tc>
      </w:tr>
    </w:tbl>
    <w:p w14:paraId="62419582" w14:textId="77777777" w:rsidR="00D90BF4" w:rsidRPr="002F1CBF" w:rsidRDefault="00D90BF4" w:rsidP="00660AD5">
      <w:pPr>
        <w:autoSpaceDE w:val="0"/>
        <w:autoSpaceDN w:val="0"/>
        <w:adjustRightInd w:val="0"/>
        <w:ind w:left="180"/>
        <w:rPr>
          <w:rFonts w:cs="Arial"/>
          <w:color w:val="000000"/>
          <w:szCs w:val="24"/>
          <w:lang w:val="es-ES_tradnl"/>
        </w:rPr>
      </w:pPr>
    </w:p>
    <w:p w14:paraId="25E5355C" w14:textId="5ECA1CE7" w:rsidR="00D90BF4" w:rsidRDefault="009B08A7" w:rsidP="00D90BF4">
      <w:pPr>
        <w:spacing w:before="120" w:after="120"/>
        <w:rPr>
          <w:rFonts w:cs="Courier New"/>
          <w:color w:val="000000" w:themeColor="text1"/>
          <w:szCs w:val="24"/>
        </w:rPr>
      </w:pPr>
      <w:r w:rsidRPr="302F43EF">
        <w:rPr>
          <w:rFonts w:cs="Courier New"/>
          <w:b/>
          <w:bCs/>
          <w:color w:val="000000" w:themeColor="text1"/>
          <w:szCs w:val="24"/>
        </w:rPr>
        <w:t>Note:</w:t>
      </w:r>
      <w:r w:rsidRPr="302F43EF">
        <w:rPr>
          <w:rFonts w:cs="Courier New"/>
          <w:color w:val="000000" w:themeColor="text1"/>
          <w:szCs w:val="24"/>
        </w:rPr>
        <w:t xml:space="preserve">  In the event that a </w:t>
      </w:r>
      <w:r w:rsidR="008E6501" w:rsidRPr="302F43EF">
        <w:rPr>
          <w:rFonts w:cs="Courier New"/>
          <w:color w:val="000000" w:themeColor="text1"/>
          <w:szCs w:val="24"/>
        </w:rPr>
        <w:t>POA</w:t>
      </w:r>
      <w:r w:rsidRPr="302F43EF">
        <w:rPr>
          <w:rFonts w:cs="Courier New"/>
          <w:color w:val="000000" w:themeColor="text1"/>
          <w:szCs w:val="24"/>
        </w:rPr>
        <w:t xml:space="preserve"> Authorization form or other legal documents are received in the call center, forwarded them using interoffice mail</w:t>
      </w:r>
      <w:r w:rsidRPr="302F43EF">
        <w:rPr>
          <w:rFonts w:cs="Courier New"/>
          <w:b/>
          <w:bCs/>
          <w:color w:val="000000" w:themeColor="text1"/>
          <w:szCs w:val="24"/>
        </w:rPr>
        <w:t xml:space="preserve"> </w:t>
      </w:r>
      <w:r w:rsidRPr="302F43EF">
        <w:rPr>
          <w:rFonts w:cs="Courier New"/>
          <w:color w:val="000000" w:themeColor="text1"/>
          <w:szCs w:val="24"/>
        </w:rPr>
        <w:t xml:space="preserve">to </w:t>
      </w:r>
      <w:r w:rsidR="00450B75" w:rsidRPr="302F43EF">
        <w:rPr>
          <w:rFonts w:cs="Courier New"/>
          <w:color w:val="000000" w:themeColor="text1"/>
          <w:szCs w:val="24"/>
        </w:rPr>
        <w:t xml:space="preserve">one of </w:t>
      </w:r>
      <w:r w:rsidRPr="302F43EF">
        <w:rPr>
          <w:rFonts w:cs="Courier New"/>
          <w:color w:val="000000" w:themeColor="text1"/>
          <w:szCs w:val="24"/>
        </w:rPr>
        <w:t>the</w:t>
      </w:r>
      <w:r w:rsidR="00D90BF4">
        <w:rPr>
          <w:rFonts w:cs="Courier New"/>
          <w:color w:val="000000" w:themeColor="text1"/>
          <w:szCs w:val="24"/>
        </w:rPr>
        <w:t xml:space="preserve"> </w:t>
      </w:r>
      <w:r w:rsidRPr="302F43EF">
        <w:rPr>
          <w:rFonts w:cs="Courier New"/>
          <w:color w:val="000000" w:themeColor="text1"/>
          <w:szCs w:val="24"/>
        </w:rPr>
        <w:t>above address</w:t>
      </w:r>
      <w:r w:rsidR="00450B75" w:rsidRPr="302F43EF">
        <w:rPr>
          <w:rFonts w:cs="Courier New"/>
          <w:color w:val="000000" w:themeColor="text1"/>
          <w:szCs w:val="24"/>
        </w:rPr>
        <w:t>es</w:t>
      </w:r>
      <w:r w:rsidRPr="302F43EF">
        <w:rPr>
          <w:rFonts w:cs="Courier New"/>
          <w:color w:val="000000" w:themeColor="text1"/>
          <w:szCs w:val="24"/>
        </w:rPr>
        <w:t>.</w:t>
      </w:r>
      <w:r w:rsidR="48B87BEE" w:rsidRPr="302F43EF">
        <w:rPr>
          <w:rFonts w:cs="Courier New"/>
          <w:color w:val="000000" w:themeColor="text1"/>
          <w:szCs w:val="24"/>
        </w:rPr>
        <w:t xml:space="preserve"> </w:t>
      </w:r>
    </w:p>
    <w:p w14:paraId="3AEFA2BD" w14:textId="164301DB" w:rsidR="009B08A7" w:rsidRPr="00F41565" w:rsidRDefault="009B08A7" w:rsidP="00D90BF4">
      <w:pPr>
        <w:autoSpaceDE w:val="0"/>
        <w:autoSpaceDN w:val="0"/>
        <w:adjustRightInd w:val="0"/>
        <w:rPr>
          <w:rFonts w:cs="Courier New"/>
          <w:color w:val="000000"/>
          <w:szCs w:val="24"/>
        </w:rPr>
      </w:pPr>
    </w:p>
    <w:p w14:paraId="23AAF631" w14:textId="776B84FC" w:rsidR="009B08A7" w:rsidRPr="00F41565" w:rsidRDefault="00F41565" w:rsidP="00D90BF4">
      <w:pPr>
        <w:autoSpaceDE w:val="0"/>
        <w:autoSpaceDN w:val="0"/>
        <w:adjustRightInd w:val="0"/>
        <w:spacing w:before="120" w:after="120"/>
        <w:jc w:val="right"/>
        <w:rPr>
          <w:rFonts w:cs="Courier New"/>
          <w:color w:val="000000"/>
          <w:szCs w:val="24"/>
        </w:rPr>
      </w:pPr>
      <w:hyperlink w:anchor="_top" w:history="1">
        <w:r w:rsidRPr="00DD434E">
          <w:rPr>
            <w:rStyle w:val="Hyperlink"/>
            <w:rFonts w:cs="Courier New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B08A7" w14:paraId="28A47358" w14:textId="77777777" w:rsidTr="00F54D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9C5638" w14:textId="704B7D8B" w:rsidR="009B08A7" w:rsidRDefault="009B08A7" w:rsidP="00D90BF4">
            <w:pPr>
              <w:pStyle w:val="Heading2"/>
              <w:spacing w:before="120" w:after="120"/>
              <w:rPr>
                <w:i/>
                <w:iCs w:val="0"/>
                <w:color w:val="000000"/>
              </w:rPr>
            </w:pPr>
            <w:bookmarkStart w:id="14" w:name="_Viewing_Power_of"/>
            <w:bookmarkStart w:id="15" w:name="_Viewing_POA_Authorizations"/>
            <w:bookmarkStart w:id="16" w:name="_Toc93470492"/>
            <w:bookmarkStart w:id="17" w:name="_Toc188036632"/>
            <w:bookmarkEnd w:id="14"/>
            <w:bookmarkEnd w:id="15"/>
            <w:r w:rsidRPr="00660AD5">
              <w:rPr>
                <w:iCs w:val="0"/>
              </w:rPr>
              <w:t xml:space="preserve">Viewing </w:t>
            </w:r>
            <w:r w:rsidR="002D78E9">
              <w:rPr>
                <w:iCs w:val="0"/>
              </w:rPr>
              <w:t>POA</w:t>
            </w:r>
            <w:r w:rsidRPr="00660AD5">
              <w:rPr>
                <w:iCs w:val="0"/>
              </w:rPr>
              <w:t xml:space="preserve"> Authorizations on File in Compass</w:t>
            </w:r>
            <w:bookmarkEnd w:id="16"/>
            <w:bookmarkEnd w:id="17"/>
          </w:p>
        </w:tc>
      </w:tr>
    </w:tbl>
    <w:p w14:paraId="2EB0636C" w14:textId="58C48F7B" w:rsidR="00B81094" w:rsidRDefault="00F54DEE" w:rsidP="1CD298E7">
      <w:pPr>
        <w:autoSpaceDE w:val="0"/>
        <w:autoSpaceDN w:val="0"/>
        <w:adjustRightInd w:val="0"/>
        <w:spacing w:before="120" w:after="120"/>
        <w:rPr>
          <w:rFonts w:cs="Courier New"/>
        </w:rPr>
      </w:pPr>
      <w:r w:rsidRPr="1CD298E7">
        <w:rPr>
          <w:rFonts w:cs="Courier New"/>
        </w:rPr>
        <w:t xml:space="preserve">To view existing POA authorizations on file, </w:t>
      </w:r>
      <w:r w:rsidR="004D4B88" w:rsidRPr="1CD298E7">
        <w:rPr>
          <w:rFonts w:cs="Courier New"/>
        </w:rPr>
        <w:t xml:space="preserve">navigate to the </w:t>
      </w:r>
      <w:r w:rsidR="1D50E946" w:rsidRPr="00EF3444">
        <w:rPr>
          <w:rFonts w:cs="Courier New"/>
          <w:b/>
          <w:bCs/>
        </w:rPr>
        <w:t>Quick Actions Panel</w:t>
      </w:r>
      <w:r w:rsidR="1D50E946" w:rsidRPr="1CD298E7">
        <w:rPr>
          <w:rFonts w:cs="Courier New"/>
        </w:rPr>
        <w:t xml:space="preserve"> </w:t>
      </w:r>
      <w:r w:rsidR="007D75F2" w:rsidRPr="1CD298E7">
        <w:rPr>
          <w:rFonts w:cs="Courier New"/>
        </w:rPr>
        <w:t xml:space="preserve">and </w:t>
      </w:r>
      <w:r w:rsidR="00EF3444">
        <w:rPr>
          <w:rFonts w:cs="Courier New"/>
        </w:rPr>
        <w:t>select</w:t>
      </w:r>
      <w:r w:rsidR="007D75F2" w:rsidRPr="1CD298E7">
        <w:rPr>
          <w:rFonts w:cs="Courier New"/>
        </w:rPr>
        <w:t xml:space="preserve"> </w:t>
      </w:r>
      <w:r w:rsidR="007D75F2" w:rsidRPr="00D00C94">
        <w:rPr>
          <w:rFonts w:cs="Courier New"/>
          <w:b/>
          <w:bCs/>
        </w:rPr>
        <w:t>Privacy Records</w:t>
      </w:r>
      <w:r w:rsidR="007D75F2" w:rsidRPr="1CD298E7">
        <w:rPr>
          <w:rFonts w:cs="Courier New"/>
        </w:rPr>
        <w:t xml:space="preserve">. Refer to the </w:t>
      </w:r>
      <w:bookmarkStart w:id="18" w:name="_Toc14084095"/>
      <w:bookmarkStart w:id="19" w:name="_Toc127293693"/>
      <w:r w:rsidR="00AE463D" w:rsidRPr="1CD298E7">
        <w:rPr>
          <w:rFonts w:cs="Courier New"/>
          <w:b/>
          <w:bCs/>
        </w:rPr>
        <w:t>Viewing Authorizations on File in Compass</w:t>
      </w:r>
      <w:bookmarkEnd w:id="18"/>
      <w:bookmarkEnd w:id="19"/>
      <w:r w:rsidR="007D75F2" w:rsidRPr="1CD298E7">
        <w:rPr>
          <w:rFonts w:cs="Courier New"/>
        </w:rPr>
        <w:t xml:space="preserve"> section of </w:t>
      </w:r>
      <w:hyperlink r:id="rId15" w:anchor="!/view?docid=91b652db-c5b2-4769-b300-e1e2c95ec009">
        <w:r w:rsidR="00A67C5D" w:rsidRPr="1CD298E7">
          <w:rPr>
            <w:rStyle w:val="Hyperlink"/>
            <w:rFonts w:cs="Courier New"/>
          </w:rPr>
          <w:t>Compass - Forms Members Can Submit to Authorize Access and Release of Information for Their Account (053891)</w:t>
        </w:r>
      </w:hyperlink>
      <w:r w:rsidR="009B3832" w:rsidRPr="1CD298E7">
        <w:rPr>
          <w:rFonts w:cs="Courier New"/>
        </w:rPr>
        <w:t>.</w:t>
      </w:r>
    </w:p>
    <w:p w14:paraId="6CAC5420" w14:textId="77777777" w:rsidR="0027381F" w:rsidRPr="005D3AC1" w:rsidRDefault="0027381F" w:rsidP="1CD298E7">
      <w:pPr>
        <w:autoSpaceDE w:val="0"/>
        <w:autoSpaceDN w:val="0"/>
        <w:adjustRightInd w:val="0"/>
        <w:spacing w:before="120" w:after="120"/>
        <w:rPr>
          <w:rFonts w:cs="Courier New"/>
        </w:rPr>
      </w:pPr>
    </w:p>
    <w:p w14:paraId="74B0296A" w14:textId="5C2207BB" w:rsidR="7773FBEE" w:rsidRDefault="7773FBEE" w:rsidP="0027381F">
      <w:pPr>
        <w:spacing w:before="120" w:after="120"/>
        <w:jc w:val="center"/>
      </w:pPr>
      <w:r>
        <w:rPr>
          <w:noProof/>
        </w:rPr>
        <w:drawing>
          <wp:inline distT="0" distB="0" distL="0" distR="0" wp14:anchorId="56A2779E" wp14:editId="714B5CB1">
            <wp:extent cx="7753350" cy="2333625"/>
            <wp:effectExtent l="0" t="0" r="0" b="9525"/>
            <wp:docPr id="732117997" name="Picture 732117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7" r="610"/>
                    <a:stretch/>
                  </pic:blipFill>
                  <pic:spPr bwMode="auto">
                    <a:xfrm>
                      <a:off x="0" y="0"/>
                      <a:ext cx="77533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4E01" w14:textId="77777777" w:rsidR="008D1D75" w:rsidRDefault="008D1D75" w:rsidP="1CD298E7">
      <w:pPr>
        <w:spacing w:before="120" w:after="120"/>
      </w:pPr>
    </w:p>
    <w:p w14:paraId="2BF86898" w14:textId="3CF5D7A4" w:rsidR="009B08A7" w:rsidRPr="002F1CBF" w:rsidRDefault="00BB75B5" w:rsidP="00A67C5D">
      <w:pPr>
        <w:autoSpaceDE w:val="0"/>
        <w:autoSpaceDN w:val="0"/>
        <w:adjustRightInd w:val="0"/>
        <w:spacing w:before="120" w:after="120"/>
        <w:rPr>
          <w:color w:val="000000"/>
          <w:szCs w:val="24"/>
        </w:rPr>
      </w:pPr>
      <w:r w:rsidRPr="15445B5B">
        <w:rPr>
          <w:rFonts w:cs="Courier New"/>
          <w:b/>
          <w:bCs/>
          <w:szCs w:val="24"/>
        </w:rPr>
        <w:t>Note</w:t>
      </w:r>
      <w:r w:rsidR="009B08A7" w:rsidRPr="15445B5B">
        <w:rPr>
          <w:rFonts w:cs="Courier New"/>
          <w:b/>
          <w:bCs/>
          <w:szCs w:val="24"/>
        </w:rPr>
        <w:t xml:space="preserve">:  </w:t>
      </w:r>
      <w:bookmarkStart w:id="20" w:name="OLE_LINK2"/>
      <w:r w:rsidR="009B08A7" w:rsidRPr="15445B5B">
        <w:rPr>
          <w:rFonts w:cs="Courier New"/>
          <w:szCs w:val="24"/>
        </w:rPr>
        <w:t xml:space="preserve">If a valid Power of Attorney authorization is on file </w:t>
      </w:r>
      <w:r w:rsidR="008A59D3" w:rsidRPr="15445B5B">
        <w:rPr>
          <w:rFonts w:cs="Courier New"/>
          <w:szCs w:val="24"/>
        </w:rPr>
        <w:t>on</w:t>
      </w:r>
      <w:r w:rsidR="009B08A7" w:rsidRPr="15445B5B">
        <w:rPr>
          <w:rFonts w:cs="Courier New"/>
          <w:szCs w:val="24"/>
        </w:rPr>
        <w:t xml:space="preserve"> a member’s </w:t>
      </w:r>
      <w:r w:rsidR="009B08A7" w:rsidRPr="15445B5B">
        <w:rPr>
          <w:rFonts w:cs="Courier New"/>
          <w:b/>
          <w:bCs/>
          <w:szCs w:val="24"/>
        </w:rPr>
        <w:t>expired account</w:t>
      </w:r>
      <w:r w:rsidR="0054217D" w:rsidRPr="15445B5B">
        <w:rPr>
          <w:rFonts w:cs="Courier New"/>
          <w:szCs w:val="24"/>
        </w:rPr>
        <w:t xml:space="preserve">, </w:t>
      </w:r>
      <w:bookmarkStart w:id="21" w:name="OLE_LINK14"/>
      <w:r w:rsidR="00011A65" w:rsidRPr="15445B5B">
        <w:rPr>
          <w:rFonts w:cs="Courier New"/>
          <w:szCs w:val="24"/>
        </w:rPr>
        <w:t>c</w:t>
      </w:r>
      <w:r w:rsidR="009538E2" w:rsidRPr="15445B5B">
        <w:rPr>
          <w:rFonts w:cs="Courier New"/>
          <w:szCs w:val="24"/>
        </w:rPr>
        <w:t xml:space="preserve">reate a Support Task, </w:t>
      </w:r>
      <w:r w:rsidR="009538E2" w:rsidRPr="15445B5B">
        <w:rPr>
          <w:rFonts w:cs="Courier New"/>
          <w:b/>
          <w:bCs/>
          <w:szCs w:val="24"/>
        </w:rPr>
        <w:t>Task Type:</w:t>
      </w:r>
      <w:r w:rsidR="00726A2A" w:rsidRPr="15445B5B">
        <w:rPr>
          <w:rFonts w:cs="Courier New"/>
          <w:szCs w:val="24"/>
        </w:rPr>
        <w:t xml:space="preserve"> </w:t>
      </w:r>
      <w:r w:rsidR="002C074D">
        <w:rPr>
          <w:rFonts w:cs="Courier New"/>
          <w:szCs w:val="24"/>
        </w:rPr>
        <w:t xml:space="preserve"> </w:t>
      </w:r>
      <w:r w:rsidR="009538E2" w:rsidRPr="15445B5B">
        <w:rPr>
          <w:rFonts w:cs="Courier New"/>
          <w:szCs w:val="24"/>
        </w:rPr>
        <w:t>Account Executive Consideration</w:t>
      </w:r>
      <w:r w:rsidR="00011A65" w:rsidRPr="15445B5B">
        <w:rPr>
          <w:rFonts w:cs="Courier New"/>
          <w:szCs w:val="24"/>
        </w:rPr>
        <w:t>.</w:t>
      </w:r>
      <w:r w:rsidR="009538E2" w:rsidRPr="15445B5B">
        <w:rPr>
          <w:rFonts w:cs="Courier New"/>
          <w:szCs w:val="24"/>
        </w:rPr>
        <w:t xml:space="preserve"> Refer to </w:t>
      </w:r>
      <w:hyperlink r:id="rId17" w:anchor="!/view?docid=6753488f-3996-45d9-88ba-257575369a98">
        <w:r w:rsidR="00A67C5D">
          <w:rPr>
            <w:rStyle w:val="Hyperlink"/>
            <w:rFonts w:cs="Courier New"/>
            <w:szCs w:val="24"/>
          </w:rPr>
          <w:t>Compass - Support Task Types and Uses List (058147)</w:t>
        </w:r>
      </w:hyperlink>
      <w:r w:rsidR="00DD6B07" w:rsidRPr="15445B5B">
        <w:rPr>
          <w:rFonts w:cs="Courier New"/>
          <w:szCs w:val="24"/>
        </w:rPr>
        <w:t xml:space="preserve"> for additional information</w:t>
      </w:r>
      <w:bookmarkEnd w:id="20"/>
      <w:bookmarkEnd w:id="21"/>
      <w:r w:rsidR="0054217D" w:rsidRPr="15445B5B">
        <w:rPr>
          <w:rStyle w:val="ui-provider"/>
          <w:szCs w:val="24"/>
        </w:rPr>
        <w:t>.</w:t>
      </w:r>
    </w:p>
    <w:p w14:paraId="33DB4D95" w14:textId="77777777" w:rsidR="009B08A7" w:rsidRPr="008E6501" w:rsidRDefault="009B08A7" w:rsidP="008E6501">
      <w:pPr>
        <w:autoSpaceDE w:val="0"/>
        <w:autoSpaceDN w:val="0"/>
        <w:adjustRightInd w:val="0"/>
        <w:jc w:val="right"/>
        <w:rPr>
          <w:rFonts w:cs="Courier New"/>
          <w:color w:val="000000"/>
          <w:szCs w:val="24"/>
        </w:rPr>
      </w:pPr>
    </w:p>
    <w:p w14:paraId="7F3C18F4" w14:textId="30BA00F5" w:rsidR="009B08A7" w:rsidRPr="008E6501" w:rsidRDefault="008E6501" w:rsidP="00A67C5D">
      <w:pPr>
        <w:autoSpaceDE w:val="0"/>
        <w:autoSpaceDN w:val="0"/>
        <w:adjustRightInd w:val="0"/>
        <w:spacing w:before="120" w:after="120"/>
        <w:jc w:val="right"/>
        <w:rPr>
          <w:rFonts w:cs="Courier New"/>
          <w:color w:val="000000"/>
          <w:szCs w:val="24"/>
        </w:rPr>
      </w:pPr>
      <w:hyperlink w:anchor="_top" w:history="1">
        <w:r w:rsidRPr="00DD434E">
          <w:rPr>
            <w:rStyle w:val="Hyperlink"/>
            <w:rFonts w:cs="Courier New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B08A7" w14:paraId="026CE41E" w14:textId="77777777" w:rsidTr="00A67C5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641F3" w14:textId="2082A7BA" w:rsidR="009B08A7" w:rsidRDefault="009B08A7" w:rsidP="00A67C5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2" w:name="_Toc93470493"/>
            <w:bookmarkStart w:id="23" w:name="_Toc188036633"/>
            <w:r>
              <w:rPr>
                <w:iCs w:val="0"/>
              </w:rPr>
              <w:t xml:space="preserve">Information Needed to Include with a </w:t>
            </w:r>
            <w:r w:rsidR="00C07DE3">
              <w:rPr>
                <w:iCs w:val="0"/>
              </w:rPr>
              <w:t>P</w:t>
            </w:r>
            <w:r w:rsidR="00C07DE3" w:rsidRPr="008E6501">
              <w:rPr>
                <w:iCs w:val="0"/>
              </w:rPr>
              <w:t>OA</w:t>
            </w:r>
            <w:r>
              <w:rPr>
                <w:iCs w:val="0"/>
              </w:rPr>
              <w:t xml:space="preserve"> Add or Revoke (Remove)</w:t>
            </w:r>
            <w:bookmarkEnd w:id="22"/>
            <w:r w:rsidR="008E6501">
              <w:rPr>
                <w:iCs w:val="0"/>
              </w:rPr>
              <w:t xml:space="preserve"> </w:t>
            </w:r>
            <w:r w:rsidR="008E6501" w:rsidRPr="008E6501">
              <w:rPr>
                <w:iCs w:val="0"/>
              </w:rPr>
              <w:t>Request</w:t>
            </w:r>
            <w:bookmarkEnd w:id="23"/>
            <w:r>
              <w:rPr>
                <w:iCs w:val="0"/>
              </w:rPr>
              <w:t xml:space="preserve">  </w:t>
            </w:r>
          </w:p>
        </w:tc>
      </w:tr>
    </w:tbl>
    <w:p w14:paraId="26780866" w14:textId="41B97688" w:rsidR="009B08A7" w:rsidRPr="00997821" w:rsidRDefault="009B08A7" w:rsidP="00A67C5D">
      <w:pPr>
        <w:autoSpaceDE w:val="0"/>
        <w:autoSpaceDN w:val="0"/>
        <w:adjustRightInd w:val="0"/>
        <w:spacing w:before="120" w:after="120"/>
        <w:rPr>
          <w:rFonts w:cs="Arial"/>
          <w:b/>
          <w:bCs/>
          <w:color w:val="000000"/>
          <w:szCs w:val="24"/>
        </w:rPr>
      </w:pPr>
      <w:r w:rsidRPr="15445B5B">
        <w:rPr>
          <w:b/>
          <w:bCs/>
          <w:color w:val="000000" w:themeColor="text1"/>
          <w:szCs w:val="24"/>
        </w:rPr>
        <w:t xml:space="preserve">MED D Beneficiary: </w:t>
      </w:r>
      <w:r w:rsidR="00C45412">
        <w:rPr>
          <w:b/>
          <w:bCs/>
          <w:color w:val="000000" w:themeColor="text1"/>
          <w:szCs w:val="24"/>
        </w:rPr>
        <w:t xml:space="preserve"> </w:t>
      </w:r>
      <w:r w:rsidRPr="15445B5B">
        <w:rPr>
          <w:color w:val="000000" w:themeColor="text1"/>
          <w:szCs w:val="24"/>
        </w:rPr>
        <w:t>Refer to</w:t>
      </w:r>
      <w:r w:rsidR="0098534B" w:rsidRPr="0098534B">
        <w:t xml:space="preserve"> Compass MED D - Appointed Representative Form (AOR) or Power of Attorney (POA) (061884)</w:t>
      </w:r>
      <w:r w:rsidRPr="15445B5B">
        <w:rPr>
          <w:color w:val="000000" w:themeColor="text1"/>
          <w:szCs w:val="24"/>
        </w:rPr>
        <w:t xml:space="preserve">.  </w:t>
      </w:r>
      <w:r w:rsidRPr="15445B5B">
        <w:rPr>
          <w:rFonts w:cs="Arial"/>
          <w:b/>
          <w:bCs/>
          <w:color w:val="000000" w:themeColor="text1"/>
          <w:szCs w:val="24"/>
        </w:rPr>
        <w:t xml:space="preserve"> </w:t>
      </w:r>
    </w:p>
    <w:p w14:paraId="65E6FF0E" w14:textId="77777777" w:rsidR="009B08A7" w:rsidRPr="00997821" w:rsidRDefault="009B08A7" w:rsidP="00A67C5D">
      <w:pPr>
        <w:autoSpaceDE w:val="0"/>
        <w:autoSpaceDN w:val="0"/>
        <w:adjustRightInd w:val="0"/>
        <w:spacing w:before="120" w:after="120"/>
        <w:rPr>
          <w:rFonts w:cs="Arial"/>
          <w:b/>
          <w:color w:val="000000"/>
          <w:szCs w:val="24"/>
        </w:rPr>
      </w:pPr>
    </w:p>
    <w:p w14:paraId="69D3B04C" w14:textId="77777777" w:rsidR="009B08A7" w:rsidRPr="00997821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szCs w:val="24"/>
        </w:rPr>
      </w:pPr>
      <w:r w:rsidRPr="00997821">
        <w:rPr>
          <w:rFonts w:cs="Courier New"/>
          <w:szCs w:val="24"/>
        </w:rPr>
        <w:t>The original Power of Attorney documents are only returned if a note is included requesting this action.</w:t>
      </w:r>
    </w:p>
    <w:p w14:paraId="5BE24862" w14:textId="11956B1A" w:rsidR="00A67C5D" w:rsidRPr="00997821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Times New Roman"/>
          <w:szCs w:val="24"/>
        </w:rPr>
      </w:pPr>
      <w:r w:rsidRPr="00997821">
        <w:rPr>
          <w:szCs w:val="24"/>
        </w:rPr>
        <w:t xml:space="preserve">When there are two POA documents on file </w:t>
      </w:r>
      <w:r w:rsidRPr="00997821">
        <w:rPr>
          <w:bCs/>
          <w:szCs w:val="24"/>
        </w:rPr>
        <w:t xml:space="preserve">and both are added on the account; the second POA document must be entered and marked as termed with the next day's date </w:t>
      </w:r>
      <w:r w:rsidRPr="00C45412">
        <w:rPr>
          <w:bCs/>
          <w:szCs w:val="24"/>
        </w:rPr>
        <w:t xml:space="preserve">and then coded as: </w:t>
      </w:r>
      <w:r w:rsidR="00C45412">
        <w:rPr>
          <w:bCs/>
          <w:szCs w:val="24"/>
        </w:rPr>
        <w:t xml:space="preserve"> </w:t>
      </w:r>
      <w:r w:rsidRPr="00C45412">
        <w:rPr>
          <w:bCs/>
          <w:szCs w:val="24"/>
        </w:rPr>
        <w:t>DFRP</w:t>
      </w:r>
      <w:r w:rsidRPr="00997821">
        <w:rPr>
          <w:b/>
          <w:szCs w:val="24"/>
        </w:rPr>
        <w:t xml:space="preserve"> </w:t>
      </w:r>
      <w:r w:rsidRPr="00997821">
        <w:rPr>
          <w:bCs/>
          <w:szCs w:val="24"/>
        </w:rPr>
        <w:t>(</w:t>
      </w:r>
      <w:r w:rsidRPr="00997821">
        <w:rPr>
          <w:bCs/>
          <w:color w:val="000000"/>
          <w:szCs w:val="24"/>
        </w:rPr>
        <w:t>Default Responsible Person)</w:t>
      </w:r>
      <w:r w:rsidRPr="00997821">
        <w:rPr>
          <w:szCs w:val="24"/>
        </w:rPr>
        <w:t xml:space="preserve">. </w:t>
      </w:r>
    </w:p>
    <w:p w14:paraId="4049D678" w14:textId="7903AE5F" w:rsidR="009B08A7" w:rsidRPr="00A67C5D" w:rsidRDefault="009B08A7" w:rsidP="00A67C5D">
      <w:pPr>
        <w:autoSpaceDE w:val="0"/>
        <w:autoSpaceDN w:val="0"/>
        <w:adjustRightInd w:val="0"/>
        <w:spacing w:before="120" w:after="120"/>
        <w:ind w:left="72" w:right="432"/>
        <w:rPr>
          <w:rFonts w:cs="Courier New"/>
          <w:szCs w:val="24"/>
        </w:rPr>
      </w:pPr>
    </w:p>
    <w:p w14:paraId="6BB598AD" w14:textId="66E9B00D" w:rsidR="009B08A7" w:rsidRPr="00C45412" w:rsidRDefault="009B08A7" w:rsidP="00A67C5D">
      <w:pPr>
        <w:autoSpaceDE w:val="0"/>
        <w:autoSpaceDN w:val="0"/>
        <w:adjustRightInd w:val="0"/>
        <w:spacing w:before="120" w:after="120"/>
        <w:rPr>
          <w:rFonts w:cs="Courier New"/>
          <w:szCs w:val="24"/>
        </w:rPr>
      </w:pPr>
      <w:r w:rsidRPr="00997821">
        <w:rPr>
          <w:rFonts w:cs="Courier New"/>
          <w:szCs w:val="24"/>
        </w:rPr>
        <w:t xml:space="preserve">Inform the member that the </w:t>
      </w:r>
      <w:r w:rsidRPr="00A67C5D">
        <w:rPr>
          <w:rFonts w:cs="Courier New"/>
          <w:szCs w:val="24"/>
        </w:rPr>
        <w:t xml:space="preserve">below information must be </w:t>
      </w:r>
      <w:r w:rsidRPr="00C45412">
        <w:rPr>
          <w:rFonts w:cs="Courier New"/>
          <w:szCs w:val="24"/>
        </w:rPr>
        <w:t>gathered and mailed to &lt;P</w:t>
      </w:r>
      <w:r w:rsidR="00A67C5D" w:rsidRPr="00C45412">
        <w:rPr>
          <w:rFonts w:cs="Courier New"/>
          <w:szCs w:val="24"/>
        </w:rPr>
        <w:t xml:space="preserve">harmacy </w:t>
      </w:r>
      <w:r w:rsidRPr="00C45412">
        <w:rPr>
          <w:rFonts w:cs="Courier New"/>
          <w:szCs w:val="24"/>
        </w:rPr>
        <w:t>B</w:t>
      </w:r>
      <w:r w:rsidR="00A67C5D" w:rsidRPr="00C45412">
        <w:rPr>
          <w:rFonts w:cs="Courier New"/>
          <w:szCs w:val="24"/>
        </w:rPr>
        <w:t xml:space="preserve">enefit </w:t>
      </w:r>
      <w:r w:rsidRPr="00C45412">
        <w:rPr>
          <w:rFonts w:cs="Courier New"/>
          <w:szCs w:val="24"/>
        </w:rPr>
        <w:t>M</w:t>
      </w:r>
      <w:r w:rsidR="00A67C5D" w:rsidRPr="00C45412">
        <w:rPr>
          <w:rFonts w:cs="Courier New"/>
          <w:szCs w:val="24"/>
        </w:rPr>
        <w:t>anager (PBM)</w:t>
      </w:r>
      <w:r w:rsidRPr="00C45412">
        <w:rPr>
          <w:rFonts w:cs="Courier New"/>
          <w:szCs w:val="24"/>
        </w:rPr>
        <w:t xml:space="preserve"> name&gt;</w:t>
      </w:r>
      <w:r w:rsidR="00A67C5D" w:rsidRPr="00C45412">
        <w:rPr>
          <w:rFonts w:cs="Courier New"/>
          <w:szCs w:val="24"/>
        </w:rPr>
        <w:t>:</w:t>
      </w:r>
    </w:p>
    <w:p w14:paraId="30AF11F2" w14:textId="77777777" w:rsidR="009B08A7" w:rsidRPr="00997821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szCs w:val="24"/>
        </w:rPr>
      </w:pPr>
      <w:r w:rsidRPr="00997821">
        <w:rPr>
          <w:rFonts w:cs="Courier New"/>
          <w:szCs w:val="24"/>
        </w:rPr>
        <w:t>Plan Member’s full name</w:t>
      </w:r>
    </w:p>
    <w:p w14:paraId="4750365F" w14:textId="77777777" w:rsidR="009B08A7" w:rsidRPr="00997821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szCs w:val="24"/>
        </w:rPr>
      </w:pPr>
      <w:r w:rsidRPr="00997821">
        <w:rPr>
          <w:rFonts w:cs="Courier New"/>
          <w:szCs w:val="24"/>
        </w:rPr>
        <w:t>Plan Member’s ID Number (exactly as shown in our system)</w:t>
      </w:r>
    </w:p>
    <w:p w14:paraId="6B42C2F6" w14:textId="77777777" w:rsidR="009B08A7" w:rsidRPr="00997821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szCs w:val="24"/>
        </w:rPr>
      </w:pPr>
      <w:r w:rsidRPr="00997821">
        <w:rPr>
          <w:rFonts w:cs="Courier New"/>
          <w:szCs w:val="24"/>
        </w:rPr>
        <w:t>Plan Member’s Date of Birth</w:t>
      </w:r>
    </w:p>
    <w:p w14:paraId="7B3E3925" w14:textId="77777777" w:rsidR="009B08A7" w:rsidRPr="00997821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szCs w:val="24"/>
        </w:rPr>
      </w:pPr>
      <w:r w:rsidRPr="00997821">
        <w:rPr>
          <w:rFonts w:cs="Courier New"/>
          <w:szCs w:val="24"/>
        </w:rPr>
        <w:t>Plan Member’s Address/Telephone Number</w:t>
      </w:r>
    </w:p>
    <w:p w14:paraId="1D23424B" w14:textId="77777777" w:rsidR="009B08A7" w:rsidRPr="00997821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color w:val="000000"/>
          <w:szCs w:val="24"/>
        </w:rPr>
      </w:pPr>
      <w:r w:rsidRPr="00997821">
        <w:rPr>
          <w:rFonts w:cs="Courier New"/>
          <w:color w:val="000000"/>
          <w:szCs w:val="24"/>
        </w:rPr>
        <w:t>Copy of the</w:t>
      </w:r>
      <w:r w:rsidRPr="00997821">
        <w:rPr>
          <w:rFonts w:cs="Courier New"/>
          <w:szCs w:val="24"/>
        </w:rPr>
        <w:t xml:space="preserve"> existing Power of Attorney document that indicates the name, address, and telephone number, of the person(s) authorized </w:t>
      </w:r>
      <w:r w:rsidRPr="00997821">
        <w:rPr>
          <w:rFonts w:cs="Courier New"/>
          <w:color w:val="000000"/>
          <w:szCs w:val="24"/>
        </w:rPr>
        <w:t xml:space="preserve">to act on behalf of the member </w:t>
      </w:r>
    </w:p>
    <w:p w14:paraId="6CB308D7" w14:textId="77777777" w:rsidR="009B08A7" w:rsidRDefault="009B08A7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color w:val="000000"/>
          <w:szCs w:val="24"/>
        </w:rPr>
      </w:pPr>
      <w:r w:rsidRPr="00997821">
        <w:rPr>
          <w:rFonts w:cs="Courier New"/>
          <w:color w:val="000000"/>
          <w:szCs w:val="24"/>
        </w:rPr>
        <w:t>Copies of any other documents that are referenced in the POA document (if applicable)</w:t>
      </w:r>
    </w:p>
    <w:p w14:paraId="7B86E359" w14:textId="201B3C54" w:rsidR="00A67C5D" w:rsidRPr="00997821" w:rsidRDefault="00A67C5D" w:rsidP="00A67C5D">
      <w:pPr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432" w:right="432"/>
        <w:rPr>
          <w:rFonts w:cs="Courier New"/>
          <w:color w:val="000000"/>
          <w:szCs w:val="24"/>
        </w:rPr>
      </w:pPr>
      <w:r>
        <w:rPr>
          <w:rFonts w:cs="Courier New"/>
          <w:szCs w:val="24"/>
        </w:rPr>
        <w:t xml:space="preserve">Provide mailing address, refer to </w:t>
      </w:r>
      <w:hyperlink w:anchor="_Mailing_Addresses_for" w:history="1">
        <w:r w:rsidRPr="00997821">
          <w:rPr>
            <w:rStyle w:val="Hyperlink"/>
            <w:rFonts w:cs="Courier New"/>
            <w:szCs w:val="24"/>
          </w:rPr>
          <w:t>Mailing Addresses</w:t>
        </w:r>
      </w:hyperlink>
      <w:r w:rsidRPr="001B3782">
        <w:rPr>
          <w:rStyle w:val="Hyperlink"/>
          <w:rFonts w:cs="Courier New"/>
          <w:color w:val="auto"/>
          <w:szCs w:val="24"/>
          <w:u w:val="none"/>
        </w:rPr>
        <w:t xml:space="preserve"> section above</w:t>
      </w:r>
      <w:r>
        <w:rPr>
          <w:rStyle w:val="Hyperlink"/>
          <w:rFonts w:cs="Courier New"/>
          <w:color w:val="auto"/>
          <w:szCs w:val="24"/>
          <w:u w:val="none"/>
        </w:rPr>
        <w:t>.</w:t>
      </w:r>
    </w:p>
    <w:p w14:paraId="2B6718E4" w14:textId="77777777" w:rsidR="009B08A7" w:rsidRPr="00997821" w:rsidRDefault="009B08A7" w:rsidP="00A67C5D">
      <w:pPr>
        <w:pStyle w:val="Heading2"/>
        <w:spacing w:before="120" w:after="120"/>
        <w:rPr>
          <w:rFonts w:cs="Times New Roman"/>
          <w:color w:val="000000"/>
          <w:sz w:val="24"/>
          <w:szCs w:val="24"/>
        </w:rPr>
      </w:pPr>
      <w:r w:rsidRPr="00997821">
        <w:rPr>
          <w:rFonts w:cs="Courier New"/>
          <w:sz w:val="24"/>
          <w:szCs w:val="24"/>
        </w:rPr>
        <w:t xml:space="preserve"> </w:t>
      </w:r>
      <w:r w:rsidRPr="00997821">
        <w:rPr>
          <w:color w:val="000000"/>
          <w:sz w:val="24"/>
          <w:szCs w:val="24"/>
        </w:rPr>
        <w:t> </w:t>
      </w:r>
    </w:p>
    <w:p w14:paraId="2D32B52D" w14:textId="58ADD39A" w:rsidR="009B08A7" w:rsidRPr="00997821" w:rsidRDefault="009B08A7" w:rsidP="00A67C5D">
      <w:pPr>
        <w:autoSpaceDE w:val="0"/>
        <w:autoSpaceDN w:val="0"/>
        <w:adjustRightInd w:val="0"/>
        <w:spacing w:before="120" w:after="120"/>
        <w:rPr>
          <w:color w:val="0070C0"/>
          <w:szCs w:val="24"/>
        </w:rPr>
      </w:pPr>
      <w:r w:rsidRPr="00997821">
        <w:rPr>
          <w:rFonts w:cs="Courier New"/>
          <w:b/>
          <w:szCs w:val="24"/>
        </w:rPr>
        <w:t>Result:</w:t>
      </w:r>
      <w:r w:rsidRPr="00997821">
        <w:rPr>
          <w:rFonts w:cs="Courier New"/>
          <w:szCs w:val="24"/>
        </w:rPr>
        <w:t xml:space="preserve">  Once the documentation has been received, evaluated </w:t>
      </w:r>
      <w:r w:rsidRPr="00997821">
        <w:rPr>
          <w:rFonts w:cs="Courier New"/>
          <w:color w:val="000000"/>
          <w:szCs w:val="24"/>
        </w:rPr>
        <w:t xml:space="preserve">and if </w:t>
      </w:r>
      <w:r w:rsidRPr="00997821">
        <w:rPr>
          <w:rFonts w:cs="Courier New"/>
          <w:szCs w:val="24"/>
        </w:rPr>
        <w:t xml:space="preserve">approved, the Power of Attorney is documented in Compass. Refer to </w:t>
      </w:r>
      <w:bookmarkStart w:id="24" w:name="OLE_LINK8"/>
      <w:r w:rsidR="00E3741D">
        <w:rPr>
          <w:rFonts w:cs="Courier New"/>
          <w:szCs w:val="24"/>
        </w:rPr>
        <w:t>the</w:t>
      </w:r>
      <w:r w:rsidR="00E3741D" w:rsidRPr="00E3741D">
        <w:rPr>
          <w:rFonts w:cs="Courier New"/>
          <w:szCs w:val="24"/>
        </w:rPr>
        <w:t xml:space="preserve"> </w:t>
      </w:r>
      <w:hyperlink w:anchor="_Viewing_Power_of" w:history="1">
        <w:r w:rsidRPr="00E16CEE">
          <w:rPr>
            <w:rStyle w:val="Hyperlink"/>
            <w:szCs w:val="24"/>
          </w:rPr>
          <w:t xml:space="preserve">Viewing </w:t>
        </w:r>
        <w:r w:rsidR="001B3782">
          <w:rPr>
            <w:rStyle w:val="Hyperlink"/>
            <w:szCs w:val="24"/>
          </w:rPr>
          <w:t>POA</w:t>
        </w:r>
        <w:r w:rsidRPr="00E16CEE">
          <w:rPr>
            <w:rStyle w:val="Hyperlink"/>
            <w:szCs w:val="24"/>
          </w:rPr>
          <w:t xml:space="preserve"> Authorizations on File in Compass</w:t>
        </w:r>
      </w:hyperlink>
      <w:r w:rsidR="00E3741D" w:rsidRPr="00E3741D">
        <w:rPr>
          <w:szCs w:val="24"/>
        </w:rPr>
        <w:t xml:space="preserve"> section above</w:t>
      </w:r>
      <w:r w:rsidRPr="00E3741D">
        <w:rPr>
          <w:szCs w:val="24"/>
        </w:rPr>
        <w:t>.</w:t>
      </w:r>
      <w:bookmarkEnd w:id="24"/>
    </w:p>
    <w:p w14:paraId="33419D65" w14:textId="21520012" w:rsidR="009B08A7" w:rsidRPr="008E6501" w:rsidRDefault="009B08A7" w:rsidP="008E6501">
      <w:pPr>
        <w:autoSpaceDE w:val="0"/>
        <w:autoSpaceDN w:val="0"/>
        <w:adjustRightInd w:val="0"/>
        <w:jc w:val="right"/>
        <w:rPr>
          <w:color w:val="0070C0"/>
          <w:szCs w:val="24"/>
        </w:rPr>
      </w:pPr>
    </w:p>
    <w:p w14:paraId="44819981" w14:textId="2C916BDE" w:rsidR="00C07DE3" w:rsidRPr="008E6501" w:rsidRDefault="00C07DE3" w:rsidP="00A67C5D">
      <w:pPr>
        <w:autoSpaceDE w:val="0"/>
        <w:autoSpaceDN w:val="0"/>
        <w:adjustRightInd w:val="0"/>
        <w:spacing w:before="120" w:after="120"/>
        <w:jc w:val="right"/>
        <w:rPr>
          <w:color w:val="0070C0"/>
          <w:szCs w:val="24"/>
        </w:rPr>
      </w:pPr>
      <w:hyperlink w:anchor="_top" w:history="1">
        <w:r w:rsidRPr="00DD434E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B08A7" w14:paraId="19A9BAA9" w14:textId="77777777" w:rsidTr="00A67C5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7D581A" w14:textId="77777777" w:rsidR="009B08A7" w:rsidRDefault="009B08A7" w:rsidP="00A67C5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5" w:name="_Toc93470494"/>
            <w:bookmarkStart w:id="26" w:name="_Toc188036634"/>
            <w:r>
              <w:rPr>
                <w:iCs w:val="0"/>
              </w:rPr>
              <w:t>Turn Around Time</w:t>
            </w:r>
            <w:bookmarkEnd w:id="25"/>
            <w:bookmarkEnd w:id="26"/>
          </w:p>
        </w:tc>
      </w:tr>
    </w:tbl>
    <w:p w14:paraId="1F6A9760" w14:textId="5D4AB202" w:rsidR="009B08A7" w:rsidRPr="00997821" w:rsidRDefault="00A67C5D" w:rsidP="00A67C5D">
      <w:pPr>
        <w:spacing w:before="120" w:after="120"/>
        <w:rPr>
          <w:szCs w:val="24"/>
        </w:rPr>
      </w:pPr>
      <w:r>
        <w:rPr>
          <w:szCs w:val="24"/>
        </w:rPr>
        <w:t>U</w:t>
      </w:r>
      <w:r w:rsidR="009B08A7" w:rsidRPr="00997821">
        <w:rPr>
          <w:szCs w:val="24"/>
        </w:rPr>
        <w:t xml:space="preserve">p to 10 business days from the </w:t>
      </w:r>
      <w:r w:rsidR="009B08A7" w:rsidRPr="00997821">
        <w:rPr>
          <w:color w:val="000000"/>
          <w:szCs w:val="24"/>
        </w:rPr>
        <w:t>time that the Research team</w:t>
      </w:r>
      <w:r w:rsidR="009B08A7" w:rsidRPr="00997821">
        <w:rPr>
          <w:szCs w:val="24"/>
        </w:rPr>
        <w:t xml:space="preserve"> </w:t>
      </w:r>
      <w:r w:rsidR="009B08A7" w:rsidRPr="00C45412">
        <w:rPr>
          <w:szCs w:val="24"/>
        </w:rPr>
        <w:t>receives</w:t>
      </w:r>
      <w:r w:rsidR="009B08A7" w:rsidRPr="00997821">
        <w:rPr>
          <w:szCs w:val="24"/>
        </w:rPr>
        <w:t xml:space="preserve"> all the properly completed documentation</w:t>
      </w:r>
      <w:r w:rsidRPr="00997821">
        <w:rPr>
          <w:szCs w:val="24"/>
        </w:rPr>
        <w:t xml:space="preserve">. </w:t>
      </w:r>
    </w:p>
    <w:p w14:paraId="61D97646" w14:textId="77777777" w:rsidR="009B08A7" w:rsidRPr="00233A9F" w:rsidRDefault="009B08A7" w:rsidP="00233A9F">
      <w:pPr>
        <w:autoSpaceDE w:val="0"/>
        <w:autoSpaceDN w:val="0"/>
        <w:adjustRightInd w:val="0"/>
        <w:jc w:val="right"/>
        <w:rPr>
          <w:iCs/>
          <w:color w:val="000000"/>
          <w:szCs w:val="24"/>
        </w:rPr>
      </w:pPr>
    </w:p>
    <w:p w14:paraId="0D5D4ABB" w14:textId="41B5A0E7" w:rsidR="009B08A7" w:rsidRPr="00233A9F" w:rsidRDefault="00233A9F" w:rsidP="00A67C5D">
      <w:pPr>
        <w:autoSpaceDE w:val="0"/>
        <w:autoSpaceDN w:val="0"/>
        <w:adjustRightInd w:val="0"/>
        <w:spacing w:before="120" w:after="120"/>
        <w:jc w:val="right"/>
        <w:rPr>
          <w:iCs/>
          <w:color w:val="000000"/>
          <w:szCs w:val="24"/>
        </w:rPr>
      </w:pPr>
      <w:hyperlink w:anchor="_top" w:history="1">
        <w:r w:rsidRPr="00DD434E">
          <w:rPr>
            <w:rStyle w:val="Hyperlink"/>
            <w:iCs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33A9F" w:rsidRPr="00233A9F" w14:paraId="25E1D555" w14:textId="77777777" w:rsidTr="00A67C5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945732" w14:textId="77777777" w:rsidR="00233A9F" w:rsidRPr="00233A9F" w:rsidRDefault="00233A9F" w:rsidP="00A67C5D">
            <w:pPr>
              <w:pStyle w:val="Heading2"/>
              <w:spacing w:before="120" w:after="120"/>
              <w:rPr>
                <w:rFonts w:eastAsiaTheme="majorEastAsia" w:cstheme="majorBidi"/>
                <w:b w:val="0"/>
                <w:bCs w:val="0"/>
                <w:color w:val="2F5496" w:themeColor="accent1" w:themeShade="BF"/>
              </w:rPr>
            </w:pPr>
            <w:bookmarkStart w:id="27" w:name="_Toc14084097"/>
            <w:bookmarkStart w:id="28" w:name="_Toc118375068"/>
            <w:bookmarkStart w:id="29" w:name="_Toc188036635"/>
            <w:r w:rsidRPr="001435E4">
              <w:rPr>
                <w:iCs w:val="0"/>
              </w:rPr>
              <w:t>Related Documents</w:t>
            </w:r>
            <w:bookmarkEnd w:id="27"/>
            <w:bookmarkEnd w:id="28"/>
            <w:bookmarkEnd w:id="29"/>
          </w:p>
        </w:tc>
      </w:tr>
    </w:tbl>
    <w:p w14:paraId="23AAF8E4" w14:textId="6A3DCF5B" w:rsidR="00A67C5D" w:rsidRDefault="00A67C5D" w:rsidP="00A67C5D">
      <w:pPr>
        <w:spacing w:before="120" w:after="120"/>
      </w:pPr>
      <w:r w:rsidRPr="00233A9F">
        <w:rPr>
          <w:b/>
          <w:szCs w:val="24"/>
        </w:rPr>
        <w:t xml:space="preserve">Parent </w:t>
      </w:r>
      <w:r>
        <w:rPr>
          <w:b/>
          <w:szCs w:val="24"/>
        </w:rPr>
        <w:t>Document</w:t>
      </w:r>
      <w:r w:rsidRPr="00233A9F">
        <w:rPr>
          <w:b/>
          <w:szCs w:val="24"/>
        </w:rPr>
        <w:t xml:space="preserve">: </w:t>
      </w:r>
      <w:r>
        <w:rPr>
          <w:b/>
          <w:szCs w:val="24"/>
        </w:rPr>
        <w:t xml:space="preserve"> </w:t>
      </w:r>
      <w:hyperlink r:id="rId18" w:history="1">
        <w:r w:rsidRPr="00233A9F">
          <w:rPr>
            <w:color w:val="0000FF"/>
            <w:szCs w:val="24"/>
            <w:u w:val="single"/>
          </w:rPr>
          <w:t>CALL</w:t>
        </w:r>
        <w:r>
          <w:rPr>
            <w:color w:val="0000FF"/>
            <w:szCs w:val="24"/>
            <w:u w:val="single"/>
          </w:rPr>
          <w:t>-</w:t>
        </w:r>
        <w:r w:rsidRPr="00233A9F">
          <w:rPr>
            <w:color w:val="0000FF"/>
            <w:szCs w:val="24"/>
            <w:u w:val="single"/>
          </w:rPr>
          <w:t>0011 Authenticating Callers</w:t>
        </w:r>
      </w:hyperlink>
    </w:p>
    <w:p w14:paraId="691BD629" w14:textId="4F709F69" w:rsidR="00612A0A" w:rsidRPr="00612A0A" w:rsidRDefault="00A67C5D" w:rsidP="00A67C5D">
      <w:pPr>
        <w:spacing w:before="120" w:after="120"/>
        <w:rPr>
          <w:rFonts w:eastAsia="Verdana" w:cs="Verdana"/>
          <w:szCs w:val="24"/>
        </w:rPr>
      </w:pPr>
      <w:hyperlink r:id="rId19" w:anchor="!/view?docid=80476f74-7dca-4548-bf35-185ca8d45c13">
        <w:r>
          <w:rPr>
            <w:rFonts w:eastAsia="Calibri" w:cs="Times New Roman"/>
            <w:color w:val="0000FF"/>
            <w:szCs w:val="24"/>
            <w:u w:val="single"/>
          </w:rPr>
          <w:t>Compass - Guided Caller Authentication (050163)</w:t>
        </w:r>
      </w:hyperlink>
      <w:r w:rsidR="2BEEBDF4" w:rsidRPr="15445B5B">
        <w:rPr>
          <w:rFonts w:eastAsia="Calibri" w:cs="Times New Roman"/>
          <w:szCs w:val="24"/>
        </w:rPr>
        <w:t xml:space="preserve"> </w:t>
      </w:r>
    </w:p>
    <w:bookmarkStart w:id="30" w:name="OLE_LINK73"/>
    <w:p w14:paraId="2E63F365" w14:textId="5F9CBE73" w:rsidR="00233A9F" w:rsidRPr="00233A9F" w:rsidRDefault="00AE51DC" w:rsidP="00A67C5D">
      <w:pPr>
        <w:spacing w:before="120" w:after="120"/>
        <w:rPr>
          <w:szCs w:val="24"/>
        </w:rPr>
      </w:pPr>
      <w:r>
        <w:rPr>
          <w:rFonts w:eastAsia="Calibri" w:cs="Times New Roman"/>
          <w:szCs w:val="24"/>
        </w:rPr>
        <w:fldChar w:fldCharType="begin"/>
      </w:r>
      <w:r w:rsidR="00A67C5D">
        <w:rPr>
          <w:rFonts w:eastAsia="Calibri" w:cs="Times New Roman"/>
          <w:szCs w:val="24"/>
        </w:rPr>
        <w:instrText>HYPERLINK "https://thesource.cvshealth.com/nuxeo/thesource/" \l "!/view?docid=91b652db-c5b2-4769-b300-e1e2c95ec009"</w:instrText>
      </w:r>
      <w:r>
        <w:rPr>
          <w:rFonts w:eastAsia="Calibri" w:cs="Times New Roman"/>
          <w:szCs w:val="24"/>
        </w:rPr>
      </w:r>
      <w:r>
        <w:rPr>
          <w:rFonts w:eastAsia="Calibri" w:cs="Times New Roman"/>
          <w:szCs w:val="24"/>
        </w:rPr>
        <w:fldChar w:fldCharType="separate"/>
      </w:r>
      <w:r w:rsidR="00A67C5D">
        <w:rPr>
          <w:rStyle w:val="Hyperlink"/>
          <w:rFonts w:eastAsia="Calibri" w:cs="Times New Roman"/>
          <w:szCs w:val="24"/>
        </w:rPr>
        <w:t>Compass - Forms Members Can Submit to Authorize Access and Release of Information for Their Account (053891)</w:t>
      </w:r>
      <w:r>
        <w:rPr>
          <w:rFonts w:eastAsia="Calibri" w:cs="Times New Roman"/>
          <w:szCs w:val="24"/>
        </w:rPr>
        <w:fldChar w:fldCharType="end"/>
      </w:r>
      <w:bookmarkEnd w:id="30"/>
    </w:p>
    <w:p w14:paraId="4B7D29FB" w14:textId="0298EB62" w:rsidR="00233A9F" w:rsidRPr="00233A9F" w:rsidRDefault="00A67C5D" w:rsidP="00A67C5D">
      <w:pPr>
        <w:spacing w:before="120" w:after="120"/>
        <w:rPr>
          <w:rFonts w:eastAsia="Verdana" w:cs="Verdana"/>
          <w:szCs w:val="24"/>
        </w:rPr>
      </w:pPr>
      <w:hyperlink r:id="rId20" w:anchor="!/view?docid=c1f1028b-e42c-4b4f-a4cf-cc0b42c91606">
        <w:r>
          <w:rPr>
            <w:color w:val="0000FF"/>
            <w:szCs w:val="24"/>
            <w:u w:val="single"/>
          </w:rPr>
          <w:t>Customer Care Abbreviations, Definitions, and Terms Index (017428)</w:t>
        </w:r>
      </w:hyperlink>
    </w:p>
    <w:p w14:paraId="3CB6EDF1" w14:textId="5CF3CCA3" w:rsidR="00233A9F" w:rsidRPr="00233A9F" w:rsidRDefault="00233A9F" w:rsidP="00A67C5D">
      <w:pPr>
        <w:spacing w:before="120" w:after="120"/>
        <w:jc w:val="right"/>
        <w:rPr>
          <w:rFonts w:ascii="Times New Roman" w:eastAsia="Times New Roman" w:hAnsi="Times New Roman" w:cs="Times New Roman"/>
          <w:szCs w:val="24"/>
        </w:rPr>
      </w:pPr>
      <w:hyperlink w:anchor="_top" w:history="1">
        <w:r w:rsidRPr="00DD434E">
          <w:rPr>
            <w:rStyle w:val="Hyperlink"/>
            <w:rFonts w:eastAsia="Times New Roman" w:cs="Times New Roman"/>
            <w:szCs w:val="24"/>
          </w:rPr>
          <w:t>Top of the Document</w:t>
        </w:r>
      </w:hyperlink>
      <w:r w:rsidRPr="00233A9F">
        <w:rPr>
          <w:rFonts w:eastAsia="Times New Roman" w:cs="Times New Roman"/>
          <w:szCs w:val="24"/>
        </w:rPr>
        <w:t xml:space="preserve"> </w:t>
      </w:r>
    </w:p>
    <w:p w14:paraId="50D2F81D" w14:textId="77777777" w:rsidR="00233A9F" w:rsidRPr="00233A9F" w:rsidRDefault="00233A9F" w:rsidP="00233A9F">
      <w:pPr>
        <w:jc w:val="center"/>
        <w:rPr>
          <w:rFonts w:eastAsia="Times New Roman" w:cs="Times New Roman"/>
          <w:sz w:val="16"/>
          <w:szCs w:val="16"/>
        </w:rPr>
      </w:pPr>
    </w:p>
    <w:p w14:paraId="488547E7" w14:textId="77777777" w:rsidR="00233A9F" w:rsidRPr="00233A9F" w:rsidRDefault="00233A9F" w:rsidP="00233A9F">
      <w:pPr>
        <w:jc w:val="center"/>
        <w:rPr>
          <w:rFonts w:eastAsia="Times New Roman" w:cs="Times New Roman"/>
          <w:sz w:val="16"/>
          <w:szCs w:val="16"/>
        </w:rPr>
      </w:pPr>
      <w:r w:rsidRPr="00233A9F">
        <w:rPr>
          <w:rFonts w:eastAsia="Times New Roman" w:cs="Times New Roman"/>
          <w:sz w:val="16"/>
          <w:szCs w:val="16"/>
        </w:rPr>
        <w:t>Not to Be Reproduced or Disclosed to Others without Prior Written Approval</w:t>
      </w:r>
    </w:p>
    <w:p w14:paraId="3C243AD1" w14:textId="77777777" w:rsidR="00233A9F" w:rsidRPr="00233A9F" w:rsidRDefault="00233A9F" w:rsidP="00233A9F">
      <w:pPr>
        <w:jc w:val="center"/>
        <w:rPr>
          <w:rFonts w:eastAsia="Times New Roman" w:cs="Times New Roman"/>
          <w:b/>
          <w:color w:val="000000"/>
          <w:sz w:val="16"/>
          <w:szCs w:val="16"/>
        </w:rPr>
      </w:pPr>
      <w:r w:rsidRPr="00233A9F">
        <w:rPr>
          <w:rFonts w:eastAsia="Times New Roman" w:cs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18D77780" w14:textId="77777777" w:rsidR="009B08A7" w:rsidRPr="009B08A7" w:rsidRDefault="009B08A7" w:rsidP="00C45412">
      <w:pPr>
        <w:rPr>
          <w:b/>
          <w:bCs/>
        </w:rPr>
      </w:pPr>
    </w:p>
    <w:sectPr w:rsidR="009B08A7" w:rsidRPr="009B08A7" w:rsidSect="00781FE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5A8E0" w14:textId="77777777" w:rsidR="00C56422" w:rsidRDefault="00C56422" w:rsidP="009E19B5">
      <w:r>
        <w:separator/>
      </w:r>
    </w:p>
  </w:endnote>
  <w:endnote w:type="continuationSeparator" w:id="0">
    <w:p w14:paraId="4EFF86C3" w14:textId="77777777" w:rsidR="00C56422" w:rsidRDefault="00C56422" w:rsidP="009E19B5">
      <w:r>
        <w:continuationSeparator/>
      </w:r>
    </w:p>
  </w:endnote>
  <w:endnote w:type="continuationNotice" w:id="1">
    <w:p w14:paraId="5E5EE83E" w14:textId="77777777" w:rsidR="00C56422" w:rsidRDefault="00C564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32963" w14:textId="77777777" w:rsidR="00C56422" w:rsidRDefault="00C56422" w:rsidP="009E19B5">
      <w:r>
        <w:separator/>
      </w:r>
    </w:p>
  </w:footnote>
  <w:footnote w:type="continuationSeparator" w:id="0">
    <w:p w14:paraId="0602C976" w14:textId="77777777" w:rsidR="00C56422" w:rsidRDefault="00C56422" w:rsidP="009E19B5">
      <w:r>
        <w:continuationSeparator/>
      </w:r>
    </w:p>
  </w:footnote>
  <w:footnote w:type="continuationNotice" w:id="1">
    <w:p w14:paraId="378352C7" w14:textId="77777777" w:rsidR="00C56422" w:rsidRDefault="00C564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8pt;height:15.75pt;visibility:visible;mso-wrap-style:square" o:bullet="t">
        <v:imagedata r:id="rId1" o:title=""/>
      </v:shape>
    </w:pict>
  </w:numPicBullet>
  <w:abstractNum w:abstractNumId="0" w15:restartNumberingAfterBreak="0">
    <w:nsid w:val="01814D60"/>
    <w:multiLevelType w:val="hybridMultilevel"/>
    <w:tmpl w:val="3130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5086"/>
    <w:multiLevelType w:val="hybridMultilevel"/>
    <w:tmpl w:val="DB7E16AC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5E1E"/>
    <w:multiLevelType w:val="hybridMultilevel"/>
    <w:tmpl w:val="F5566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A26054"/>
    <w:multiLevelType w:val="hybridMultilevel"/>
    <w:tmpl w:val="93D4C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E308C7"/>
    <w:multiLevelType w:val="hybridMultilevel"/>
    <w:tmpl w:val="EFB4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86A99"/>
    <w:multiLevelType w:val="hybridMultilevel"/>
    <w:tmpl w:val="567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04F7"/>
    <w:multiLevelType w:val="hybridMultilevel"/>
    <w:tmpl w:val="4E4C2DAC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E7EB6"/>
    <w:multiLevelType w:val="hybridMultilevel"/>
    <w:tmpl w:val="52DE6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3B9CE2"/>
    <w:multiLevelType w:val="hybridMultilevel"/>
    <w:tmpl w:val="BFDA858E"/>
    <w:lvl w:ilvl="0" w:tplc="FF248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2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43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83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66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28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05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01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116E0"/>
    <w:multiLevelType w:val="hybridMultilevel"/>
    <w:tmpl w:val="7FA45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55B43"/>
    <w:multiLevelType w:val="hybridMultilevel"/>
    <w:tmpl w:val="A78051C2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F69ED"/>
    <w:multiLevelType w:val="hybridMultilevel"/>
    <w:tmpl w:val="E020A80A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902A2"/>
    <w:multiLevelType w:val="hybridMultilevel"/>
    <w:tmpl w:val="412A68B8"/>
    <w:lvl w:ilvl="0" w:tplc="B922C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3773044">
    <w:abstractNumId w:val="8"/>
  </w:num>
  <w:num w:numId="2" w16cid:durableId="2004240151">
    <w:abstractNumId w:val="11"/>
  </w:num>
  <w:num w:numId="3" w16cid:durableId="1369525144">
    <w:abstractNumId w:val="10"/>
  </w:num>
  <w:num w:numId="4" w16cid:durableId="1307469576">
    <w:abstractNumId w:val="12"/>
  </w:num>
  <w:num w:numId="5" w16cid:durableId="1967655456">
    <w:abstractNumId w:val="4"/>
  </w:num>
  <w:num w:numId="6" w16cid:durableId="636574125">
    <w:abstractNumId w:val="7"/>
  </w:num>
  <w:num w:numId="7" w16cid:durableId="2092312225">
    <w:abstractNumId w:val="6"/>
  </w:num>
  <w:num w:numId="8" w16cid:durableId="1409422686">
    <w:abstractNumId w:val="9"/>
  </w:num>
  <w:num w:numId="9" w16cid:durableId="1686206430">
    <w:abstractNumId w:val="5"/>
  </w:num>
  <w:num w:numId="10" w16cid:durableId="1460223347">
    <w:abstractNumId w:val="3"/>
  </w:num>
  <w:num w:numId="11" w16cid:durableId="679504505">
    <w:abstractNumId w:val="6"/>
  </w:num>
  <w:num w:numId="12" w16cid:durableId="816655520">
    <w:abstractNumId w:val="2"/>
  </w:num>
  <w:num w:numId="13" w16cid:durableId="810945575">
    <w:abstractNumId w:val="1"/>
  </w:num>
  <w:num w:numId="14" w16cid:durableId="100200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20"/>
    <w:rsid w:val="00005A2B"/>
    <w:rsid w:val="00011A65"/>
    <w:rsid w:val="00041611"/>
    <w:rsid w:val="000552F4"/>
    <w:rsid w:val="000561A3"/>
    <w:rsid w:val="000901FB"/>
    <w:rsid w:val="000B6803"/>
    <w:rsid w:val="000C551D"/>
    <w:rsid w:val="000E6505"/>
    <w:rsid w:val="0010147C"/>
    <w:rsid w:val="00101BBD"/>
    <w:rsid w:val="00131C42"/>
    <w:rsid w:val="00133872"/>
    <w:rsid w:val="001362B6"/>
    <w:rsid w:val="00141A16"/>
    <w:rsid w:val="001435E4"/>
    <w:rsid w:val="00164994"/>
    <w:rsid w:val="0016720F"/>
    <w:rsid w:val="00174416"/>
    <w:rsid w:val="001779A0"/>
    <w:rsid w:val="00185567"/>
    <w:rsid w:val="0019689C"/>
    <w:rsid w:val="001B1721"/>
    <w:rsid w:val="001B3782"/>
    <w:rsid w:val="001B5275"/>
    <w:rsid w:val="001C24B3"/>
    <w:rsid w:val="001C3FBD"/>
    <w:rsid w:val="001E33A6"/>
    <w:rsid w:val="001E5C5E"/>
    <w:rsid w:val="001F404D"/>
    <w:rsid w:val="00217BC2"/>
    <w:rsid w:val="0022194E"/>
    <w:rsid w:val="002248FF"/>
    <w:rsid w:val="0023009C"/>
    <w:rsid w:val="0023172E"/>
    <w:rsid w:val="00233A9F"/>
    <w:rsid w:val="00235F54"/>
    <w:rsid w:val="002369C7"/>
    <w:rsid w:val="00256682"/>
    <w:rsid w:val="002568AA"/>
    <w:rsid w:val="002577B5"/>
    <w:rsid w:val="002652AF"/>
    <w:rsid w:val="00266EF1"/>
    <w:rsid w:val="0027381F"/>
    <w:rsid w:val="002843EA"/>
    <w:rsid w:val="00290120"/>
    <w:rsid w:val="00290AD1"/>
    <w:rsid w:val="002916E1"/>
    <w:rsid w:val="002A16DF"/>
    <w:rsid w:val="002A57D3"/>
    <w:rsid w:val="002C074D"/>
    <w:rsid w:val="002D78E9"/>
    <w:rsid w:val="002E28EF"/>
    <w:rsid w:val="002F1CBF"/>
    <w:rsid w:val="002F1D22"/>
    <w:rsid w:val="002F5ED8"/>
    <w:rsid w:val="003010E2"/>
    <w:rsid w:val="003349E0"/>
    <w:rsid w:val="003409D8"/>
    <w:rsid w:val="003634F1"/>
    <w:rsid w:val="00364BC6"/>
    <w:rsid w:val="00367827"/>
    <w:rsid w:val="003701DC"/>
    <w:rsid w:val="003812C7"/>
    <w:rsid w:val="00390852"/>
    <w:rsid w:val="003A67AF"/>
    <w:rsid w:val="003B3251"/>
    <w:rsid w:val="003C06AD"/>
    <w:rsid w:val="003D4552"/>
    <w:rsid w:val="003E71C9"/>
    <w:rsid w:val="003F4D79"/>
    <w:rsid w:val="00450B75"/>
    <w:rsid w:val="00460D9F"/>
    <w:rsid w:val="00464FC1"/>
    <w:rsid w:val="0047094D"/>
    <w:rsid w:val="004A0597"/>
    <w:rsid w:val="004A5BB8"/>
    <w:rsid w:val="004C024A"/>
    <w:rsid w:val="004D3B61"/>
    <w:rsid w:val="004D4B88"/>
    <w:rsid w:val="00500519"/>
    <w:rsid w:val="00506C44"/>
    <w:rsid w:val="00526B6D"/>
    <w:rsid w:val="00535857"/>
    <w:rsid w:val="0054217D"/>
    <w:rsid w:val="00542549"/>
    <w:rsid w:val="00543406"/>
    <w:rsid w:val="00554F0E"/>
    <w:rsid w:val="00557E80"/>
    <w:rsid w:val="00566644"/>
    <w:rsid w:val="005705EC"/>
    <w:rsid w:val="00582901"/>
    <w:rsid w:val="00595E80"/>
    <w:rsid w:val="005B1B0D"/>
    <w:rsid w:val="005B51CB"/>
    <w:rsid w:val="005B7D1F"/>
    <w:rsid w:val="005C0446"/>
    <w:rsid w:val="005C2BAA"/>
    <w:rsid w:val="005C3E00"/>
    <w:rsid w:val="005C6E05"/>
    <w:rsid w:val="005C7B4C"/>
    <w:rsid w:val="005D3AC1"/>
    <w:rsid w:val="005E5919"/>
    <w:rsid w:val="00601D7D"/>
    <w:rsid w:val="0061085F"/>
    <w:rsid w:val="00612A0A"/>
    <w:rsid w:val="006553E1"/>
    <w:rsid w:val="00660AD5"/>
    <w:rsid w:val="00686048"/>
    <w:rsid w:val="0069353A"/>
    <w:rsid w:val="006B549B"/>
    <w:rsid w:val="006C7A44"/>
    <w:rsid w:val="006D26FF"/>
    <w:rsid w:val="006E3AE2"/>
    <w:rsid w:val="006E4E1E"/>
    <w:rsid w:val="007163FE"/>
    <w:rsid w:val="00722989"/>
    <w:rsid w:val="00726A2A"/>
    <w:rsid w:val="007374BF"/>
    <w:rsid w:val="00737E8E"/>
    <w:rsid w:val="00740078"/>
    <w:rsid w:val="007571C1"/>
    <w:rsid w:val="00772760"/>
    <w:rsid w:val="00781FE2"/>
    <w:rsid w:val="00787F97"/>
    <w:rsid w:val="007A0042"/>
    <w:rsid w:val="007B470A"/>
    <w:rsid w:val="007C2AFF"/>
    <w:rsid w:val="007C3125"/>
    <w:rsid w:val="007C78D4"/>
    <w:rsid w:val="007D75F2"/>
    <w:rsid w:val="007E07D2"/>
    <w:rsid w:val="007E47AF"/>
    <w:rsid w:val="007F5791"/>
    <w:rsid w:val="00801404"/>
    <w:rsid w:val="008139A2"/>
    <w:rsid w:val="00813E53"/>
    <w:rsid w:val="00815273"/>
    <w:rsid w:val="00820095"/>
    <w:rsid w:val="008207A8"/>
    <w:rsid w:val="00836889"/>
    <w:rsid w:val="00843C87"/>
    <w:rsid w:val="00880A71"/>
    <w:rsid w:val="00886702"/>
    <w:rsid w:val="00886C9F"/>
    <w:rsid w:val="0089055E"/>
    <w:rsid w:val="008A5180"/>
    <w:rsid w:val="008A59D3"/>
    <w:rsid w:val="008B3F8B"/>
    <w:rsid w:val="008D040C"/>
    <w:rsid w:val="008D0DB3"/>
    <w:rsid w:val="008D1D75"/>
    <w:rsid w:val="008D2C2F"/>
    <w:rsid w:val="008E6501"/>
    <w:rsid w:val="00903852"/>
    <w:rsid w:val="0090498F"/>
    <w:rsid w:val="00922E84"/>
    <w:rsid w:val="00933A1E"/>
    <w:rsid w:val="009538E2"/>
    <w:rsid w:val="00971439"/>
    <w:rsid w:val="00971B13"/>
    <w:rsid w:val="009723E5"/>
    <w:rsid w:val="00975B3F"/>
    <w:rsid w:val="0098534B"/>
    <w:rsid w:val="00997821"/>
    <w:rsid w:val="009A3B1A"/>
    <w:rsid w:val="009A7835"/>
    <w:rsid w:val="009A7E90"/>
    <w:rsid w:val="009B08A7"/>
    <w:rsid w:val="009B3832"/>
    <w:rsid w:val="009D05DF"/>
    <w:rsid w:val="009D62B6"/>
    <w:rsid w:val="009E19B5"/>
    <w:rsid w:val="009E6D0D"/>
    <w:rsid w:val="009F102D"/>
    <w:rsid w:val="009F2D84"/>
    <w:rsid w:val="00A03AE1"/>
    <w:rsid w:val="00A2578B"/>
    <w:rsid w:val="00A325C6"/>
    <w:rsid w:val="00A373D4"/>
    <w:rsid w:val="00A445DD"/>
    <w:rsid w:val="00A56DD9"/>
    <w:rsid w:val="00A653A8"/>
    <w:rsid w:val="00A655E2"/>
    <w:rsid w:val="00A66B14"/>
    <w:rsid w:val="00A67C5D"/>
    <w:rsid w:val="00A73D9A"/>
    <w:rsid w:val="00A80115"/>
    <w:rsid w:val="00A82A5D"/>
    <w:rsid w:val="00A94FE0"/>
    <w:rsid w:val="00AA172F"/>
    <w:rsid w:val="00AA7BC0"/>
    <w:rsid w:val="00AC2D3F"/>
    <w:rsid w:val="00AD2725"/>
    <w:rsid w:val="00AD2BA8"/>
    <w:rsid w:val="00AE4604"/>
    <w:rsid w:val="00AE463D"/>
    <w:rsid w:val="00AE51DC"/>
    <w:rsid w:val="00AE6887"/>
    <w:rsid w:val="00B07768"/>
    <w:rsid w:val="00B16459"/>
    <w:rsid w:val="00B17BB8"/>
    <w:rsid w:val="00B211A3"/>
    <w:rsid w:val="00B223FE"/>
    <w:rsid w:val="00B3260F"/>
    <w:rsid w:val="00B44EC8"/>
    <w:rsid w:val="00B619A1"/>
    <w:rsid w:val="00B70740"/>
    <w:rsid w:val="00B749C0"/>
    <w:rsid w:val="00B81094"/>
    <w:rsid w:val="00B94499"/>
    <w:rsid w:val="00BA1CBF"/>
    <w:rsid w:val="00BB75B5"/>
    <w:rsid w:val="00BC66A4"/>
    <w:rsid w:val="00BD007A"/>
    <w:rsid w:val="00BD751A"/>
    <w:rsid w:val="00BE267B"/>
    <w:rsid w:val="00C04B1B"/>
    <w:rsid w:val="00C07DE3"/>
    <w:rsid w:val="00C33737"/>
    <w:rsid w:val="00C40562"/>
    <w:rsid w:val="00C45412"/>
    <w:rsid w:val="00C53793"/>
    <w:rsid w:val="00C56422"/>
    <w:rsid w:val="00C603D6"/>
    <w:rsid w:val="00C61840"/>
    <w:rsid w:val="00C74A8D"/>
    <w:rsid w:val="00C86207"/>
    <w:rsid w:val="00C87D8A"/>
    <w:rsid w:val="00C912C9"/>
    <w:rsid w:val="00CA02CB"/>
    <w:rsid w:val="00CA63FA"/>
    <w:rsid w:val="00CB3B1C"/>
    <w:rsid w:val="00CB7CCF"/>
    <w:rsid w:val="00CD4501"/>
    <w:rsid w:val="00D00C94"/>
    <w:rsid w:val="00D10748"/>
    <w:rsid w:val="00D170C6"/>
    <w:rsid w:val="00D367CB"/>
    <w:rsid w:val="00D44B46"/>
    <w:rsid w:val="00D4644D"/>
    <w:rsid w:val="00D50F9B"/>
    <w:rsid w:val="00D53173"/>
    <w:rsid w:val="00D703F6"/>
    <w:rsid w:val="00D75875"/>
    <w:rsid w:val="00D75B9B"/>
    <w:rsid w:val="00D857EE"/>
    <w:rsid w:val="00D90646"/>
    <w:rsid w:val="00D90BF4"/>
    <w:rsid w:val="00DC086C"/>
    <w:rsid w:val="00DD434E"/>
    <w:rsid w:val="00DD6B07"/>
    <w:rsid w:val="00DE69CD"/>
    <w:rsid w:val="00DF5DD8"/>
    <w:rsid w:val="00E07017"/>
    <w:rsid w:val="00E16CEE"/>
    <w:rsid w:val="00E3741D"/>
    <w:rsid w:val="00E41252"/>
    <w:rsid w:val="00E44976"/>
    <w:rsid w:val="00E61B59"/>
    <w:rsid w:val="00E755B7"/>
    <w:rsid w:val="00E81EE6"/>
    <w:rsid w:val="00EA739C"/>
    <w:rsid w:val="00ED5193"/>
    <w:rsid w:val="00ED5E68"/>
    <w:rsid w:val="00EE4ADE"/>
    <w:rsid w:val="00EF3444"/>
    <w:rsid w:val="00EF4DAC"/>
    <w:rsid w:val="00F0344C"/>
    <w:rsid w:val="00F07633"/>
    <w:rsid w:val="00F1585C"/>
    <w:rsid w:val="00F173CC"/>
    <w:rsid w:val="00F41565"/>
    <w:rsid w:val="00F422CA"/>
    <w:rsid w:val="00F425E3"/>
    <w:rsid w:val="00F54DEE"/>
    <w:rsid w:val="00F7463E"/>
    <w:rsid w:val="00F9229F"/>
    <w:rsid w:val="00FA2ED5"/>
    <w:rsid w:val="00FA7822"/>
    <w:rsid w:val="00FB04ED"/>
    <w:rsid w:val="00FC4140"/>
    <w:rsid w:val="00FC481A"/>
    <w:rsid w:val="00FD22D3"/>
    <w:rsid w:val="00FE37B3"/>
    <w:rsid w:val="01A6A2D5"/>
    <w:rsid w:val="06181777"/>
    <w:rsid w:val="0C978BA5"/>
    <w:rsid w:val="0F57B27F"/>
    <w:rsid w:val="14778632"/>
    <w:rsid w:val="15445B5B"/>
    <w:rsid w:val="1583CE41"/>
    <w:rsid w:val="17094EED"/>
    <w:rsid w:val="18B631E9"/>
    <w:rsid w:val="1CD298E7"/>
    <w:rsid w:val="1D08BDBA"/>
    <w:rsid w:val="1D50E946"/>
    <w:rsid w:val="1D7C32B1"/>
    <w:rsid w:val="1FD954DB"/>
    <w:rsid w:val="240F7793"/>
    <w:rsid w:val="248E9768"/>
    <w:rsid w:val="25358667"/>
    <w:rsid w:val="268565A9"/>
    <w:rsid w:val="2985FBE6"/>
    <w:rsid w:val="2B423033"/>
    <w:rsid w:val="2BEEBDF4"/>
    <w:rsid w:val="302F43EF"/>
    <w:rsid w:val="30E6E56C"/>
    <w:rsid w:val="32427A2C"/>
    <w:rsid w:val="3A5586AF"/>
    <w:rsid w:val="40F1CD8F"/>
    <w:rsid w:val="440CE41C"/>
    <w:rsid w:val="46726C35"/>
    <w:rsid w:val="46B44495"/>
    <w:rsid w:val="48B87BEE"/>
    <w:rsid w:val="490222B5"/>
    <w:rsid w:val="492467FD"/>
    <w:rsid w:val="494EED6A"/>
    <w:rsid w:val="4B801CFE"/>
    <w:rsid w:val="4D345578"/>
    <w:rsid w:val="4E52E6C9"/>
    <w:rsid w:val="4ECCAAEE"/>
    <w:rsid w:val="4EDA8963"/>
    <w:rsid w:val="54162EC1"/>
    <w:rsid w:val="550CC0FC"/>
    <w:rsid w:val="55A87CF2"/>
    <w:rsid w:val="5ECCBD55"/>
    <w:rsid w:val="60AD28D8"/>
    <w:rsid w:val="658B388F"/>
    <w:rsid w:val="6705D0A9"/>
    <w:rsid w:val="6FA88400"/>
    <w:rsid w:val="70C25F2D"/>
    <w:rsid w:val="73140B66"/>
    <w:rsid w:val="7373B592"/>
    <w:rsid w:val="760D2633"/>
    <w:rsid w:val="766FA228"/>
    <w:rsid w:val="7773FBEE"/>
    <w:rsid w:val="7DFFD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934F"/>
  <w15:chartTrackingRefBased/>
  <w15:docId w15:val="{019294AB-5FD0-4587-AED5-6D4BBE28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F4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BF4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90BF4"/>
    <w:pPr>
      <w:keepNext/>
      <w:spacing w:before="240" w:after="60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0BF4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unhideWhenUsed/>
    <w:rsid w:val="009B08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08A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link w:val="CommentTextChar"/>
    <w:unhideWhenUsed/>
    <w:rsid w:val="009B08A7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08A7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semiHidden/>
    <w:unhideWhenUsed/>
    <w:rsid w:val="009B08A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9B5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9B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660AD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660AD5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0BF4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A3B1A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5C3E00"/>
    <w:pPr>
      <w:ind w:left="720"/>
      <w:contextualSpacing/>
    </w:pPr>
  </w:style>
  <w:style w:type="table" w:styleId="TableGrid">
    <w:name w:val="Table Grid"/>
    <w:basedOn w:val="TableNormal"/>
    <w:uiPriority w:val="39"/>
    <w:rsid w:val="0099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42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5E3"/>
  </w:style>
  <w:style w:type="paragraph" w:styleId="Footer">
    <w:name w:val="footer"/>
    <w:basedOn w:val="Normal"/>
    <w:link w:val="FooterChar"/>
    <w:uiPriority w:val="99"/>
    <w:semiHidden/>
    <w:unhideWhenUsed/>
    <w:rsid w:val="00F42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25E3"/>
  </w:style>
  <w:style w:type="paragraph" w:styleId="Revision">
    <w:name w:val="Revision"/>
    <w:hidden/>
    <w:uiPriority w:val="99"/>
    <w:semiHidden/>
    <w:rsid w:val="00F7463E"/>
  </w:style>
  <w:style w:type="character" w:styleId="FollowedHyperlink">
    <w:name w:val="FollowedHyperlink"/>
    <w:basedOn w:val="DefaultParagraphFont"/>
    <w:uiPriority w:val="99"/>
    <w:semiHidden/>
    <w:unhideWhenUsed/>
    <w:rsid w:val="00526B6D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95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6C544E-8D13-4887-99A2-31D82A683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D686C-DBC6-4851-B9ED-EACA5DC25D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1DF1B9-253F-4313-B56E-61B20C4B87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C2D889-CC08-46C3-ABA5-C744F8A34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28</cp:revision>
  <dcterms:created xsi:type="dcterms:W3CDTF">2024-12-13T13:57:00Z</dcterms:created>
  <dcterms:modified xsi:type="dcterms:W3CDTF">2025-08-20T20:05:00Z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2022-10-10T15:05:55Z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17401f6e-9562-4459-9362-9e868fb24264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  <property fmtid="{D5CDD505-2E9C-101B-9397-08002B2CF9AE}" pid="10" name="CompassComposer">
    <vt:lpwstr/>
  </property>
  <property fmtid="{D5CDD505-2E9C-101B-9397-08002B2CF9AE}" pid="11" name="CurrentlyPublished">
    <vt:bool>true</vt:bool>
  </property>
  <property fmtid="{D5CDD505-2E9C-101B-9397-08002B2CF9AE}" pid="12" name="MediaServiceImageTags">
    <vt:lpwstr/>
  </property>
</Properties>
</file>