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ED49" w14:textId="4595791B" w:rsidR="003C7CA6" w:rsidRDefault="00264DAE" w:rsidP="00BE6E63">
      <w:pPr>
        <w:pStyle w:val="Heading1"/>
        <w:rPr>
          <w:noProof/>
        </w:rPr>
      </w:pPr>
      <w:bookmarkStart w:id="0" w:name="_top"/>
      <w:bookmarkStart w:id="1" w:name="_Toc461011478"/>
      <w:bookmarkStart w:id="2" w:name="_Toc469911894"/>
      <w:bookmarkStart w:id="3" w:name="_Toc516656422"/>
      <w:bookmarkStart w:id="4" w:name="_Toc522453415"/>
      <w:bookmarkStart w:id="5" w:name="_Toc10642007"/>
      <w:bookmarkStart w:id="6" w:name="_Toc74582695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072596">
        <w:rPr>
          <w:rFonts w:ascii="Verdana" w:hAnsi="Verdana"/>
          <w:color w:val="000000"/>
          <w:sz w:val="36"/>
          <w:szCs w:val="36"/>
        </w:rPr>
        <w:t>Variable Fill</w:t>
      </w:r>
      <w:bookmarkEnd w:id="1"/>
      <w:bookmarkEnd w:id="2"/>
      <w:bookmarkEnd w:id="3"/>
      <w:bookmarkEnd w:id="4"/>
      <w:bookmarkEnd w:id="5"/>
      <w:bookmarkEnd w:id="6"/>
      <w:r w:rsidR="00971B30">
        <w:fldChar w:fldCharType="begin"/>
      </w:r>
      <w:r w:rsidR="00971B30">
        <w:instrText xml:space="preserve"> TOC \o "1-3" \n \p " " \h \z \u </w:instrText>
      </w:r>
      <w:r w:rsidR="00971B30">
        <w:fldChar w:fldCharType="separate"/>
      </w:r>
    </w:p>
    <w:p w14:paraId="598CDC50" w14:textId="77777777" w:rsidR="003C7CA6" w:rsidRPr="00EF18C7" w:rsidRDefault="003C7CA6">
      <w:pPr>
        <w:pStyle w:val="TOC2"/>
        <w:rPr>
          <w:rFonts w:ascii="Calibri" w:hAnsi="Calibri"/>
          <w:noProof/>
          <w:sz w:val="22"/>
          <w:szCs w:val="22"/>
        </w:rPr>
      </w:pPr>
      <w:hyperlink w:anchor="_Toc74582696" w:history="1">
        <w:r w:rsidRPr="00881E69">
          <w:rPr>
            <w:rStyle w:val="Hyperlink"/>
            <w:noProof/>
          </w:rPr>
          <w:t>Reminders</w:t>
        </w:r>
      </w:hyperlink>
    </w:p>
    <w:p w14:paraId="0BECDE41" w14:textId="77777777" w:rsidR="003C7CA6" w:rsidRPr="00EF18C7" w:rsidRDefault="003C7CA6">
      <w:pPr>
        <w:pStyle w:val="TOC2"/>
        <w:rPr>
          <w:rFonts w:ascii="Calibri" w:hAnsi="Calibri"/>
          <w:noProof/>
          <w:sz w:val="22"/>
          <w:szCs w:val="22"/>
        </w:rPr>
      </w:pPr>
      <w:hyperlink w:anchor="_Toc74582697" w:history="1">
        <w:r w:rsidRPr="00881E69">
          <w:rPr>
            <w:rStyle w:val="Hyperlink"/>
            <w:noProof/>
          </w:rPr>
          <w:t>Variable Fill Process</w:t>
        </w:r>
      </w:hyperlink>
    </w:p>
    <w:p w14:paraId="19171A63" w14:textId="77777777" w:rsidR="003C7CA6" w:rsidRPr="00EF18C7" w:rsidRDefault="003C7CA6">
      <w:pPr>
        <w:pStyle w:val="TOC2"/>
        <w:rPr>
          <w:rFonts w:ascii="Calibri" w:hAnsi="Calibri"/>
          <w:noProof/>
          <w:sz w:val="22"/>
          <w:szCs w:val="22"/>
        </w:rPr>
      </w:pPr>
      <w:hyperlink w:anchor="_Toc74582698" w:history="1">
        <w:r w:rsidRPr="00881E69">
          <w:rPr>
            <w:rStyle w:val="Hyperlink"/>
            <w:noProof/>
          </w:rPr>
          <w:t>Resolution Time</w:t>
        </w:r>
      </w:hyperlink>
    </w:p>
    <w:p w14:paraId="265C1957" w14:textId="77777777" w:rsidR="003C7CA6" w:rsidRPr="00EF18C7" w:rsidRDefault="003C7CA6">
      <w:pPr>
        <w:pStyle w:val="TOC2"/>
        <w:rPr>
          <w:rFonts w:ascii="Calibri" w:hAnsi="Calibri"/>
          <w:noProof/>
          <w:sz w:val="22"/>
          <w:szCs w:val="22"/>
        </w:rPr>
      </w:pPr>
      <w:hyperlink w:anchor="_Toc74582699" w:history="1">
        <w:r w:rsidRPr="00881E69">
          <w:rPr>
            <w:rStyle w:val="Hyperlink"/>
            <w:noProof/>
          </w:rPr>
          <w:t>Related Documents</w:t>
        </w:r>
      </w:hyperlink>
    </w:p>
    <w:p w14:paraId="3644DC1F" w14:textId="7DC00B69" w:rsidR="003B6541" w:rsidRDefault="00971B30" w:rsidP="003C7CA6">
      <w:r>
        <w:fldChar w:fldCharType="end"/>
      </w:r>
      <w:r w:rsidR="009E09A1">
        <w:t xml:space="preserve"> </w:t>
      </w:r>
      <w:bookmarkStart w:id="7" w:name="_Overview"/>
      <w:bookmarkEnd w:id="7"/>
    </w:p>
    <w:p w14:paraId="4B82B3B4" w14:textId="77777777" w:rsidR="003A6763" w:rsidRDefault="003A6763" w:rsidP="003C7CA6"/>
    <w:p w14:paraId="0ABD6FFA" w14:textId="1AE8704B" w:rsidR="003B6541" w:rsidRDefault="003B6541" w:rsidP="003C7CA6">
      <w:pPr>
        <w:pStyle w:val="BodyTextIndent2"/>
        <w:spacing w:before="120" w:line="240" w:lineRule="auto"/>
        <w:ind w:left="0"/>
      </w:pPr>
      <w:r w:rsidRPr="003C7CA6">
        <w:rPr>
          <w:b/>
          <w:bCs/>
        </w:rPr>
        <w:t>Description:</w:t>
      </w:r>
      <w:r>
        <w:t xml:space="preserve">  </w:t>
      </w:r>
      <w:r w:rsidR="00302270">
        <w:t>I</w:t>
      </w:r>
      <w:r>
        <w:t xml:space="preserve">nformation and instructions for a Variable Fill.  </w:t>
      </w:r>
      <w:r w:rsidR="00061C6C">
        <w:t xml:space="preserve">When a member’s plan restricts the quantity of a medication, the member may be able to obtain a greater quantity via the Prior Authorization process.  If the member received a </w:t>
      </w:r>
      <w:r w:rsidR="00E940FA">
        <w:t>M</w:t>
      </w:r>
      <w:r w:rsidR="00061C6C">
        <w:t xml:space="preserve">ail </w:t>
      </w:r>
      <w:r w:rsidR="00E940FA">
        <w:t>S</w:t>
      </w:r>
      <w:r w:rsidR="00061C6C">
        <w:t>ervice order for a reduced quantity due to the plan limitation, they may be able to receive the r</w:t>
      </w:r>
      <w:r w:rsidR="0093540D">
        <w:t>emainder of the originally</w:t>
      </w:r>
      <w:r w:rsidR="00061C6C">
        <w:t xml:space="preserve"> prescribed quantity if the PA is approved.</w:t>
      </w:r>
      <w:r w:rsidR="0093540D">
        <w:t xml:space="preserve">  This remainder shipment is called a Variable Fill.</w:t>
      </w:r>
      <w:r w:rsidR="00682480">
        <w:t xml:space="preserve"> </w:t>
      </w:r>
    </w:p>
    <w:p w14:paraId="40E7EB9C" w14:textId="77777777" w:rsidR="00E940FA" w:rsidRPr="00BE6E63" w:rsidRDefault="00E940FA" w:rsidP="003C7CA6">
      <w:pPr>
        <w:pStyle w:val="BodyTextIndent2"/>
        <w:spacing w:before="120" w:line="240" w:lineRule="auto"/>
        <w:ind w:left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B6541" w:rsidRPr="00384851" w14:paraId="06E6B92F" w14:textId="77777777" w:rsidTr="00096801">
        <w:tc>
          <w:tcPr>
            <w:tcW w:w="5000" w:type="pct"/>
            <w:shd w:val="clear" w:color="auto" w:fill="C0C0C0"/>
          </w:tcPr>
          <w:p w14:paraId="207D6DB7" w14:textId="77777777" w:rsidR="003B6541" w:rsidRPr="00384851" w:rsidRDefault="003B6541" w:rsidP="003C7CA6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8" w:name="_Toc74582696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8"/>
          </w:p>
        </w:tc>
      </w:tr>
    </w:tbl>
    <w:p w14:paraId="5C5B0049" w14:textId="5D28EDBD" w:rsidR="0093540D" w:rsidRDefault="00971B30" w:rsidP="003C7CA6">
      <w:pPr>
        <w:pStyle w:val="BodyTextIndent2"/>
        <w:spacing w:before="120" w:line="240" w:lineRule="auto"/>
        <w:ind w:left="0"/>
      </w:pPr>
      <w:r w:rsidRPr="00971B30">
        <w:rPr>
          <w:b/>
        </w:rPr>
        <w:t>Example:</w:t>
      </w:r>
      <w:r>
        <w:t xml:space="preserve">  P</w:t>
      </w:r>
      <w:r w:rsidR="0093540D">
        <w:t>lan allows for once</w:t>
      </w:r>
      <w:r w:rsidR="00E940FA">
        <w:t>-</w:t>
      </w:r>
      <w:r w:rsidR="0093540D">
        <w:t>a</w:t>
      </w:r>
      <w:r w:rsidR="00E940FA">
        <w:t>-</w:t>
      </w:r>
      <w:r w:rsidR="0093540D">
        <w:t xml:space="preserve">day dosing for a certain medication </w:t>
      </w:r>
      <w:r w:rsidR="00A848A8">
        <w:t xml:space="preserve">without a PA.  </w:t>
      </w:r>
      <w:r w:rsidR="003C7CA6">
        <w:t>T</w:t>
      </w:r>
      <w:r w:rsidR="000D21A1">
        <w:t>he prescriber wri</w:t>
      </w:r>
      <w:r w:rsidR="0093540D">
        <w:t>te</w:t>
      </w:r>
      <w:r w:rsidR="000D21A1">
        <w:t>s</w:t>
      </w:r>
      <w:r w:rsidR="0093540D">
        <w:t xml:space="preserve"> a prescription for twice</w:t>
      </w:r>
      <w:r w:rsidR="00E940FA">
        <w:t>-</w:t>
      </w:r>
      <w:r w:rsidR="0093540D">
        <w:t>a</w:t>
      </w:r>
      <w:r w:rsidR="00E940FA">
        <w:t>-</w:t>
      </w:r>
      <w:r w:rsidR="0093540D">
        <w:t>day dosing</w:t>
      </w:r>
      <w:r w:rsidR="003C7CA6">
        <w:t xml:space="preserve"> for a </w:t>
      </w:r>
      <w:r w:rsidR="0093540D">
        <w:t xml:space="preserve">quantity </w:t>
      </w:r>
      <w:r w:rsidR="003C7CA6">
        <w:t xml:space="preserve">of </w:t>
      </w:r>
      <w:r w:rsidR="0093540D">
        <w:t>180 throu</w:t>
      </w:r>
      <w:r w:rsidR="000D21A1">
        <w:t xml:space="preserve">gh </w:t>
      </w:r>
      <w:r w:rsidR="003C7CA6">
        <w:t xml:space="preserve">the </w:t>
      </w:r>
      <w:r w:rsidR="000D21A1">
        <w:t>mail</w:t>
      </w:r>
      <w:r w:rsidR="003C7CA6">
        <w:t xml:space="preserve"> order pharmacy</w:t>
      </w:r>
      <w:r w:rsidR="000D21A1">
        <w:t xml:space="preserve">, but only </w:t>
      </w:r>
      <w:r w:rsidR="003C7CA6">
        <w:t xml:space="preserve">the </w:t>
      </w:r>
      <w:r w:rsidR="000D21A1">
        <w:t xml:space="preserve">quantity </w:t>
      </w:r>
      <w:r w:rsidR="003C7CA6">
        <w:t xml:space="preserve">of </w:t>
      </w:r>
      <w:r w:rsidR="000D21A1">
        <w:t>90 is</w:t>
      </w:r>
      <w:r w:rsidR="0093540D">
        <w:t xml:space="preserve"> shipped due to the limitation</w:t>
      </w:r>
      <w:r w:rsidR="00A848A8">
        <w:t>.</w:t>
      </w:r>
      <w:r w:rsidR="0093540D">
        <w:t xml:space="preserve">  The prescriber later requests a </w:t>
      </w:r>
      <w:r w:rsidR="0085518D">
        <w:t>Prior Authorization</w:t>
      </w:r>
      <w:r w:rsidR="0093540D">
        <w:t xml:space="preserve"> for the twice</w:t>
      </w:r>
      <w:r w:rsidR="0085518D">
        <w:t xml:space="preserve"> </w:t>
      </w:r>
      <w:r w:rsidR="0093540D">
        <w:t>a</w:t>
      </w:r>
      <w:r w:rsidR="0085518D">
        <w:t xml:space="preserve"> </w:t>
      </w:r>
      <w:r w:rsidR="0093540D">
        <w:t xml:space="preserve">day dosing, and the PA is approved and entered in the system.  The member </w:t>
      </w:r>
      <w:r w:rsidR="0085518D">
        <w:t>is</w:t>
      </w:r>
      <w:r w:rsidR="0093540D">
        <w:t xml:space="preserve"> eligible to receive a variable fill for the remaining quantity</w:t>
      </w:r>
      <w:r w:rsidR="00E940FA">
        <w:t xml:space="preserve"> of</w:t>
      </w:r>
      <w:r w:rsidR="0093540D">
        <w:t xml:space="preserve"> 90.</w:t>
      </w:r>
    </w:p>
    <w:p w14:paraId="2A26E3E9" w14:textId="77777777" w:rsidR="0093540D" w:rsidRDefault="0093540D" w:rsidP="003C7CA6">
      <w:pPr>
        <w:pStyle w:val="BodyTextIndent2"/>
        <w:spacing w:before="120" w:line="240" w:lineRule="auto"/>
        <w:ind w:left="0"/>
      </w:pPr>
    </w:p>
    <w:p w14:paraId="310230FF" w14:textId="6BB61284" w:rsidR="00A848A8" w:rsidRDefault="0093540D" w:rsidP="003C7CA6">
      <w:pPr>
        <w:pStyle w:val="BodyTextIndent2"/>
        <w:spacing w:before="120" w:line="240" w:lineRule="auto"/>
        <w:ind w:left="0"/>
      </w:pPr>
      <w:r>
        <w:t xml:space="preserve">Variable Fills are </w:t>
      </w:r>
      <w:r w:rsidR="00A848A8">
        <w:t xml:space="preserve">not to be confused with </w:t>
      </w:r>
      <w:r>
        <w:t xml:space="preserve">Bulk Up requests.  In Bulk Up </w:t>
      </w:r>
      <w:r w:rsidR="00A848A8">
        <w:t xml:space="preserve">situations, the doctor wrote for the wrong </w:t>
      </w:r>
      <w:proofErr w:type="spellStart"/>
      <w:r>
        <w:t>days</w:t>
      </w:r>
      <w:proofErr w:type="spellEnd"/>
      <w:r>
        <w:t xml:space="preserve"> supply (</w:t>
      </w:r>
      <w:r w:rsidR="00971B30" w:rsidRPr="00971B30">
        <w:rPr>
          <w:b/>
        </w:rPr>
        <w:t>Example:</w:t>
      </w:r>
      <w:r w:rsidR="00971B30">
        <w:t xml:space="preserve"> </w:t>
      </w:r>
      <w:r>
        <w:t>30 instead of 90)</w:t>
      </w:r>
      <w:r w:rsidR="00A848A8">
        <w:t xml:space="preserve">.  </w:t>
      </w:r>
      <w:r w:rsidR="00971B30">
        <w:t>Refer to</w:t>
      </w:r>
      <w:r w:rsidR="00813757">
        <w:t xml:space="preserve"> </w:t>
      </w:r>
      <w:hyperlink r:id="rId8" w:anchor="!/view?docid=e92bf2fd-2808-48f6-bb6d-fd22f0077735" w:history="1">
        <w:r w:rsidR="00577ECD">
          <w:rPr>
            <w:rStyle w:val="Hyperlink"/>
          </w:rPr>
          <w:t>Bulk Up Rules CCR (030449)</w:t>
        </w:r>
      </w:hyperlink>
      <w:r w:rsidR="00813757">
        <w:t xml:space="preserve">. </w:t>
      </w:r>
      <w:r w:rsidR="00A848A8">
        <w:t xml:space="preserve">With a </w:t>
      </w:r>
      <w:r>
        <w:t>V</w:t>
      </w:r>
      <w:r w:rsidR="00A848A8">
        <w:t xml:space="preserve">ariable </w:t>
      </w:r>
      <w:r>
        <w:t>F</w:t>
      </w:r>
      <w:r w:rsidR="00A848A8">
        <w:t>ill, the plan limitations are what restrict the quantity that can be dispensed.</w:t>
      </w:r>
      <w:r w:rsidR="00813757">
        <w:t xml:space="preserve"> </w:t>
      </w:r>
      <w:r w:rsidR="009E09A1">
        <w:rPr>
          <w:noProof/>
        </w:rPr>
        <w:t xml:space="preserve"> </w:t>
      </w:r>
    </w:p>
    <w:p w14:paraId="3C1E67D3" w14:textId="77777777" w:rsidR="0093540D" w:rsidRPr="00AA01AD" w:rsidRDefault="0093540D" w:rsidP="00176400">
      <w:pPr>
        <w:pStyle w:val="BodyTextIndent2"/>
        <w:spacing w:after="0" w:line="240" w:lineRule="auto"/>
        <w:ind w:left="0"/>
        <w:rPr>
          <w:color w:val="000000"/>
        </w:rPr>
      </w:pPr>
    </w:p>
    <w:p w14:paraId="7581E48A" w14:textId="77777777" w:rsidR="009048EA" w:rsidRPr="00AA01AD" w:rsidRDefault="0093540D" w:rsidP="0093540D">
      <w:pPr>
        <w:pStyle w:val="BodyTextIndent2"/>
        <w:spacing w:after="0" w:line="240" w:lineRule="auto"/>
        <w:ind w:left="0"/>
        <w:rPr>
          <w:color w:val="000000"/>
        </w:rPr>
      </w:pPr>
      <w:r w:rsidRPr="00AA01AD">
        <w:rPr>
          <w:b/>
          <w:color w:val="000000"/>
        </w:rPr>
        <w:t>Note</w:t>
      </w:r>
      <w:r w:rsidR="00971B30">
        <w:rPr>
          <w:b/>
          <w:color w:val="000000"/>
        </w:rPr>
        <w:t>s</w:t>
      </w:r>
      <w:r w:rsidRPr="00AA01AD">
        <w:rPr>
          <w:b/>
          <w:color w:val="000000"/>
        </w:rPr>
        <w:t>:</w:t>
      </w:r>
      <w:r w:rsidRPr="00AA01AD">
        <w:rPr>
          <w:color w:val="000000"/>
        </w:rPr>
        <w:t xml:space="preserve">  </w:t>
      </w:r>
      <w:r w:rsidR="005E1DC2">
        <w:rPr>
          <w:noProof/>
        </w:rPr>
        <w:t xml:space="preserve"> </w:t>
      </w:r>
    </w:p>
    <w:p w14:paraId="132968A3" w14:textId="77777777" w:rsidR="0093540D" w:rsidRPr="00AA01AD" w:rsidRDefault="0093540D" w:rsidP="009048EA">
      <w:pPr>
        <w:pStyle w:val="BodyTextIndent2"/>
        <w:numPr>
          <w:ilvl w:val="0"/>
          <w:numId w:val="5"/>
        </w:numPr>
        <w:spacing w:after="0" w:line="240" w:lineRule="auto"/>
        <w:rPr>
          <w:color w:val="000000"/>
        </w:rPr>
      </w:pPr>
      <w:r w:rsidRPr="00AA01AD">
        <w:rPr>
          <w:color w:val="000000"/>
        </w:rPr>
        <w:t xml:space="preserve">Quantity limitations and prior authorizations are </w:t>
      </w:r>
      <w:proofErr w:type="gramStart"/>
      <w:r w:rsidRPr="00AA01AD">
        <w:rPr>
          <w:color w:val="000000"/>
        </w:rPr>
        <w:t>client-specific</w:t>
      </w:r>
      <w:proofErr w:type="gramEnd"/>
      <w:r w:rsidRPr="00AA01AD">
        <w:rPr>
          <w:color w:val="000000"/>
        </w:rPr>
        <w:t xml:space="preserve">.  </w:t>
      </w:r>
      <w:r w:rsidR="00971B30">
        <w:rPr>
          <w:color w:val="000000"/>
        </w:rPr>
        <w:t>R</w:t>
      </w:r>
      <w:r w:rsidRPr="00AA01AD">
        <w:rPr>
          <w:color w:val="000000"/>
        </w:rPr>
        <w:t xml:space="preserve">efer to the CIF and Plan Summary for details on </w:t>
      </w:r>
      <w:proofErr w:type="gramStart"/>
      <w:r w:rsidRPr="00AA01AD">
        <w:rPr>
          <w:color w:val="000000"/>
        </w:rPr>
        <w:t>whether or not</w:t>
      </w:r>
      <w:proofErr w:type="gramEnd"/>
      <w:r w:rsidRPr="00AA01AD">
        <w:rPr>
          <w:color w:val="000000"/>
        </w:rPr>
        <w:t xml:space="preserve"> a PA for quantity limits can be requested.</w:t>
      </w:r>
    </w:p>
    <w:p w14:paraId="369FFB46" w14:textId="77777777" w:rsidR="0024683E" w:rsidRPr="0024683E" w:rsidRDefault="009048EA" w:rsidP="0024683E">
      <w:pPr>
        <w:pStyle w:val="BodyTextIndent2"/>
        <w:numPr>
          <w:ilvl w:val="0"/>
          <w:numId w:val="5"/>
        </w:numPr>
        <w:spacing w:after="0" w:line="240" w:lineRule="auto"/>
        <w:rPr>
          <w:color w:val="000000"/>
        </w:rPr>
      </w:pPr>
      <w:r w:rsidRPr="00AA01AD">
        <w:rPr>
          <w:color w:val="000000"/>
        </w:rPr>
        <w:t xml:space="preserve">Variable fills cannot be done for </w:t>
      </w:r>
      <w:r w:rsidR="00971B30">
        <w:rPr>
          <w:color w:val="000000"/>
        </w:rPr>
        <w:t>C</w:t>
      </w:r>
      <w:r w:rsidRPr="00AA01AD">
        <w:rPr>
          <w:color w:val="000000"/>
        </w:rPr>
        <w:t xml:space="preserve">ontrolled </w:t>
      </w:r>
      <w:r w:rsidR="00971B30">
        <w:rPr>
          <w:color w:val="000000"/>
        </w:rPr>
        <w:t>S</w:t>
      </w:r>
      <w:r w:rsidRPr="00AA01AD">
        <w:rPr>
          <w:color w:val="000000"/>
        </w:rPr>
        <w:t>ubstances.</w:t>
      </w:r>
    </w:p>
    <w:p w14:paraId="32777FE7" w14:textId="77777777" w:rsidR="00D66BC6" w:rsidRDefault="0024683E" w:rsidP="00D66BC6">
      <w:pPr>
        <w:pStyle w:val="BodyTextIndent2"/>
        <w:numPr>
          <w:ilvl w:val="0"/>
          <w:numId w:val="5"/>
        </w:numPr>
        <w:spacing w:after="0" w:line="240" w:lineRule="auto"/>
      </w:pPr>
      <w:r w:rsidRPr="0024683E">
        <w:t xml:space="preserve">Variable fills </w:t>
      </w:r>
      <w:r w:rsidR="00F55ECB">
        <w:t>can be requested within 90 days of the or</w:t>
      </w:r>
      <w:r w:rsidR="00D66BC6">
        <w:t>i</w:t>
      </w:r>
      <w:r w:rsidR="00F55ECB">
        <w:t>ginal ship date</w:t>
      </w:r>
      <w:r w:rsidRPr="0024683E">
        <w:t xml:space="preserve"> (120 days for NY).</w:t>
      </w:r>
      <w:r w:rsidR="0085518D">
        <w:t xml:space="preserve"> </w:t>
      </w:r>
    </w:p>
    <w:p w14:paraId="2D7281BB" w14:textId="77777777" w:rsidR="0085518D" w:rsidRDefault="0085518D" w:rsidP="0085518D">
      <w:pPr>
        <w:pStyle w:val="BodyTextIndent2"/>
        <w:spacing w:after="0" w:line="240" w:lineRule="auto"/>
        <w:rPr>
          <w:b/>
        </w:rPr>
      </w:pPr>
    </w:p>
    <w:p w14:paraId="1CE7C159" w14:textId="63694882" w:rsidR="00F55ECB" w:rsidRDefault="00E2148D" w:rsidP="0085518D">
      <w:pPr>
        <w:pStyle w:val="BodyTextIndent2"/>
        <w:spacing w:after="0" w:line="240" w:lineRule="auto"/>
      </w:pPr>
      <w:r>
        <w:rPr>
          <w:b/>
          <w:noProof/>
        </w:rPr>
        <w:drawing>
          <wp:inline distT="0" distB="0" distL="0" distR="0" wp14:anchorId="062DE918" wp14:editId="7C0B953D">
            <wp:extent cx="236220" cy="21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541">
        <w:rPr>
          <w:b/>
        </w:rPr>
        <w:t xml:space="preserve"> </w:t>
      </w:r>
      <w:r w:rsidR="00D66BC6">
        <w:t>T</w:t>
      </w:r>
      <w:r w:rsidR="00682480">
        <w:t xml:space="preserve">he PA </w:t>
      </w:r>
      <w:r w:rsidR="003C7CA6">
        <w:t>needs</w:t>
      </w:r>
      <w:r w:rsidR="00682480">
        <w:t xml:space="preserve"> to be in effect on the day </w:t>
      </w:r>
      <w:r w:rsidR="00D66BC6">
        <w:t>the request is submitted.</w:t>
      </w:r>
      <w:r w:rsidR="00F55ECB">
        <w:t xml:space="preserve">  </w:t>
      </w:r>
    </w:p>
    <w:p w14:paraId="01F121B7" w14:textId="77777777" w:rsidR="00692F9C" w:rsidRDefault="00692F9C" w:rsidP="00692F9C">
      <w:pPr>
        <w:pStyle w:val="BodyTextIndent2"/>
        <w:spacing w:after="0" w:line="240" w:lineRule="auto"/>
      </w:pPr>
    </w:p>
    <w:p w14:paraId="1AA72DAB" w14:textId="24070418" w:rsidR="00D66BC6" w:rsidRDefault="00E2148D" w:rsidP="00692F9C">
      <w:pPr>
        <w:pStyle w:val="BodyTextIndent2"/>
        <w:spacing w:after="0" w:line="240" w:lineRule="auto"/>
      </w:pPr>
      <w:r>
        <w:rPr>
          <w:noProof/>
        </w:rPr>
        <w:drawing>
          <wp:inline distT="0" distB="0" distL="0" distR="0" wp14:anchorId="2A53ED60" wp14:editId="25F96F0D">
            <wp:extent cx="236220" cy="21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541">
        <w:t xml:space="preserve"> </w:t>
      </w:r>
      <w:r w:rsidR="00F55ECB">
        <w:t xml:space="preserve">In the event </w:t>
      </w:r>
      <w:r w:rsidR="00D66BC6">
        <w:t>of a</w:t>
      </w:r>
      <w:r w:rsidR="00F55ECB">
        <w:t xml:space="preserve"> PA </w:t>
      </w:r>
      <w:r w:rsidR="00D66BC6">
        <w:t>for</w:t>
      </w:r>
      <w:r w:rsidR="00F55ECB">
        <w:t xml:space="preserve"> Q</w:t>
      </w:r>
      <w:r w:rsidR="00E940FA">
        <w:t>uantity Versus Tim</w:t>
      </w:r>
      <w:r w:rsidR="00592C93">
        <w:t>e</w:t>
      </w:r>
      <w:r w:rsidR="00E940FA">
        <w:t xml:space="preserve"> (Q</w:t>
      </w:r>
      <w:r w:rsidR="00F55ECB">
        <w:t>VT</w:t>
      </w:r>
      <w:r w:rsidR="00E940FA">
        <w:t>)</w:t>
      </w:r>
      <w:r w:rsidR="00D66BC6">
        <w:t>, the member need</w:t>
      </w:r>
      <w:r w:rsidR="0085518D">
        <w:t>s</w:t>
      </w:r>
      <w:r w:rsidR="00D66BC6">
        <w:t xml:space="preserve"> to </w:t>
      </w:r>
      <w:proofErr w:type="gramStart"/>
      <w:r w:rsidR="00D66BC6">
        <w:t>wait</w:t>
      </w:r>
      <w:proofErr w:type="gramEnd"/>
      <w:r w:rsidR="00D66BC6">
        <w:t xml:space="preserve"> the </w:t>
      </w:r>
      <w:proofErr w:type="gramStart"/>
      <w:r w:rsidR="00D66BC6">
        <w:t>full time</w:t>
      </w:r>
      <w:proofErr w:type="gramEnd"/>
      <w:r w:rsidR="00D66BC6">
        <w:t xml:space="preserve"> limit to receive their full quantity unless the plan allows for a QVT Exception PBO.</w:t>
      </w:r>
      <w:r w:rsidR="00E940FA">
        <w:t xml:space="preserve"> Refer to </w:t>
      </w:r>
      <w:hyperlink r:id="rId10" w:anchor="!/view?docid=81832d97-2dbd-48dc-b545-8a413e55450d" w:history="1">
        <w:r w:rsidR="00FC6B26">
          <w:rPr>
            <w:rStyle w:val="Hyperlink"/>
          </w:rPr>
          <w:t>Quantity Versus Time (QVT) (021696)</w:t>
        </w:r>
      </w:hyperlink>
      <w:r w:rsidR="00E940FA">
        <w:t>.</w:t>
      </w:r>
      <w:r w:rsidR="003A6763">
        <w:t xml:space="preserve"> </w:t>
      </w:r>
    </w:p>
    <w:p w14:paraId="1A8FB7D7" w14:textId="77777777" w:rsidR="0029089D" w:rsidRDefault="0029089D" w:rsidP="00692F9C">
      <w:pPr>
        <w:pStyle w:val="BodyTextIndent2"/>
        <w:spacing w:after="0" w:line="240" w:lineRule="auto"/>
      </w:pPr>
    </w:p>
    <w:p w14:paraId="168C7EDC" w14:textId="7C08248D" w:rsidR="0029089D" w:rsidRDefault="00E2148D" w:rsidP="00692F9C">
      <w:pPr>
        <w:pStyle w:val="BodyTextIndent2"/>
        <w:spacing w:after="0" w:line="240" w:lineRule="auto"/>
      </w:pPr>
      <w:r>
        <w:rPr>
          <w:b/>
          <w:bCs/>
          <w:noProof/>
        </w:rPr>
        <w:drawing>
          <wp:inline distT="0" distB="0" distL="0" distR="0" wp14:anchorId="70C6436E" wp14:editId="4C7D3FDF">
            <wp:extent cx="236220" cy="213360"/>
            <wp:effectExtent l="0" t="0" r="0" b="0"/>
            <wp:docPr id="3" name="Picture 3" descr="Icon - Important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 - Important Information"/>
                    <pic:cNvPicPr>
                      <a:picLocks noChangeAspect="1" noChangeArrowheads="1"/>
                    </pic:cNvPicPr>
                  </pic:nvPicPr>
                  <pic:blipFill>
                    <a:blip r:embed="rId9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541">
        <w:rPr>
          <w:b/>
          <w:bCs/>
        </w:rPr>
        <w:t xml:space="preserve"> </w:t>
      </w:r>
      <w:r w:rsidR="0029089D">
        <w:rPr>
          <w:color w:val="000000"/>
        </w:rPr>
        <w:t xml:space="preserve">Variable Fills are not permitted for </w:t>
      </w:r>
      <w:r w:rsidR="003B6541">
        <w:rPr>
          <w:color w:val="000000"/>
        </w:rPr>
        <w:t xml:space="preserve">any </w:t>
      </w:r>
      <w:r w:rsidR="0029089D">
        <w:rPr>
          <w:color w:val="000000"/>
        </w:rPr>
        <w:t>Med D</w:t>
      </w:r>
      <w:r w:rsidR="0029089D">
        <w:t xml:space="preserve"> clients.</w:t>
      </w:r>
      <w:r w:rsidR="002262B4">
        <w:t xml:space="preserve"> </w:t>
      </w:r>
      <w:r w:rsidR="00290084">
        <w:t xml:space="preserve"> </w:t>
      </w:r>
    </w:p>
    <w:p w14:paraId="26EB89E7" w14:textId="77777777" w:rsidR="00312690" w:rsidRDefault="009E09A1" w:rsidP="005A64DA">
      <w:pPr>
        <w:jc w:val="right"/>
      </w:pPr>
      <w:r>
        <w:t xml:space="preserve"> </w:t>
      </w:r>
    </w:p>
    <w:bookmarkStart w:id="9" w:name="_Various_Work_Instructions"/>
    <w:bookmarkStart w:id="10" w:name="_PAR_Process_after_a_FRX_/_FRC_confl"/>
    <w:bookmarkStart w:id="11" w:name="_Next_Day_and"/>
    <w:bookmarkStart w:id="12" w:name="_Scanning_the_Targets"/>
    <w:bookmarkStart w:id="13" w:name="_LAN_Log_In"/>
    <w:bookmarkStart w:id="14" w:name="_AMOS_Log_In"/>
    <w:bookmarkStart w:id="15" w:name="_Search_by_Order#"/>
    <w:bookmarkStart w:id="16" w:name="_Check_Look_Up"/>
    <w:bookmarkEnd w:id="9"/>
    <w:bookmarkEnd w:id="10"/>
    <w:bookmarkEnd w:id="11"/>
    <w:bookmarkEnd w:id="12"/>
    <w:bookmarkEnd w:id="13"/>
    <w:bookmarkEnd w:id="14"/>
    <w:bookmarkEnd w:id="15"/>
    <w:bookmarkEnd w:id="16"/>
    <w:p w14:paraId="35161D70" w14:textId="3355C913" w:rsidR="005A64DA" w:rsidRDefault="00991B26" w:rsidP="005A64DA">
      <w:pPr>
        <w:jc w:val="right"/>
      </w:pPr>
      <w:r>
        <w:fldChar w:fldCharType="begin"/>
      </w:r>
      <w:r>
        <w:instrText xml:space="preserve"> HYPERLINK  \l "_top" </w:instrText>
      </w:r>
      <w:r>
        <w:fldChar w:fldCharType="separate"/>
      </w:r>
      <w:r w:rsidR="00862C4C" w:rsidRPr="00991B26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384851" w14:paraId="7EEA94E5" w14:textId="77777777" w:rsidTr="00384851">
        <w:tc>
          <w:tcPr>
            <w:tcW w:w="5000" w:type="pct"/>
            <w:shd w:val="clear" w:color="auto" w:fill="C0C0C0"/>
          </w:tcPr>
          <w:p w14:paraId="2C742635" w14:textId="77777777" w:rsidR="005A64DA" w:rsidRPr="00384851" w:rsidRDefault="00061C6C" w:rsidP="003C7CA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Process_for_Handling"/>
            <w:bookmarkStart w:id="18" w:name="_Variable_Fill_Process"/>
            <w:bookmarkStart w:id="19" w:name="_Toc74582697"/>
            <w:bookmarkEnd w:id="17"/>
            <w:bookmarkEnd w:id="18"/>
            <w:r>
              <w:rPr>
                <w:rFonts w:ascii="Verdana" w:hAnsi="Verdana"/>
                <w:i w:val="0"/>
                <w:iCs w:val="0"/>
              </w:rPr>
              <w:t>Variable Fill Process</w:t>
            </w:r>
            <w:bookmarkEnd w:id="19"/>
          </w:p>
        </w:tc>
      </w:tr>
    </w:tbl>
    <w:p w14:paraId="085F06A3" w14:textId="72EA2008" w:rsidR="005A64DA" w:rsidRPr="00176400" w:rsidRDefault="00176400" w:rsidP="003C7CA6">
      <w:pPr>
        <w:spacing w:before="120" w:after="120"/>
      </w:pPr>
      <w: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1"/>
        <w:gridCol w:w="1904"/>
        <w:gridCol w:w="1505"/>
        <w:gridCol w:w="8420"/>
      </w:tblGrid>
      <w:tr w:rsidR="005A64DA" w:rsidRPr="00384851" w14:paraId="79D1AA68" w14:textId="77777777" w:rsidTr="00AD3E26">
        <w:tc>
          <w:tcPr>
            <w:tcW w:w="433" w:type="pct"/>
            <w:shd w:val="clear" w:color="auto" w:fill="E6E6E6"/>
          </w:tcPr>
          <w:p w14:paraId="408E4EFE" w14:textId="77777777" w:rsidR="005A64DA" w:rsidRPr="00384851" w:rsidRDefault="005A64DA" w:rsidP="003C7CA6">
            <w:pPr>
              <w:spacing w:before="120" w:after="120"/>
              <w:jc w:val="center"/>
              <w:rPr>
                <w:b/>
              </w:rPr>
            </w:pPr>
            <w:r w:rsidRPr="00384851">
              <w:rPr>
                <w:b/>
              </w:rPr>
              <w:t>Step</w:t>
            </w:r>
          </w:p>
        </w:tc>
        <w:tc>
          <w:tcPr>
            <w:tcW w:w="4567" w:type="pct"/>
            <w:gridSpan w:val="3"/>
            <w:shd w:val="clear" w:color="auto" w:fill="E6E6E6"/>
          </w:tcPr>
          <w:p w14:paraId="2E792D75" w14:textId="77777777" w:rsidR="005A64DA" w:rsidRPr="00384851" w:rsidRDefault="005A64DA" w:rsidP="003C7CA6">
            <w:pPr>
              <w:spacing w:before="120" w:after="120"/>
              <w:jc w:val="center"/>
              <w:rPr>
                <w:b/>
              </w:rPr>
            </w:pPr>
            <w:r w:rsidRPr="00384851">
              <w:rPr>
                <w:b/>
              </w:rPr>
              <w:t xml:space="preserve">Action </w:t>
            </w:r>
          </w:p>
        </w:tc>
      </w:tr>
      <w:tr w:rsidR="00A848A8" w:rsidRPr="00384851" w14:paraId="73F36817" w14:textId="77777777" w:rsidTr="00AD3E26">
        <w:tc>
          <w:tcPr>
            <w:tcW w:w="433" w:type="pct"/>
            <w:vMerge w:val="restart"/>
          </w:tcPr>
          <w:p w14:paraId="7B834DDD" w14:textId="77777777" w:rsidR="00A848A8" w:rsidRDefault="00BE6E63" w:rsidP="003C7C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67" w:type="pct"/>
            <w:gridSpan w:val="3"/>
            <w:tcBorders>
              <w:bottom w:val="single" w:sz="4" w:space="0" w:color="auto"/>
            </w:tcBorders>
          </w:tcPr>
          <w:p w14:paraId="774F21AD" w14:textId="5A3A293C" w:rsidR="00A848A8" w:rsidRDefault="00A848A8" w:rsidP="003C7CA6">
            <w:pPr>
              <w:spacing w:before="120" w:after="120"/>
            </w:pPr>
            <w:r w:rsidRPr="00A848A8">
              <w:t xml:space="preserve">Check the original order to </w:t>
            </w:r>
            <w:r>
              <w:t xml:space="preserve">ensure that the reason the quantity was reduced is </w:t>
            </w:r>
            <w:r w:rsidR="00E940FA">
              <w:t xml:space="preserve">that </w:t>
            </w:r>
            <w:r>
              <w:t xml:space="preserve">the medication required </w:t>
            </w:r>
            <w:r w:rsidR="00971B30">
              <w:t>P</w:t>
            </w:r>
            <w:r>
              <w:t xml:space="preserve">rior </w:t>
            </w:r>
            <w:r w:rsidR="00971B30">
              <w:t>A</w:t>
            </w:r>
            <w:r>
              <w:t>uthorization, but there was no PA on file at the time of dispensing.</w:t>
            </w:r>
          </w:p>
          <w:p w14:paraId="31CBD692" w14:textId="77777777" w:rsidR="00A848A8" w:rsidRPr="00A848A8" w:rsidRDefault="00A848A8" w:rsidP="003C7CA6">
            <w:pPr>
              <w:spacing w:before="120" w:after="120"/>
            </w:pPr>
            <w:r w:rsidRPr="004A7A9A">
              <w:rPr>
                <w:b/>
              </w:rPr>
              <w:t>Ex</w:t>
            </w:r>
            <w:r w:rsidR="00971B30">
              <w:rPr>
                <w:b/>
              </w:rPr>
              <w:t>ample:</w:t>
            </w:r>
            <w:r>
              <w:t xml:space="preserve"> </w:t>
            </w:r>
            <w:r w:rsidR="004A7A9A">
              <w:t xml:space="preserve"> </w:t>
            </w:r>
            <w:r>
              <w:t>Plan allows quantity of 30, but prescription was written for 90 and reduced to 30.</w:t>
            </w:r>
          </w:p>
        </w:tc>
      </w:tr>
      <w:tr w:rsidR="00A848A8" w:rsidRPr="00384851" w14:paraId="742CE683" w14:textId="77777777" w:rsidTr="00AD3E26">
        <w:trPr>
          <w:trHeight w:val="90"/>
        </w:trPr>
        <w:tc>
          <w:tcPr>
            <w:tcW w:w="433" w:type="pct"/>
            <w:vMerge/>
          </w:tcPr>
          <w:p w14:paraId="5BED3E61" w14:textId="77777777" w:rsidR="00A848A8" w:rsidRDefault="00A848A8" w:rsidP="003C7CA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35" w:type="pct"/>
            <w:shd w:val="clear" w:color="auto" w:fill="E6E6E6"/>
          </w:tcPr>
          <w:p w14:paraId="377EEB2D" w14:textId="77777777" w:rsidR="00A848A8" w:rsidRPr="00A848A8" w:rsidRDefault="00A848A8" w:rsidP="003C7CA6">
            <w:pPr>
              <w:spacing w:before="120" w:after="120"/>
              <w:jc w:val="center"/>
              <w:rPr>
                <w:b/>
              </w:rPr>
            </w:pPr>
            <w:r w:rsidRPr="00A848A8">
              <w:rPr>
                <w:b/>
              </w:rPr>
              <w:t>If…</w:t>
            </w:r>
          </w:p>
        </w:tc>
        <w:tc>
          <w:tcPr>
            <w:tcW w:w="3832" w:type="pct"/>
            <w:gridSpan w:val="2"/>
            <w:shd w:val="clear" w:color="auto" w:fill="E6E6E6"/>
          </w:tcPr>
          <w:p w14:paraId="1B10F252" w14:textId="77777777" w:rsidR="00A848A8" w:rsidRPr="00A848A8" w:rsidRDefault="00A848A8" w:rsidP="003C7CA6">
            <w:pPr>
              <w:spacing w:before="120" w:after="120"/>
              <w:jc w:val="center"/>
              <w:rPr>
                <w:b/>
              </w:rPr>
            </w:pPr>
            <w:r w:rsidRPr="00A848A8">
              <w:rPr>
                <w:b/>
              </w:rPr>
              <w:t>Then…</w:t>
            </w:r>
          </w:p>
        </w:tc>
      </w:tr>
      <w:tr w:rsidR="00A848A8" w:rsidRPr="00384851" w14:paraId="3243EF65" w14:textId="77777777" w:rsidTr="00AD3E26">
        <w:trPr>
          <w:trHeight w:val="90"/>
        </w:trPr>
        <w:tc>
          <w:tcPr>
            <w:tcW w:w="433" w:type="pct"/>
            <w:vMerge/>
          </w:tcPr>
          <w:p w14:paraId="79942EAA" w14:textId="77777777" w:rsidR="00A848A8" w:rsidRDefault="00A848A8" w:rsidP="003C7CA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35" w:type="pct"/>
          </w:tcPr>
          <w:p w14:paraId="44CF325C" w14:textId="77777777" w:rsidR="00A848A8" w:rsidRPr="00A848A8" w:rsidRDefault="00A848A8" w:rsidP="003C7CA6">
            <w:pPr>
              <w:spacing w:before="120" w:after="120"/>
            </w:pPr>
            <w:r>
              <w:t>Yes</w:t>
            </w:r>
          </w:p>
        </w:tc>
        <w:tc>
          <w:tcPr>
            <w:tcW w:w="3832" w:type="pct"/>
            <w:gridSpan w:val="2"/>
          </w:tcPr>
          <w:p w14:paraId="5BCBBDF9" w14:textId="77777777" w:rsidR="00A848A8" w:rsidRPr="00A848A8" w:rsidRDefault="00491A79" w:rsidP="003C7CA6">
            <w:pPr>
              <w:spacing w:before="120" w:after="120"/>
            </w:pPr>
            <w:r>
              <w:t>Proceed to Step 2</w:t>
            </w:r>
            <w:r w:rsidR="00A848A8">
              <w:t>.</w:t>
            </w:r>
          </w:p>
        </w:tc>
      </w:tr>
      <w:tr w:rsidR="00A848A8" w:rsidRPr="00384851" w14:paraId="58D2DF1E" w14:textId="77777777" w:rsidTr="00AD3E26">
        <w:trPr>
          <w:trHeight w:val="90"/>
        </w:trPr>
        <w:tc>
          <w:tcPr>
            <w:tcW w:w="433" w:type="pct"/>
            <w:vMerge/>
          </w:tcPr>
          <w:p w14:paraId="7343CBC8" w14:textId="77777777" w:rsidR="00A848A8" w:rsidRDefault="00A848A8" w:rsidP="003C7CA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35" w:type="pct"/>
          </w:tcPr>
          <w:p w14:paraId="0AEDAC8C" w14:textId="77777777" w:rsidR="00A848A8" w:rsidRPr="00A848A8" w:rsidRDefault="00A848A8" w:rsidP="003C7CA6">
            <w:pPr>
              <w:spacing w:before="120" w:after="120"/>
            </w:pPr>
            <w:r>
              <w:t>No</w:t>
            </w:r>
          </w:p>
        </w:tc>
        <w:tc>
          <w:tcPr>
            <w:tcW w:w="3832" w:type="pct"/>
            <w:gridSpan w:val="2"/>
          </w:tcPr>
          <w:p w14:paraId="5B01381F" w14:textId="39BB3DFF" w:rsidR="00A848A8" w:rsidRPr="00A848A8" w:rsidRDefault="00BC02D7" w:rsidP="003C7CA6">
            <w:pPr>
              <w:spacing w:before="120" w:after="120"/>
            </w:pPr>
            <w:r w:rsidRPr="00983A30">
              <w:t xml:space="preserve">Refer to </w:t>
            </w:r>
            <w:hyperlink r:id="rId12" w:anchor="!/view?docid=e92bf2fd-2808-48f6-bb6d-fd22f0077735" w:history="1">
              <w:r w:rsidR="00577ECD">
                <w:rPr>
                  <w:rStyle w:val="Hyperlink"/>
                </w:rPr>
                <w:t>Bulk Up Rules CCR (030449)</w:t>
              </w:r>
            </w:hyperlink>
            <w:r w:rsidR="00983A30">
              <w:t xml:space="preserve"> </w:t>
            </w:r>
            <w:r w:rsidRPr="00983A30">
              <w:t>to determine if the member is eligible for a bulk up.</w:t>
            </w:r>
          </w:p>
        </w:tc>
      </w:tr>
      <w:tr w:rsidR="00A71246" w:rsidRPr="00384851" w14:paraId="2DAB44CE" w14:textId="77777777" w:rsidTr="00AD3E26">
        <w:tc>
          <w:tcPr>
            <w:tcW w:w="433" w:type="pct"/>
            <w:vMerge w:val="restart"/>
          </w:tcPr>
          <w:p w14:paraId="2CC66448" w14:textId="77777777" w:rsidR="00A71246" w:rsidRDefault="00BE6E63" w:rsidP="003C7C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67" w:type="pct"/>
            <w:gridSpan w:val="3"/>
            <w:tcBorders>
              <w:bottom w:val="single" w:sz="4" w:space="0" w:color="auto"/>
            </w:tcBorders>
          </w:tcPr>
          <w:p w14:paraId="5201E497" w14:textId="77777777" w:rsidR="00A71246" w:rsidRPr="00A848A8" w:rsidRDefault="0085518D" w:rsidP="003C7CA6">
            <w:pPr>
              <w:spacing w:before="120" w:after="120"/>
            </w:pPr>
            <w:r>
              <w:t>Review</w:t>
            </w:r>
            <w:r w:rsidR="00A71246">
              <w:t xml:space="preserve"> the </w:t>
            </w:r>
            <w:r w:rsidR="00A71246" w:rsidRPr="00592C93">
              <w:rPr>
                <w:b/>
              </w:rPr>
              <w:t>Plan Benefit Override</w:t>
            </w:r>
            <w:r w:rsidR="00A71246">
              <w:t xml:space="preserve"> screen for the member in question to ensure the PA has been entered.</w:t>
            </w:r>
            <w:r w:rsidR="003C7CA6">
              <w:t xml:space="preserve"> </w:t>
            </w:r>
          </w:p>
        </w:tc>
      </w:tr>
      <w:tr w:rsidR="00A71246" w:rsidRPr="00384851" w14:paraId="4A2A1F4F" w14:textId="77777777" w:rsidTr="00AD3E26">
        <w:trPr>
          <w:trHeight w:val="90"/>
        </w:trPr>
        <w:tc>
          <w:tcPr>
            <w:tcW w:w="433" w:type="pct"/>
            <w:vMerge/>
          </w:tcPr>
          <w:p w14:paraId="1E7B6569" w14:textId="77777777" w:rsidR="00A71246" w:rsidRDefault="00A71246" w:rsidP="003C7CA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35" w:type="pct"/>
            <w:shd w:val="clear" w:color="auto" w:fill="E6E6E6"/>
          </w:tcPr>
          <w:p w14:paraId="7EEE2710" w14:textId="77777777" w:rsidR="00A71246" w:rsidRPr="00A71246" w:rsidRDefault="00A71246" w:rsidP="003C7CA6">
            <w:pPr>
              <w:spacing w:before="120" w:after="120"/>
              <w:jc w:val="center"/>
              <w:rPr>
                <w:b/>
              </w:rPr>
            </w:pPr>
            <w:r w:rsidRPr="00A71246">
              <w:rPr>
                <w:b/>
              </w:rPr>
              <w:t xml:space="preserve">If </w:t>
            </w:r>
            <w:r>
              <w:rPr>
                <w:b/>
              </w:rPr>
              <w:t xml:space="preserve">the </w:t>
            </w:r>
            <w:r w:rsidRPr="00A71246">
              <w:rPr>
                <w:b/>
              </w:rPr>
              <w:t>PBO</w:t>
            </w:r>
            <w:r w:rsidR="00971B30">
              <w:rPr>
                <w:b/>
              </w:rPr>
              <w:t xml:space="preserve"> has</w:t>
            </w:r>
            <w:r w:rsidRPr="00A71246">
              <w:rPr>
                <w:b/>
              </w:rPr>
              <w:t>…</w:t>
            </w:r>
          </w:p>
        </w:tc>
        <w:tc>
          <w:tcPr>
            <w:tcW w:w="3832" w:type="pct"/>
            <w:gridSpan w:val="2"/>
            <w:shd w:val="clear" w:color="auto" w:fill="E6E6E6"/>
          </w:tcPr>
          <w:p w14:paraId="115D7A51" w14:textId="77777777" w:rsidR="00A71246" w:rsidRPr="00A71246" w:rsidRDefault="00A71246" w:rsidP="003C7CA6">
            <w:pPr>
              <w:spacing w:before="120" w:after="120"/>
              <w:jc w:val="center"/>
              <w:rPr>
                <w:b/>
              </w:rPr>
            </w:pPr>
            <w:r w:rsidRPr="00A71246">
              <w:rPr>
                <w:b/>
              </w:rPr>
              <w:t>Then…</w:t>
            </w:r>
          </w:p>
        </w:tc>
      </w:tr>
      <w:tr w:rsidR="00A71246" w:rsidRPr="00384851" w14:paraId="0B28F50F" w14:textId="77777777" w:rsidTr="00AD3E26">
        <w:trPr>
          <w:trHeight w:val="90"/>
        </w:trPr>
        <w:tc>
          <w:tcPr>
            <w:tcW w:w="433" w:type="pct"/>
            <w:vMerge/>
          </w:tcPr>
          <w:p w14:paraId="4D000825" w14:textId="77777777" w:rsidR="00A71246" w:rsidRDefault="00A71246" w:rsidP="003C7CA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35" w:type="pct"/>
          </w:tcPr>
          <w:p w14:paraId="1545433E" w14:textId="77777777" w:rsidR="00A71246" w:rsidRDefault="00971B30" w:rsidP="003C7CA6">
            <w:pPr>
              <w:spacing w:before="120" w:after="120"/>
            </w:pPr>
            <w:r>
              <w:t>B</w:t>
            </w:r>
            <w:r w:rsidR="00A71246">
              <w:t>een entered</w:t>
            </w:r>
          </w:p>
        </w:tc>
        <w:tc>
          <w:tcPr>
            <w:tcW w:w="3832" w:type="pct"/>
            <w:gridSpan w:val="2"/>
          </w:tcPr>
          <w:p w14:paraId="1D316629" w14:textId="77777777" w:rsidR="00A71246" w:rsidRDefault="004173FF" w:rsidP="003C7CA6">
            <w:pPr>
              <w:spacing w:before="120" w:after="120"/>
            </w:pPr>
            <w:r>
              <w:t>Proceed to Step 3</w:t>
            </w:r>
            <w:r w:rsidR="00A71246">
              <w:t>.</w:t>
            </w:r>
          </w:p>
        </w:tc>
      </w:tr>
      <w:tr w:rsidR="00A71246" w:rsidRPr="00384851" w14:paraId="5D44389D" w14:textId="77777777" w:rsidTr="00AD3E26">
        <w:trPr>
          <w:trHeight w:val="90"/>
        </w:trPr>
        <w:tc>
          <w:tcPr>
            <w:tcW w:w="433" w:type="pct"/>
            <w:vMerge/>
          </w:tcPr>
          <w:p w14:paraId="3D4E02D6" w14:textId="77777777" w:rsidR="00A71246" w:rsidRDefault="00A71246" w:rsidP="003C7CA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35" w:type="pct"/>
          </w:tcPr>
          <w:p w14:paraId="74CFA308" w14:textId="77777777" w:rsidR="00A71246" w:rsidRDefault="00A71246" w:rsidP="003C7CA6">
            <w:pPr>
              <w:spacing w:before="120" w:after="120"/>
            </w:pPr>
            <w:r>
              <w:t>NOT been entered</w:t>
            </w:r>
          </w:p>
        </w:tc>
        <w:tc>
          <w:tcPr>
            <w:tcW w:w="3832" w:type="pct"/>
            <w:gridSpan w:val="2"/>
          </w:tcPr>
          <w:p w14:paraId="5CAE5B32" w14:textId="6269D8E5" w:rsidR="00D71D87" w:rsidRPr="00AD3E26" w:rsidRDefault="00A71246" w:rsidP="00AD3E26">
            <w:pPr>
              <w:pStyle w:val="NormalWeb"/>
              <w:spacing w:before="120" w:beforeAutospacing="0" w:after="120" w:afterAutospacing="0" w:line="259" w:lineRule="atLeast"/>
              <w:rPr>
                <w:rFonts w:ascii="Times New Roman" w:hAnsi="Times New Roman"/>
                <w:color w:val="000000"/>
              </w:rPr>
            </w:pPr>
            <w:r>
              <w:t>Determine if the Prior Authorization is in progress</w:t>
            </w:r>
            <w:r w:rsidR="00D71D87">
              <w:t xml:space="preserve"> by reviewing the </w:t>
            </w:r>
            <w:r w:rsidR="00D71D87" w:rsidRPr="00592C93">
              <w:rPr>
                <w:b/>
              </w:rPr>
              <w:t>View PA Status</w:t>
            </w:r>
            <w:r w:rsidR="00D71D87">
              <w:t xml:space="preserve"> screen.  Refer to </w:t>
            </w:r>
            <w:hyperlink r:id="rId13" w:anchor="!/view?docid=657ddfe3-27d1-4a21-8f51-8cbd3961001c" w:tgtFrame="_blank" w:history="1">
              <w:r w:rsidR="00AD3E26">
                <w:rPr>
                  <w:rStyle w:val="Hyperlink"/>
                </w:rPr>
                <w:t>Prior Authorization, Exceptions, Appeals Guide (063978)</w:t>
              </w:r>
            </w:hyperlink>
            <w:r w:rsidR="00D71D87">
              <w:t>.</w:t>
            </w:r>
          </w:p>
          <w:p w14:paraId="27ED7F95" w14:textId="77777777" w:rsidR="00A71246" w:rsidRDefault="00D71D87" w:rsidP="003C7CA6">
            <w:pPr>
              <w:numPr>
                <w:ilvl w:val="0"/>
                <w:numId w:val="7"/>
              </w:numPr>
              <w:spacing w:before="120" w:after="120"/>
              <w:ind w:left="526"/>
            </w:pPr>
            <w:r>
              <w:t>If the PA has not been initiated, r</w:t>
            </w:r>
            <w:r w:rsidR="00A71246">
              <w:t>efer to the CIF for the client’s Prior Authorization process.</w:t>
            </w:r>
          </w:p>
        </w:tc>
      </w:tr>
      <w:tr w:rsidR="00D71D87" w:rsidRPr="00384851" w14:paraId="344ABE8C" w14:textId="77777777" w:rsidTr="00AD3E26">
        <w:tc>
          <w:tcPr>
            <w:tcW w:w="433" w:type="pct"/>
          </w:tcPr>
          <w:p w14:paraId="1D3CD5CD" w14:textId="77777777" w:rsidR="00D71D87" w:rsidRDefault="00BE6E63" w:rsidP="003C7C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67" w:type="pct"/>
            <w:gridSpan w:val="3"/>
          </w:tcPr>
          <w:p w14:paraId="41E2C921" w14:textId="77777777" w:rsidR="00D71D87" w:rsidRPr="00A848A8" w:rsidRDefault="00D71D87" w:rsidP="003C7CA6">
            <w:pPr>
              <w:spacing w:before="120" w:after="120"/>
            </w:pPr>
            <w:r>
              <w:t xml:space="preserve">Return to the </w:t>
            </w:r>
            <w:r w:rsidRPr="00592C93">
              <w:rPr>
                <w:b/>
                <w:bCs/>
              </w:rPr>
              <w:t xml:space="preserve">Main </w:t>
            </w:r>
            <w:r>
              <w:t xml:space="preserve">screen and click on the </w:t>
            </w:r>
            <w:r w:rsidRPr="00592C93">
              <w:rPr>
                <w:b/>
                <w:bCs/>
              </w:rPr>
              <w:t>Prescription Number</w:t>
            </w:r>
            <w:r>
              <w:t xml:space="preserve"> in question.</w:t>
            </w:r>
          </w:p>
        </w:tc>
      </w:tr>
      <w:tr w:rsidR="00A848A8" w:rsidRPr="00384851" w14:paraId="1109573C" w14:textId="77777777" w:rsidTr="00AD3E26">
        <w:tc>
          <w:tcPr>
            <w:tcW w:w="433" w:type="pct"/>
          </w:tcPr>
          <w:p w14:paraId="327CC63E" w14:textId="77777777" w:rsidR="00A848A8" w:rsidRDefault="00BE6E63" w:rsidP="003C7C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67" w:type="pct"/>
            <w:gridSpan w:val="3"/>
          </w:tcPr>
          <w:p w14:paraId="77CE1A01" w14:textId="77777777" w:rsidR="00D71D87" w:rsidRDefault="00D71D87" w:rsidP="003C7CA6">
            <w:pPr>
              <w:spacing w:before="120" w:after="120"/>
            </w:pPr>
            <w:r>
              <w:t xml:space="preserve">Click the </w:t>
            </w:r>
            <w:r w:rsidRPr="00592C93">
              <w:rPr>
                <w:b/>
                <w:bCs/>
              </w:rPr>
              <w:t>RM Task</w:t>
            </w:r>
            <w:r>
              <w:t xml:space="preserve"> button and create the following task</w:t>
            </w:r>
            <w:r w:rsidR="00971B30">
              <w:t xml:space="preserve"> as indicated below</w:t>
            </w:r>
            <w:r>
              <w:t>:</w:t>
            </w:r>
          </w:p>
          <w:p w14:paraId="38C87E44" w14:textId="77777777" w:rsidR="00D71D87" w:rsidRDefault="00D71D87" w:rsidP="003C7CA6">
            <w:pPr>
              <w:spacing w:before="120" w:after="120"/>
            </w:pPr>
          </w:p>
          <w:p w14:paraId="7EA0D1BD" w14:textId="77777777" w:rsidR="00A848A8" w:rsidRPr="00BC02D7" w:rsidRDefault="00A848A8" w:rsidP="003C7CA6">
            <w:pPr>
              <w:numPr>
                <w:ilvl w:val="0"/>
                <w:numId w:val="4"/>
              </w:numPr>
              <w:spacing w:before="120" w:after="120"/>
              <w:rPr>
                <w:color w:val="000000"/>
              </w:rPr>
            </w:pPr>
            <w:r w:rsidRPr="00DC1B3F">
              <w:rPr>
                <w:b/>
              </w:rPr>
              <w:t>Task Category:</w:t>
            </w:r>
            <w:r w:rsidRPr="00A848A8">
              <w:t xml:space="preserve"> </w:t>
            </w:r>
            <w:r w:rsidR="008448B2">
              <w:t xml:space="preserve"> </w:t>
            </w:r>
            <w:r w:rsidR="007377A0" w:rsidRPr="00BC02D7">
              <w:rPr>
                <w:color w:val="000000"/>
              </w:rPr>
              <w:t>Rx Verification</w:t>
            </w:r>
            <w:r w:rsidRPr="00BC02D7">
              <w:rPr>
                <w:color w:val="000000"/>
              </w:rPr>
              <w:t xml:space="preserve"> </w:t>
            </w:r>
          </w:p>
          <w:p w14:paraId="7A9B3418" w14:textId="77777777" w:rsidR="00A848A8" w:rsidRPr="00BC02D7" w:rsidRDefault="00061C6C" w:rsidP="003C7CA6">
            <w:pPr>
              <w:numPr>
                <w:ilvl w:val="0"/>
                <w:numId w:val="4"/>
              </w:numPr>
              <w:spacing w:before="120" w:after="120"/>
              <w:rPr>
                <w:color w:val="000000"/>
              </w:rPr>
            </w:pPr>
            <w:r w:rsidRPr="00DC1B3F">
              <w:rPr>
                <w:b/>
                <w:color w:val="000000"/>
              </w:rPr>
              <w:t>Task Type:</w:t>
            </w:r>
            <w:r w:rsidRPr="00BC02D7">
              <w:rPr>
                <w:color w:val="000000"/>
              </w:rPr>
              <w:t xml:space="preserve"> </w:t>
            </w:r>
            <w:r w:rsidR="008448B2">
              <w:rPr>
                <w:color w:val="000000"/>
              </w:rPr>
              <w:t xml:space="preserve"> </w:t>
            </w:r>
            <w:r w:rsidR="007377A0" w:rsidRPr="00BC02D7">
              <w:rPr>
                <w:color w:val="000000"/>
              </w:rPr>
              <w:t>Courtesy Retranslation</w:t>
            </w:r>
            <w:r w:rsidR="00A848A8" w:rsidRPr="00BC02D7">
              <w:rPr>
                <w:color w:val="000000"/>
              </w:rPr>
              <w:t xml:space="preserve"> </w:t>
            </w:r>
          </w:p>
          <w:p w14:paraId="2F2A876A" w14:textId="77777777" w:rsidR="00A848A8" w:rsidRPr="007377A0" w:rsidRDefault="00A848A8" w:rsidP="003C7CA6">
            <w:pPr>
              <w:numPr>
                <w:ilvl w:val="0"/>
                <w:numId w:val="4"/>
              </w:numPr>
              <w:spacing w:before="120" w:after="120"/>
              <w:rPr>
                <w:color w:val="000000"/>
              </w:rPr>
            </w:pPr>
            <w:r w:rsidRPr="00DC1B3F">
              <w:rPr>
                <w:b/>
                <w:color w:val="000000"/>
              </w:rPr>
              <w:t>Queue:</w:t>
            </w:r>
            <w:r w:rsidRPr="00BC02D7">
              <w:rPr>
                <w:color w:val="000000"/>
              </w:rPr>
              <w:t xml:space="preserve"> </w:t>
            </w:r>
            <w:r w:rsidR="008448B2">
              <w:rPr>
                <w:color w:val="000000"/>
              </w:rPr>
              <w:t xml:space="preserve"> </w:t>
            </w:r>
            <w:r w:rsidR="007377A0" w:rsidRPr="00BC02D7">
              <w:rPr>
                <w:color w:val="000000"/>
              </w:rPr>
              <w:t>Retranslation</w:t>
            </w:r>
            <w:r w:rsidR="00874270" w:rsidRPr="00BC02D7">
              <w:rPr>
                <w:color w:val="000000"/>
              </w:rPr>
              <w:t xml:space="preserve"> – Participant</w:t>
            </w:r>
            <w:r w:rsidR="00874270" w:rsidRPr="007377A0">
              <w:rPr>
                <w:color w:val="000000"/>
              </w:rPr>
              <w:t xml:space="preserve"> Services</w:t>
            </w:r>
          </w:p>
          <w:p w14:paraId="0D99A961" w14:textId="77777777" w:rsidR="00D71D87" w:rsidRDefault="00B043E9" w:rsidP="003C7CA6">
            <w:pPr>
              <w:numPr>
                <w:ilvl w:val="0"/>
                <w:numId w:val="4"/>
              </w:numPr>
              <w:spacing w:before="120" w:after="120"/>
            </w:pPr>
            <w:r>
              <w:rPr>
                <w:b/>
              </w:rPr>
              <w:t>Notes</w:t>
            </w:r>
            <w:r w:rsidR="00D71D87" w:rsidRPr="00DC1B3F">
              <w:rPr>
                <w:b/>
              </w:rPr>
              <w:t>:</w:t>
            </w:r>
            <w:r w:rsidR="00D71D87">
              <w:t xml:space="preserve"> </w:t>
            </w:r>
            <w:r w:rsidR="008448B2">
              <w:t xml:space="preserve"> </w:t>
            </w:r>
            <w:r w:rsidR="00D71D87">
              <w:t>“This is a variable fill.  PA is now in place. Please send remaining quantity (specify quantity to be shipped)”.</w:t>
            </w:r>
          </w:p>
          <w:p w14:paraId="5B03A6BC" w14:textId="77777777" w:rsidR="00D71D87" w:rsidRDefault="00D71D87" w:rsidP="003C7CA6">
            <w:pPr>
              <w:spacing w:before="120" w:after="120"/>
            </w:pPr>
          </w:p>
          <w:p w14:paraId="3620527D" w14:textId="2A707F48" w:rsidR="00A848A8" w:rsidRPr="00A848A8" w:rsidRDefault="00E2148D" w:rsidP="003C7CA6">
            <w:pPr>
              <w:spacing w:before="120" w:after="120"/>
            </w:pPr>
            <w:r>
              <w:rPr>
                <w:b/>
                <w:noProof/>
              </w:rPr>
              <w:drawing>
                <wp:inline distT="0" distB="0" distL="0" distR="0" wp14:anchorId="0115BEB6" wp14:editId="62030F58">
                  <wp:extent cx="236220" cy="2133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0084">
              <w:rPr>
                <w:b/>
              </w:rPr>
              <w:t xml:space="preserve"> </w:t>
            </w:r>
            <w:r w:rsidR="00D71D87">
              <w:t>If client is not Fill &amp; Bill, include the method of payment within the task.</w:t>
            </w:r>
          </w:p>
        </w:tc>
      </w:tr>
      <w:tr w:rsidR="00061C6C" w:rsidRPr="00384851" w14:paraId="1EA09228" w14:textId="77777777" w:rsidTr="00AD3E26">
        <w:tc>
          <w:tcPr>
            <w:tcW w:w="433" w:type="pct"/>
          </w:tcPr>
          <w:p w14:paraId="2E6459C3" w14:textId="77777777" w:rsidR="00061C6C" w:rsidRDefault="00BE6E63" w:rsidP="003C7C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67" w:type="pct"/>
            <w:gridSpan w:val="3"/>
          </w:tcPr>
          <w:p w14:paraId="5AD453D2" w14:textId="1C1DF9EC" w:rsidR="00756B5C" w:rsidRDefault="00061C6C" w:rsidP="003C7CA6">
            <w:pPr>
              <w:spacing w:before="120" w:after="120"/>
            </w:pPr>
            <w:r>
              <w:t>Advise the member the request has been submitted and that they may be charged an additional copay for the remaining quantity.</w:t>
            </w:r>
            <w:r w:rsidR="003A6763">
              <w:t xml:space="preserve"> Educate the member on a </w:t>
            </w:r>
            <w:proofErr w:type="spellStart"/>
            <w:r w:rsidR="003A6763">
              <w:t>turn around</w:t>
            </w:r>
            <w:proofErr w:type="spellEnd"/>
            <w:r w:rsidR="003A6763">
              <w:t xml:space="preserve"> time of 72 hours for the request, not including standard processing and shipping time for the order. </w:t>
            </w:r>
          </w:p>
        </w:tc>
      </w:tr>
      <w:tr w:rsidR="00191DD2" w:rsidRPr="00384851" w14:paraId="7DB504F7" w14:textId="77777777" w:rsidTr="00AD3E26">
        <w:tc>
          <w:tcPr>
            <w:tcW w:w="433" w:type="pct"/>
            <w:vMerge w:val="restart"/>
          </w:tcPr>
          <w:p w14:paraId="1113CD78" w14:textId="77777777" w:rsidR="00191DD2" w:rsidRDefault="00BE6E63" w:rsidP="003C7C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567" w:type="pct"/>
            <w:gridSpan w:val="3"/>
            <w:tcBorders>
              <w:bottom w:val="single" w:sz="4" w:space="0" w:color="auto"/>
            </w:tcBorders>
          </w:tcPr>
          <w:p w14:paraId="3FBE2C44" w14:textId="77777777" w:rsidR="00191DD2" w:rsidRPr="003F1A88" w:rsidRDefault="00191DD2" w:rsidP="003C7CA6">
            <w:pPr>
              <w:spacing w:before="120" w:after="120"/>
            </w:pPr>
            <w:r w:rsidRPr="003F1A88">
              <w:t xml:space="preserve">Offer the member a callback once the </w:t>
            </w:r>
            <w:r w:rsidR="00B043E9" w:rsidRPr="00592C93">
              <w:rPr>
                <w:b/>
                <w:bCs/>
              </w:rPr>
              <w:t>Courtesy Retranslation</w:t>
            </w:r>
            <w:r w:rsidRPr="00592C93">
              <w:rPr>
                <w:b/>
                <w:bCs/>
              </w:rPr>
              <w:t xml:space="preserve"> </w:t>
            </w:r>
            <w:r w:rsidR="00B043E9" w:rsidRPr="00592C93">
              <w:rPr>
                <w:b/>
                <w:bCs/>
              </w:rPr>
              <w:t>T</w:t>
            </w:r>
            <w:r w:rsidRPr="00592C93">
              <w:rPr>
                <w:b/>
                <w:bCs/>
              </w:rPr>
              <w:t>ask</w:t>
            </w:r>
            <w:r>
              <w:t xml:space="preserve"> has been created</w:t>
            </w:r>
            <w:r w:rsidRPr="003F1A88">
              <w:t xml:space="preserve">.   </w:t>
            </w:r>
          </w:p>
        </w:tc>
      </w:tr>
      <w:tr w:rsidR="00191DD2" w:rsidRPr="00384851" w14:paraId="18B55253" w14:textId="77777777" w:rsidTr="00AD3E26">
        <w:trPr>
          <w:trHeight w:val="90"/>
        </w:trPr>
        <w:tc>
          <w:tcPr>
            <w:tcW w:w="433" w:type="pct"/>
            <w:vMerge/>
          </w:tcPr>
          <w:p w14:paraId="248C76E3" w14:textId="77777777" w:rsidR="00191DD2" w:rsidRDefault="00191DD2" w:rsidP="003C7CA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6" w:type="pct"/>
            <w:gridSpan w:val="2"/>
            <w:shd w:val="clear" w:color="auto" w:fill="E6E6E6"/>
          </w:tcPr>
          <w:p w14:paraId="3BB99F62" w14:textId="77777777" w:rsidR="00191DD2" w:rsidRPr="003F1A88" w:rsidRDefault="00191DD2" w:rsidP="003C7CA6">
            <w:pPr>
              <w:spacing w:before="120" w:after="120"/>
              <w:jc w:val="center"/>
              <w:rPr>
                <w:b/>
              </w:rPr>
            </w:pPr>
            <w:r w:rsidRPr="003F1A88">
              <w:rPr>
                <w:b/>
              </w:rPr>
              <w:t>If member…</w:t>
            </w:r>
          </w:p>
        </w:tc>
        <w:tc>
          <w:tcPr>
            <w:tcW w:w="3251" w:type="pct"/>
            <w:shd w:val="clear" w:color="auto" w:fill="E6E6E6"/>
          </w:tcPr>
          <w:p w14:paraId="5B243FED" w14:textId="77777777" w:rsidR="00191DD2" w:rsidRPr="003F1A88" w:rsidRDefault="00191DD2" w:rsidP="003C7CA6">
            <w:pPr>
              <w:spacing w:before="120" w:after="120"/>
              <w:jc w:val="center"/>
              <w:rPr>
                <w:b/>
              </w:rPr>
            </w:pPr>
            <w:r w:rsidRPr="003F1A88">
              <w:rPr>
                <w:b/>
              </w:rPr>
              <w:t>Then…</w:t>
            </w:r>
          </w:p>
        </w:tc>
      </w:tr>
      <w:tr w:rsidR="00191DD2" w:rsidRPr="00384851" w14:paraId="5134F01D" w14:textId="77777777" w:rsidTr="00AD3E26">
        <w:trPr>
          <w:trHeight w:val="90"/>
        </w:trPr>
        <w:tc>
          <w:tcPr>
            <w:tcW w:w="433" w:type="pct"/>
            <w:vMerge/>
          </w:tcPr>
          <w:p w14:paraId="7F23EADA" w14:textId="77777777" w:rsidR="00191DD2" w:rsidRDefault="00191DD2" w:rsidP="003C7CA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6" w:type="pct"/>
            <w:gridSpan w:val="2"/>
          </w:tcPr>
          <w:p w14:paraId="1FF5AFF3" w14:textId="77777777" w:rsidR="00191DD2" w:rsidRPr="003F1A88" w:rsidRDefault="00191DD2" w:rsidP="003C7CA6">
            <w:pPr>
              <w:spacing w:before="120" w:after="120"/>
            </w:pPr>
            <w:r w:rsidRPr="003F1A88">
              <w:t>Accepts</w:t>
            </w:r>
          </w:p>
        </w:tc>
        <w:tc>
          <w:tcPr>
            <w:tcW w:w="3251" w:type="pct"/>
          </w:tcPr>
          <w:p w14:paraId="2F6BAF68" w14:textId="77251099" w:rsidR="00191DD2" w:rsidRPr="003F1A88" w:rsidRDefault="00191DD2" w:rsidP="003C7CA6">
            <w:pPr>
              <w:spacing w:before="120" w:after="120"/>
            </w:pPr>
            <w:r w:rsidRPr="003F1A88">
              <w:t xml:space="preserve">Follow the procedure for </w:t>
            </w:r>
            <w:hyperlink r:id="rId14" w:anchor="!/view?docid=1deb6339-c28a-4591-bb3c-c244a0c0fcdf" w:history="1">
              <w:r w:rsidR="00D35E91">
                <w:rPr>
                  <w:rStyle w:val="Hyperlink"/>
                  <w:bCs/>
                </w:rPr>
                <w:t>Participant (Member) Callback Request (010590)</w:t>
              </w:r>
            </w:hyperlink>
            <w:r w:rsidRPr="003F1A88">
              <w:rPr>
                <w:color w:val="333333"/>
              </w:rPr>
              <w:t>.</w:t>
            </w:r>
          </w:p>
        </w:tc>
      </w:tr>
      <w:tr w:rsidR="00191DD2" w:rsidRPr="00384851" w14:paraId="66DF5F1B" w14:textId="77777777" w:rsidTr="00AD3E26">
        <w:trPr>
          <w:trHeight w:val="90"/>
        </w:trPr>
        <w:tc>
          <w:tcPr>
            <w:tcW w:w="433" w:type="pct"/>
            <w:vMerge/>
          </w:tcPr>
          <w:p w14:paraId="76EC5F60" w14:textId="77777777" w:rsidR="00191DD2" w:rsidRDefault="00191DD2" w:rsidP="003C7CA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16" w:type="pct"/>
            <w:gridSpan w:val="2"/>
          </w:tcPr>
          <w:p w14:paraId="6513D3B8" w14:textId="77777777" w:rsidR="00191DD2" w:rsidRPr="003F1A88" w:rsidRDefault="00191DD2" w:rsidP="003C7CA6">
            <w:pPr>
              <w:spacing w:before="120" w:after="120"/>
            </w:pPr>
            <w:r w:rsidRPr="003F1A88">
              <w:t>Declines the callback</w:t>
            </w:r>
          </w:p>
        </w:tc>
        <w:tc>
          <w:tcPr>
            <w:tcW w:w="3251" w:type="pct"/>
          </w:tcPr>
          <w:p w14:paraId="44AE1EC6" w14:textId="4509944C" w:rsidR="00191DD2" w:rsidRPr="003F1A88" w:rsidRDefault="003A6763" w:rsidP="003C7CA6">
            <w:pPr>
              <w:spacing w:before="120" w:after="120"/>
            </w:pPr>
            <w:r>
              <w:t>Provide them with the Customer Care number located in the Client Information section of the CIF and a</w:t>
            </w:r>
            <w:r w:rsidR="00191DD2" w:rsidRPr="003F1A88">
              <w:t>dvise them that they can call CVS Caremark 24 hours a day, 7 days a week to check the status.</w:t>
            </w:r>
            <w:r>
              <w:t xml:space="preserve"> </w:t>
            </w:r>
          </w:p>
        </w:tc>
      </w:tr>
    </w:tbl>
    <w:p w14:paraId="22506C19" w14:textId="77777777" w:rsidR="00312690" w:rsidRDefault="00312690" w:rsidP="008448B2"/>
    <w:bookmarkStart w:id="20" w:name="P45_1446"/>
    <w:bookmarkStart w:id="21" w:name="_Log_Activity"/>
    <w:bookmarkEnd w:id="20"/>
    <w:bookmarkEnd w:id="21"/>
    <w:p w14:paraId="024FB408" w14:textId="0DCCEA01" w:rsidR="00176400" w:rsidRDefault="00991B26" w:rsidP="00176400">
      <w:pPr>
        <w:jc w:val="right"/>
      </w:pPr>
      <w:r>
        <w:fldChar w:fldCharType="begin"/>
      </w:r>
      <w:r>
        <w:instrText xml:space="preserve"> HYPERLINK  \l "_top" </w:instrText>
      </w:r>
      <w:r>
        <w:fldChar w:fldCharType="separate"/>
      </w:r>
      <w:r w:rsidR="00862C4C" w:rsidRPr="00991B26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76400" w:rsidRPr="00384851" w14:paraId="7409602B" w14:textId="77777777" w:rsidTr="00384851">
        <w:tc>
          <w:tcPr>
            <w:tcW w:w="5000" w:type="pct"/>
            <w:shd w:val="clear" w:color="auto" w:fill="C0C0C0"/>
          </w:tcPr>
          <w:p w14:paraId="46BA4C2E" w14:textId="77777777" w:rsidR="00176400" w:rsidRPr="00384851" w:rsidRDefault="00176400" w:rsidP="00236CD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2" w:name="_Resolution_Time"/>
            <w:bookmarkStart w:id="23" w:name="_Toc74582698"/>
            <w:bookmarkEnd w:id="22"/>
            <w:r w:rsidRPr="00384851">
              <w:rPr>
                <w:rFonts w:ascii="Verdana" w:hAnsi="Verdana"/>
                <w:i w:val="0"/>
                <w:iCs w:val="0"/>
              </w:rPr>
              <w:t>Resolution Time</w:t>
            </w:r>
            <w:bookmarkEnd w:id="23"/>
          </w:p>
        </w:tc>
      </w:tr>
    </w:tbl>
    <w:p w14:paraId="26BB5233" w14:textId="77777777" w:rsidR="00720CC2" w:rsidRDefault="00290084" w:rsidP="00236CD1">
      <w:pPr>
        <w:spacing w:before="120" w:after="120"/>
      </w:pPr>
      <w:r>
        <w:t>Up to 3 business days</w:t>
      </w:r>
      <w:r w:rsidR="00061C6C">
        <w:t xml:space="preserve"> for the RM task to be handled, plus additional processing/shipping time for the</w:t>
      </w:r>
      <w:r w:rsidR="003C7CA6">
        <w:t xml:space="preserve"> </w:t>
      </w:r>
      <w:r w:rsidR="00061C6C">
        <w:t>order.</w:t>
      </w:r>
    </w:p>
    <w:p w14:paraId="7B4D3CAD" w14:textId="77777777" w:rsidR="00862C4C" w:rsidRDefault="00862C4C" w:rsidP="00061C6C"/>
    <w:p w14:paraId="5D1DA3FE" w14:textId="77AE2057" w:rsidR="00862C4C" w:rsidRDefault="00862C4C" w:rsidP="00862C4C">
      <w:pPr>
        <w:jc w:val="right"/>
      </w:pPr>
      <w:hyperlink w:anchor="_top" w:history="1">
        <w:r w:rsidRPr="00991B26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E6E63" w:rsidRPr="00384851" w14:paraId="2A37F58C" w14:textId="77777777" w:rsidTr="003B6541">
        <w:tc>
          <w:tcPr>
            <w:tcW w:w="5000" w:type="pct"/>
            <w:shd w:val="clear" w:color="auto" w:fill="C0C0C0"/>
          </w:tcPr>
          <w:p w14:paraId="55293DE2" w14:textId="77777777" w:rsidR="00BE6E63" w:rsidRPr="00384851" w:rsidRDefault="00BE6E63" w:rsidP="00236CD1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24" w:name="_Toc74582699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4"/>
          </w:p>
        </w:tc>
      </w:tr>
    </w:tbl>
    <w:p w14:paraId="3FD3CBA9" w14:textId="43BBFC2D" w:rsidR="003B6541" w:rsidRDefault="00FC6B26" w:rsidP="00236CD1">
      <w:pPr>
        <w:spacing w:before="120" w:after="120"/>
      </w:pPr>
      <w:hyperlink r:id="rId15" w:anchor="!/view?docid=c1f1028b-e42c-4b4f-a4cf-cc0b42c91606" w:history="1">
        <w:r>
          <w:rPr>
            <w:rStyle w:val="Hyperlink"/>
          </w:rPr>
          <w:t>Customer Care Abbreviations, Definitions, and Terms (017428)</w:t>
        </w:r>
      </w:hyperlink>
    </w:p>
    <w:p w14:paraId="3B38D708" w14:textId="05123576" w:rsidR="003B6541" w:rsidRPr="00290084" w:rsidRDefault="00D35E91" w:rsidP="00236CD1">
      <w:pPr>
        <w:spacing w:before="120" w:after="120"/>
      </w:pPr>
      <w:hyperlink r:id="rId16" w:anchor="!/view?docid=bdac0c67-5fee-47ba-a3aa-aab84900cf78" w:history="1">
        <w:r>
          <w:rPr>
            <w:rStyle w:val="Hyperlink"/>
            <w:rFonts w:cs="Helvetica"/>
            <w:shd w:val="clear" w:color="auto" w:fill="FFFFFF"/>
          </w:rPr>
          <w:t>Log Activity and Capture Activity Codes (005164)</w:t>
        </w:r>
      </w:hyperlink>
    </w:p>
    <w:p w14:paraId="0E9E1012" w14:textId="77777777" w:rsidR="00061C6C" w:rsidRDefault="00BE6E63" w:rsidP="00236CD1">
      <w:pPr>
        <w:spacing w:before="120" w:after="120"/>
      </w:pPr>
      <w:r w:rsidRPr="00BE6E63">
        <w:rPr>
          <w:b/>
        </w:rPr>
        <w:t xml:space="preserve">Parent </w:t>
      </w:r>
      <w:r w:rsidR="003B6541">
        <w:rPr>
          <w:b/>
        </w:rPr>
        <w:t>Document</w:t>
      </w:r>
      <w:r w:rsidRPr="00BE6E63">
        <w:rPr>
          <w:b/>
        </w:rPr>
        <w:t>:</w:t>
      </w:r>
      <w:r>
        <w:rPr>
          <w:b/>
        </w:rPr>
        <w:t xml:space="preserve"> </w:t>
      </w:r>
      <w:hyperlink r:id="rId17" w:tgtFrame="_blank" w:history="1">
        <w:r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60DB44ED" w14:textId="2C404ED2" w:rsidR="00BE6E63" w:rsidRDefault="00BE6E63" w:rsidP="00BE6E63">
      <w:pPr>
        <w:jc w:val="right"/>
      </w:pPr>
      <w:hyperlink w:anchor="_top" w:history="1">
        <w:r w:rsidRPr="00991B26">
          <w:rPr>
            <w:rStyle w:val="Hyperlink"/>
          </w:rPr>
          <w:t>Top of the Document</w:t>
        </w:r>
      </w:hyperlink>
    </w:p>
    <w:p w14:paraId="56F00F63" w14:textId="77777777" w:rsidR="005A64DA" w:rsidRDefault="005A64DA" w:rsidP="005A64DA">
      <w:pPr>
        <w:jc w:val="right"/>
      </w:pPr>
    </w:p>
    <w:p w14:paraId="528B3A41" w14:textId="77777777" w:rsidR="00115944" w:rsidRPr="00C247CB" w:rsidRDefault="00115944" w:rsidP="00C247CB">
      <w:pPr>
        <w:jc w:val="center"/>
        <w:rPr>
          <w:sz w:val="16"/>
          <w:szCs w:val="16"/>
        </w:rPr>
      </w:pPr>
    </w:p>
    <w:p w14:paraId="4246C207" w14:textId="77777777" w:rsidR="00710E68" w:rsidRPr="00C247CB" w:rsidRDefault="008C5743" w:rsidP="00C247CB">
      <w:pPr>
        <w:jc w:val="center"/>
        <w:rPr>
          <w:sz w:val="16"/>
          <w:szCs w:val="16"/>
        </w:rPr>
      </w:pPr>
      <w:r>
        <w:rPr>
          <w:sz w:val="16"/>
          <w:szCs w:val="16"/>
        </w:rPr>
        <w:t>Not t</w:t>
      </w:r>
      <w:r w:rsidR="00710E68" w:rsidRPr="00C247CB">
        <w:rPr>
          <w:sz w:val="16"/>
          <w:szCs w:val="16"/>
        </w:rPr>
        <w:t xml:space="preserve">o Be Reproduced </w:t>
      </w:r>
      <w:r>
        <w:rPr>
          <w:sz w:val="16"/>
          <w:szCs w:val="16"/>
        </w:rPr>
        <w:t>o</w:t>
      </w:r>
      <w:r w:rsidR="00710E68" w:rsidRPr="00C247CB">
        <w:rPr>
          <w:sz w:val="16"/>
          <w:szCs w:val="16"/>
        </w:rPr>
        <w:t xml:space="preserve">r Disclosed to Others </w:t>
      </w:r>
      <w:r w:rsidR="003B7348" w:rsidRPr="00C247CB">
        <w:rPr>
          <w:sz w:val="16"/>
          <w:szCs w:val="16"/>
        </w:rPr>
        <w:t>without</w:t>
      </w:r>
      <w:r w:rsidR="00710E68" w:rsidRPr="00C247CB">
        <w:rPr>
          <w:sz w:val="16"/>
          <w:szCs w:val="16"/>
        </w:rPr>
        <w:t xml:space="preserve"> Prior Written Approval</w:t>
      </w:r>
    </w:p>
    <w:p w14:paraId="2F8E6E65" w14:textId="77777777" w:rsidR="005A64DA" w:rsidRPr="00C247CB" w:rsidRDefault="00710E68" w:rsidP="00C247CB">
      <w:pPr>
        <w:jc w:val="center"/>
        <w:rPr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ELECTRONIC DATA = OFFICIAL VERSION – PAPER COPY – INFORMATIONAL ONLY</w:t>
      </w:r>
    </w:p>
    <w:sectPr w:rsidR="005A64DA" w:rsidRPr="00C247CB" w:rsidSect="00F1152F"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9A73A" w14:textId="77777777" w:rsidR="00284898" w:rsidRDefault="00284898">
      <w:r>
        <w:separator/>
      </w:r>
    </w:p>
  </w:endnote>
  <w:endnote w:type="continuationSeparator" w:id="0">
    <w:p w14:paraId="3015E03C" w14:textId="77777777" w:rsidR="00284898" w:rsidRDefault="0028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6B55D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D8A05B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858AA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344C">
      <w:rPr>
        <w:rStyle w:val="PageNumber"/>
        <w:noProof/>
      </w:rPr>
      <w:t>2</w:t>
    </w:r>
    <w:r>
      <w:rPr>
        <w:rStyle w:val="PageNumber"/>
      </w:rPr>
      <w:fldChar w:fldCharType="end"/>
    </w:r>
  </w:p>
  <w:p w14:paraId="0E4E356C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19063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29BDC" w14:textId="77777777" w:rsidR="00284898" w:rsidRDefault="00284898">
      <w:r>
        <w:separator/>
      </w:r>
    </w:p>
  </w:footnote>
  <w:footnote w:type="continuationSeparator" w:id="0">
    <w:p w14:paraId="378FE06D" w14:textId="77777777" w:rsidR="00284898" w:rsidRDefault="00284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A6D5E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B62C91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61534104" o:spid="_x0000_i1025" type="#_x0000_t75" style="width:18.7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7BF2C505" wp14:editId="2B7D51C6">
            <wp:extent cx="238125" cy="209550"/>
            <wp:effectExtent l="0" t="0" r="0" b="0"/>
            <wp:docPr id="561534104" name="Picture 56153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D3278EB"/>
    <w:multiLevelType w:val="hybridMultilevel"/>
    <w:tmpl w:val="38545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A6118"/>
    <w:multiLevelType w:val="hybridMultilevel"/>
    <w:tmpl w:val="3958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32CED"/>
    <w:multiLevelType w:val="hybridMultilevel"/>
    <w:tmpl w:val="7A42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6" w15:restartNumberingAfterBreak="0">
    <w:nsid w:val="7E45738A"/>
    <w:multiLevelType w:val="hybridMultilevel"/>
    <w:tmpl w:val="8D4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808705">
    <w:abstractNumId w:val="1"/>
  </w:num>
  <w:num w:numId="2" w16cid:durableId="1475171864">
    <w:abstractNumId w:val="2"/>
  </w:num>
  <w:num w:numId="3" w16cid:durableId="705257730">
    <w:abstractNumId w:val="5"/>
  </w:num>
  <w:num w:numId="4" w16cid:durableId="48844740">
    <w:abstractNumId w:val="3"/>
  </w:num>
  <w:num w:numId="5" w16cid:durableId="1436973135">
    <w:abstractNumId w:val="0"/>
  </w:num>
  <w:num w:numId="6" w16cid:durableId="981160581">
    <w:abstractNumId w:val="6"/>
  </w:num>
  <w:num w:numId="7" w16cid:durableId="1887065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5414"/>
    <w:rsid w:val="0000795C"/>
    <w:rsid w:val="00015A2E"/>
    <w:rsid w:val="00035BED"/>
    <w:rsid w:val="00061AD2"/>
    <w:rsid w:val="00061C6C"/>
    <w:rsid w:val="00072596"/>
    <w:rsid w:val="0008665F"/>
    <w:rsid w:val="00095AB5"/>
    <w:rsid w:val="00096801"/>
    <w:rsid w:val="000A1725"/>
    <w:rsid w:val="000A48C7"/>
    <w:rsid w:val="000A6B88"/>
    <w:rsid w:val="000B3C4C"/>
    <w:rsid w:val="000B656F"/>
    <w:rsid w:val="000B72DF"/>
    <w:rsid w:val="000C711F"/>
    <w:rsid w:val="000D02D2"/>
    <w:rsid w:val="000D1870"/>
    <w:rsid w:val="000D21A1"/>
    <w:rsid w:val="000D5356"/>
    <w:rsid w:val="000D6714"/>
    <w:rsid w:val="000F0D1B"/>
    <w:rsid w:val="000F4459"/>
    <w:rsid w:val="0010761F"/>
    <w:rsid w:val="00115944"/>
    <w:rsid w:val="0012373E"/>
    <w:rsid w:val="001360A5"/>
    <w:rsid w:val="001560C4"/>
    <w:rsid w:val="00162381"/>
    <w:rsid w:val="0016273A"/>
    <w:rsid w:val="00176400"/>
    <w:rsid w:val="00191DD2"/>
    <w:rsid w:val="001B3879"/>
    <w:rsid w:val="001F1218"/>
    <w:rsid w:val="002016B4"/>
    <w:rsid w:val="002055CF"/>
    <w:rsid w:val="002262B4"/>
    <w:rsid w:val="00236CD1"/>
    <w:rsid w:val="00243EBB"/>
    <w:rsid w:val="00245D49"/>
    <w:rsid w:val="0024683E"/>
    <w:rsid w:val="00255C6B"/>
    <w:rsid w:val="00264DAE"/>
    <w:rsid w:val="00265D86"/>
    <w:rsid w:val="0028215B"/>
    <w:rsid w:val="00284898"/>
    <w:rsid w:val="00290084"/>
    <w:rsid w:val="0029089D"/>
    <w:rsid w:val="00291CE8"/>
    <w:rsid w:val="00296127"/>
    <w:rsid w:val="00296765"/>
    <w:rsid w:val="002A209F"/>
    <w:rsid w:val="002B593E"/>
    <w:rsid w:val="002E58AD"/>
    <w:rsid w:val="002F1F92"/>
    <w:rsid w:val="00302270"/>
    <w:rsid w:val="003064F4"/>
    <w:rsid w:val="00312690"/>
    <w:rsid w:val="0033143E"/>
    <w:rsid w:val="00350586"/>
    <w:rsid w:val="00370F3E"/>
    <w:rsid w:val="003725A1"/>
    <w:rsid w:val="00374102"/>
    <w:rsid w:val="00384851"/>
    <w:rsid w:val="003868A2"/>
    <w:rsid w:val="00392A5B"/>
    <w:rsid w:val="003A2927"/>
    <w:rsid w:val="003A6763"/>
    <w:rsid w:val="003A6D70"/>
    <w:rsid w:val="003B1F86"/>
    <w:rsid w:val="003B6541"/>
    <w:rsid w:val="003B7348"/>
    <w:rsid w:val="003C4627"/>
    <w:rsid w:val="003C7CA6"/>
    <w:rsid w:val="003E6C1A"/>
    <w:rsid w:val="004007AE"/>
    <w:rsid w:val="00401397"/>
    <w:rsid w:val="0040302E"/>
    <w:rsid w:val="0040640A"/>
    <w:rsid w:val="00406DB5"/>
    <w:rsid w:val="004173FF"/>
    <w:rsid w:val="0042336D"/>
    <w:rsid w:val="00430E7B"/>
    <w:rsid w:val="00442ADE"/>
    <w:rsid w:val="00443F8C"/>
    <w:rsid w:val="00451BEC"/>
    <w:rsid w:val="00457EAE"/>
    <w:rsid w:val="00466124"/>
    <w:rsid w:val="004768BE"/>
    <w:rsid w:val="00477F73"/>
    <w:rsid w:val="0048355A"/>
    <w:rsid w:val="00491A79"/>
    <w:rsid w:val="004A7A9A"/>
    <w:rsid w:val="004B34B2"/>
    <w:rsid w:val="004D1174"/>
    <w:rsid w:val="004D3C53"/>
    <w:rsid w:val="00512486"/>
    <w:rsid w:val="0052465B"/>
    <w:rsid w:val="00524CDD"/>
    <w:rsid w:val="0056344C"/>
    <w:rsid w:val="00577ECD"/>
    <w:rsid w:val="00582E85"/>
    <w:rsid w:val="005910B5"/>
    <w:rsid w:val="00592C93"/>
    <w:rsid w:val="005A6118"/>
    <w:rsid w:val="005A64DA"/>
    <w:rsid w:val="005B2A90"/>
    <w:rsid w:val="005B41D8"/>
    <w:rsid w:val="005B5E4D"/>
    <w:rsid w:val="005C0EAF"/>
    <w:rsid w:val="005C1D83"/>
    <w:rsid w:val="005C57C0"/>
    <w:rsid w:val="005E1DC2"/>
    <w:rsid w:val="005E650E"/>
    <w:rsid w:val="00622D77"/>
    <w:rsid w:val="00627F34"/>
    <w:rsid w:val="00631602"/>
    <w:rsid w:val="00636B18"/>
    <w:rsid w:val="00637CA1"/>
    <w:rsid w:val="006531DD"/>
    <w:rsid w:val="00670674"/>
    <w:rsid w:val="00674A16"/>
    <w:rsid w:val="00682480"/>
    <w:rsid w:val="00691E10"/>
    <w:rsid w:val="00692F9C"/>
    <w:rsid w:val="006A0481"/>
    <w:rsid w:val="006A2306"/>
    <w:rsid w:val="006C653F"/>
    <w:rsid w:val="006D070F"/>
    <w:rsid w:val="006D0A7B"/>
    <w:rsid w:val="006F565C"/>
    <w:rsid w:val="006F7DFC"/>
    <w:rsid w:val="00704AF2"/>
    <w:rsid w:val="00710E68"/>
    <w:rsid w:val="007138C8"/>
    <w:rsid w:val="00714BA0"/>
    <w:rsid w:val="00720CC2"/>
    <w:rsid w:val="007269B6"/>
    <w:rsid w:val="00726E7A"/>
    <w:rsid w:val="00732736"/>
    <w:rsid w:val="0073294A"/>
    <w:rsid w:val="00732E52"/>
    <w:rsid w:val="007377A0"/>
    <w:rsid w:val="00747E1C"/>
    <w:rsid w:val="00750578"/>
    <w:rsid w:val="00752801"/>
    <w:rsid w:val="00756B5C"/>
    <w:rsid w:val="00785118"/>
    <w:rsid w:val="00786BEB"/>
    <w:rsid w:val="007C77DD"/>
    <w:rsid w:val="007E3EA6"/>
    <w:rsid w:val="007E5A11"/>
    <w:rsid w:val="008042E1"/>
    <w:rsid w:val="00804D63"/>
    <w:rsid w:val="00806B9D"/>
    <w:rsid w:val="00812777"/>
    <w:rsid w:val="00813757"/>
    <w:rsid w:val="0084129E"/>
    <w:rsid w:val="00843390"/>
    <w:rsid w:val="008448B2"/>
    <w:rsid w:val="00846373"/>
    <w:rsid w:val="0085518D"/>
    <w:rsid w:val="00856276"/>
    <w:rsid w:val="008568AE"/>
    <w:rsid w:val="00860590"/>
    <w:rsid w:val="008614E8"/>
    <w:rsid w:val="00862C4C"/>
    <w:rsid w:val="00867EDF"/>
    <w:rsid w:val="00874270"/>
    <w:rsid w:val="00875F0D"/>
    <w:rsid w:val="00877414"/>
    <w:rsid w:val="008A03B7"/>
    <w:rsid w:val="008A0F55"/>
    <w:rsid w:val="008A166F"/>
    <w:rsid w:val="008A3B29"/>
    <w:rsid w:val="008C1D99"/>
    <w:rsid w:val="008C2197"/>
    <w:rsid w:val="008C2881"/>
    <w:rsid w:val="008C3493"/>
    <w:rsid w:val="008C5743"/>
    <w:rsid w:val="008D11A6"/>
    <w:rsid w:val="008D1F7B"/>
    <w:rsid w:val="008D2D64"/>
    <w:rsid w:val="008D4D9E"/>
    <w:rsid w:val="00902E07"/>
    <w:rsid w:val="009048EA"/>
    <w:rsid w:val="00915690"/>
    <w:rsid w:val="0093540D"/>
    <w:rsid w:val="00947783"/>
    <w:rsid w:val="00954FE8"/>
    <w:rsid w:val="00971B30"/>
    <w:rsid w:val="009726E0"/>
    <w:rsid w:val="00975003"/>
    <w:rsid w:val="00975DBC"/>
    <w:rsid w:val="00982689"/>
    <w:rsid w:val="00983A30"/>
    <w:rsid w:val="00986A11"/>
    <w:rsid w:val="00990822"/>
    <w:rsid w:val="00991B26"/>
    <w:rsid w:val="009B34D9"/>
    <w:rsid w:val="009C4A31"/>
    <w:rsid w:val="009C54E0"/>
    <w:rsid w:val="009E09A1"/>
    <w:rsid w:val="009F6FD2"/>
    <w:rsid w:val="009F78D3"/>
    <w:rsid w:val="00A01F73"/>
    <w:rsid w:val="00A10CF9"/>
    <w:rsid w:val="00A10D64"/>
    <w:rsid w:val="00A4732A"/>
    <w:rsid w:val="00A71246"/>
    <w:rsid w:val="00A7166B"/>
    <w:rsid w:val="00A83BA0"/>
    <w:rsid w:val="00A848A8"/>
    <w:rsid w:val="00A84F18"/>
    <w:rsid w:val="00A85045"/>
    <w:rsid w:val="00A85966"/>
    <w:rsid w:val="00A95738"/>
    <w:rsid w:val="00A97B7D"/>
    <w:rsid w:val="00AA01AD"/>
    <w:rsid w:val="00AA4825"/>
    <w:rsid w:val="00AB33E1"/>
    <w:rsid w:val="00AD1646"/>
    <w:rsid w:val="00AD3E26"/>
    <w:rsid w:val="00AF038B"/>
    <w:rsid w:val="00AF7E0C"/>
    <w:rsid w:val="00B043E9"/>
    <w:rsid w:val="00B26045"/>
    <w:rsid w:val="00B44C55"/>
    <w:rsid w:val="00B46A95"/>
    <w:rsid w:val="00B544C2"/>
    <w:rsid w:val="00B5566F"/>
    <w:rsid w:val="00B62E3D"/>
    <w:rsid w:val="00B70CC4"/>
    <w:rsid w:val="00B86A67"/>
    <w:rsid w:val="00BB02DE"/>
    <w:rsid w:val="00BB2AE2"/>
    <w:rsid w:val="00BB371A"/>
    <w:rsid w:val="00BC02D7"/>
    <w:rsid w:val="00BD01EC"/>
    <w:rsid w:val="00BD7B25"/>
    <w:rsid w:val="00BE1ACE"/>
    <w:rsid w:val="00BE1AFF"/>
    <w:rsid w:val="00BE6E63"/>
    <w:rsid w:val="00BF57C0"/>
    <w:rsid w:val="00BF74E9"/>
    <w:rsid w:val="00C102D2"/>
    <w:rsid w:val="00C165DE"/>
    <w:rsid w:val="00C247CB"/>
    <w:rsid w:val="00C25830"/>
    <w:rsid w:val="00C360BD"/>
    <w:rsid w:val="00C42994"/>
    <w:rsid w:val="00C44E48"/>
    <w:rsid w:val="00C476E1"/>
    <w:rsid w:val="00C52E77"/>
    <w:rsid w:val="00C566B3"/>
    <w:rsid w:val="00C6445C"/>
    <w:rsid w:val="00C65249"/>
    <w:rsid w:val="00C67B32"/>
    <w:rsid w:val="00C729E0"/>
    <w:rsid w:val="00C75C83"/>
    <w:rsid w:val="00C8118A"/>
    <w:rsid w:val="00C94F48"/>
    <w:rsid w:val="00CA543F"/>
    <w:rsid w:val="00CB0C1D"/>
    <w:rsid w:val="00CC5AA2"/>
    <w:rsid w:val="00CC721A"/>
    <w:rsid w:val="00CD0963"/>
    <w:rsid w:val="00CD7A54"/>
    <w:rsid w:val="00CE3D42"/>
    <w:rsid w:val="00CE53E6"/>
    <w:rsid w:val="00CF4188"/>
    <w:rsid w:val="00CF6131"/>
    <w:rsid w:val="00CF71DC"/>
    <w:rsid w:val="00D044A8"/>
    <w:rsid w:val="00D06EAA"/>
    <w:rsid w:val="00D16410"/>
    <w:rsid w:val="00D21DBC"/>
    <w:rsid w:val="00D32F64"/>
    <w:rsid w:val="00D35D4B"/>
    <w:rsid w:val="00D35E91"/>
    <w:rsid w:val="00D36733"/>
    <w:rsid w:val="00D421F1"/>
    <w:rsid w:val="00D43DB3"/>
    <w:rsid w:val="00D471B5"/>
    <w:rsid w:val="00D571DB"/>
    <w:rsid w:val="00D66BC6"/>
    <w:rsid w:val="00D6774D"/>
    <w:rsid w:val="00D71D87"/>
    <w:rsid w:val="00D75191"/>
    <w:rsid w:val="00D80929"/>
    <w:rsid w:val="00D85254"/>
    <w:rsid w:val="00D902F0"/>
    <w:rsid w:val="00DB438A"/>
    <w:rsid w:val="00DC1B3F"/>
    <w:rsid w:val="00DC4FFC"/>
    <w:rsid w:val="00DF6BE4"/>
    <w:rsid w:val="00E02BBE"/>
    <w:rsid w:val="00E063C0"/>
    <w:rsid w:val="00E157BC"/>
    <w:rsid w:val="00E2148D"/>
    <w:rsid w:val="00E50E4A"/>
    <w:rsid w:val="00E62995"/>
    <w:rsid w:val="00E674B5"/>
    <w:rsid w:val="00E80A72"/>
    <w:rsid w:val="00E91F5F"/>
    <w:rsid w:val="00E940FA"/>
    <w:rsid w:val="00EA6F59"/>
    <w:rsid w:val="00EB12DD"/>
    <w:rsid w:val="00EB153E"/>
    <w:rsid w:val="00EB57EB"/>
    <w:rsid w:val="00ED0E57"/>
    <w:rsid w:val="00ED3547"/>
    <w:rsid w:val="00ED50CF"/>
    <w:rsid w:val="00EE057E"/>
    <w:rsid w:val="00EF18C7"/>
    <w:rsid w:val="00F07310"/>
    <w:rsid w:val="00F1152F"/>
    <w:rsid w:val="00F207B3"/>
    <w:rsid w:val="00F5486B"/>
    <w:rsid w:val="00F55ECB"/>
    <w:rsid w:val="00F61BC9"/>
    <w:rsid w:val="00F658E0"/>
    <w:rsid w:val="00F859B7"/>
    <w:rsid w:val="00FA3418"/>
    <w:rsid w:val="00FB495F"/>
    <w:rsid w:val="00FB55A0"/>
    <w:rsid w:val="00FC1C44"/>
    <w:rsid w:val="00FC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503B2"/>
  <w15:chartTrackingRefBased/>
  <w15:docId w15:val="{6A062AA3-7B8C-4B9D-A5D4-1F4CAD76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48B2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BalloonText">
    <w:name w:val="Balloon Text"/>
    <w:basedOn w:val="Normal"/>
    <w:link w:val="BalloonTextChar"/>
    <w:rsid w:val="00C8118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8118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971B30"/>
  </w:style>
  <w:style w:type="paragraph" w:styleId="TOC2">
    <w:name w:val="toc 2"/>
    <w:basedOn w:val="Normal"/>
    <w:next w:val="Normal"/>
    <w:autoRedefine/>
    <w:uiPriority w:val="39"/>
    <w:rsid w:val="00971B30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3B654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B2A90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7.png@01D51F8C.54D4275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23383-BD43-4DAE-B4CB-A11C80DD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</TotalTime>
  <Pages>1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5866</CharactersWithSpaces>
  <SharedDoc>false</SharedDoc>
  <HLinks>
    <vt:vector size="102" baseType="variant"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48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5767185</vt:i4>
      </vt:variant>
      <vt:variant>
        <vt:i4>45</vt:i4>
      </vt:variant>
      <vt:variant>
        <vt:i4>0</vt:i4>
      </vt:variant>
      <vt:variant>
        <vt:i4>5</vt:i4>
      </vt:variant>
      <vt:variant>
        <vt:lpwstr>CMS-2-005164</vt:lpwstr>
      </vt:variant>
      <vt:variant>
        <vt:lpwstr/>
      </vt:variant>
      <vt:variant>
        <vt:i4>5898325</vt:i4>
      </vt:variant>
      <vt:variant>
        <vt:i4>42</vt:i4>
      </vt:variant>
      <vt:variant>
        <vt:i4>0</vt:i4>
      </vt:variant>
      <vt:variant>
        <vt:i4>5</vt:i4>
      </vt:variant>
      <vt:variant>
        <vt:lpwstr>../../AppData/Local/Microsoft/Windows/AppData/Local/Microsoft/Windows/Downloads/CMS-2-017428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5439577</vt:i4>
      </vt:variant>
      <vt:variant>
        <vt:i4>33</vt:i4>
      </vt:variant>
      <vt:variant>
        <vt:i4>0</vt:i4>
      </vt:variant>
      <vt:variant>
        <vt:i4>5</vt:i4>
      </vt:variant>
      <vt:variant>
        <vt:lpwstr>../../AppData/Local/Microsoft/Windows/AppData/Local/Microsoft/Windows/Downloads/CMS-2-010590</vt:lpwstr>
      </vt:variant>
      <vt:variant>
        <vt:lpwstr/>
      </vt:variant>
      <vt:variant>
        <vt:i4>5242975</vt:i4>
      </vt:variant>
      <vt:variant>
        <vt:i4>30</vt:i4>
      </vt:variant>
      <vt:variant>
        <vt:i4>0</vt:i4>
      </vt:variant>
      <vt:variant>
        <vt:i4>5</vt:i4>
      </vt:variant>
      <vt:variant>
        <vt:lpwstr>../../AppData/Local/Microsoft/Windows/AppData/Local/Microsoft/Windows/Downloads/CMS-2-029267</vt:lpwstr>
      </vt:variant>
      <vt:variant>
        <vt:lpwstr/>
      </vt:variant>
      <vt:variant>
        <vt:i4>2883704</vt:i4>
      </vt:variant>
      <vt:variant>
        <vt:i4>27</vt:i4>
      </vt:variant>
      <vt:variant>
        <vt:i4>0</vt:i4>
      </vt:variant>
      <vt:variant>
        <vt:i4>5</vt:i4>
      </vt:variant>
      <vt:variant>
        <vt:lpwstr>../../AppData/Local/Microsoft/Windows/AppData/Local/Microsoft/Windows/Downloads/CMS-PCP1-030449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1048581</vt:i4>
      </vt:variant>
      <vt:variant>
        <vt:i4>18</vt:i4>
      </vt:variant>
      <vt:variant>
        <vt:i4>0</vt:i4>
      </vt:variant>
      <vt:variant>
        <vt:i4>5</vt:i4>
      </vt:variant>
      <vt:variant>
        <vt:lpwstr>TSRC-PROD-021696</vt:lpwstr>
      </vt:variant>
      <vt:variant>
        <vt:lpwstr/>
      </vt:variant>
      <vt:variant>
        <vt:i4>2883704</vt:i4>
      </vt:variant>
      <vt:variant>
        <vt:i4>15</vt:i4>
      </vt:variant>
      <vt:variant>
        <vt:i4>0</vt:i4>
      </vt:variant>
      <vt:variant>
        <vt:i4>5</vt:i4>
      </vt:variant>
      <vt:variant>
        <vt:lpwstr>../../AppData/Local/Microsoft/Windows/AppData/Local/Microsoft/Windows/Downloads/CMS-PCP1-030449</vt:lpwstr>
      </vt:variant>
      <vt:variant>
        <vt:lpwstr/>
      </vt:variant>
      <vt:variant>
        <vt:i4>1310777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_Toc74582699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_Toc74582698</vt:lpwstr>
      </vt:variant>
      <vt:variant>
        <vt:i4>1703993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_Toc74582697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_Toc74582696</vt:lpwstr>
      </vt:variant>
      <vt:variant>
        <vt:i4>3997709</vt:i4>
      </vt:variant>
      <vt:variant>
        <vt:i4>4417</vt:i4>
      </vt:variant>
      <vt:variant>
        <vt:i4>1027</vt:i4>
      </vt:variant>
      <vt:variant>
        <vt:i4>1</vt:i4>
      </vt:variant>
      <vt:variant>
        <vt:lpwstr>cid:image007.png@01D51F8C.54D42750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8</cp:revision>
  <cp:lastPrinted>2007-01-03T18:56:00Z</cp:lastPrinted>
  <dcterms:created xsi:type="dcterms:W3CDTF">2025-05-09T13:59:00Z</dcterms:created>
  <dcterms:modified xsi:type="dcterms:W3CDTF">2025-06-04T19:33:00Z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2023-05-18T19:16:19Z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bcd2f144-e4c8-4348-b824-4035c72fffa5</vt:lpwstr>
  </property>
  <property fmtid="{D5CDD505-2E9C-101B-9397-08002B2CF9AE}" pid="8" name="MSIP_Label_67599526-06ca-49cc-9fa9-5307800a949a_ContentBits">
    <vt:lpwstr>0</vt:lpwstr>
  </property>
</Properties>
</file>