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DA816" w14:textId="77777777" w:rsidR="000E353B" w:rsidRDefault="00F570EF" w:rsidP="00C126A7">
      <w:pPr>
        <w:pStyle w:val="Heading1"/>
        <w:rPr>
          <w:noProof/>
        </w:rPr>
      </w:pPr>
      <w:bookmarkStart w:id="0" w:name="_top"/>
      <w:bookmarkEnd w:id="0"/>
      <w:r w:rsidRPr="00F3462C">
        <w:rPr>
          <w:rFonts w:ascii="Verdana" w:hAnsi="Verdana"/>
          <w:color w:val="000000" w:themeColor="text1"/>
          <w:sz w:val="36"/>
          <w:szCs w:val="36"/>
        </w:rPr>
        <w:t xml:space="preserve">Compass </w:t>
      </w:r>
      <w:r w:rsidR="00AF28A6" w:rsidRPr="00F3462C">
        <w:rPr>
          <w:rFonts w:ascii="Verdana" w:hAnsi="Verdana"/>
          <w:color w:val="000000" w:themeColor="text1"/>
          <w:sz w:val="36"/>
          <w:szCs w:val="36"/>
        </w:rPr>
        <w:t xml:space="preserve">- </w:t>
      </w:r>
      <w:r w:rsidR="00481946" w:rsidRPr="00F3462C">
        <w:rPr>
          <w:rFonts w:ascii="Verdana" w:hAnsi="Verdana"/>
          <w:color w:val="000000" w:themeColor="text1"/>
          <w:sz w:val="36"/>
          <w:szCs w:val="36"/>
        </w:rPr>
        <w:t>Ship Consolidation (Same Day Shipments)</w:t>
      </w:r>
      <w:r w:rsidR="009355D1" w:rsidRPr="00F3462C" w:rsidDel="009355D1">
        <w:rPr>
          <w:rFonts w:ascii="Verdana" w:hAnsi="Verdana"/>
          <w:color w:val="000000" w:themeColor="text1"/>
          <w:sz w:val="36"/>
          <w:szCs w:val="36"/>
        </w:rPr>
        <w:t xml:space="preserve"> </w:t>
      </w:r>
      <w:r w:rsidR="001D17FB" w:rsidRPr="00F3462C">
        <w:rPr>
          <w:rFonts w:ascii="Verdana" w:hAnsi="Verdana"/>
          <w:color w:val="000000" w:themeColor="text1"/>
          <w:sz w:val="36"/>
          <w:szCs w:val="36"/>
        </w:rPr>
        <w:fldChar w:fldCharType="begin"/>
      </w:r>
      <w:r w:rsidR="001D17FB" w:rsidRPr="00F3462C">
        <w:rPr>
          <w:rFonts w:ascii="Verdana" w:hAnsi="Verdana"/>
          <w:color w:val="000000" w:themeColor="text1"/>
          <w:sz w:val="36"/>
          <w:szCs w:val="36"/>
        </w:rPr>
        <w:instrText xml:space="preserve"> TOC \o "2-2" \n \p " " \h \z \u </w:instrText>
      </w:r>
      <w:r w:rsidR="001D17FB" w:rsidRPr="00F3462C">
        <w:rPr>
          <w:rFonts w:ascii="Verdana" w:hAnsi="Verdana"/>
          <w:color w:val="000000" w:themeColor="text1"/>
          <w:sz w:val="36"/>
          <w:szCs w:val="36"/>
        </w:rPr>
        <w:fldChar w:fldCharType="separate"/>
      </w:r>
    </w:p>
    <w:p w14:paraId="46860179" w14:textId="48BFBAE4" w:rsidR="000E353B" w:rsidRDefault="000E353B">
      <w:pPr>
        <w:pStyle w:val="TOC2"/>
        <w:rPr>
          <w:rFonts w:asciiTheme="minorHAnsi" w:eastAsiaTheme="minorEastAsia" w:hAnsiTheme="minorHAnsi" w:cstheme="minorBidi"/>
          <w:noProof/>
          <w:kern w:val="2"/>
          <w14:ligatures w14:val="standardContextual"/>
        </w:rPr>
      </w:pPr>
      <w:hyperlink w:anchor="_Toc208236007" w:history="1">
        <w:r w:rsidRPr="002E4ED8">
          <w:rPr>
            <w:rStyle w:val="Hyperlink"/>
            <w:rFonts w:ascii="Verdana" w:hAnsi="Verdana"/>
            <w:noProof/>
          </w:rPr>
          <w:t>Process</w:t>
        </w:r>
      </w:hyperlink>
    </w:p>
    <w:p w14:paraId="1DF3629D" w14:textId="68E15671" w:rsidR="000E353B" w:rsidRDefault="000E353B">
      <w:pPr>
        <w:pStyle w:val="TOC2"/>
        <w:rPr>
          <w:rFonts w:asciiTheme="minorHAnsi" w:eastAsiaTheme="minorEastAsia" w:hAnsiTheme="minorHAnsi" w:cstheme="minorBidi"/>
          <w:noProof/>
          <w:kern w:val="2"/>
          <w14:ligatures w14:val="standardContextual"/>
        </w:rPr>
      </w:pPr>
      <w:hyperlink w:anchor="_Toc208236008" w:history="1">
        <w:r w:rsidRPr="002E4ED8">
          <w:rPr>
            <w:rStyle w:val="Hyperlink"/>
            <w:rFonts w:ascii="Verdana" w:hAnsi="Verdana"/>
            <w:noProof/>
          </w:rPr>
          <w:t>IVR Status</w:t>
        </w:r>
      </w:hyperlink>
    </w:p>
    <w:p w14:paraId="1D1AEAD8" w14:textId="457EEC6C" w:rsidR="000E353B" w:rsidRDefault="000E353B">
      <w:pPr>
        <w:pStyle w:val="TOC2"/>
        <w:rPr>
          <w:rFonts w:asciiTheme="minorHAnsi" w:eastAsiaTheme="minorEastAsia" w:hAnsiTheme="minorHAnsi" w:cstheme="minorBidi"/>
          <w:noProof/>
          <w:kern w:val="2"/>
          <w14:ligatures w14:val="standardContextual"/>
        </w:rPr>
      </w:pPr>
      <w:hyperlink w:anchor="_Toc208236009" w:history="1">
        <w:r w:rsidRPr="002E4ED8">
          <w:rPr>
            <w:rStyle w:val="Hyperlink"/>
            <w:rFonts w:ascii="Verdana" w:hAnsi="Verdana"/>
            <w:noProof/>
          </w:rPr>
          <w:t>Member Web Portal Consolidated Orders</w:t>
        </w:r>
      </w:hyperlink>
    </w:p>
    <w:p w14:paraId="2CB010B9" w14:textId="1F47DF62" w:rsidR="000E353B" w:rsidRDefault="000E353B">
      <w:pPr>
        <w:pStyle w:val="TOC2"/>
        <w:rPr>
          <w:rFonts w:asciiTheme="minorHAnsi" w:eastAsiaTheme="minorEastAsia" w:hAnsiTheme="minorHAnsi" w:cstheme="minorBidi"/>
          <w:noProof/>
          <w:kern w:val="2"/>
          <w14:ligatures w14:val="standardContextual"/>
        </w:rPr>
      </w:pPr>
      <w:hyperlink w:anchor="_Toc208236010" w:history="1">
        <w:r w:rsidRPr="002E4ED8">
          <w:rPr>
            <w:rStyle w:val="Hyperlink"/>
            <w:rFonts w:ascii="Verdana" w:hAnsi="Verdana"/>
            <w:noProof/>
          </w:rPr>
          <w:t>Related Documents</w:t>
        </w:r>
      </w:hyperlink>
    </w:p>
    <w:p w14:paraId="313ADC8A" w14:textId="77777777" w:rsidR="00177276" w:rsidRPr="00F3462C" w:rsidRDefault="001D17FB" w:rsidP="00C126A7">
      <w:pPr>
        <w:rPr>
          <w:rFonts w:ascii="Verdana" w:hAnsi="Verdana"/>
        </w:rPr>
      </w:pPr>
      <w:r w:rsidRPr="00F3462C">
        <w:rPr>
          <w:rFonts w:ascii="Verdana" w:hAnsi="Verdana"/>
          <w:sz w:val="36"/>
          <w:szCs w:val="36"/>
        </w:rPr>
        <w:fldChar w:fldCharType="end"/>
      </w:r>
      <w:r w:rsidR="0055522F" w:rsidRPr="00F3462C">
        <w:rPr>
          <w:rFonts w:ascii="Verdana" w:hAnsi="Verdana"/>
          <w:color w:val="000000"/>
        </w:rPr>
        <w:t xml:space="preserve"> </w:t>
      </w:r>
    </w:p>
    <w:p w14:paraId="3268C77C" w14:textId="121DDF19" w:rsidR="001D17FB" w:rsidRPr="00F3462C" w:rsidRDefault="00A07094" w:rsidP="004614DE">
      <w:pPr>
        <w:spacing w:before="120" w:after="120"/>
        <w:rPr>
          <w:rFonts w:ascii="Verdana" w:hAnsi="Verdana"/>
        </w:rPr>
      </w:pPr>
      <w:r w:rsidRPr="00F3462C">
        <w:rPr>
          <w:rFonts w:ascii="Verdana" w:hAnsi="Verdana"/>
          <w:b/>
          <w:bCs/>
          <w:color w:val="000000" w:themeColor="text1"/>
        </w:rPr>
        <w:t>Description</w:t>
      </w:r>
      <w:r w:rsidR="00B90877">
        <w:rPr>
          <w:rFonts w:ascii="Verdana" w:hAnsi="Verdana"/>
          <w:b/>
          <w:bCs/>
          <w:color w:val="000000" w:themeColor="text1"/>
        </w:rPr>
        <w:t xml:space="preserve">: </w:t>
      </w:r>
      <w:bookmarkStart w:id="1" w:name="OLE_LINK1"/>
      <w:r w:rsidR="00AF28A6" w:rsidRPr="00F3462C">
        <w:rPr>
          <w:rFonts w:ascii="Verdana" w:hAnsi="Verdana"/>
          <w:color w:val="000000" w:themeColor="text1"/>
        </w:rPr>
        <w:t>H</w:t>
      </w:r>
      <w:r w:rsidR="001D17FB" w:rsidRPr="00F3462C">
        <w:rPr>
          <w:rFonts w:ascii="Verdana" w:hAnsi="Verdana"/>
          <w:color w:val="000000" w:themeColor="text1"/>
        </w:rPr>
        <w:t xml:space="preserve">ow the </w:t>
      </w:r>
      <w:r w:rsidR="001D17FB" w:rsidRPr="00F3462C">
        <w:rPr>
          <w:rFonts w:ascii="Verdana" w:hAnsi="Verdana"/>
        </w:rPr>
        <w:t>Mail Order facility will determine if there is more than one order for the same member</w:t>
      </w:r>
      <w:r w:rsidR="009977C3" w:rsidRPr="00F3462C">
        <w:rPr>
          <w:rFonts w:ascii="Verdana" w:hAnsi="Verdana"/>
        </w:rPr>
        <w:t>’</w:t>
      </w:r>
      <w:r w:rsidR="001D17FB" w:rsidRPr="00F3462C">
        <w:rPr>
          <w:rFonts w:ascii="Verdana" w:hAnsi="Verdana"/>
        </w:rPr>
        <w:t>s address received on the same day that can be consolidated with one another</w:t>
      </w:r>
      <w:r w:rsidR="008C5F31" w:rsidRPr="00F3462C">
        <w:rPr>
          <w:rFonts w:ascii="Verdana" w:hAnsi="Verdana"/>
        </w:rPr>
        <w:t>. T</w:t>
      </w:r>
      <w:r w:rsidR="001D17FB" w:rsidRPr="00F3462C">
        <w:rPr>
          <w:rFonts w:ascii="Verdana" w:hAnsi="Verdana"/>
        </w:rPr>
        <w:t xml:space="preserve">hey will send a single shipment to the </w:t>
      </w:r>
      <w:proofErr w:type="gramStart"/>
      <w:r w:rsidR="001D17FB" w:rsidRPr="00F3462C">
        <w:rPr>
          <w:rFonts w:ascii="Verdana" w:hAnsi="Verdana"/>
        </w:rPr>
        <w:t>member</w:t>
      </w:r>
      <w:proofErr w:type="gramEnd"/>
      <w:r w:rsidR="001D17FB" w:rsidRPr="00F3462C">
        <w:rPr>
          <w:rFonts w:ascii="Verdana" w:hAnsi="Verdana"/>
        </w:rPr>
        <w:t>. Members will not be able to opt out of this consolidation process.</w:t>
      </w:r>
      <w:bookmarkEnd w:id="1"/>
    </w:p>
    <w:p w14:paraId="738CAAB5" w14:textId="0821CC01" w:rsidR="5F505BCE" w:rsidRPr="00F3462C" w:rsidRDefault="5F505BCE" w:rsidP="00AB2B82">
      <w:pPr>
        <w:spacing w:before="120" w:after="120"/>
        <w:rPr>
          <w:rFonts w:ascii="Verdana" w:eastAsia="Verdana" w:hAnsi="Verdana" w:cs="Verdana"/>
        </w:rPr>
      </w:pPr>
      <w:r w:rsidRPr="00F3462C">
        <w:rPr>
          <w:rFonts w:ascii="Verdana" w:eastAsia="Verdana" w:hAnsi="Verdana" w:cs="Verdana"/>
        </w:rPr>
        <w:t>Prescription shipments are considered for consolidation regardless of how they were received (</w:t>
      </w:r>
      <w:r w:rsidRPr="00F3462C">
        <w:rPr>
          <w:rFonts w:ascii="Verdana" w:eastAsia="Verdana" w:hAnsi="Verdana" w:cs="Verdana"/>
          <w:b/>
          <w:bCs/>
        </w:rPr>
        <w:t>Examples</w:t>
      </w:r>
      <w:r w:rsidR="00B90877">
        <w:rPr>
          <w:rFonts w:ascii="Verdana" w:eastAsia="Verdana" w:hAnsi="Verdana" w:cs="Verdana"/>
          <w:b/>
          <w:bCs/>
        </w:rPr>
        <w:t xml:space="preserve">: </w:t>
      </w:r>
      <w:r w:rsidRPr="00DC3745">
        <w:rPr>
          <w:rFonts w:ascii="Verdana" w:eastAsia="Verdana" w:hAnsi="Verdana" w:cs="Verdana"/>
        </w:rPr>
        <w:t>CCR</w:t>
      </w:r>
      <w:r w:rsidRPr="00F3462C">
        <w:rPr>
          <w:rFonts w:ascii="Verdana" w:eastAsia="Verdana" w:hAnsi="Verdana" w:cs="Verdana"/>
        </w:rPr>
        <w:t>, IVR, Portal, eFax, DR phone call, mail etc.</w:t>
      </w:r>
      <w:r w:rsidR="329DACD7" w:rsidRPr="00F3462C">
        <w:rPr>
          <w:rFonts w:ascii="Verdana" w:eastAsia="Verdana" w:hAnsi="Verdana" w:cs="Verdan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2294C" w:rsidRPr="00F3462C" w14:paraId="4D5B2D19" w14:textId="77777777" w:rsidTr="009E09E3">
        <w:tc>
          <w:tcPr>
            <w:tcW w:w="5000" w:type="pct"/>
            <w:shd w:val="clear" w:color="auto" w:fill="C0C0C0"/>
          </w:tcPr>
          <w:p w14:paraId="1EF8E44D" w14:textId="77777777" w:rsidR="0032294C" w:rsidRPr="00F3462C" w:rsidRDefault="001D17FB" w:rsidP="00AF34B3">
            <w:pPr>
              <w:pStyle w:val="Heading2"/>
              <w:spacing w:before="120" w:after="120"/>
              <w:rPr>
                <w:rFonts w:ascii="Verdana" w:hAnsi="Verdana"/>
                <w:i w:val="0"/>
                <w:iCs w:val="0"/>
              </w:rPr>
            </w:pPr>
            <w:bookmarkStart w:id="2" w:name="_Overview"/>
            <w:bookmarkStart w:id="3" w:name="_Toc174370676"/>
            <w:bookmarkStart w:id="4" w:name="_Toc208236007"/>
            <w:bookmarkEnd w:id="2"/>
            <w:r w:rsidRPr="00F3462C">
              <w:rPr>
                <w:rFonts w:ascii="Verdana" w:hAnsi="Verdana"/>
                <w:i w:val="0"/>
                <w:iCs w:val="0"/>
              </w:rPr>
              <w:t>Process</w:t>
            </w:r>
            <w:bookmarkEnd w:id="3"/>
            <w:bookmarkEnd w:id="4"/>
          </w:p>
        </w:tc>
      </w:tr>
    </w:tbl>
    <w:p w14:paraId="0582C8D3" w14:textId="5A174196" w:rsidR="001D17FB" w:rsidRPr="00F3462C" w:rsidRDefault="001B311E" w:rsidP="004614DE">
      <w:pPr>
        <w:spacing w:before="120" w:after="120"/>
        <w:rPr>
          <w:rFonts w:ascii="Verdana" w:hAnsi="Verdana"/>
        </w:rPr>
      </w:pPr>
      <w:r w:rsidRPr="00F3462C">
        <w:rPr>
          <w:rFonts w:ascii="Verdana" w:hAnsi="Verdana"/>
          <w:b/>
          <w:noProof/>
        </w:rPr>
        <w:drawing>
          <wp:inline distT="0" distB="0" distL="0" distR="0" wp14:anchorId="5A204C8C" wp14:editId="1ED485A1">
            <wp:extent cx="233680" cy="21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A74147" w:rsidRPr="00F3462C">
        <w:rPr>
          <w:rFonts w:ascii="Verdana" w:hAnsi="Verdana"/>
          <w:b/>
        </w:rPr>
        <w:t xml:space="preserve"> </w:t>
      </w:r>
      <w:r w:rsidR="001D17FB" w:rsidRPr="00F3462C">
        <w:rPr>
          <w:rFonts w:ascii="Verdana" w:hAnsi="Verdana"/>
          <w:b/>
        </w:rPr>
        <w:t>HIPAA and state regulations will be carefully followed so that our members’ personal health information (PHI) is not compromised.</w:t>
      </w:r>
      <w:r w:rsidR="001D17FB" w:rsidRPr="00F3462C">
        <w:rPr>
          <w:rFonts w:ascii="Verdana" w:hAnsi="Verdana"/>
        </w:rPr>
        <w:t xml:space="preserve"> The Mail Order facility will work within a set of configurable rules to determine if there are any orders being sent to the same address that can be consolidated with one another. Consolidated orders will </w:t>
      </w:r>
      <w:r w:rsidR="00A74147" w:rsidRPr="00F3462C">
        <w:rPr>
          <w:rFonts w:ascii="Verdana" w:hAnsi="Verdana"/>
          <w:b/>
        </w:rPr>
        <w:t>not</w:t>
      </w:r>
      <w:r w:rsidR="00A74147" w:rsidRPr="00F3462C">
        <w:rPr>
          <w:rFonts w:ascii="Verdana" w:hAnsi="Verdana"/>
        </w:rPr>
        <w:t xml:space="preserve"> </w:t>
      </w:r>
      <w:r w:rsidR="001D17FB" w:rsidRPr="00F3462C">
        <w:rPr>
          <w:rFonts w:ascii="Verdana" w:hAnsi="Verdana"/>
        </w:rPr>
        <w:t>be sent if the receiving member is not an authorized party on the other member’s account, or if members share an address but have different accounts.</w:t>
      </w:r>
    </w:p>
    <w:p w14:paraId="26F4DD42" w14:textId="77777777" w:rsidR="0012257D" w:rsidRPr="00F3462C" w:rsidRDefault="0012257D" w:rsidP="004614DE">
      <w:pPr>
        <w:spacing w:before="120" w:after="120"/>
        <w:rPr>
          <w:rFonts w:ascii="Verdana" w:hAnsi="Verdana"/>
          <w:color w:val="000000"/>
        </w:rPr>
      </w:pPr>
    </w:p>
    <w:p w14:paraId="75661000" w14:textId="74435C8C" w:rsidR="000313D4" w:rsidRPr="00F3462C" w:rsidRDefault="000313D4" w:rsidP="00AF34B3">
      <w:pPr>
        <w:spacing w:before="120" w:after="120"/>
        <w:rPr>
          <w:rFonts w:ascii="Verdana" w:hAnsi="Verdana"/>
          <w:color w:val="000000"/>
        </w:rPr>
      </w:pPr>
      <w:r w:rsidRPr="00F3462C">
        <w:rPr>
          <w:rFonts w:ascii="Verdana" w:hAnsi="Verdana"/>
          <w:color w:val="000000" w:themeColor="text1"/>
        </w:rPr>
        <w:t xml:space="preserve">The affected  </w:t>
      </w:r>
      <w:r w:rsidR="0A8FA817" w:rsidRPr="00F3462C">
        <w:rPr>
          <w:rFonts w:ascii="Verdana" w:hAnsi="Verdana"/>
          <w:color w:val="000000" w:themeColor="text1"/>
        </w:rPr>
        <w:t xml:space="preserve">prescriptions </w:t>
      </w:r>
      <w:r w:rsidRPr="00F3462C">
        <w:rPr>
          <w:rFonts w:ascii="Verdana" w:hAnsi="Verdana"/>
          <w:color w:val="000000" w:themeColor="text1"/>
        </w:rPr>
        <w:t xml:space="preserve">keep their original  </w:t>
      </w:r>
      <w:r w:rsidR="1104CDD7" w:rsidRPr="00F3462C">
        <w:rPr>
          <w:rFonts w:ascii="Verdana" w:hAnsi="Verdana"/>
          <w:color w:val="000000" w:themeColor="text1"/>
        </w:rPr>
        <w:t>presc</w:t>
      </w:r>
      <w:r w:rsidR="0497F0B9" w:rsidRPr="00F3462C">
        <w:rPr>
          <w:rFonts w:ascii="Verdana" w:hAnsi="Verdana"/>
          <w:color w:val="000000" w:themeColor="text1"/>
        </w:rPr>
        <w:t>ri</w:t>
      </w:r>
      <w:r w:rsidR="1104CDD7" w:rsidRPr="00F3462C">
        <w:rPr>
          <w:rFonts w:ascii="Verdana" w:hAnsi="Verdana"/>
          <w:color w:val="000000" w:themeColor="text1"/>
        </w:rPr>
        <w:t xml:space="preserve">ption </w:t>
      </w:r>
      <w:r w:rsidRPr="00F3462C">
        <w:rPr>
          <w:rFonts w:ascii="Verdana" w:hAnsi="Verdana"/>
          <w:color w:val="000000" w:themeColor="text1"/>
        </w:rPr>
        <w:t>numbers but will be shipped together</w:t>
      </w:r>
      <w:r w:rsidR="33A4EDE7" w:rsidRPr="00F3462C">
        <w:rPr>
          <w:rFonts w:ascii="Verdana" w:hAnsi="Verdana"/>
          <w:color w:val="000000" w:themeColor="text1"/>
        </w:rPr>
        <w:t xml:space="preserve"> in one Order Number</w:t>
      </w:r>
      <w:r w:rsidR="00A60F84">
        <w:rPr>
          <w:rFonts w:ascii="Verdana" w:hAnsi="Verdana"/>
          <w:color w:val="000000"/>
        </w:rPr>
        <w:t xml:space="preserve">. </w:t>
      </w:r>
      <w:r w:rsidRPr="00F3462C">
        <w:rPr>
          <w:rFonts w:ascii="Verdana" w:hAnsi="Verdana"/>
          <w:color w:val="000000"/>
        </w:rPr>
        <w:t xml:space="preserve">This can include multiple orders for the same member or orders for multiple family members. </w:t>
      </w:r>
    </w:p>
    <w:p w14:paraId="6645ABCE" w14:textId="77777777" w:rsidR="004614DE" w:rsidRPr="00F3462C" w:rsidRDefault="004614DE" w:rsidP="004614DE">
      <w:pPr>
        <w:spacing w:before="120" w:after="120"/>
        <w:rPr>
          <w:rFonts w:ascii="Verdana" w:hAnsi="Verdana"/>
          <w:color w:val="000000"/>
        </w:rPr>
      </w:pPr>
    </w:p>
    <w:p w14:paraId="6780C051" w14:textId="60113944" w:rsidR="000313D4" w:rsidRPr="00AB2B82" w:rsidRDefault="00000000" w:rsidP="00AB2B82">
      <w:pPr>
        <w:spacing w:before="120" w:after="120"/>
        <w:rPr>
          <w:rFonts w:ascii="Verdana" w:hAnsi="Verdana"/>
          <w:color w:val="000000"/>
        </w:rPr>
      </w:pPr>
      <w:r>
        <w:rPr>
          <w:rFonts w:ascii="Verdana" w:hAnsi="Verdana"/>
        </w:rPr>
        <w:pict w14:anchorId="7691A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18.75pt;height:17.25pt;visibility:visible">
            <v:imagedata r:id="rId12" o:title=""/>
          </v:shape>
        </w:pict>
      </w:r>
      <w:r w:rsidR="00EA112F">
        <w:rPr>
          <w:rFonts w:ascii="Verdana" w:hAnsi="Verdana"/>
          <w:color w:val="000000"/>
        </w:rPr>
        <w:t xml:space="preserve"> </w:t>
      </w:r>
      <w:r w:rsidR="000313D4" w:rsidRPr="00AB2B82">
        <w:rPr>
          <w:rFonts w:ascii="Verdana" w:hAnsi="Verdana"/>
          <w:color w:val="000000"/>
        </w:rPr>
        <w:t xml:space="preserve">Consolidated orders will </w:t>
      </w:r>
      <w:r w:rsidR="000313D4" w:rsidRPr="00AB2B82">
        <w:rPr>
          <w:rFonts w:ascii="Verdana" w:hAnsi="Verdana"/>
          <w:b/>
          <w:bCs/>
          <w:color w:val="000000"/>
        </w:rPr>
        <w:t>NOT</w:t>
      </w:r>
      <w:r w:rsidR="000313D4" w:rsidRPr="00AB2B82">
        <w:rPr>
          <w:rFonts w:ascii="Verdana" w:hAnsi="Verdana"/>
          <w:color w:val="000000"/>
        </w:rPr>
        <w:t xml:space="preserve"> be sent if the receiving member is not an authorized party on the other member’s account or if members share an address but have different accounts.</w:t>
      </w:r>
    </w:p>
    <w:p w14:paraId="515EC80E" w14:textId="63BCAD8C" w:rsidR="000313D4" w:rsidRPr="00F3462C" w:rsidRDefault="000313D4" w:rsidP="00AB2B82">
      <w:pPr>
        <w:spacing w:before="120" w:after="120"/>
        <w:rPr>
          <w:rFonts w:ascii="Verdana" w:hAnsi="Verdana"/>
          <w:b/>
          <w:color w:val="000000"/>
        </w:rPr>
      </w:pPr>
      <w:r w:rsidRPr="00F3462C">
        <w:rPr>
          <w:rFonts w:ascii="Verdana" w:hAnsi="Verdana"/>
          <w:b/>
          <w:color w:val="000000"/>
        </w:rPr>
        <w:t>Examples</w:t>
      </w:r>
      <w:r w:rsidR="00B90877">
        <w:rPr>
          <w:rFonts w:ascii="Verdana" w:hAnsi="Verdana"/>
          <w:b/>
          <w:color w:val="000000"/>
        </w:rPr>
        <w:t xml:space="preserve">: </w:t>
      </w:r>
    </w:p>
    <w:p w14:paraId="3C2D98C1" w14:textId="70E35946" w:rsidR="000313D4" w:rsidRPr="00AB2B82" w:rsidRDefault="000313D4" w:rsidP="00DE3EBB">
      <w:pPr>
        <w:pStyle w:val="ListParagraph"/>
        <w:numPr>
          <w:ilvl w:val="0"/>
          <w:numId w:val="4"/>
        </w:numPr>
        <w:spacing w:before="120" w:after="120"/>
        <w:rPr>
          <w:rFonts w:ascii="Verdana" w:hAnsi="Verdana"/>
          <w:color w:val="000000"/>
        </w:rPr>
      </w:pPr>
      <w:r w:rsidRPr="00AB2B82">
        <w:rPr>
          <w:rFonts w:ascii="Verdana" w:hAnsi="Verdana"/>
          <w:color w:val="000000"/>
        </w:rPr>
        <w:t>Two adults may not be consolidated into a single unless permission has been granted</w:t>
      </w:r>
      <w:r w:rsidR="004614DE" w:rsidRPr="00AB2B82">
        <w:rPr>
          <w:rFonts w:ascii="Verdana" w:hAnsi="Verdana"/>
          <w:color w:val="000000"/>
        </w:rPr>
        <w:t xml:space="preserve">. </w:t>
      </w:r>
    </w:p>
    <w:p w14:paraId="36473C98" w14:textId="42C3A30B" w:rsidR="009355D1" w:rsidRDefault="000313D4" w:rsidP="00DE3EBB">
      <w:pPr>
        <w:pStyle w:val="ListParagraph"/>
        <w:numPr>
          <w:ilvl w:val="0"/>
          <w:numId w:val="4"/>
        </w:numPr>
        <w:spacing w:before="120" w:after="120"/>
        <w:rPr>
          <w:rFonts w:ascii="Verdana" w:hAnsi="Verdana"/>
          <w:color w:val="000000"/>
        </w:rPr>
      </w:pPr>
      <w:r w:rsidRPr="00AB2B82">
        <w:rPr>
          <w:rFonts w:ascii="Verdana" w:hAnsi="Verdana"/>
          <w:color w:val="000000"/>
        </w:rPr>
        <w:t xml:space="preserve">Parent and child medications </w:t>
      </w:r>
      <w:proofErr w:type="gramStart"/>
      <w:r w:rsidRPr="00AB2B82">
        <w:rPr>
          <w:rFonts w:ascii="Verdana" w:hAnsi="Verdana"/>
          <w:color w:val="000000"/>
        </w:rPr>
        <w:t>maybe</w:t>
      </w:r>
      <w:proofErr w:type="gramEnd"/>
      <w:r w:rsidRPr="00AB2B82">
        <w:rPr>
          <w:rFonts w:ascii="Verdana" w:hAnsi="Verdana"/>
          <w:color w:val="000000"/>
        </w:rPr>
        <w:t xml:space="preserve"> consolidated into a single shipment</w:t>
      </w:r>
      <w:r w:rsidR="001B311E" w:rsidRPr="00AB2B82">
        <w:rPr>
          <w:rFonts w:ascii="Verdana" w:hAnsi="Verdana"/>
          <w:color w:val="000000"/>
        </w:rPr>
        <w:t>.</w:t>
      </w:r>
    </w:p>
    <w:p w14:paraId="188CB14F" w14:textId="77777777" w:rsidR="00EA112F" w:rsidRPr="00AB2B82" w:rsidRDefault="00EA112F" w:rsidP="00AB2B82">
      <w:pPr>
        <w:pStyle w:val="ListParagraph"/>
        <w:spacing w:before="120" w:after="120"/>
        <w:ind w:left="360"/>
        <w:rPr>
          <w:rFonts w:ascii="Verdana" w:hAnsi="Verdana"/>
          <w:color w:val="000000"/>
        </w:rPr>
      </w:pPr>
    </w:p>
    <w:p w14:paraId="11CC545A" w14:textId="3293F7CC" w:rsidR="000313D4" w:rsidRPr="00AB2B82" w:rsidRDefault="00EA112F" w:rsidP="00AB2B82">
      <w:pPr>
        <w:rPr>
          <w:rFonts w:ascii="Verdana" w:hAnsi="Verdana"/>
        </w:rPr>
      </w:pPr>
      <w:r w:rsidRPr="00440B5F">
        <w:rPr>
          <w:rFonts w:ascii="Verdana" w:hAnsi="Verdana"/>
          <w:noProof/>
        </w:rPr>
        <w:drawing>
          <wp:inline distT="0" distB="0" distL="0" distR="0" wp14:anchorId="6E6BF8A1" wp14:editId="20D8A739">
            <wp:extent cx="23812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rFonts w:ascii="Verdana" w:hAnsi="Verdana"/>
          <w:color w:val="000000"/>
        </w:rPr>
        <w:t xml:space="preserve"> </w:t>
      </w:r>
      <w:r w:rsidR="009355D1" w:rsidRPr="00AB2B82">
        <w:rPr>
          <w:rFonts w:ascii="Verdana" w:hAnsi="Verdana"/>
          <w:color w:val="000000"/>
        </w:rPr>
        <w:t>Or</w:t>
      </w:r>
      <w:r w:rsidR="000313D4" w:rsidRPr="00AB2B82">
        <w:rPr>
          <w:rFonts w:ascii="Verdana" w:hAnsi="Verdana"/>
        </w:rPr>
        <w:t xml:space="preserve">ders are </w:t>
      </w:r>
      <w:r w:rsidR="000313D4" w:rsidRPr="00AB2B82">
        <w:rPr>
          <w:rFonts w:ascii="Verdana" w:hAnsi="Verdana"/>
          <w:b/>
          <w:bCs/>
        </w:rPr>
        <w:t>NOT</w:t>
      </w:r>
      <w:r w:rsidR="000313D4" w:rsidRPr="00AB2B82">
        <w:rPr>
          <w:rFonts w:ascii="Verdana" w:hAnsi="Verdana"/>
        </w:rPr>
        <w:t xml:space="preserve"> held </w:t>
      </w:r>
      <w:proofErr w:type="gramStart"/>
      <w:r w:rsidR="000313D4" w:rsidRPr="00AB2B82">
        <w:rPr>
          <w:rFonts w:ascii="Verdana" w:hAnsi="Verdana"/>
        </w:rPr>
        <w:t>in order to</w:t>
      </w:r>
      <w:proofErr w:type="gramEnd"/>
      <w:r w:rsidR="000313D4" w:rsidRPr="00AB2B82">
        <w:rPr>
          <w:rFonts w:ascii="Verdana" w:hAnsi="Verdana"/>
        </w:rPr>
        <w:t xml:space="preserve"> consolidate them into one shipment. Our order processing turnaround times are not affected by this change.</w:t>
      </w:r>
    </w:p>
    <w:p w14:paraId="3035FC13" w14:textId="77777777" w:rsidR="004614DE" w:rsidRPr="00F3462C" w:rsidRDefault="004614DE" w:rsidP="004614DE">
      <w:pPr>
        <w:spacing w:before="120" w:after="120"/>
        <w:rPr>
          <w:rFonts w:ascii="Verdana" w:hAnsi="Verdana"/>
          <w:color w:val="000000"/>
        </w:rPr>
      </w:pPr>
    </w:p>
    <w:p w14:paraId="70355ECD" w14:textId="158AE4B7" w:rsidR="001D17FB" w:rsidRPr="00F3462C" w:rsidRDefault="004614DE" w:rsidP="004614DE">
      <w:pPr>
        <w:spacing w:before="120" w:after="120"/>
        <w:rPr>
          <w:rFonts w:ascii="Verdana" w:hAnsi="Verdana"/>
        </w:rPr>
      </w:pPr>
      <w:r w:rsidRPr="00F3462C">
        <w:rPr>
          <w:rFonts w:ascii="Verdana" w:hAnsi="Verdana"/>
          <w:color w:val="000000" w:themeColor="text1"/>
        </w:rPr>
        <w:t xml:space="preserve">This document provides details about how </w:t>
      </w:r>
      <w:r w:rsidR="30DB2BC1" w:rsidRPr="00F3462C">
        <w:rPr>
          <w:rFonts w:ascii="Verdana" w:hAnsi="Verdana"/>
          <w:color w:val="000000" w:themeColor="text1"/>
        </w:rPr>
        <w:t xml:space="preserve">Compass </w:t>
      </w:r>
      <w:r w:rsidRPr="00F3462C">
        <w:rPr>
          <w:rFonts w:ascii="Verdana" w:hAnsi="Verdana"/>
          <w:color w:val="000000" w:themeColor="text1"/>
        </w:rPr>
        <w:t>reflect</w:t>
      </w:r>
      <w:r w:rsidR="3882AA2A" w:rsidRPr="00F3462C">
        <w:rPr>
          <w:rFonts w:ascii="Verdana" w:hAnsi="Verdana"/>
          <w:color w:val="000000" w:themeColor="text1"/>
        </w:rPr>
        <w:t>s</w:t>
      </w:r>
      <w:r w:rsidRPr="00F3462C">
        <w:rPr>
          <w:rFonts w:ascii="Verdana" w:hAnsi="Verdana"/>
          <w:color w:val="000000" w:themeColor="text1"/>
        </w:rPr>
        <w:t xml:space="preserve"> consolidated shipments.</w:t>
      </w:r>
    </w:p>
    <w:p w14:paraId="3E964FA9" w14:textId="7D503045" w:rsidR="3D29395F" w:rsidRPr="00AB2B82" w:rsidRDefault="2CCD7D01" w:rsidP="00DE3EBB">
      <w:pPr>
        <w:pStyle w:val="ListParagraph"/>
        <w:numPr>
          <w:ilvl w:val="0"/>
          <w:numId w:val="5"/>
        </w:numPr>
        <w:spacing w:before="120" w:after="120"/>
        <w:rPr>
          <w:rFonts w:ascii="Verdana" w:eastAsia="Calibri" w:hAnsi="Verdana" w:cs="Calibri"/>
        </w:rPr>
      </w:pPr>
      <w:r w:rsidRPr="00AB2B82">
        <w:rPr>
          <w:rFonts w:ascii="Verdana" w:eastAsia="Verdana" w:hAnsi="Verdana" w:cs="Verdana"/>
          <w:color w:val="000000" w:themeColor="text1"/>
        </w:rPr>
        <w:t>If the Mail Order facility determines that there are orders for a member and/or on a member’s account that can be consolidated with one another</w:t>
      </w:r>
      <w:r w:rsidR="003F5EE3" w:rsidRPr="00AB2B82">
        <w:rPr>
          <w:rFonts w:ascii="Verdana" w:eastAsia="Verdana" w:hAnsi="Verdana" w:cs="Verdana"/>
          <w:color w:val="000000" w:themeColor="text1"/>
        </w:rPr>
        <w:t xml:space="preserve">, </w:t>
      </w:r>
      <w:r w:rsidRPr="00AB2B82">
        <w:rPr>
          <w:rFonts w:ascii="Verdana" w:eastAsia="Calibri" w:hAnsi="Verdana" w:cs="Calibri"/>
        </w:rPr>
        <w:t>then a single shipment is sent as a consolidated order to the member</w:t>
      </w:r>
      <w:r w:rsidR="146D4D9E" w:rsidRPr="00AB2B82">
        <w:rPr>
          <w:rFonts w:ascii="Verdana" w:eastAsia="Calibri" w:hAnsi="Verdana" w:cs="Calibri"/>
        </w:rPr>
        <w:t xml:space="preserve"> automatically</w:t>
      </w:r>
      <w:r w:rsidRPr="00AB2B82">
        <w:rPr>
          <w:rFonts w:ascii="Verdana" w:eastAsia="Calibri" w:hAnsi="Verdana" w:cs="Calibri"/>
        </w:rPr>
        <w:t>. Members will not be able to opt out of this consolidation process</w:t>
      </w:r>
      <w:r w:rsidR="6847F2A7" w:rsidRPr="00AB2B82">
        <w:rPr>
          <w:rFonts w:ascii="Verdana" w:eastAsia="Calibri" w:hAnsi="Verdana" w:cs="Calibri"/>
        </w:rPr>
        <w:t>.</w:t>
      </w:r>
    </w:p>
    <w:p w14:paraId="79776853" w14:textId="0911FF53" w:rsidR="1D14F249" w:rsidRDefault="1D14F249" w:rsidP="1D14F249">
      <w:pPr>
        <w:spacing w:before="120" w:after="120"/>
        <w:rPr>
          <w:rFonts w:ascii="Verdana" w:hAnsi="Verdana"/>
        </w:rPr>
      </w:pPr>
    </w:p>
    <w:p w14:paraId="55CA4652" w14:textId="49DE9BCD" w:rsidR="00530DC5" w:rsidRPr="00F3462C" w:rsidRDefault="00530DC5" w:rsidP="1D14F249">
      <w:pPr>
        <w:spacing w:before="120" w:after="120"/>
        <w:rPr>
          <w:rFonts w:ascii="Verdana" w:hAnsi="Verdana"/>
        </w:rPr>
      </w:pPr>
      <w:r>
        <w:rPr>
          <w:rFonts w:ascii="Verdana" w:hAnsi="Verdana"/>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12172"/>
      </w:tblGrid>
      <w:tr w:rsidR="001D17FB" w:rsidRPr="00F3462C" w14:paraId="47627805" w14:textId="77777777" w:rsidTr="00380651">
        <w:trPr>
          <w:trHeight w:val="300"/>
        </w:trPr>
        <w:tc>
          <w:tcPr>
            <w:tcW w:w="294" w:type="pct"/>
            <w:shd w:val="clear" w:color="auto" w:fill="D9D9D9" w:themeFill="background1" w:themeFillShade="D9"/>
          </w:tcPr>
          <w:p w14:paraId="14F0FAB6" w14:textId="77777777" w:rsidR="001D17FB" w:rsidRPr="00F3462C" w:rsidRDefault="001D17FB" w:rsidP="00AF34B3">
            <w:pPr>
              <w:spacing w:before="120" w:after="120"/>
              <w:jc w:val="center"/>
              <w:rPr>
                <w:rFonts w:ascii="Verdana" w:hAnsi="Verdana"/>
                <w:b/>
              </w:rPr>
            </w:pPr>
            <w:r w:rsidRPr="00F3462C">
              <w:rPr>
                <w:rFonts w:ascii="Verdana" w:hAnsi="Verdana"/>
                <w:b/>
              </w:rPr>
              <w:t>Step</w:t>
            </w:r>
          </w:p>
        </w:tc>
        <w:tc>
          <w:tcPr>
            <w:tcW w:w="4706" w:type="pct"/>
            <w:shd w:val="clear" w:color="auto" w:fill="D9D9D9" w:themeFill="background1" w:themeFillShade="D9"/>
          </w:tcPr>
          <w:p w14:paraId="7BCECB84" w14:textId="77777777" w:rsidR="001D17FB" w:rsidRPr="00F3462C" w:rsidRDefault="001D17FB" w:rsidP="00AF34B3">
            <w:pPr>
              <w:spacing w:before="120" w:after="120"/>
              <w:jc w:val="center"/>
              <w:rPr>
                <w:rFonts w:ascii="Verdana" w:hAnsi="Verdana"/>
                <w:b/>
              </w:rPr>
            </w:pPr>
            <w:r w:rsidRPr="00F3462C">
              <w:rPr>
                <w:rFonts w:ascii="Verdana" w:hAnsi="Verdana"/>
                <w:b/>
              </w:rPr>
              <w:t>Action</w:t>
            </w:r>
          </w:p>
        </w:tc>
      </w:tr>
      <w:tr w:rsidR="001D17FB" w:rsidRPr="00F3462C" w14:paraId="4EB84050" w14:textId="77777777" w:rsidTr="00380651">
        <w:trPr>
          <w:trHeight w:val="300"/>
        </w:trPr>
        <w:tc>
          <w:tcPr>
            <w:tcW w:w="294" w:type="pct"/>
          </w:tcPr>
          <w:p w14:paraId="27A33567" w14:textId="77777777" w:rsidR="001D17FB" w:rsidRPr="00F3462C" w:rsidRDefault="001D17FB" w:rsidP="00AF34B3">
            <w:pPr>
              <w:spacing w:before="120" w:after="120"/>
              <w:jc w:val="center"/>
              <w:rPr>
                <w:rFonts w:ascii="Verdana" w:hAnsi="Verdana"/>
                <w:b/>
              </w:rPr>
            </w:pPr>
            <w:r w:rsidRPr="00F3462C">
              <w:rPr>
                <w:rFonts w:ascii="Verdana" w:hAnsi="Verdana"/>
                <w:b/>
                <w:noProof/>
              </w:rPr>
              <w:t>1</w:t>
            </w:r>
          </w:p>
        </w:tc>
        <w:tc>
          <w:tcPr>
            <w:tcW w:w="4706" w:type="pct"/>
          </w:tcPr>
          <w:p w14:paraId="7F3C49CE" w14:textId="5099971F" w:rsidR="001D17FB" w:rsidRPr="00F3462C" w:rsidRDefault="176A2C13" w:rsidP="0E02DB95">
            <w:pPr>
              <w:spacing w:before="120" w:after="120"/>
              <w:rPr>
                <w:rFonts w:ascii="Verdana" w:eastAsia="Verdana" w:hAnsi="Verdana" w:cs="Verdana"/>
                <w:color w:val="000000" w:themeColor="text1"/>
              </w:rPr>
            </w:pPr>
            <w:r w:rsidRPr="00F3462C">
              <w:rPr>
                <w:rFonts w:ascii="Verdana" w:hAnsi="Verdana"/>
              </w:rPr>
              <w:t>Navigate to</w:t>
            </w:r>
            <w:r w:rsidR="4A86C907" w:rsidRPr="00F3462C">
              <w:rPr>
                <w:rFonts w:ascii="Verdana" w:eastAsia="Verdana" w:hAnsi="Verdana" w:cs="Verdana"/>
                <w:color w:val="000000" w:themeColor="text1"/>
              </w:rPr>
              <w:t xml:space="preserve"> the Claims Landing Page, </w:t>
            </w:r>
            <w:r w:rsidR="066CCC9E" w:rsidRPr="00F3462C">
              <w:rPr>
                <w:rFonts w:ascii="Verdana" w:eastAsia="Verdana" w:hAnsi="Verdana" w:cs="Verdana"/>
                <w:color w:val="000000" w:themeColor="text1"/>
              </w:rPr>
              <w:t xml:space="preserve">then </w:t>
            </w:r>
            <w:r w:rsidR="4A86C907" w:rsidRPr="00F3462C">
              <w:rPr>
                <w:rFonts w:ascii="Verdana" w:eastAsia="Verdana" w:hAnsi="Verdana" w:cs="Verdana"/>
                <w:color w:val="000000" w:themeColor="text1"/>
              </w:rPr>
              <w:t xml:space="preserve">click the </w:t>
            </w:r>
            <w:r w:rsidR="4A86C907" w:rsidRPr="00F504FD">
              <w:rPr>
                <w:rFonts w:ascii="Verdana" w:eastAsia="Verdana" w:hAnsi="Verdana" w:cs="Verdana"/>
                <w:b/>
                <w:bCs/>
                <w:color w:val="000000" w:themeColor="text1"/>
              </w:rPr>
              <w:t>Mail Order History</w:t>
            </w:r>
            <w:r w:rsidR="4A86C907" w:rsidRPr="00F3462C">
              <w:rPr>
                <w:rFonts w:ascii="Verdana" w:eastAsia="Verdana" w:hAnsi="Verdana" w:cs="Verdana"/>
                <w:color w:val="000000" w:themeColor="text1"/>
              </w:rPr>
              <w:t xml:space="preserve"> tab.</w:t>
            </w:r>
          </w:p>
          <w:p w14:paraId="63DEB9D5" w14:textId="2DDCCEA0" w:rsidR="001D17FB" w:rsidRPr="00F3462C" w:rsidRDefault="45DAAB23" w:rsidP="00AB2B82">
            <w:pPr>
              <w:spacing w:before="120" w:after="120"/>
              <w:rPr>
                <w:rFonts w:ascii="Verdana" w:eastAsia="Verdana" w:hAnsi="Verdana" w:cs="Verdana"/>
                <w:color w:val="000000" w:themeColor="text1"/>
              </w:rPr>
            </w:pPr>
            <w:r w:rsidRPr="00F3462C">
              <w:rPr>
                <w:rFonts w:ascii="Verdana" w:eastAsia="Verdana" w:hAnsi="Verdana" w:cs="Verdana"/>
                <w:b/>
                <w:bCs/>
                <w:color w:val="000000" w:themeColor="text1"/>
              </w:rPr>
              <w:t>Result</w:t>
            </w:r>
            <w:r w:rsidR="00B90877">
              <w:rPr>
                <w:rFonts w:ascii="Verdana" w:eastAsia="Verdana" w:hAnsi="Verdana" w:cs="Verdana"/>
                <w:b/>
                <w:bCs/>
                <w:color w:val="000000" w:themeColor="text1"/>
              </w:rPr>
              <w:t xml:space="preserve">: </w:t>
            </w:r>
            <w:r w:rsidRPr="00F3462C">
              <w:rPr>
                <w:rFonts w:ascii="Verdana" w:eastAsia="Verdana" w:hAnsi="Verdana" w:cs="Verdana"/>
                <w:color w:val="000000" w:themeColor="text1"/>
              </w:rPr>
              <w:t>Mail Orders within the default 90-day window display.</w:t>
            </w:r>
          </w:p>
          <w:p w14:paraId="16701720" w14:textId="26B181E8" w:rsidR="001D17FB" w:rsidRPr="00AB2B82" w:rsidRDefault="2A972492" w:rsidP="00AB2B82">
            <w:pPr>
              <w:spacing w:before="120" w:after="120"/>
              <w:rPr>
                <w:rFonts w:ascii="Verdana" w:hAnsi="Verdana"/>
              </w:rPr>
            </w:pPr>
            <w:r w:rsidRPr="00F3462C">
              <w:rPr>
                <w:rFonts w:ascii="Verdana" w:eastAsia="Verdana" w:hAnsi="Verdana" w:cs="Verdana"/>
                <w:b/>
                <w:bCs/>
                <w:color w:val="000000" w:themeColor="text1"/>
              </w:rPr>
              <w:t>Note</w:t>
            </w:r>
            <w:r w:rsidR="00B90877">
              <w:rPr>
                <w:rFonts w:ascii="Verdana" w:eastAsia="Verdana" w:hAnsi="Verdana" w:cs="Verdana"/>
                <w:b/>
                <w:bCs/>
                <w:color w:val="000000" w:themeColor="text1"/>
              </w:rPr>
              <w:t xml:space="preserve">: </w:t>
            </w:r>
            <w:r w:rsidRPr="00F3462C">
              <w:rPr>
                <w:rFonts w:ascii="Verdana" w:eastAsia="Verdana" w:hAnsi="Verdana" w:cs="Verdana"/>
                <w:color w:val="000000" w:themeColor="text1"/>
              </w:rPr>
              <w:t xml:space="preserve">When a prescription has been sent in by the prescriber, but it is not yet fully adjudicated, it will not show in the member’s mail order history tab.  Instead, a message will show at the top of the claims tab that says “There are orders awaiting pharmacy translation. View by family to display.”  </w:t>
            </w:r>
            <w:r w:rsidR="00F504FD">
              <w:rPr>
                <w:rFonts w:ascii="Verdana" w:eastAsia="Verdana" w:hAnsi="Verdana" w:cs="Verdana"/>
                <w:color w:val="000000" w:themeColor="text1"/>
              </w:rPr>
              <w:t>S</w:t>
            </w:r>
            <w:r w:rsidRPr="00F3462C">
              <w:rPr>
                <w:rFonts w:ascii="Verdana" w:eastAsia="Verdana" w:hAnsi="Verdana" w:cs="Verdana"/>
                <w:color w:val="000000" w:themeColor="text1"/>
              </w:rPr>
              <w:t xml:space="preserve">elect </w:t>
            </w:r>
            <w:r w:rsidRPr="00F504FD">
              <w:rPr>
                <w:rFonts w:ascii="Verdana" w:eastAsia="Verdana" w:hAnsi="Verdana" w:cs="Verdana"/>
                <w:b/>
                <w:bCs/>
                <w:color w:val="000000" w:themeColor="text1"/>
              </w:rPr>
              <w:t>Family</w:t>
            </w:r>
            <w:r w:rsidRPr="00F3462C">
              <w:rPr>
                <w:rFonts w:ascii="Verdana" w:eastAsia="Verdana" w:hAnsi="Verdana" w:cs="Verdana"/>
                <w:color w:val="000000" w:themeColor="text1"/>
              </w:rPr>
              <w:t xml:space="preserve"> under the “View by Member or Family” tab to see these orders</w:t>
            </w:r>
            <w:r w:rsidR="09103D8B" w:rsidRPr="00F3462C">
              <w:rPr>
                <w:rFonts w:ascii="Verdana" w:eastAsia="Verdana" w:hAnsi="Verdana" w:cs="Verdana"/>
                <w:color w:val="000000" w:themeColor="text1"/>
              </w:rPr>
              <w:t>.</w:t>
            </w:r>
          </w:p>
          <w:p w14:paraId="03586E49" w14:textId="0FDE72EE" w:rsidR="001D17FB" w:rsidRPr="00AB2B82" w:rsidRDefault="001D17FB" w:rsidP="1D14F249">
            <w:pPr>
              <w:spacing w:before="120" w:after="120"/>
              <w:rPr>
                <w:rFonts w:ascii="Verdana" w:hAnsi="Verdana"/>
              </w:rPr>
            </w:pPr>
          </w:p>
          <w:p w14:paraId="3972B967" w14:textId="77777777" w:rsidR="001D17FB" w:rsidRPr="00AB2B82" w:rsidRDefault="09103D8B" w:rsidP="005B74BB">
            <w:pPr>
              <w:spacing w:before="120" w:after="120"/>
              <w:jc w:val="center"/>
              <w:rPr>
                <w:rFonts w:ascii="Verdana" w:hAnsi="Verdana"/>
              </w:rPr>
            </w:pPr>
            <w:r w:rsidRPr="00AB2B82">
              <w:rPr>
                <w:rFonts w:ascii="Verdana" w:hAnsi="Verdana"/>
                <w:noProof/>
              </w:rPr>
              <w:drawing>
                <wp:inline distT="0" distB="0" distL="0" distR="0" wp14:anchorId="03B12FE3" wp14:editId="39155633">
                  <wp:extent cx="8210548" cy="2562225"/>
                  <wp:effectExtent l="0" t="0" r="0" b="0"/>
                  <wp:docPr id="2091756320" name="Picture 2091756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8210548" cy="2562225"/>
                          </a:xfrm>
                          <a:prstGeom prst="rect">
                            <a:avLst/>
                          </a:prstGeom>
                        </pic:spPr>
                      </pic:pic>
                    </a:graphicData>
                  </a:graphic>
                </wp:inline>
              </w:drawing>
            </w:r>
          </w:p>
          <w:p w14:paraId="3B44853D" w14:textId="59018E0F" w:rsidR="005B74BB" w:rsidRPr="00AB2B82" w:rsidRDefault="005B74BB" w:rsidP="1D14F249">
            <w:pPr>
              <w:spacing w:before="120" w:after="120"/>
              <w:rPr>
                <w:rFonts w:ascii="Verdana" w:hAnsi="Verdana"/>
              </w:rPr>
            </w:pPr>
          </w:p>
        </w:tc>
      </w:tr>
      <w:tr w:rsidR="001D17FB" w:rsidRPr="00F3462C" w14:paraId="5BC90C86" w14:textId="77777777" w:rsidTr="00380651">
        <w:trPr>
          <w:trHeight w:val="300"/>
        </w:trPr>
        <w:tc>
          <w:tcPr>
            <w:tcW w:w="294" w:type="pct"/>
          </w:tcPr>
          <w:p w14:paraId="0D881E06" w14:textId="77777777" w:rsidR="00932935" w:rsidRPr="00F3462C" w:rsidRDefault="001D17FB" w:rsidP="00AF34B3">
            <w:pPr>
              <w:spacing w:before="120" w:after="120"/>
              <w:jc w:val="center"/>
              <w:rPr>
                <w:rFonts w:ascii="Verdana" w:hAnsi="Verdana"/>
                <w:b/>
                <w:noProof/>
              </w:rPr>
            </w:pPr>
            <w:r w:rsidRPr="00F3462C">
              <w:rPr>
                <w:rFonts w:ascii="Verdana" w:hAnsi="Verdana"/>
                <w:b/>
                <w:noProof/>
              </w:rPr>
              <w:t>2</w:t>
            </w:r>
          </w:p>
          <w:p w14:paraId="39F4814E" w14:textId="77777777" w:rsidR="001D17FB" w:rsidRPr="00F3462C" w:rsidRDefault="001D17FB" w:rsidP="00AF34B3">
            <w:pPr>
              <w:spacing w:before="120" w:after="120"/>
              <w:jc w:val="center"/>
              <w:rPr>
                <w:rFonts w:ascii="Verdana" w:hAnsi="Verdana"/>
                <w:b/>
                <w:noProof/>
              </w:rPr>
            </w:pPr>
          </w:p>
        </w:tc>
        <w:tc>
          <w:tcPr>
            <w:tcW w:w="4706" w:type="pct"/>
          </w:tcPr>
          <w:p w14:paraId="38556852" w14:textId="6614E9FA" w:rsidR="001D17FB" w:rsidRPr="00F3462C" w:rsidRDefault="29A443AE" w:rsidP="1D14F249">
            <w:pPr>
              <w:spacing w:before="120" w:after="120"/>
              <w:rPr>
                <w:rFonts w:ascii="Verdana" w:hAnsi="Verdana"/>
                <w:b/>
                <w:bCs/>
              </w:rPr>
            </w:pPr>
            <w:r w:rsidRPr="00AB2B82">
              <w:rPr>
                <w:rFonts w:ascii="Verdana" w:hAnsi="Verdana"/>
              </w:rPr>
              <w:t>Determine the name of the prescription(s) the caller is inquiring about, then locate the order. You can click the chevron arrow next to the Order Number link to expand/collapse a preview of the prescriptions in the order.</w:t>
            </w:r>
          </w:p>
          <w:p w14:paraId="25B5AD5F" w14:textId="74E0BABB" w:rsidR="001D17FB" w:rsidRPr="00F3462C" w:rsidRDefault="001D17FB" w:rsidP="1D14F249">
            <w:pPr>
              <w:spacing w:before="120" w:after="120"/>
              <w:rPr>
                <w:rFonts w:ascii="Verdana" w:hAnsi="Verdana"/>
                <w:b/>
                <w:bCs/>
              </w:rPr>
            </w:pPr>
          </w:p>
          <w:p w14:paraId="2712D69B" w14:textId="10B64637" w:rsidR="29A443AE" w:rsidRPr="00AB2B82" w:rsidRDefault="29A443AE" w:rsidP="005B74BB">
            <w:pPr>
              <w:spacing w:before="120" w:after="120"/>
              <w:jc w:val="center"/>
              <w:rPr>
                <w:rFonts w:ascii="Verdana" w:hAnsi="Verdana"/>
              </w:rPr>
            </w:pPr>
            <w:r w:rsidRPr="00AB2B82">
              <w:rPr>
                <w:rFonts w:ascii="Verdana" w:hAnsi="Verdana"/>
                <w:noProof/>
              </w:rPr>
              <w:drawing>
                <wp:inline distT="0" distB="0" distL="0" distR="0" wp14:anchorId="2A0A3006" wp14:editId="256E56EC">
                  <wp:extent cx="8172450" cy="3343275"/>
                  <wp:effectExtent l="0" t="0" r="0" b="0"/>
                  <wp:docPr id="172843310" name="Picture 17284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8172450" cy="3343275"/>
                          </a:xfrm>
                          <a:prstGeom prst="rect">
                            <a:avLst/>
                          </a:prstGeom>
                        </pic:spPr>
                      </pic:pic>
                    </a:graphicData>
                  </a:graphic>
                </wp:inline>
              </w:drawing>
            </w:r>
          </w:p>
          <w:p w14:paraId="45C8D354" w14:textId="050808AF" w:rsidR="00253C3C" w:rsidRPr="00F3462C" w:rsidRDefault="729B2CC2" w:rsidP="1D14F249">
            <w:pPr>
              <w:spacing w:before="120" w:after="120"/>
              <w:jc w:val="center"/>
              <w:rPr>
                <w:rFonts w:ascii="Verdana" w:hAnsi="Verdana"/>
                <w:b/>
                <w:bCs/>
              </w:rPr>
            </w:pPr>
            <w:r w:rsidRPr="00AB2B82">
              <w:rPr>
                <w:rFonts w:ascii="Verdana" w:hAnsi="Verdana"/>
                <w:noProof/>
              </w:rPr>
              <w:t xml:space="preserve"> </w:t>
            </w:r>
          </w:p>
          <w:p w14:paraId="5E1503A6" w14:textId="34EF59AA" w:rsidR="001D17FB" w:rsidRPr="00F3462C" w:rsidRDefault="6B1F03C4" w:rsidP="3633802C">
            <w:pPr>
              <w:spacing w:before="120" w:after="120"/>
              <w:rPr>
                <w:rFonts w:ascii="Verdana" w:eastAsia="Verdana" w:hAnsi="Verdana" w:cs="Verdana"/>
              </w:rPr>
            </w:pPr>
            <w:r w:rsidRPr="00F3462C">
              <w:rPr>
                <w:rFonts w:ascii="Verdana" w:eastAsia="Verdana" w:hAnsi="Verdana" w:cs="Verdana"/>
                <w:b/>
                <w:bCs/>
                <w:color w:val="000000" w:themeColor="text1"/>
              </w:rPr>
              <w:t>Result</w:t>
            </w:r>
            <w:r w:rsidR="00B90877">
              <w:rPr>
                <w:rFonts w:ascii="Verdana" w:eastAsia="Verdana" w:hAnsi="Verdana" w:cs="Verdana"/>
                <w:b/>
                <w:bCs/>
                <w:color w:val="000000" w:themeColor="text1"/>
              </w:rPr>
              <w:t xml:space="preserve">: </w:t>
            </w:r>
            <w:r w:rsidR="3CED4A4B" w:rsidRPr="00AB2B82">
              <w:rPr>
                <w:rFonts w:ascii="Verdana" w:eastAsia="Verdana" w:hAnsi="Verdana" w:cs="Verdana"/>
                <w:color w:val="000000" w:themeColor="text1"/>
              </w:rPr>
              <w:t>Order</w:t>
            </w:r>
            <w:r w:rsidRPr="00F3462C">
              <w:rPr>
                <w:rFonts w:ascii="Verdana" w:eastAsia="Verdana" w:hAnsi="Verdana" w:cs="Verdana"/>
                <w:color w:val="000000" w:themeColor="text1"/>
              </w:rPr>
              <w:t xml:space="preserve"> Status and Rx Status will display.</w:t>
            </w:r>
          </w:p>
          <w:p w14:paraId="6A94AD16" w14:textId="35494B62" w:rsidR="001D17FB" w:rsidRPr="00F3462C" w:rsidRDefault="001D17FB" w:rsidP="0E02DB95">
            <w:pPr>
              <w:spacing w:before="120" w:after="120"/>
              <w:rPr>
                <w:rFonts w:ascii="Verdana" w:eastAsia="Verdana" w:hAnsi="Verdana" w:cs="Verdana"/>
                <w:color w:val="000000" w:themeColor="text1"/>
              </w:rPr>
            </w:pPr>
          </w:p>
          <w:p w14:paraId="3495396E" w14:textId="0C0A3AFA" w:rsidR="001D17FB" w:rsidRPr="00BE2BC5" w:rsidRDefault="0C414A9F" w:rsidP="00DE3EBB">
            <w:pPr>
              <w:pStyle w:val="ListParagraph"/>
              <w:numPr>
                <w:ilvl w:val="0"/>
                <w:numId w:val="6"/>
              </w:numPr>
              <w:spacing w:before="120" w:after="120"/>
              <w:rPr>
                <w:rFonts w:ascii="Verdana" w:eastAsia="Verdana" w:hAnsi="Verdana" w:cs="Verdana"/>
                <w:color w:val="000000" w:themeColor="text1"/>
              </w:rPr>
            </w:pPr>
            <w:r w:rsidRPr="00BE2BC5">
              <w:rPr>
                <w:rFonts w:ascii="Verdana" w:eastAsia="Verdana" w:hAnsi="Verdana" w:cs="Verdana"/>
                <w:color w:val="000000" w:themeColor="text1"/>
              </w:rPr>
              <w:t xml:space="preserve">If you are unable to locate the order, refer to </w:t>
            </w:r>
            <w:r w:rsidR="29FC7F16" w:rsidRPr="00BE2BC5">
              <w:rPr>
                <w:rFonts w:ascii="Verdana" w:eastAsia="Verdana" w:hAnsi="Verdana" w:cs="Verdana"/>
                <w:color w:val="000000" w:themeColor="text1"/>
              </w:rPr>
              <w:t xml:space="preserve">the Scenario Guide in </w:t>
            </w:r>
            <w:hyperlink r:id="rId16" w:anchor="!/view?docid=0ad0ab77-cb2e-4521-8f97-659304a0c8f8" w:history="1">
              <w:r w:rsidR="29FC7F16" w:rsidRPr="00BE2BC5">
                <w:rPr>
                  <w:rStyle w:val="Hyperlink"/>
                  <w:rFonts w:ascii="Verdana" w:eastAsia="Helvetica" w:hAnsi="Verdana" w:cs="Helvetica"/>
                </w:rPr>
                <w:t>Compass - Mail Order History / Order Status</w:t>
              </w:r>
              <w:r w:rsidR="38C6B8DE" w:rsidRPr="00BE2BC5">
                <w:rPr>
                  <w:rStyle w:val="Hyperlink"/>
                  <w:rFonts w:ascii="Verdana" w:eastAsia="Helvetica" w:hAnsi="Verdana" w:cs="Helvetica"/>
                </w:rPr>
                <w:t xml:space="preserve"> </w:t>
              </w:r>
              <w:r w:rsidR="29FC7F16" w:rsidRPr="00BE2BC5">
                <w:rPr>
                  <w:rStyle w:val="Hyperlink"/>
                  <w:rFonts w:ascii="Verdana" w:eastAsia="Helvetica" w:hAnsi="Verdana" w:cs="Helvetica"/>
                </w:rPr>
                <w:t>(056369)</w:t>
              </w:r>
            </w:hyperlink>
            <w:r w:rsidR="001444BB" w:rsidRPr="00BE2BC5">
              <w:rPr>
                <w:rFonts w:ascii="Verdana" w:eastAsia="Helvetica" w:hAnsi="Verdana" w:cs="Helvetica"/>
                <w:color w:val="000000" w:themeColor="text1"/>
              </w:rPr>
              <w:t>.</w:t>
            </w:r>
          </w:p>
        </w:tc>
      </w:tr>
      <w:tr w:rsidR="001D17FB" w:rsidRPr="00F3462C" w14:paraId="38236252" w14:textId="77777777" w:rsidTr="00380651">
        <w:trPr>
          <w:trHeight w:val="300"/>
        </w:trPr>
        <w:tc>
          <w:tcPr>
            <w:tcW w:w="294" w:type="pct"/>
          </w:tcPr>
          <w:p w14:paraId="4AF2492B" w14:textId="77777777" w:rsidR="001D17FB" w:rsidRPr="00F3462C" w:rsidRDefault="001D17FB" w:rsidP="00AF34B3">
            <w:pPr>
              <w:spacing w:before="120" w:after="120"/>
              <w:jc w:val="center"/>
              <w:rPr>
                <w:rFonts w:ascii="Verdana" w:hAnsi="Verdana"/>
                <w:b/>
                <w:noProof/>
              </w:rPr>
            </w:pPr>
            <w:r w:rsidRPr="00F3462C">
              <w:rPr>
                <w:rFonts w:ascii="Verdana" w:hAnsi="Verdana"/>
                <w:b/>
                <w:noProof/>
              </w:rPr>
              <w:t>3</w:t>
            </w:r>
          </w:p>
          <w:p w14:paraId="4BEDE451" w14:textId="77777777" w:rsidR="000664F1" w:rsidRPr="00F3462C" w:rsidRDefault="000664F1" w:rsidP="00AF34B3">
            <w:pPr>
              <w:spacing w:before="120" w:after="120"/>
              <w:jc w:val="center"/>
              <w:rPr>
                <w:rFonts w:ascii="Verdana" w:hAnsi="Verdana"/>
                <w:b/>
                <w:noProof/>
              </w:rPr>
            </w:pPr>
          </w:p>
        </w:tc>
        <w:tc>
          <w:tcPr>
            <w:tcW w:w="4706" w:type="pct"/>
          </w:tcPr>
          <w:p w14:paraId="372C835B" w14:textId="37B166E6" w:rsidR="001D17FB" w:rsidRPr="00F3462C" w:rsidRDefault="02306FE2" w:rsidP="00AB2B82">
            <w:pPr>
              <w:spacing w:before="120" w:after="120"/>
              <w:rPr>
                <w:rFonts w:ascii="Verdana" w:eastAsia="Verdana" w:hAnsi="Verdana" w:cs="Verdana"/>
                <w:noProof/>
                <w:color w:val="000000" w:themeColor="text1"/>
              </w:rPr>
            </w:pPr>
            <w:r w:rsidRPr="00F3462C">
              <w:rPr>
                <w:rFonts w:ascii="Verdana" w:eastAsia="Verdana" w:hAnsi="Verdana" w:cs="Verdana"/>
                <w:noProof/>
                <w:color w:val="000000" w:themeColor="text1"/>
              </w:rPr>
              <w:t xml:space="preserve">Once the order is located, click the </w:t>
            </w:r>
            <w:r w:rsidRPr="00F3462C">
              <w:rPr>
                <w:rFonts w:ascii="Verdana" w:eastAsia="Verdana" w:hAnsi="Verdana" w:cs="Verdana"/>
                <w:b/>
                <w:bCs/>
                <w:noProof/>
                <w:color w:val="000000" w:themeColor="text1"/>
              </w:rPr>
              <w:t xml:space="preserve">Order Number </w:t>
            </w:r>
            <w:r w:rsidRPr="00F3462C">
              <w:rPr>
                <w:rFonts w:ascii="Verdana" w:eastAsia="Verdana" w:hAnsi="Verdana" w:cs="Verdana"/>
                <w:noProof/>
                <w:color w:val="000000" w:themeColor="text1"/>
              </w:rPr>
              <w:t>hyperlink.</w:t>
            </w:r>
          </w:p>
          <w:p w14:paraId="4BD65BB3" w14:textId="53C4A11A" w:rsidR="00380651" w:rsidRPr="00F3462C" w:rsidRDefault="00380651" w:rsidP="00AB2B82">
            <w:pPr>
              <w:spacing w:before="120" w:after="120"/>
              <w:rPr>
                <w:rFonts w:ascii="Verdana" w:eastAsia="Verdana" w:hAnsi="Verdana" w:cs="Verdana"/>
                <w:noProof/>
                <w:color w:val="000000" w:themeColor="text1"/>
              </w:rPr>
            </w:pPr>
            <w:r w:rsidRPr="00F3462C">
              <w:rPr>
                <w:rFonts w:ascii="Verdana" w:eastAsia="Verdana" w:hAnsi="Verdana" w:cs="Verdana"/>
                <w:b/>
                <w:bCs/>
                <w:noProof/>
                <w:color w:val="000000" w:themeColor="text1"/>
              </w:rPr>
              <w:t>Result</w:t>
            </w:r>
            <w:r w:rsidR="00B90877">
              <w:rPr>
                <w:rFonts w:ascii="Verdana" w:eastAsia="Verdana" w:hAnsi="Verdana" w:cs="Verdana"/>
                <w:b/>
                <w:bCs/>
                <w:noProof/>
                <w:color w:val="000000" w:themeColor="text1"/>
              </w:rPr>
              <w:t xml:space="preserve">: </w:t>
            </w:r>
            <w:r w:rsidRPr="00F3462C">
              <w:rPr>
                <w:rFonts w:ascii="Verdana" w:eastAsia="Verdana" w:hAnsi="Verdana" w:cs="Verdana"/>
                <w:noProof/>
                <w:color w:val="000000" w:themeColor="text1"/>
              </w:rPr>
              <w:t>The Order Details Screen displays.</w:t>
            </w:r>
          </w:p>
          <w:p w14:paraId="005CCE46" w14:textId="7CC2B730" w:rsidR="001D17FB" w:rsidRPr="00F3462C" w:rsidRDefault="001D17FB" w:rsidP="00380651">
            <w:pPr>
              <w:spacing w:before="120" w:after="120"/>
              <w:rPr>
                <w:rFonts w:ascii="Verdana" w:hAnsi="Verdana"/>
                <w:highlight w:val="yellow"/>
              </w:rPr>
            </w:pPr>
          </w:p>
          <w:p w14:paraId="15F588EA" w14:textId="387E44E6" w:rsidR="001D17FB" w:rsidRPr="00AB2B82" w:rsidRDefault="5AF0595E" w:rsidP="00BE2BC5">
            <w:pPr>
              <w:spacing w:before="120" w:after="120"/>
              <w:jc w:val="center"/>
              <w:rPr>
                <w:rFonts w:ascii="Verdana" w:hAnsi="Verdana"/>
              </w:rPr>
            </w:pPr>
            <w:r w:rsidRPr="00AB2B82">
              <w:rPr>
                <w:rFonts w:ascii="Verdana" w:hAnsi="Verdana"/>
                <w:noProof/>
              </w:rPr>
              <w:drawing>
                <wp:inline distT="0" distB="0" distL="0" distR="0" wp14:anchorId="4B9A851F" wp14:editId="5F0A8687">
                  <wp:extent cx="8220076" cy="3752850"/>
                  <wp:effectExtent l="0" t="0" r="0" b="0"/>
                  <wp:docPr id="574782486" name="Picture 574782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8220076" cy="3752850"/>
                          </a:xfrm>
                          <a:prstGeom prst="rect">
                            <a:avLst/>
                          </a:prstGeom>
                        </pic:spPr>
                      </pic:pic>
                    </a:graphicData>
                  </a:graphic>
                </wp:inline>
              </w:drawing>
            </w:r>
          </w:p>
          <w:p w14:paraId="0792346E" w14:textId="7085261A" w:rsidR="00253C3C" w:rsidRPr="00AB2B82" w:rsidRDefault="00253C3C" w:rsidP="00380651">
            <w:pPr>
              <w:spacing w:before="120" w:after="120"/>
              <w:rPr>
                <w:rFonts w:ascii="Verdana" w:hAnsi="Verdana"/>
                <w:noProof/>
              </w:rPr>
            </w:pPr>
          </w:p>
          <w:p w14:paraId="0E16A94E" w14:textId="7C70268F" w:rsidR="7E83676A" w:rsidRPr="00F3462C" w:rsidRDefault="00380651" w:rsidP="0E02DB95">
            <w:pPr>
              <w:spacing w:before="120" w:after="120"/>
              <w:rPr>
                <w:rFonts w:ascii="Verdana" w:eastAsia="Verdana" w:hAnsi="Verdana" w:cs="Verdana"/>
                <w:color w:val="000000" w:themeColor="text1"/>
              </w:rPr>
            </w:pPr>
            <w:r w:rsidRPr="00F3462C">
              <w:rPr>
                <w:rFonts w:ascii="Verdana" w:eastAsia="Verdana" w:hAnsi="Verdana" w:cs="Verdana"/>
                <w:b/>
                <w:bCs/>
                <w:noProof/>
                <w:color w:val="000000" w:themeColor="text1"/>
              </w:rPr>
              <w:t>Note</w:t>
            </w:r>
            <w:r w:rsidR="00BE2BC5">
              <w:rPr>
                <w:rFonts w:ascii="Verdana" w:eastAsia="Verdana" w:hAnsi="Verdana" w:cs="Verdana"/>
                <w:b/>
                <w:bCs/>
                <w:noProof/>
                <w:color w:val="000000" w:themeColor="text1"/>
              </w:rPr>
              <w:t>s</w:t>
            </w:r>
            <w:r w:rsidR="00B90877">
              <w:rPr>
                <w:rFonts w:ascii="Verdana" w:eastAsia="Verdana" w:hAnsi="Verdana" w:cs="Verdana"/>
                <w:b/>
                <w:bCs/>
                <w:noProof/>
                <w:color w:val="000000" w:themeColor="text1"/>
              </w:rPr>
              <w:t xml:space="preserve">: </w:t>
            </w:r>
            <w:r w:rsidR="7E83676A" w:rsidRPr="00F3462C">
              <w:rPr>
                <w:rFonts w:ascii="Verdana" w:eastAsia="Verdana" w:hAnsi="Verdana" w:cs="Verdana"/>
                <w:color w:val="000000" w:themeColor="text1"/>
              </w:rPr>
              <w:t xml:space="preserve">Compass will display the following Order/Prescription information for Consolidated Orders: </w:t>
            </w:r>
          </w:p>
          <w:p w14:paraId="2BDD10AD" w14:textId="20F8F2E5" w:rsidR="7E83676A" w:rsidRPr="00F3462C" w:rsidRDefault="7E83676A" w:rsidP="00DE3EBB">
            <w:pPr>
              <w:pStyle w:val="ListParagraph"/>
              <w:numPr>
                <w:ilvl w:val="0"/>
                <w:numId w:val="2"/>
              </w:numPr>
              <w:spacing w:before="120" w:after="120"/>
              <w:rPr>
                <w:rFonts w:ascii="Verdana" w:eastAsia="Verdana" w:hAnsi="Verdana" w:cs="Verdana"/>
                <w:color w:val="000000" w:themeColor="text1"/>
              </w:rPr>
            </w:pPr>
            <w:r w:rsidRPr="00F3462C">
              <w:rPr>
                <w:rFonts w:ascii="Verdana" w:eastAsia="Verdana" w:hAnsi="Verdana" w:cs="Verdana"/>
                <w:color w:val="000000" w:themeColor="text1"/>
              </w:rPr>
              <w:t>Separate orders that have been combined into one (1) to ship at the same time.</w:t>
            </w:r>
          </w:p>
          <w:p w14:paraId="7327A319" w14:textId="53CBCFC5" w:rsidR="7E83676A" w:rsidRPr="00F3462C" w:rsidRDefault="7E83676A" w:rsidP="00DE3EBB">
            <w:pPr>
              <w:pStyle w:val="ListParagraph"/>
              <w:numPr>
                <w:ilvl w:val="0"/>
                <w:numId w:val="2"/>
              </w:numPr>
              <w:rPr>
                <w:rFonts w:ascii="Verdana" w:eastAsia="Verdana" w:hAnsi="Verdana" w:cs="Verdana"/>
                <w:color w:val="000000" w:themeColor="text1"/>
              </w:rPr>
            </w:pPr>
            <w:r w:rsidRPr="00F3462C">
              <w:rPr>
                <w:rFonts w:ascii="Verdana" w:eastAsia="Verdana" w:hAnsi="Verdana" w:cs="Verdana"/>
                <w:color w:val="000000" w:themeColor="text1"/>
              </w:rPr>
              <w:t>Prescription orders for a member and/or members’ household can be consolidated with one another.</w:t>
            </w:r>
          </w:p>
          <w:p w14:paraId="070F7306" w14:textId="16CAE74C" w:rsidR="7E83676A" w:rsidRPr="00F3462C" w:rsidRDefault="7E83676A" w:rsidP="00DE3EBB">
            <w:pPr>
              <w:pStyle w:val="ListParagraph"/>
              <w:numPr>
                <w:ilvl w:val="0"/>
                <w:numId w:val="2"/>
              </w:numPr>
              <w:rPr>
                <w:rFonts w:ascii="Verdana" w:eastAsia="Verdana" w:hAnsi="Verdana" w:cs="Verdana"/>
                <w:color w:val="000000" w:themeColor="text1"/>
              </w:rPr>
            </w:pPr>
            <w:r w:rsidRPr="00F3462C">
              <w:rPr>
                <w:rFonts w:ascii="Verdana" w:eastAsia="Verdana" w:hAnsi="Verdana" w:cs="Verdana"/>
                <w:color w:val="000000" w:themeColor="text1"/>
              </w:rPr>
              <w:t>HIPAA and state regulations are carefully followed so that our members’ personal health information (PHI) is not compromised.</w:t>
            </w:r>
          </w:p>
          <w:p w14:paraId="1FE73792" w14:textId="48D62C49" w:rsidR="7E83676A" w:rsidRPr="00F3462C" w:rsidRDefault="7E83676A" w:rsidP="00DE3EBB">
            <w:pPr>
              <w:pStyle w:val="ListParagraph"/>
              <w:numPr>
                <w:ilvl w:val="0"/>
                <w:numId w:val="2"/>
              </w:numPr>
              <w:rPr>
                <w:rFonts w:ascii="Verdana" w:eastAsia="Verdana" w:hAnsi="Verdana" w:cs="Verdana"/>
                <w:color w:val="000000" w:themeColor="text1"/>
              </w:rPr>
            </w:pPr>
            <w:r w:rsidRPr="00F3462C">
              <w:rPr>
                <w:rFonts w:ascii="Verdana" w:eastAsia="Verdana" w:hAnsi="Verdana" w:cs="Verdana"/>
                <w:color w:val="000000" w:themeColor="text1"/>
              </w:rPr>
              <w:t>The Mail Order Facility works within a set of rules to determine if there are any orders being sent to the same address that can be consolidated with one another.</w:t>
            </w:r>
          </w:p>
          <w:p w14:paraId="7F682973" w14:textId="75842EBD" w:rsidR="00202CB3" w:rsidRPr="00F3462C" w:rsidRDefault="007C5D47" w:rsidP="00DE3EBB">
            <w:pPr>
              <w:pStyle w:val="ListParagraph"/>
              <w:numPr>
                <w:ilvl w:val="0"/>
                <w:numId w:val="2"/>
              </w:numPr>
              <w:spacing w:after="120"/>
              <w:rPr>
                <w:rFonts w:ascii="Verdana" w:eastAsia="Verdana" w:hAnsi="Verdana" w:cs="Verdana"/>
                <w:color w:val="000000" w:themeColor="text1"/>
              </w:rPr>
            </w:pPr>
            <w:r>
              <w:rPr>
                <w:rFonts w:ascii="Verdana" w:eastAsia="Verdana" w:hAnsi="Verdana" w:cs="Verdana"/>
                <w:noProof/>
                <w:color w:val="000000" w:themeColor="text1"/>
              </w:rPr>
              <w:drawing>
                <wp:inline distT="0" distB="0" distL="0" distR="0" wp14:anchorId="7E2A0E04" wp14:editId="3ECF6B4E">
                  <wp:extent cx="304762" cy="304762"/>
                  <wp:effectExtent l="0" t="0" r="635" b="635"/>
                  <wp:docPr id="103211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18432" name="Picture 1032118432"/>
                          <pic:cNvPicPr/>
                        </pic:nvPicPr>
                        <pic:blipFill>
                          <a:blip r:embed="rId1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A4288A">
              <w:rPr>
                <w:rFonts w:ascii="Verdana" w:eastAsia="Verdana" w:hAnsi="Verdana" w:cs="Verdana"/>
                <w:color w:val="000000" w:themeColor="text1"/>
              </w:rPr>
              <w:t xml:space="preserve"> </w:t>
            </w:r>
            <w:r w:rsidR="7E83676A" w:rsidRPr="00F3462C">
              <w:rPr>
                <w:rFonts w:ascii="Verdana" w:eastAsia="Verdana" w:hAnsi="Verdana" w:cs="Verdana"/>
                <w:color w:val="000000" w:themeColor="text1"/>
              </w:rPr>
              <w:t xml:space="preserve">Consolidated orders </w:t>
            </w:r>
            <w:r w:rsidR="00947512">
              <w:rPr>
                <w:rFonts w:ascii="Verdana" w:eastAsia="Verdana" w:hAnsi="Verdana" w:cs="Verdana"/>
                <w:color w:val="000000" w:themeColor="text1"/>
              </w:rPr>
              <w:t xml:space="preserve">will not be </w:t>
            </w:r>
            <w:r w:rsidR="7E83676A" w:rsidRPr="00F3462C">
              <w:rPr>
                <w:rFonts w:ascii="Verdana" w:eastAsia="Verdana" w:hAnsi="Verdana" w:cs="Verdana"/>
                <w:color w:val="000000" w:themeColor="text1"/>
              </w:rPr>
              <w:t xml:space="preserve"> sent if the receiving member is not an authorized party on the other member’s account or if members share an address but have different accounts.</w:t>
            </w:r>
          </w:p>
          <w:p w14:paraId="658CD6D5" w14:textId="4EA7334E" w:rsidR="7E83676A" w:rsidRPr="00F3462C" w:rsidRDefault="7E83676A" w:rsidP="00202CB3">
            <w:pPr>
              <w:pStyle w:val="ListParagraph"/>
              <w:spacing w:after="120"/>
              <w:rPr>
                <w:rFonts w:ascii="Verdana" w:eastAsia="Verdana" w:hAnsi="Verdana" w:cs="Verdana"/>
                <w:color w:val="000000" w:themeColor="text1"/>
              </w:rPr>
            </w:pPr>
            <w:r w:rsidRPr="00F3462C">
              <w:rPr>
                <w:rFonts w:ascii="Verdana" w:eastAsia="Verdana" w:hAnsi="Verdana" w:cs="Verdana"/>
                <w:b/>
                <w:bCs/>
                <w:color w:val="000000" w:themeColor="text1"/>
              </w:rPr>
              <w:t>Examples:</w:t>
            </w:r>
          </w:p>
          <w:p w14:paraId="42BDF6FC" w14:textId="0B2468A8" w:rsidR="7E83676A" w:rsidRPr="00F3462C" w:rsidRDefault="7E83676A" w:rsidP="00DE3EBB">
            <w:pPr>
              <w:pStyle w:val="ListParagraph"/>
              <w:numPr>
                <w:ilvl w:val="0"/>
                <w:numId w:val="3"/>
              </w:numPr>
              <w:spacing w:before="120"/>
              <w:rPr>
                <w:rFonts w:ascii="Verdana" w:eastAsia="Verdana" w:hAnsi="Verdana" w:cs="Verdana"/>
                <w:color w:val="000000" w:themeColor="text1"/>
              </w:rPr>
            </w:pPr>
            <w:r w:rsidRPr="00F3462C">
              <w:rPr>
                <w:rFonts w:ascii="Verdana" w:eastAsia="Verdana" w:hAnsi="Verdana" w:cs="Verdana"/>
                <w:color w:val="000000" w:themeColor="text1"/>
              </w:rPr>
              <w:t>Two adults may not be consolidated into a single order unless permission has been granted.</w:t>
            </w:r>
          </w:p>
          <w:p w14:paraId="78911B33" w14:textId="1C70B67A" w:rsidR="7E83676A" w:rsidRPr="00F3462C" w:rsidRDefault="7E83676A" w:rsidP="00DE3EBB">
            <w:pPr>
              <w:pStyle w:val="ListParagraph"/>
              <w:numPr>
                <w:ilvl w:val="0"/>
                <w:numId w:val="3"/>
              </w:numPr>
              <w:rPr>
                <w:rFonts w:ascii="Verdana" w:eastAsia="Verdana" w:hAnsi="Verdana" w:cs="Verdana"/>
                <w:color w:val="000000" w:themeColor="text1"/>
              </w:rPr>
            </w:pPr>
            <w:r w:rsidRPr="00F3462C">
              <w:rPr>
                <w:rFonts w:ascii="Verdana" w:eastAsia="Verdana" w:hAnsi="Verdana" w:cs="Verdana"/>
                <w:color w:val="000000" w:themeColor="text1"/>
              </w:rPr>
              <w:t>Parent and child medications may be consolidated into a single shipment</w:t>
            </w:r>
            <w:r w:rsidR="004E4642">
              <w:rPr>
                <w:rFonts w:ascii="Verdana" w:eastAsia="Verdana" w:hAnsi="Verdana" w:cs="Verdana"/>
                <w:color w:val="000000" w:themeColor="text1"/>
              </w:rPr>
              <w:t>.</w:t>
            </w:r>
          </w:p>
          <w:p w14:paraId="687052BF" w14:textId="1FB2CE27" w:rsidR="000313D4" w:rsidRPr="00F3462C" w:rsidRDefault="7E83676A" w:rsidP="00DE3EBB">
            <w:pPr>
              <w:pStyle w:val="ListParagraph"/>
              <w:numPr>
                <w:ilvl w:val="0"/>
                <w:numId w:val="3"/>
              </w:numPr>
              <w:spacing w:after="120"/>
              <w:rPr>
                <w:rFonts w:ascii="Verdana" w:eastAsia="Verdana" w:hAnsi="Verdana" w:cs="Verdana"/>
                <w:color w:val="000000" w:themeColor="text1"/>
              </w:rPr>
            </w:pPr>
            <w:r w:rsidRPr="00F3462C">
              <w:rPr>
                <w:rFonts w:ascii="Verdana" w:eastAsia="Verdana" w:hAnsi="Verdana" w:cs="Verdana"/>
                <w:color w:val="000000" w:themeColor="text1"/>
              </w:rPr>
              <w:t>Orders are not held to consolidate them into one shipment. Order processing turnaround times are not affected by this change.</w:t>
            </w:r>
          </w:p>
        </w:tc>
      </w:tr>
      <w:tr w:rsidR="008A0AA9" w:rsidRPr="00F3462C" w14:paraId="57D67856" w14:textId="77777777" w:rsidTr="00380651">
        <w:trPr>
          <w:trHeight w:val="300"/>
        </w:trPr>
        <w:tc>
          <w:tcPr>
            <w:tcW w:w="294" w:type="pct"/>
          </w:tcPr>
          <w:p w14:paraId="34BAE539" w14:textId="0EEBD73D" w:rsidR="008A0AA9" w:rsidRPr="00F3462C" w:rsidRDefault="008A0AA9" w:rsidP="00AF34B3">
            <w:pPr>
              <w:spacing w:before="120" w:after="120"/>
              <w:jc w:val="center"/>
              <w:rPr>
                <w:rFonts w:ascii="Verdana" w:hAnsi="Verdana"/>
                <w:b/>
                <w:noProof/>
              </w:rPr>
            </w:pPr>
            <w:r w:rsidRPr="00F3462C">
              <w:rPr>
                <w:rFonts w:ascii="Verdana" w:hAnsi="Verdana"/>
                <w:b/>
                <w:noProof/>
              </w:rPr>
              <w:t>4</w:t>
            </w:r>
          </w:p>
        </w:tc>
        <w:tc>
          <w:tcPr>
            <w:tcW w:w="4706" w:type="pct"/>
          </w:tcPr>
          <w:p w14:paraId="2F9D3FA9" w14:textId="77777777" w:rsidR="008A0AA9" w:rsidRPr="00F3462C" w:rsidRDefault="008A0AA9" w:rsidP="008A0AA9">
            <w:pPr>
              <w:spacing w:before="120" w:after="120"/>
              <w:rPr>
                <w:rFonts w:ascii="Verdana" w:eastAsia="Verdana" w:hAnsi="Verdana" w:cs="Verdana"/>
              </w:rPr>
            </w:pPr>
            <w:r w:rsidRPr="00F3462C">
              <w:rPr>
                <w:rFonts w:ascii="Verdana" w:eastAsia="Verdana" w:hAnsi="Verdana" w:cs="Verdana"/>
                <w:color w:val="000000" w:themeColor="text1"/>
              </w:rPr>
              <w:t>Click the chevron next to the member’s name to expand the Rx details of the order.</w:t>
            </w:r>
          </w:p>
          <w:p w14:paraId="3E9FF63C" w14:textId="77777777" w:rsidR="008A0AA9" w:rsidRPr="00F3462C" w:rsidRDefault="008A0AA9" w:rsidP="00AB2B82">
            <w:pPr>
              <w:spacing w:before="120" w:after="120"/>
              <w:rPr>
                <w:rFonts w:ascii="Verdana" w:eastAsia="Verdana" w:hAnsi="Verdana" w:cs="Verdana"/>
                <w:b/>
                <w:bCs/>
                <w:color w:val="000000" w:themeColor="text1"/>
              </w:rPr>
            </w:pPr>
            <w:r w:rsidRPr="00F3462C">
              <w:rPr>
                <w:rFonts w:ascii="Verdana" w:eastAsia="Verdana" w:hAnsi="Verdana" w:cs="Verdana"/>
                <w:b/>
                <w:bCs/>
                <w:color w:val="000000" w:themeColor="text1"/>
              </w:rPr>
              <w:t>Notes:</w:t>
            </w:r>
          </w:p>
          <w:p w14:paraId="19B62C59" w14:textId="77777777" w:rsidR="008A0AA9" w:rsidRPr="00F3462C" w:rsidRDefault="008A0AA9" w:rsidP="00DE3EBB">
            <w:pPr>
              <w:pStyle w:val="ListParagraph"/>
              <w:numPr>
                <w:ilvl w:val="0"/>
                <w:numId w:val="1"/>
              </w:numPr>
              <w:spacing w:before="120"/>
              <w:ind w:left="556"/>
              <w:rPr>
                <w:rFonts w:ascii="Verdana" w:eastAsia="Verdana" w:hAnsi="Verdana" w:cs="Verdana"/>
                <w:color w:val="000000" w:themeColor="text1"/>
              </w:rPr>
            </w:pPr>
            <w:r w:rsidRPr="00F3462C">
              <w:rPr>
                <w:rFonts w:ascii="Verdana" w:eastAsia="Verdana" w:hAnsi="Verdana" w:cs="Verdana"/>
                <w:color w:val="000000" w:themeColor="text1"/>
              </w:rPr>
              <w:t xml:space="preserve">Click on the RX number and the </w:t>
            </w:r>
            <w:r w:rsidRPr="00F3462C">
              <w:rPr>
                <w:rFonts w:ascii="Verdana" w:eastAsia="Verdana" w:hAnsi="Verdana" w:cs="Verdana"/>
                <w:b/>
                <w:bCs/>
                <w:color w:val="000000" w:themeColor="text1"/>
              </w:rPr>
              <w:t>Prescription Details</w:t>
            </w:r>
            <w:r w:rsidRPr="00F3462C">
              <w:rPr>
                <w:rFonts w:ascii="Verdana" w:eastAsia="Verdana" w:hAnsi="Verdana" w:cs="Verdana"/>
                <w:color w:val="000000" w:themeColor="text1"/>
              </w:rPr>
              <w:t xml:space="preserve"> tab to see prescription details, including name of medication, strength, manufacturer, etc.</w:t>
            </w:r>
          </w:p>
          <w:p w14:paraId="7CD00FEB" w14:textId="77777777" w:rsidR="008A0AA9" w:rsidRPr="00F3462C" w:rsidRDefault="008A0AA9" w:rsidP="00DE3EBB">
            <w:pPr>
              <w:pStyle w:val="ListParagraph"/>
              <w:numPr>
                <w:ilvl w:val="0"/>
                <w:numId w:val="1"/>
              </w:numPr>
              <w:ind w:left="556"/>
              <w:rPr>
                <w:rFonts w:ascii="Verdana" w:eastAsia="Verdana" w:hAnsi="Verdana" w:cs="Verdana"/>
                <w:color w:val="000000" w:themeColor="text1"/>
              </w:rPr>
            </w:pPr>
            <w:r w:rsidRPr="00F3462C">
              <w:rPr>
                <w:rFonts w:ascii="Verdana" w:eastAsia="Verdana" w:hAnsi="Verdana" w:cs="Verdana"/>
                <w:color w:val="000000" w:themeColor="text1"/>
              </w:rPr>
              <w:t xml:space="preserve">For more information on </w:t>
            </w:r>
            <w:r w:rsidRPr="00F3462C">
              <w:rPr>
                <w:rFonts w:ascii="Verdana" w:eastAsia="Verdana" w:hAnsi="Verdana" w:cs="Verdana"/>
                <w:b/>
                <w:bCs/>
                <w:color w:val="000000" w:themeColor="text1"/>
              </w:rPr>
              <w:t>Dispensed Quantity</w:t>
            </w:r>
            <w:r w:rsidRPr="00F3462C">
              <w:rPr>
                <w:rFonts w:ascii="Verdana" w:eastAsia="Verdana" w:hAnsi="Verdana" w:cs="Verdana"/>
                <w:color w:val="000000" w:themeColor="text1"/>
              </w:rPr>
              <w:t>, click the Tool Tip. (Packaged medication message displays.)</w:t>
            </w:r>
          </w:p>
          <w:p w14:paraId="54FFB669" w14:textId="4450229F" w:rsidR="008A0AA9" w:rsidRPr="00F3462C" w:rsidRDefault="008A0AA9" w:rsidP="00DE3EBB">
            <w:pPr>
              <w:pStyle w:val="ListParagraph"/>
              <w:numPr>
                <w:ilvl w:val="0"/>
                <w:numId w:val="1"/>
              </w:numPr>
              <w:ind w:left="556"/>
              <w:rPr>
                <w:rFonts w:ascii="Verdana" w:eastAsia="Verdana" w:hAnsi="Verdana" w:cs="Verdana"/>
                <w:color w:val="000000" w:themeColor="text1"/>
              </w:rPr>
            </w:pPr>
            <w:r w:rsidRPr="00F3462C">
              <w:rPr>
                <w:rFonts w:ascii="Verdana" w:eastAsia="Verdana" w:hAnsi="Verdana" w:cs="Verdana"/>
                <w:color w:val="000000" w:themeColor="text1"/>
              </w:rPr>
              <w:t xml:space="preserve">The following options will be </w:t>
            </w:r>
            <w:r w:rsidRPr="00F3462C">
              <w:rPr>
                <w:rFonts w:ascii="Verdana" w:eastAsia="Verdana" w:hAnsi="Verdana" w:cs="Verdana"/>
                <w:b/>
                <w:bCs/>
                <w:color w:val="000000" w:themeColor="text1"/>
              </w:rPr>
              <w:t>disabled</w:t>
            </w:r>
            <w:r w:rsidRPr="00F3462C">
              <w:rPr>
                <w:rFonts w:ascii="Verdana" w:eastAsia="Verdana" w:hAnsi="Verdana" w:cs="Verdana"/>
                <w:color w:val="000000" w:themeColor="text1"/>
              </w:rPr>
              <w:t xml:space="preserve"> if the agent in a </w:t>
            </w:r>
            <w:r w:rsidRPr="00F3462C">
              <w:rPr>
                <w:rFonts w:ascii="Verdana" w:eastAsia="Verdana" w:hAnsi="Verdana" w:cs="Verdana"/>
                <w:b/>
                <w:bCs/>
                <w:color w:val="000000" w:themeColor="text1"/>
              </w:rPr>
              <w:t>Research Case</w:t>
            </w:r>
            <w:r w:rsidR="00B90877">
              <w:rPr>
                <w:rFonts w:ascii="Verdana" w:eastAsia="Verdana" w:hAnsi="Verdana" w:cs="Verdana"/>
                <w:color w:val="000000" w:themeColor="text1"/>
              </w:rPr>
              <w:t xml:space="preserve">: </w:t>
            </w:r>
            <w:r w:rsidRPr="00F3462C">
              <w:rPr>
                <w:rFonts w:ascii="Verdana" w:eastAsia="Verdana" w:hAnsi="Verdana" w:cs="Verdana"/>
                <w:color w:val="000000" w:themeColor="text1"/>
              </w:rPr>
              <w:t>Cancel Rx, Cancel Order, Request Bridge Supply, Shipping Method, Shipping Address, and Payment Method.</w:t>
            </w:r>
          </w:p>
          <w:p w14:paraId="7105C6B7" w14:textId="1573D63D" w:rsidR="008A0AA9" w:rsidRPr="00F3462C" w:rsidRDefault="008A0AA9" w:rsidP="00DE3EBB">
            <w:pPr>
              <w:pStyle w:val="ListParagraph"/>
              <w:numPr>
                <w:ilvl w:val="0"/>
                <w:numId w:val="1"/>
              </w:numPr>
              <w:ind w:left="556"/>
              <w:rPr>
                <w:rFonts w:ascii="Verdana" w:eastAsia="Verdana" w:hAnsi="Verdana" w:cs="Verdana"/>
                <w:color w:val="000000" w:themeColor="text1"/>
              </w:rPr>
            </w:pPr>
            <w:r w:rsidRPr="00F3462C">
              <w:rPr>
                <w:rFonts w:ascii="Verdana" w:eastAsia="Verdana" w:hAnsi="Verdana" w:cs="Verdana"/>
                <w:color w:val="000000" w:themeColor="text1"/>
              </w:rPr>
              <w:t xml:space="preserve">If </w:t>
            </w:r>
            <w:r w:rsidRPr="00F3462C">
              <w:rPr>
                <w:rFonts w:ascii="Verdana" w:eastAsia="Verdana" w:hAnsi="Verdana" w:cs="Verdana"/>
                <w:b/>
                <w:bCs/>
                <w:color w:val="000000" w:themeColor="text1"/>
              </w:rPr>
              <w:t xml:space="preserve">more than one </w:t>
            </w:r>
            <w:r w:rsidRPr="00F3462C">
              <w:rPr>
                <w:rFonts w:ascii="Verdana" w:eastAsia="Verdana" w:hAnsi="Verdana" w:cs="Verdana"/>
                <w:color w:val="000000" w:themeColor="text1"/>
              </w:rPr>
              <w:t>member’s prescriptions are included in the order, the system displays the following message at the bottom of the Order Details screen</w:t>
            </w:r>
            <w:r w:rsidR="00B90877">
              <w:rPr>
                <w:rFonts w:ascii="Verdana" w:eastAsia="Verdana" w:hAnsi="Verdana" w:cs="Verdana"/>
                <w:color w:val="000000" w:themeColor="text1"/>
              </w:rPr>
              <w:t xml:space="preserve">: </w:t>
            </w:r>
            <w:r w:rsidRPr="00F3462C">
              <w:rPr>
                <w:rFonts w:ascii="Verdana" w:eastAsia="Verdana" w:hAnsi="Verdana" w:cs="Verdana"/>
                <w:color w:val="000000" w:themeColor="text1"/>
              </w:rPr>
              <w:t>“Please make sure that all the members in the order have been authenticated.”</w:t>
            </w:r>
          </w:p>
          <w:p w14:paraId="05A53BE4" w14:textId="77777777" w:rsidR="008A0AA9" w:rsidRPr="00F3462C" w:rsidRDefault="008A0AA9" w:rsidP="00DE3EBB">
            <w:pPr>
              <w:pStyle w:val="ListParagraph"/>
              <w:numPr>
                <w:ilvl w:val="0"/>
                <w:numId w:val="1"/>
              </w:numPr>
              <w:ind w:left="556"/>
              <w:rPr>
                <w:rFonts w:ascii="Verdana" w:eastAsia="Verdana" w:hAnsi="Verdana" w:cs="Verdana"/>
                <w:color w:val="000000" w:themeColor="text1"/>
              </w:rPr>
            </w:pPr>
            <w:proofErr w:type="gramStart"/>
            <w:r w:rsidRPr="00F3462C">
              <w:rPr>
                <w:rFonts w:ascii="Verdana" w:eastAsia="Verdana" w:hAnsi="Verdana" w:cs="Verdana"/>
                <w:color w:val="000000" w:themeColor="text1"/>
              </w:rPr>
              <w:t>Agent</w:t>
            </w:r>
            <w:proofErr w:type="gramEnd"/>
            <w:r w:rsidRPr="00F3462C">
              <w:rPr>
                <w:rFonts w:ascii="Verdana" w:eastAsia="Verdana" w:hAnsi="Verdana" w:cs="Verdana"/>
                <w:color w:val="000000" w:themeColor="text1"/>
              </w:rPr>
              <w:t xml:space="preserve"> </w:t>
            </w:r>
            <w:proofErr w:type="gramStart"/>
            <w:r w:rsidRPr="00F3462C">
              <w:rPr>
                <w:rFonts w:ascii="Verdana" w:eastAsia="Verdana" w:hAnsi="Verdana" w:cs="Verdana"/>
                <w:color w:val="000000" w:themeColor="text1"/>
              </w:rPr>
              <w:t>has the ability to</w:t>
            </w:r>
            <w:proofErr w:type="gramEnd"/>
            <w:r w:rsidRPr="00F3462C">
              <w:rPr>
                <w:rFonts w:ascii="Verdana" w:eastAsia="Verdana" w:hAnsi="Verdana" w:cs="Verdana"/>
                <w:color w:val="000000" w:themeColor="text1"/>
              </w:rPr>
              <w:t xml:space="preserve"> view an image of the mail order form (if one was sent in) via the </w:t>
            </w:r>
            <w:r w:rsidRPr="00F3462C">
              <w:rPr>
                <w:rFonts w:ascii="Verdana" w:eastAsia="Verdana" w:hAnsi="Verdana" w:cs="Verdana"/>
                <w:b/>
                <w:bCs/>
                <w:color w:val="000000" w:themeColor="text1"/>
              </w:rPr>
              <w:t xml:space="preserve">Mail Order Form </w:t>
            </w:r>
            <w:r w:rsidRPr="00F3462C">
              <w:rPr>
                <w:rFonts w:ascii="Verdana" w:eastAsia="Verdana" w:hAnsi="Verdana" w:cs="Verdana"/>
                <w:color w:val="000000" w:themeColor="text1"/>
              </w:rPr>
              <w:t>tab on the Order Details screen.</w:t>
            </w:r>
          </w:p>
          <w:p w14:paraId="2EF75266" w14:textId="77777777" w:rsidR="008A0AA9" w:rsidRPr="00F3462C" w:rsidRDefault="008A0AA9" w:rsidP="00DE3EBB">
            <w:pPr>
              <w:pStyle w:val="ListParagraph"/>
              <w:numPr>
                <w:ilvl w:val="0"/>
                <w:numId w:val="1"/>
              </w:numPr>
              <w:ind w:left="556"/>
              <w:rPr>
                <w:rFonts w:ascii="Verdana" w:eastAsia="Verdana" w:hAnsi="Verdana" w:cs="Verdana"/>
                <w:color w:val="000000" w:themeColor="text1"/>
              </w:rPr>
            </w:pPr>
            <w:r w:rsidRPr="00F3462C">
              <w:rPr>
                <w:rFonts w:ascii="Verdana" w:eastAsia="Verdana" w:hAnsi="Verdana" w:cs="Verdana"/>
                <w:b/>
                <w:bCs/>
                <w:color w:val="000000" w:themeColor="text1"/>
              </w:rPr>
              <w:t>Order updates</w:t>
            </w:r>
            <w:r w:rsidRPr="00F3462C">
              <w:rPr>
                <w:rFonts w:ascii="Verdana" w:eastAsia="Verdana" w:hAnsi="Verdana" w:cs="Verdana"/>
                <w:color w:val="000000" w:themeColor="text1"/>
              </w:rPr>
              <w:t xml:space="preserve"> can be made on the Order Details screen (</w:t>
            </w:r>
            <w:r w:rsidRPr="00F3462C">
              <w:rPr>
                <w:rFonts w:ascii="Verdana" w:eastAsia="Verdana" w:hAnsi="Verdana" w:cs="Verdana"/>
                <w:b/>
                <w:bCs/>
                <w:color w:val="000000" w:themeColor="text1"/>
              </w:rPr>
              <w:t>Shipping Options</w:t>
            </w:r>
            <w:r w:rsidRPr="00F3462C">
              <w:rPr>
                <w:rFonts w:ascii="Verdana" w:eastAsia="Verdana" w:hAnsi="Verdana" w:cs="Verdana"/>
                <w:color w:val="000000" w:themeColor="text1"/>
              </w:rPr>
              <w:t>,</w:t>
            </w:r>
            <w:r w:rsidRPr="00F3462C">
              <w:rPr>
                <w:rFonts w:ascii="Verdana" w:eastAsia="Verdana" w:hAnsi="Verdana" w:cs="Verdana"/>
                <w:b/>
                <w:bCs/>
                <w:color w:val="000000" w:themeColor="text1"/>
              </w:rPr>
              <w:t xml:space="preserve"> Address</w:t>
            </w:r>
            <w:r w:rsidRPr="00F3462C">
              <w:rPr>
                <w:rFonts w:ascii="Verdana" w:eastAsia="Verdana" w:hAnsi="Verdana" w:cs="Verdana"/>
                <w:color w:val="000000" w:themeColor="text1"/>
              </w:rPr>
              <w:t>,</w:t>
            </w:r>
            <w:r w:rsidRPr="00F3462C">
              <w:rPr>
                <w:rFonts w:ascii="Verdana" w:eastAsia="Verdana" w:hAnsi="Verdana" w:cs="Verdana"/>
                <w:b/>
                <w:bCs/>
                <w:color w:val="000000" w:themeColor="text1"/>
              </w:rPr>
              <w:t xml:space="preserve"> </w:t>
            </w:r>
            <w:r w:rsidRPr="00F3462C">
              <w:rPr>
                <w:rFonts w:ascii="Verdana" w:eastAsia="Verdana" w:hAnsi="Verdana" w:cs="Verdana"/>
                <w:color w:val="000000" w:themeColor="text1"/>
              </w:rPr>
              <w:t>and</w:t>
            </w:r>
            <w:r w:rsidRPr="00F3462C">
              <w:rPr>
                <w:rFonts w:ascii="Verdana" w:eastAsia="Verdana" w:hAnsi="Verdana" w:cs="Verdana"/>
                <w:b/>
                <w:bCs/>
                <w:color w:val="000000" w:themeColor="text1"/>
              </w:rPr>
              <w:t xml:space="preserve"> Payment)</w:t>
            </w:r>
            <w:r w:rsidRPr="00F3462C">
              <w:rPr>
                <w:rFonts w:ascii="Verdana" w:eastAsia="Verdana" w:hAnsi="Verdana" w:cs="Verdana"/>
                <w:color w:val="000000" w:themeColor="text1"/>
              </w:rPr>
              <w:t>.</w:t>
            </w:r>
          </w:p>
          <w:p w14:paraId="6120F236" w14:textId="77777777" w:rsidR="008A0AA9" w:rsidRPr="00F3462C" w:rsidRDefault="008A0AA9" w:rsidP="00DE3EBB">
            <w:pPr>
              <w:pStyle w:val="ListParagraph"/>
              <w:numPr>
                <w:ilvl w:val="0"/>
                <w:numId w:val="1"/>
              </w:numPr>
              <w:ind w:left="556"/>
              <w:rPr>
                <w:rFonts w:ascii="Verdana" w:eastAsia="Verdana" w:hAnsi="Verdana" w:cs="Verdana"/>
                <w:color w:val="000000" w:themeColor="text1"/>
              </w:rPr>
            </w:pPr>
            <w:r w:rsidRPr="00F3462C">
              <w:rPr>
                <w:rFonts w:ascii="Verdana" w:eastAsia="Verdana" w:hAnsi="Verdana" w:cs="Verdana"/>
                <w:color w:val="000000" w:themeColor="text1"/>
              </w:rPr>
              <w:t>The list of prescriptions is organized by member; each member’s prescription initially displays in a collapsed section, but the agent can</w:t>
            </w:r>
            <w:r w:rsidRPr="00F3462C">
              <w:rPr>
                <w:rFonts w:ascii="Verdana" w:eastAsia="Verdana" w:hAnsi="Verdana" w:cs="Verdana"/>
                <w:b/>
                <w:bCs/>
                <w:color w:val="000000" w:themeColor="text1"/>
              </w:rPr>
              <w:t xml:space="preserve"> </w:t>
            </w:r>
            <w:r w:rsidRPr="00F3462C">
              <w:rPr>
                <w:rFonts w:ascii="Verdana" w:eastAsia="Verdana" w:hAnsi="Verdana" w:cs="Verdana"/>
                <w:color w:val="000000" w:themeColor="text1"/>
              </w:rPr>
              <w:t>click</w:t>
            </w:r>
            <w:r w:rsidRPr="00F3462C">
              <w:rPr>
                <w:rFonts w:ascii="Verdana" w:eastAsia="Verdana" w:hAnsi="Verdana" w:cs="Verdana"/>
                <w:b/>
                <w:bCs/>
                <w:color w:val="000000" w:themeColor="text1"/>
              </w:rPr>
              <w:t xml:space="preserve"> </w:t>
            </w:r>
            <w:r w:rsidRPr="00F3462C">
              <w:rPr>
                <w:rFonts w:ascii="Verdana" w:eastAsia="Verdana" w:hAnsi="Verdana" w:cs="Verdana"/>
                <w:color w:val="000000" w:themeColor="text1"/>
              </w:rPr>
              <w:t>the chevron arrow to expand/collapse each Member section.</w:t>
            </w:r>
          </w:p>
          <w:p w14:paraId="47F8F5AE" w14:textId="77777777" w:rsidR="008A0AA9" w:rsidRPr="00F3462C" w:rsidRDefault="008A0AA9" w:rsidP="00DE3EBB">
            <w:pPr>
              <w:pStyle w:val="ListParagraph"/>
              <w:numPr>
                <w:ilvl w:val="0"/>
                <w:numId w:val="1"/>
              </w:numPr>
              <w:ind w:left="556"/>
              <w:rPr>
                <w:rFonts w:ascii="Verdana" w:eastAsia="Verdana" w:hAnsi="Verdana" w:cs="Verdana"/>
                <w:color w:val="000000" w:themeColor="text1"/>
              </w:rPr>
            </w:pPr>
            <w:r w:rsidRPr="00F3462C">
              <w:rPr>
                <w:rFonts w:ascii="Verdana" w:eastAsia="Verdana" w:hAnsi="Verdana" w:cs="Verdana"/>
                <w:color w:val="000000" w:themeColor="text1"/>
              </w:rPr>
              <w:t>If Order Status is “Pending Carrier Pickup,” click the tool tip for more information.</w:t>
            </w:r>
          </w:p>
          <w:p w14:paraId="34F5FBEA" w14:textId="375C9AF9" w:rsidR="008A0AA9" w:rsidRPr="00F3462C" w:rsidRDefault="008A0AA9" w:rsidP="00DE3EBB">
            <w:pPr>
              <w:pStyle w:val="ListParagraph"/>
              <w:numPr>
                <w:ilvl w:val="0"/>
                <w:numId w:val="1"/>
              </w:numPr>
              <w:spacing w:after="120"/>
              <w:ind w:left="556"/>
              <w:rPr>
                <w:rFonts w:ascii="Verdana" w:eastAsia="Verdana" w:hAnsi="Verdana" w:cs="Verdana"/>
                <w:color w:val="000000" w:themeColor="text1"/>
              </w:rPr>
            </w:pPr>
            <w:r w:rsidRPr="00F3462C">
              <w:rPr>
                <w:rFonts w:ascii="Verdana" w:eastAsia="Verdana" w:hAnsi="Verdana" w:cs="Verdana"/>
                <w:b/>
                <w:bCs/>
                <w:color w:val="000000" w:themeColor="text1"/>
              </w:rPr>
              <w:t>Excessive Days’ Supply</w:t>
            </w:r>
            <w:r w:rsidR="00B90877">
              <w:rPr>
                <w:rFonts w:ascii="Verdana" w:eastAsia="Verdana" w:hAnsi="Verdana" w:cs="Verdana"/>
                <w:b/>
                <w:bCs/>
                <w:color w:val="000000" w:themeColor="text1"/>
              </w:rPr>
              <w:t xml:space="preserve">: </w:t>
            </w:r>
            <w:r w:rsidRPr="00F3462C">
              <w:rPr>
                <w:rFonts w:ascii="Verdana" w:eastAsia="Verdana" w:hAnsi="Verdana" w:cs="Verdana"/>
                <w:color w:val="000000" w:themeColor="text1"/>
              </w:rPr>
              <w:t>The days’ supply is initially calculated by dividing the prescribed quantity by the directed daily dosage. This number may exceed plan limitations, particularly items dispensed in unbreakable packages. As part of the dispensing process, a pharmacist will review and adjust the prescription to align it with plan allowances. A new prescription is not necessary.</w:t>
            </w:r>
          </w:p>
          <w:p w14:paraId="4921107D" w14:textId="77777777" w:rsidR="008A0AA9" w:rsidRPr="00F3462C" w:rsidRDefault="008A0AA9" w:rsidP="008A0AA9">
            <w:pPr>
              <w:spacing w:before="120" w:after="120"/>
              <w:rPr>
                <w:rFonts w:ascii="Verdana" w:hAnsi="Verdana"/>
              </w:rPr>
            </w:pPr>
          </w:p>
          <w:p w14:paraId="3B9ED649" w14:textId="77777777" w:rsidR="008A0AA9" w:rsidRPr="00F3462C" w:rsidRDefault="008A0AA9" w:rsidP="00BF6547">
            <w:pPr>
              <w:spacing w:before="120" w:after="120"/>
              <w:jc w:val="center"/>
              <w:rPr>
                <w:rFonts w:ascii="Verdana" w:hAnsi="Verdana"/>
                <w:highlight w:val="yellow"/>
              </w:rPr>
            </w:pPr>
            <w:r w:rsidRPr="00AB2B82">
              <w:rPr>
                <w:rFonts w:ascii="Verdana" w:hAnsi="Verdana"/>
                <w:noProof/>
              </w:rPr>
              <w:drawing>
                <wp:inline distT="0" distB="0" distL="0" distR="0" wp14:anchorId="7840B86F" wp14:editId="65F07FEB">
                  <wp:extent cx="8220076" cy="4019550"/>
                  <wp:effectExtent l="0" t="0" r="0" b="0"/>
                  <wp:docPr id="71669581" name="Picture 71669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8220076" cy="4019550"/>
                          </a:xfrm>
                          <a:prstGeom prst="rect">
                            <a:avLst/>
                          </a:prstGeom>
                        </pic:spPr>
                      </pic:pic>
                    </a:graphicData>
                  </a:graphic>
                </wp:inline>
              </w:drawing>
            </w:r>
          </w:p>
          <w:p w14:paraId="00F87CC0" w14:textId="37DD8AC2" w:rsidR="00BF6547" w:rsidRPr="00F3462C" w:rsidDel="13214CB0" w:rsidRDefault="00BF6547" w:rsidP="00BF6547">
            <w:pPr>
              <w:spacing w:before="120" w:after="120"/>
              <w:jc w:val="center"/>
              <w:rPr>
                <w:rFonts w:ascii="Verdana" w:hAnsi="Verdana"/>
                <w:highlight w:val="yellow"/>
              </w:rPr>
            </w:pPr>
          </w:p>
        </w:tc>
      </w:tr>
    </w:tbl>
    <w:p w14:paraId="407FC412" w14:textId="77777777" w:rsidR="00177276" w:rsidRPr="00F3462C" w:rsidRDefault="00477D30" w:rsidP="00AF34B3">
      <w:pPr>
        <w:spacing w:before="120" w:after="120"/>
        <w:rPr>
          <w:rFonts w:ascii="Verdana" w:hAnsi="Verdana"/>
        </w:rPr>
      </w:pPr>
      <w:r w:rsidRPr="00F3462C">
        <w:rPr>
          <w:rFonts w:ascii="Verdana" w:hAnsi="Verdana"/>
        </w:rPr>
        <w:t xml:space="preserve"> </w:t>
      </w:r>
    </w:p>
    <w:p w14:paraId="74E6DFE1" w14:textId="26C87207" w:rsidR="0032294C" w:rsidRPr="00F3462C" w:rsidRDefault="001B311E" w:rsidP="004614DE">
      <w:pPr>
        <w:spacing w:before="120" w:after="120"/>
        <w:jc w:val="right"/>
        <w:rPr>
          <w:rFonts w:ascii="Verdana" w:hAnsi="Verdana"/>
        </w:rPr>
      </w:pPr>
      <w:hyperlink w:anchor="_top" w:history="1">
        <w:r w:rsidRPr="003B71FE">
          <w:rPr>
            <w:rStyle w:val="Hyperlink"/>
            <w:rFonts w:ascii="Verdana" w:hAnsi="Verdana"/>
          </w:rPr>
          <w:t>Top of the Document</w:t>
        </w:r>
        <w:r w:rsidR="004C6C1E" w:rsidRPr="003B71FE">
          <w:rPr>
            <w:rStyle w:val="Hyperlink"/>
            <w:rFonts w:ascii="Verdana" w:hAnsi="Verdana"/>
          </w:rPr>
          <w:t xml:space="preserve"> </w:t>
        </w:r>
      </w:hyperlink>
      <w:r w:rsidR="004C6C1E" w:rsidRPr="00F3462C">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2294C" w:rsidRPr="00F3462C" w14:paraId="04924B6A" w14:textId="77777777" w:rsidTr="3633802C">
        <w:trPr>
          <w:trHeight w:val="300"/>
        </w:trPr>
        <w:tc>
          <w:tcPr>
            <w:tcW w:w="5000" w:type="pct"/>
            <w:shd w:val="clear" w:color="auto" w:fill="C0C0C0"/>
          </w:tcPr>
          <w:p w14:paraId="5827A92F" w14:textId="77777777" w:rsidR="0032294C" w:rsidRPr="00F3462C" w:rsidRDefault="001D17FB" w:rsidP="00AF34B3">
            <w:pPr>
              <w:pStyle w:val="Heading2"/>
              <w:spacing w:before="120" w:after="120"/>
              <w:rPr>
                <w:rFonts w:ascii="Verdana" w:hAnsi="Verdana"/>
                <w:i w:val="0"/>
                <w:iCs w:val="0"/>
              </w:rPr>
            </w:pPr>
            <w:bookmarkStart w:id="5" w:name="_Toc174370677"/>
            <w:bookmarkStart w:id="6" w:name="_Toc208236008"/>
            <w:r w:rsidRPr="00F3462C">
              <w:rPr>
                <w:rFonts w:ascii="Verdana" w:hAnsi="Verdana"/>
                <w:i w:val="0"/>
                <w:iCs w:val="0"/>
              </w:rPr>
              <w:t>IVR Status</w:t>
            </w:r>
            <w:bookmarkEnd w:id="5"/>
            <w:bookmarkEnd w:id="6"/>
          </w:p>
        </w:tc>
      </w:tr>
    </w:tbl>
    <w:p w14:paraId="5C9BC14D" w14:textId="074DEF67" w:rsidR="001D17FB" w:rsidRPr="00F3462C" w:rsidRDefault="001D17FB" w:rsidP="004614DE">
      <w:pPr>
        <w:spacing w:before="120" w:after="120"/>
        <w:rPr>
          <w:rFonts w:ascii="Verdana" w:hAnsi="Verdana"/>
        </w:rPr>
      </w:pPr>
      <w:r w:rsidRPr="00F3462C">
        <w:rPr>
          <w:rFonts w:ascii="Verdana" w:hAnsi="Verdana"/>
        </w:rPr>
        <w:t xml:space="preserve">The Outbound IVR will also be updated to support the new Rx Ship Consolidation process. If the member’s orders </w:t>
      </w:r>
      <w:proofErr w:type="gramStart"/>
      <w:r w:rsidRPr="00F3462C">
        <w:rPr>
          <w:rFonts w:ascii="Verdana" w:hAnsi="Verdana"/>
        </w:rPr>
        <w:t>were</w:t>
      </w:r>
      <w:proofErr w:type="gramEnd"/>
      <w:r w:rsidRPr="00F3462C">
        <w:rPr>
          <w:rFonts w:ascii="Verdana" w:hAnsi="Verdana"/>
        </w:rPr>
        <w:t xml:space="preserve"> consolidated, they will receive one outbound alert with the following information:</w:t>
      </w:r>
    </w:p>
    <w:p w14:paraId="0C91F0F2" w14:textId="77777777" w:rsidR="003470BC" w:rsidRPr="00F3462C" w:rsidRDefault="003470BC" w:rsidP="00AF34B3">
      <w:pPr>
        <w:spacing w:before="120" w:after="120"/>
        <w:rPr>
          <w:rFonts w:ascii="Verdana" w:hAnsi="Verdana"/>
          <w:b/>
          <w:bCs/>
        </w:rPr>
      </w:pPr>
    </w:p>
    <w:p w14:paraId="5E537FFC" w14:textId="13E67E8F" w:rsidR="001D17FB" w:rsidRPr="00F3462C" w:rsidRDefault="00A07094" w:rsidP="00AF34B3">
      <w:pPr>
        <w:spacing w:before="120" w:after="120"/>
        <w:rPr>
          <w:rFonts w:ascii="Verdana" w:hAnsi="Verdana"/>
          <w:b/>
          <w:bCs/>
        </w:rPr>
      </w:pPr>
      <w:r w:rsidRPr="00F3462C">
        <w:rPr>
          <w:rFonts w:ascii="Verdana" w:hAnsi="Verdana"/>
          <w:b/>
          <w:bCs/>
        </w:rPr>
        <w:t>“&lt;</w:t>
      </w:r>
      <w:r w:rsidR="001D17FB" w:rsidRPr="00F3462C">
        <w:rPr>
          <w:rFonts w:ascii="Verdana" w:hAnsi="Verdana"/>
          <w:b/>
          <w:bCs/>
        </w:rPr>
        <w:t>#</w:t>
      </w:r>
      <w:r w:rsidRPr="00F3462C">
        <w:rPr>
          <w:rFonts w:ascii="Verdana" w:hAnsi="Verdana"/>
          <w:b/>
          <w:bCs/>
        </w:rPr>
        <w:t>&gt;</w:t>
      </w:r>
      <w:r w:rsidR="001D17FB" w:rsidRPr="00F3462C">
        <w:rPr>
          <w:rFonts w:ascii="Verdana" w:hAnsi="Verdana"/>
          <w:b/>
          <w:bCs/>
        </w:rPr>
        <w:t xml:space="preserve"> of your prescription orders were shipped on </w:t>
      </w:r>
      <w:r w:rsidRPr="00F3462C">
        <w:rPr>
          <w:rFonts w:ascii="Verdana" w:hAnsi="Verdana"/>
          <w:b/>
          <w:bCs/>
        </w:rPr>
        <w:t>&lt;</w:t>
      </w:r>
      <w:r w:rsidR="001D17FB" w:rsidRPr="00F3462C">
        <w:rPr>
          <w:rFonts w:ascii="Verdana" w:hAnsi="Verdana"/>
          <w:b/>
          <w:bCs/>
        </w:rPr>
        <w:t>Date</w:t>
      </w:r>
      <w:r w:rsidRPr="00F3462C">
        <w:rPr>
          <w:rFonts w:ascii="Verdana" w:hAnsi="Verdana"/>
          <w:b/>
          <w:bCs/>
        </w:rPr>
        <w:t>&gt;</w:t>
      </w:r>
      <w:r w:rsidR="001D17FB" w:rsidRPr="00F3462C">
        <w:rPr>
          <w:rFonts w:ascii="Verdana" w:hAnsi="Verdana"/>
          <w:b/>
          <w:bCs/>
        </w:rPr>
        <w:t xml:space="preserve">. You will receive </w:t>
      </w:r>
      <w:r w:rsidRPr="00F3462C">
        <w:rPr>
          <w:rFonts w:ascii="Verdana" w:hAnsi="Verdana"/>
          <w:b/>
          <w:bCs/>
        </w:rPr>
        <w:t>&lt;</w:t>
      </w:r>
      <w:r w:rsidR="001D17FB" w:rsidRPr="00F3462C">
        <w:rPr>
          <w:rFonts w:ascii="Verdana" w:hAnsi="Verdana"/>
          <w:b/>
          <w:bCs/>
        </w:rPr>
        <w:t>#</w:t>
      </w:r>
      <w:r w:rsidRPr="00F3462C">
        <w:rPr>
          <w:rFonts w:ascii="Verdana" w:hAnsi="Verdana"/>
          <w:b/>
          <w:bCs/>
        </w:rPr>
        <w:t>&gt;</w:t>
      </w:r>
      <w:r w:rsidR="001D17FB" w:rsidRPr="00F3462C">
        <w:rPr>
          <w:rFonts w:ascii="Verdana" w:hAnsi="Verdana"/>
          <w:b/>
          <w:bCs/>
        </w:rPr>
        <w:t xml:space="preserve"> prescriptions with this delivery.</w:t>
      </w:r>
      <w:r w:rsidRPr="00F3462C">
        <w:rPr>
          <w:rFonts w:ascii="Verdana" w:hAnsi="Verdana"/>
          <w:b/>
          <w:bCs/>
        </w:rPr>
        <w:t>”</w:t>
      </w:r>
    </w:p>
    <w:p w14:paraId="6A3378EE" w14:textId="77777777" w:rsidR="00A201DA" w:rsidRPr="00F3462C" w:rsidRDefault="00A201DA" w:rsidP="004614DE">
      <w:pPr>
        <w:spacing w:before="120" w:after="120"/>
        <w:rPr>
          <w:rFonts w:ascii="Verdana" w:hAnsi="Verdana"/>
        </w:rPr>
      </w:pPr>
    </w:p>
    <w:p w14:paraId="79A7B363" w14:textId="579EB1A2" w:rsidR="001D17FB" w:rsidRPr="00F3462C" w:rsidRDefault="001B311E" w:rsidP="004614DE">
      <w:pPr>
        <w:spacing w:before="120" w:after="120"/>
        <w:jc w:val="right"/>
        <w:rPr>
          <w:rFonts w:ascii="Verdana" w:hAnsi="Verdana"/>
        </w:rPr>
      </w:pPr>
      <w:hyperlink w:anchor="_top" w:history="1">
        <w:r w:rsidRPr="003B71FE">
          <w:rPr>
            <w:rStyle w:val="Hyperlink"/>
            <w:rFonts w:ascii="Verdana" w:hAnsi="Verdana"/>
          </w:rPr>
          <w:t>Top of the Document</w:t>
        </w:r>
        <w:r w:rsidR="004C6C1E" w:rsidRPr="003B71FE">
          <w:rPr>
            <w:rStyle w:val="Hyperlink"/>
            <w:rFonts w:ascii="Verdana" w:hAnsi="Verdana"/>
          </w:rPr>
          <w:t xml:space="preserve"> </w:t>
        </w:r>
      </w:hyperlink>
      <w:r w:rsidR="004C6C1E" w:rsidRPr="00F3462C">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D17FB" w:rsidRPr="00F3462C" w14:paraId="746AE786" w14:textId="77777777" w:rsidTr="00E8128D">
        <w:tc>
          <w:tcPr>
            <w:tcW w:w="5000" w:type="pct"/>
            <w:shd w:val="clear" w:color="auto" w:fill="C0C0C0"/>
          </w:tcPr>
          <w:p w14:paraId="3199CD6F" w14:textId="77777777" w:rsidR="001D17FB" w:rsidRPr="00F3462C" w:rsidRDefault="00EF419F" w:rsidP="00AF34B3">
            <w:pPr>
              <w:pStyle w:val="Heading2"/>
              <w:spacing w:before="120" w:after="120"/>
              <w:rPr>
                <w:rFonts w:ascii="Verdana" w:hAnsi="Verdana"/>
                <w:i w:val="0"/>
                <w:iCs w:val="0"/>
              </w:rPr>
            </w:pPr>
            <w:bookmarkStart w:id="7" w:name="_Toc208236009"/>
            <w:r w:rsidRPr="00F3462C">
              <w:rPr>
                <w:rFonts w:ascii="Verdana" w:hAnsi="Verdana"/>
                <w:i w:val="0"/>
                <w:iCs w:val="0"/>
              </w:rPr>
              <w:t xml:space="preserve">Member Web Portal </w:t>
            </w:r>
            <w:r w:rsidR="001D17FB" w:rsidRPr="00F3462C">
              <w:rPr>
                <w:rFonts w:ascii="Verdana" w:hAnsi="Verdana"/>
                <w:i w:val="0"/>
                <w:iCs w:val="0"/>
              </w:rPr>
              <w:t>Consolidated Orders</w:t>
            </w:r>
            <w:bookmarkEnd w:id="7"/>
          </w:p>
        </w:tc>
      </w:tr>
    </w:tbl>
    <w:p w14:paraId="0B15C4C1" w14:textId="55CA2FA3" w:rsidR="001D17FB" w:rsidRPr="00F3462C" w:rsidRDefault="001D17FB" w:rsidP="004614DE">
      <w:pPr>
        <w:spacing w:before="120" w:after="120"/>
        <w:rPr>
          <w:rFonts w:ascii="Verdana" w:hAnsi="Verdana"/>
        </w:rPr>
      </w:pPr>
      <w:r w:rsidRPr="00F3462C">
        <w:rPr>
          <w:rFonts w:ascii="Verdana" w:hAnsi="Verdana"/>
        </w:rPr>
        <w:t xml:space="preserve">When members check their order status online, consolidated orders will NOT have a special “Consolidated” status. The </w:t>
      </w:r>
      <w:proofErr w:type="gramStart"/>
      <w:r w:rsidRPr="00F3462C">
        <w:rPr>
          <w:rFonts w:ascii="Verdana" w:hAnsi="Verdana"/>
        </w:rPr>
        <w:t>member</w:t>
      </w:r>
      <w:proofErr w:type="gramEnd"/>
      <w:r w:rsidRPr="00F3462C">
        <w:rPr>
          <w:rFonts w:ascii="Verdana" w:hAnsi="Verdana"/>
        </w:rPr>
        <w:t xml:space="preserve"> will see the Shipped status for each order, and consolidated orders will have the same tracking number and other details.</w:t>
      </w:r>
    </w:p>
    <w:p w14:paraId="476873BC" w14:textId="77777777" w:rsidR="00A07094" w:rsidRPr="00F3462C" w:rsidRDefault="00A07094" w:rsidP="004614DE">
      <w:pPr>
        <w:spacing w:before="120" w:after="120"/>
        <w:rPr>
          <w:rFonts w:ascii="Verdana" w:hAnsi="Verdana"/>
        </w:rPr>
      </w:pPr>
    </w:p>
    <w:p w14:paraId="28313ED5" w14:textId="1074CA39" w:rsidR="005967AE" w:rsidRPr="00F3462C" w:rsidRDefault="004C6C1E" w:rsidP="004614DE">
      <w:pPr>
        <w:spacing w:before="120" w:after="120"/>
        <w:jc w:val="right"/>
        <w:rPr>
          <w:rFonts w:ascii="Verdana" w:hAnsi="Verdana"/>
        </w:rPr>
      </w:pPr>
      <w:hyperlink w:anchor="_top" w:history="1">
        <w:r w:rsidRPr="003B71FE">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967AE" w:rsidRPr="00F3462C" w14:paraId="47887D3C" w14:textId="77777777" w:rsidTr="3633802C">
        <w:tc>
          <w:tcPr>
            <w:tcW w:w="5000" w:type="pct"/>
            <w:shd w:val="clear" w:color="auto" w:fill="C0C0C0"/>
          </w:tcPr>
          <w:p w14:paraId="044433EB" w14:textId="77777777" w:rsidR="005967AE" w:rsidRPr="00F3462C" w:rsidRDefault="009D73C0" w:rsidP="00AF34B3">
            <w:pPr>
              <w:pStyle w:val="Heading2"/>
              <w:spacing w:before="120" w:after="120"/>
              <w:rPr>
                <w:rFonts w:ascii="Verdana" w:hAnsi="Verdana"/>
                <w:i w:val="0"/>
                <w:iCs w:val="0"/>
              </w:rPr>
            </w:pPr>
            <w:bookmarkStart w:id="8" w:name="_Toc208236010"/>
            <w:r w:rsidRPr="00F3462C">
              <w:rPr>
                <w:rFonts w:ascii="Verdana" w:hAnsi="Verdana"/>
                <w:i w:val="0"/>
                <w:iCs w:val="0"/>
              </w:rPr>
              <w:t>Related Documents</w:t>
            </w:r>
            <w:bookmarkEnd w:id="8"/>
          </w:p>
        </w:tc>
      </w:tr>
    </w:tbl>
    <w:p w14:paraId="0A1525DD" w14:textId="3230C3C8" w:rsidR="00AF34B3" w:rsidRPr="00AB2B82" w:rsidRDefault="00F3462C" w:rsidP="00AB2B82">
      <w:pPr>
        <w:spacing w:before="120" w:after="120"/>
        <w:contextualSpacing/>
        <w:rPr>
          <w:rFonts w:ascii="Verdana" w:eastAsia="Helvetica" w:hAnsi="Verdana" w:cs="Helvetica"/>
          <w:color w:val="000000" w:themeColor="text1"/>
        </w:rPr>
      </w:pPr>
      <w:hyperlink r:id="rId20" w:anchor="!/view?docid=0ad0ab77-cb2e-4521-8f97-659304a0c8f8" w:history="1">
        <w:r w:rsidRPr="00AB2B82">
          <w:rPr>
            <w:rStyle w:val="Hyperlink"/>
            <w:rFonts w:ascii="Verdana" w:eastAsia="Helvetica" w:hAnsi="Verdana" w:cs="Helvetica"/>
          </w:rPr>
          <w:t>Compass - Mail Order History / Order Status (056369)</w:t>
        </w:r>
      </w:hyperlink>
    </w:p>
    <w:p w14:paraId="7816DA11" w14:textId="1336B12A" w:rsidR="00AF34B3" w:rsidRPr="00F3462C" w:rsidRDefault="00AF34B3" w:rsidP="00520A23">
      <w:pPr>
        <w:spacing w:before="120" w:after="120"/>
        <w:rPr>
          <w:rFonts w:ascii="Verdana" w:hAnsi="Verdana"/>
        </w:rPr>
      </w:pPr>
      <w:hyperlink r:id="rId21" w:anchor="!/view?docid=c1f1028b-e42c-4b4f-a4cf-cc0b42c91606" w:history="1">
        <w:r w:rsidRPr="00F3462C">
          <w:rPr>
            <w:rStyle w:val="Hyperlink"/>
            <w:rFonts w:ascii="Verdana" w:hAnsi="Verdana"/>
          </w:rPr>
          <w:t>Customer Care Abbreviations, Definitions and Terms Index (017428)</w:t>
        </w:r>
      </w:hyperlink>
    </w:p>
    <w:p w14:paraId="63B904A2" w14:textId="296A677E" w:rsidR="005967AE" w:rsidRPr="00AB2B82" w:rsidRDefault="009D73C0" w:rsidP="00520A23">
      <w:pPr>
        <w:spacing w:before="120" w:after="120"/>
        <w:rPr>
          <w:rFonts w:ascii="Verdana" w:hAnsi="Verdana"/>
          <w:color w:val="000000"/>
        </w:rPr>
      </w:pPr>
      <w:r w:rsidRPr="00F3462C">
        <w:rPr>
          <w:rFonts w:ascii="Verdana" w:hAnsi="Verdana"/>
          <w:b/>
          <w:color w:val="000000"/>
        </w:rPr>
        <w:t xml:space="preserve">Parent </w:t>
      </w:r>
      <w:r w:rsidR="00F3462C" w:rsidRPr="00F3462C">
        <w:rPr>
          <w:rFonts w:ascii="Verdana" w:hAnsi="Verdana"/>
          <w:b/>
          <w:color w:val="000000"/>
        </w:rPr>
        <w:t>Document</w:t>
      </w:r>
      <w:r w:rsidR="00B90877">
        <w:rPr>
          <w:rFonts w:ascii="Verdana" w:hAnsi="Verdana"/>
          <w:b/>
          <w:color w:val="000000"/>
        </w:rPr>
        <w:t xml:space="preserve">: </w:t>
      </w:r>
      <w:hyperlink r:id="rId22" w:tgtFrame="_blank" w:history="1">
        <w:r w:rsidR="005967AE" w:rsidRPr="00F3462C">
          <w:rPr>
            <w:rFonts w:ascii="Verdana" w:hAnsi="Verdana"/>
            <w:color w:val="0000FF"/>
            <w:u w:val="single"/>
          </w:rPr>
          <w:t>CALL 0049 Customer Care Internal and External Call Handling</w:t>
        </w:r>
      </w:hyperlink>
    </w:p>
    <w:p w14:paraId="5D82E72A" w14:textId="2F926840" w:rsidR="00FD4AAA" w:rsidRPr="001E34C7" w:rsidRDefault="005967AE" w:rsidP="001E34C7">
      <w:pPr>
        <w:spacing w:before="120" w:after="120"/>
        <w:jc w:val="right"/>
        <w:rPr>
          <w:rFonts w:ascii="Verdana" w:hAnsi="Verdana"/>
        </w:rPr>
      </w:pPr>
      <w:hyperlink w:anchor="_top" w:history="1">
        <w:r w:rsidRPr="003B71FE">
          <w:rPr>
            <w:rStyle w:val="Hyperlink"/>
            <w:rFonts w:ascii="Verdana" w:hAnsi="Verdana"/>
          </w:rPr>
          <w:t>Top of the Document</w:t>
        </w:r>
      </w:hyperlink>
    </w:p>
    <w:p w14:paraId="01EB2BE6" w14:textId="77777777" w:rsidR="00FD4AAA" w:rsidRPr="00C247CB" w:rsidRDefault="00B4636A" w:rsidP="004614DE">
      <w:pPr>
        <w:spacing w:before="120" w:after="120"/>
        <w:jc w:val="center"/>
        <w:rPr>
          <w:rFonts w:ascii="Verdana" w:hAnsi="Verdana"/>
          <w:sz w:val="16"/>
          <w:szCs w:val="16"/>
        </w:rPr>
      </w:pPr>
      <w:r>
        <w:rPr>
          <w:rFonts w:ascii="Verdana" w:hAnsi="Verdana"/>
          <w:sz w:val="16"/>
          <w:szCs w:val="16"/>
        </w:rPr>
        <w:t>Not to be Reproduced o</w:t>
      </w:r>
      <w:r w:rsidR="00FD4AAA" w:rsidRPr="00C247CB">
        <w:rPr>
          <w:rFonts w:ascii="Verdana" w:hAnsi="Verdana"/>
          <w:sz w:val="16"/>
          <w:szCs w:val="16"/>
        </w:rPr>
        <w:t xml:space="preserve">r Disclosed to Others </w:t>
      </w:r>
      <w:r w:rsidR="00B86FFE" w:rsidRPr="00C247CB">
        <w:rPr>
          <w:rFonts w:ascii="Verdana" w:hAnsi="Verdana"/>
          <w:sz w:val="16"/>
          <w:szCs w:val="16"/>
        </w:rPr>
        <w:t>without</w:t>
      </w:r>
      <w:r w:rsidR="00FD4AAA" w:rsidRPr="00C247CB">
        <w:rPr>
          <w:rFonts w:ascii="Verdana" w:hAnsi="Verdana"/>
          <w:sz w:val="16"/>
          <w:szCs w:val="16"/>
        </w:rPr>
        <w:t xml:space="preserve"> Prior Written Approval</w:t>
      </w:r>
    </w:p>
    <w:p w14:paraId="31F91AF1" w14:textId="4A672EF3" w:rsidR="0002766B" w:rsidRPr="001E34C7" w:rsidRDefault="00FD4AAA" w:rsidP="001E34C7">
      <w:pPr>
        <w:spacing w:before="120" w:after="120"/>
        <w:jc w:val="center"/>
        <w:rPr>
          <w:rFonts w:ascii="Verdana" w:hAnsi="Verdana"/>
          <w:b/>
          <w:sz w:val="16"/>
          <w:szCs w:val="16"/>
        </w:rPr>
      </w:pPr>
      <w:r w:rsidRPr="00C247CB">
        <w:rPr>
          <w:rFonts w:ascii="Verdana" w:hAnsi="Verdana"/>
          <w:b/>
          <w:sz w:val="16"/>
          <w:szCs w:val="16"/>
        </w:rPr>
        <w:t>ELEC</w:t>
      </w:r>
      <w:r w:rsidR="001A28CB">
        <w:rPr>
          <w:rFonts w:ascii="Verdana" w:hAnsi="Verdana"/>
          <w:b/>
          <w:sz w:val="16"/>
          <w:szCs w:val="16"/>
        </w:rPr>
        <w:t>TRONIC DATA = OFFICIAL VERSION / PAPER COPY =</w:t>
      </w:r>
      <w:r w:rsidRPr="00C247CB">
        <w:rPr>
          <w:rFonts w:ascii="Verdana" w:hAnsi="Verdana"/>
          <w:b/>
          <w:sz w:val="16"/>
          <w:szCs w:val="16"/>
        </w:rPr>
        <w:t xml:space="preserve"> INFORMATIONAL ONLY</w:t>
      </w:r>
    </w:p>
    <w:sectPr w:rsidR="0002766B" w:rsidRPr="001E34C7" w:rsidSect="001B6289">
      <w:footerReference w:type="even" r:id="rId23"/>
      <w:footerReference w:type="default" r:id="rId2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9A88E" w14:textId="77777777" w:rsidR="001962B6" w:rsidRDefault="001962B6">
      <w:r>
        <w:separator/>
      </w:r>
    </w:p>
  </w:endnote>
  <w:endnote w:type="continuationSeparator" w:id="0">
    <w:p w14:paraId="53C69F5A" w14:textId="77777777" w:rsidR="001962B6" w:rsidRDefault="00196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03F03" w14:textId="77777777" w:rsidR="00064378" w:rsidRDefault="00064378" w:rsidP="00EF5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1E19C0" w14:textId="77777777" w:rsidR="00064378" w:rsidRDefault="00064378" w:rsidP="00B05A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28C1C" w14:textId="77777777" w:rsidR="00064378" w:rsidRDefault="00064378" w:rsidP="00EF5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0A6D">
      <w:rPr>
        <w:rStyle w:val="PageNumber"/>
        <w:noProof/>
      </w:rPr>
      <w:t>6</w:t>
    </w:r>
    <w:r>
      <w:rPr>
        <w:rStyle w:val="PageNumber"/>
      </w:rPr>
      <w:fldChar w:fldCharType="end"/>
    </w:r>
  </w:p>
  <w:p w14:paraId="1A95D787" w14:textId="77777777" w:rsidR="00064378" w:rsidRDefault="00064378" w:rsidP="00B05A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B219E" w14:textId="77777777" w:rsidR="001962B6" w:rsidRDefault="001962B6">
      <w:r>
        <w:separator/>
      </w:r>
    </w:p>
  </w:footnote>
  <w:footnote w:type="continuationSeparator" w:id="0">
    <w:p w14:paraId="2625DE66" w14:textId="77777777" w:rsidR="001962B6" w:rsidRDefault="001962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B1125"/>
    <w:multiLevelType w:val="hybridMultilevel"/>
    <w:tmpl w:val="F40C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85F70"/>
    <w:multiLevelType w:val="hybridMultilevel"/>
    <w:tmpl w:val="2D7EB678"/>
    <w:lvl w:ilvl="0" w:tplc="317E14D6">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5FB6039C"/>
    <w:multiLevelType w:val="hybridMultilevel"/>
    <w:tmpl w:val="2A7C3B36"/>
    <w:lvl w:ilvl="0" w:tplc="07EC54BE">
      <w:start w:val="1"/>
      <w:numFmt w:val="bullet"/>
      <w:lvlText w:val=""/>
      <w:lvlJc w:val="left"/>
      <w:pPr>
        <w:ind w:left="720" w:hanging="288"/>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9F205C"/>
    <w:multiLevelType w:val="hybridMultilevel"/>
    <w:tmpl w:val="7628593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724D4DF6"/>
    <w:multiLevelType w:val="hybridMultilevel"/>
    <w:tmpl w:val="4CF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C4216D"/>
    <w:multiLevelType w:val="hybridMultilevel"/>
    <w:tmpl w:val="35BA7BD8"/>
    <w:lvl w:ilvl="0" w:tplc="317E14D6">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16cid:durableId="1824928459">
    <w:abstractNumId w:val="2"/>
  </w:num>
  <w:num w:numId="2" w16cid:durableId="749546658">
    <w:abstractNumId w:val="4"/>
  </w:num>
  <w:num w:numId="3" w16cid:durableId="562759918">
    <w:abstractNumId w:val="3"/>
  </w:num>
  <w:num w:numId="4" w16cid:durableId="218441789">
    <w:abstractNumId w:val="5"/>
  </w:num>
  <w:num w:numId="5" w16cid:durableId="1041708507">
    <w:abstractNumId w:val="1"/>
  </w:num>
  <w:num w:numId="6" w16cid:durableId="137384340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47"/>
    <w:rsid w:val="00000BE8"/>
    <w:rsid w:val="00006FE1"/>
    <w:rsid w:val="00010D23"/>
    <w:rsid w:val="000128F4"/>
    <w:rsid w:val="00021693"/>
    <w:rsid w:val="00026765"/>
    <w:rsid w:val="00026F81"/>
    <w:rsid w:val="0002766B"/>
    <w:rsid w:val="00030B68"/>
    <w:rsid w:val="000313D4"/>
    <w:rsid w:val="00036F50"/>
    <w:rsid w:val="00040C5B"/>
    <w:rsid w:val="00046717"/>
    <w:rsid w:val="00046D7D"/>
    <w:rsid w:val="00061F15"/>
    <w:rsid w:val="00063161"/>
    <w:rsid w:val="00064378"/>
    <w:rsid w:val="000664F1"/>
    <w:rsid w:val="00072248"/>
    <w:rsid w:val="00073183"/>
    <w:rsid w:val="00092E73"/>
    <w:rsid w:val="000974BD"/>
    <w:rsid w:val="00097F84"/>
    <w:rsid w:val="000A7311"/>
    <w:rsid w:val="000A7958"/>
    <w:rsid w:val="000C6AD2"/>
    <w:rsid w:val="000D2381"/>
    <w:rsid w:val="000E2030"/>
    <w:rsid w:val="000E20DA"/>
    <w:rsid w:val="000E353B"/>
    <w:rsid w:val="000E59E2"/>
    <w:rsid w:val="000F552F"/>
    <w:rsid w:val="001110D7"/>
    <w:rsid w:val="00116E14"/>
    <w:rsid w:val="0011C941"/>
    <w:rsid w:val="0012257D"/>
    <w:rsid w:val="00123CE4"/>
    <w:rsid w:val="00130EF7"/>
    <w:rsid w:val="001444BB"/>
    <w:rsid w:val="00146437"/>
    <w:rsid w:val="001464B9"/>
    <w:rsid w:val="00150A6D"/>
    <w:rsid w:val="00161CA7"/>
    <w:rsid w:val="0016673C"/>
    <w:rsid w:val="00166CEA"/>
    <w:rsid w:val="00177276"/>
    <w:rsid w:val="00187D44"/>
    <w:rsid w:val="00195596"/>
    <w:rsid w:val="001962B6"/>
    <w:rsid w:val="001A28CB"/>
    <w:rsid w:val="001B0373"/>
    <w:rsid w:val="001B311E"/>
    <w:rsid w:val="001B6289"/>
    <w:rsid w:val="001D17FB"/>
    <w:rsid w:val="001E34C7"/>
    <w:rsid w:val="001F0E95"/>
    <w:rsid w:val="001F5535"/>
    <w:rsid w:val="00202CB3"/>
    <w:rsid w:val="00204EAD"/>
    <w:rsid w:val="00217D07"/>
    <w:rsid w:val="002207D9"/>
    <w:rsid w:val="00230483"/>
    <w:rsid w:val="00235B24"/>
    <w:rsid w:val="00246831"/>
    <w:rsid w:val="00246ACF"/>
    <w:rsid w:val="00252638"/>
    <w:rsid w:val="00253C3C"/>
    <w:rsid w:val="0025658F"/>
    <w:rsid w:val="0026019A"/>
    <w:rsid w:val="00261E5A"/>
    <w:rsid w:val="00271080"/>
    <w:rsid w:val="002808BE"/>
    <w:rsid w:val="00297D15"/>
    <w:rsid w:val="002A7BCB"/>
    <w:rsid w:val="002C4634"/>
    <w:rsid w:val="002C5810"/>
    <w:rsid w:val="002D0096"/>
    <w:rsid w:val="002D0276"/>
    <w:rsid w:val="002E7701"/>
    <w:rsid w:val="002F08B6"/>
    <w:rsid w:val="002F1D71"/>
    <w:rsid w:val="00301347"/>
    <w:rsid w:val="0030141E"/>
    <w:rsid w:val="00310568"/>
    <w:rsid w:val="00311117"/>
    <w:rsid w:val="00317C44"/>
    <w:rsid w:val="0032294C"/>
    <w:rsid w:val="003261AA"/>
    <w:rsid w:val="003457C3"/>
    <w:rsid w:val="003470BC"/>
    <w:rsid w:val="003521EA"/>
    <w:rsid w:val="00380651"/>
    <w:rsid w:val="003855A5"/>
    <w:rsid w:val="003A7D6C"/>
    <w:rsid w:val="003B71FE"/>
    <w:rsid w:val="003C0EBB"/>
    <w:rsid w:val="003D0429"/>
    <w:rsid w:val="003D22B7"/>
    <w:rsid w:val="003E12FE"/>
    <w:rsid w:val="003E3CB4"/>
    <w:rsid w:val="003F26DF"/>
    <w:rsid w:val="003F5EE3"/>
    <w:rsid w:val="004204CB"/>
    <w:rsid w:val="00427387"/>
    <w:rsid w:val="00433EE7"/>
    <w:rsid w:val="00435270"/>
    <w:rsid w:val="00453D6F"/>
    <w:rsid w:val="004614DE"/>
    <w:rsid w:val="00463A2C"/>
    <w:rsid w:val="00474987"/>
    <w:rsid w:val="00477D30"/>
    <w:rsid w:val="00481946"/>
    <w:rsid w:val="00485408"/>
    <w:rsid w:val="0048648D"/>
    <w:rsid w:val="004A0E36"/>
    <w:rsid w:val="004A2123"/>
    <w:rsid w:val="004A5314"/>
    <w:rsid w:val="004C0979"/>
    <w:rsid w:val="004C45D5"/>
    <w:rsid w:val="004C5B09"/>
    <w:rsid w:val="004C6C1E"/>
    <w:rsid w:val="004C6EA9"/>
    <w:rsid w:val="004E4642"/>
    <w:rsid w:val="004F1457"/>
    <w:rsid w:val="004F38C6"/>
    <w:rsid w:val="004F4530"/>
    <w:rsid w:val="004F5A23"/>
    <w:rsid w:val="00500BE1"/>
    <w:rsid w:val="00511F92"/>
    <w:rsid w:val="0051440E"/>
    <w:rsid w:val="005200DD"/>
    <w:rsid w:val="00520A23"/>
    <w:rsid w:val="00526286"/>
    <w:rsid w:val="00530DC5"/>
    <w:rsid w:val="0055522F"/>
    <w:rsid w:val="0055601F"/>
    <w:rsid w:val="00563062"/>
    <w:rsid w:val="00575F12"/>
    <w:rsid w:val="00583CA8"/>
    <w:rsid w:val="0058579D"/>
    <w:rsid w:val="005967AE"/>
    <w:rsid w:val="005B60B7"/>
    <w:rsid w:val="005B6A35"/>
    <w:rsid w:val="005B74BB"/>
    <w:rsid w:val="005C1ADC"/>
    <w:rsid w:val="005C6FA6"/>
    <w:rsid w:val="005C7C3B"/>
    <w:rsid w:val="005D5A7E"/>
    <w:rsid w:val="005E41E8"/>
    <w:rsid w:val="005E5253"/>
    <w:rsid w:val="005F3C3E"/>
    <w:rsid w:val="005F6841"/>
    <w:rsid w:val="005F6C71"/>
    <w:rsid w:val="0060025F"/>
    <w:rsid w:val="00611464"/>
    <w:rsid w:val="00614745"/>
    <w:rsid w:val="00621AE4"/>
    <w:rsid w:val="006231BD"/>
    <w:rsid w:val="00627D37"/>
    <w:rsid w:val="006318ED"/>
    <w:rsid w:val="0063722B"/>
    <w:rsid w:val="0064008B"/>
    <w:rsid w:val="006627EE"/>
    <w:rsid w:val="00662808"/>
    <w:rsid w:val="006710F0"/>
    <w:rsid w:val="006738AA"/>
    <w:rsid w:val="0068035D"/>
    <w:rsid w:val="006A78B5"/>
    <w:rsid w:val="006C28C9"/>
    <w:rsid w:val="006F1C7E"/>
    <w:rsid w:val="007007FE"/>
    <w:rsid w:val="00701D29"/>
    <w:rsid w:val="00702E69"/>
    <w:rsid w:val="00702EB8"/>
    <w:rsid w:val="00703AA9"/>
    <w:rsid w:val="00705048"/>
    <w:rsid w:val="0072021D"/>
    <w:rsid w:val="00724B8A"/>
    <w:rsid w:val="0072785D"/>
    <w:rsid w:val="0073016A"/>
    <w:rsid w:val="007317A6"/>
    <w:rsid w:val="00737EC6"/>
    <w:rsid w:val="00743EA8"/>
    <w:rsid w:val="00751075"/>
    <w:rsid w:val="00756E6F"/>
    <w:rsid w:val="00761D4F"/>
    <w:rsid w:val="00773DAE"/>
    <w:rsid w:val="0078045D"/>
    <w:rsid w:val="00783475"/>
    <w:rsid w:val="007B042C"/>
    <w:rsid w:val="007B1C1C"/>
    <w:rsid w:val="007B5296"/>
    <w:rsid w:val="007C0052"/>
    <w:rsid w:val="007C2BDC"/>
    <w:rsid w:val="007C5D47"/>
    <w:rsid w:val="007C7AF2"/>
    <w:rsid w:val="007D04B0"/>
    <w:rsid w:val="007E3291"/>
    <w:rsid w:val="007F42FD"/>
    <w:rsid w:val="0082396F"/>
    <w:rsid w:val="00843688"/>
    <w:rsid w:val="00845B5A"/>
    <w:rsid w:val="00852DF8"/>
    <w:rsid w:val="008828DD"/>
    <w:rsid w:val="00887D28"/>
    <w:rsid w:val="00892B73"/>
    <w:rsid w:val="008A0AA9"/>
    <w:rsid w:val="008A77FF"/>
    <w:rsid w:val="008B5066"/>
    <w:rsid w:val="008B6FD3"/>
    <w:rsid w:val="008B7971"/>
    <w:rsid w:val="008C5459"/>
    <w:rsid w:val="008C5F31"/>
    <w:rsid w:val="008D1657"/>
    <w:rsid w:val="008F17A3"/>
    <w:rsid w:val="008F28D9"/>
    <w:rsid w:val="008F3A3E"/>
    <w:rsid w:val="0091123D"/>
    <w:rsid w:val="00923924"/>
    <w:rsid w:val="00924ECB"/>
    <w:rsid w:val="009261DF"/>
    <w:rsid w:val="00932935"/>
    <w:rsid w:val="009355D1"/>
    <w:rsid w:val="00942D4E"/>
    <w:rsid w:val="00947512"/>
    <w:rsid w:val="009620D0"/>
    <w:rsid w:val="0097678A"/>
    <w:rsid w:val="00993EF5"/>
    <w:rsid w:val="009977C3"/>
    <w:rsid w:val="009A0ED3"/>
    <w:rsid w:val="009B6BEA"/>
    <w:rsid w:val="009D1594"/>
    <w:rsid w:val="009D1D14"/>
    <w:rsid w:val="009D73C0"/>
    <w:rsid w:val="009E09E3"/>
    <w:rsid w:val="009E5268"/>
    <w:rsid w:val="009F1910"/>
    <w:rsid w:val="009F19F1"/>
    <w:rsid w:val="009F426E"/>
    <w:rsid w:val="00A02C74"/>
    <w:rsid w:val="00A07094"/>
    <w:rsid w:val="00A201DA"/>
    <w:rsid w:val="00A212F2"/>
    <w:rsid w:val="00A21D15"/>
    <w:rsid w:val="00A34F76"/>
    <w:rsid w:val="00A37D64"/>
    <w:rsid w:val="00A4288A"/>
    <w:rsid w:val="00A509A9"/>
    <w:rsid w:val="00A60F84"/>
    <w:rsid w:val="00A74147"/>
    <w:rsid w:val="00A76AD7"/>
    <w:rsid w:val="00A86B94"/>
    <w:rsid w:val="00A91843"/>
    <w:rsid w:val="00AA54D5"/>
    <w:rsid w:val="00AB2B82"/>
    <w:rsid w:val="00AB7396"/>
    <w:rsid w:val="00AB7959"/>
    <w:rsid w:val="00AD4C22"/>
    <w:rsid w:val="00AE0A87"/>
    <w:rsid w:val="00AE2080"/>
    <w:rsid w:val="00AF28A6"/>
    <w:rsid w:val="00AF34B3"/>
    <w:rsid w:val="00AF46C1"/>
    <w:rsid w:val="00B05A5F"/>
    <w:rsid w:val="00B10AE5"/>
    <w:rsid w:val="00B11414"/>
    <w:rsid w:val="00B37D6F"/>
    <w:rsid w:val="00B424E0"/>
    <w:rsid w:val="00B4636A"/>
    <w:rsid w:val="00B70C50"/>
    <w:rsid w:val="00B86FFE"/>
    <w:rsid w:val="00B90877"/>
    <w:rsid w:val="00BA653D"/>
    <w:rsid w:val="00BB59A0"/>
    <w:rsid w:val="00BB75C8"/>
    <w:rsid w:val="00BD22D5"/>
    <w:rsid w:val="00BD68D4"/>
    <w:rsid w:val="00BE2BC5"/>
    <w:rsid w:val="00BF49BF"/>
    <w:rsid w:val="00BF6547"/>
    <w:rsid w:val="00BF72BB"/>
    <w:rsid w:val="00C116E6"/>
    <w:rsid w:val="00C126A7"/>
    <w:rsid w:val="00C13DC8"/>
    <w:rsid w:val="00C26CFE"/>
    <w:rsid w:val="00C32FEF"/>
    <w:rsid w:val="00C45947"/>
    <w:rsid w:val="00C50C38"/>
    <w:rsid w:val="00C50DC2"/>
    <w:rsid w:val="00C51563"/>
    <w:rsid w:val="00C52EF6"/>
    <w:rsid w:val="00C561BA"/>
    <w:rsid w:val="00C64E12"/>
    <w:rsid w:val="00C66197"/>
    <w:rsid w:val="00C82B0F"/>
    <w:rsid w:val="00C83A8F"/>
    <w:rsid w:val="00C949F8"/>
    <w:rsid w:val="00CA1A8C"/>
    <w:rsid w:val="00CA4EEB"/>
    <w:rsid w:val="00CA745C"/>
    <w:rsid w:val="00CB47E4"/>
    <w:rsid w:val="00CB7FED"/>
    <w:rsid w:val="00CC681C"/>
    <w:rsid w:val="00CE023F"/>
    <w:rsid w:val="00CE4811"/>
    <w:rsid w:val="00D000E3"/>
    <w:rsid w:val="00D034D8"/>
    <w:rsid w:val="00D22783"/>
    <w:rsid w:val="00D229F7"/>
    <w:rsid w:val="00D2420B"/>
    <w:rsid w:val="00D43E88"/>
    <w:rsid w:val="00D4584B"/>
    <w:rsid w:val="00D57362"/>
    <w:rsid w:val="00D71113"/>
    <w:rsid w:val="00D7249C"/>
    <w:rsid w:val="00D76F9D"/>
    <w:rsid w:val="00D93ECF"/>
    <w:rsid w:val="00D97D19"/>
    <w:rsid w:val="00DA0673"/>
    <w:rsid w:val="00DA67D4"/>
    <w:rsid w:val="00DC0DC3"/>
    <w:rsid w:val="00DC10C7"/>
    <w:rsid w:val="00DC1671"/>
    <w:rsid w:val="00DD065F"/>
    <w:rsid w:val="00DD284C"/>
    <w:rsid w:val="00DD53A2"/>
    <w:rsid w:val="00DD77A2"/>
    <w:rsid w:val="00DE3EBB"/>
    <w:rsid w:val="00DE68FA"/>
    <w:rsid w:val="00E0554C"/>
    <w:rsid w:val="00E149E3"/>
    <w:rsid w:val="00E26A80"/>
    <w:rsid w:val="00E352EB"/>
    <w:rsid w:val="00E434DB"/>
    <w:rsid w:val="00E45ED0"/>
    <w:rsid w:val="00E53444"/>
    <w:rsid w:val="00E54835"/>
    <w:rsid w:val="00E54E39"/>
    <w:rsid w:val="00E60FCE"/>
    <w:rsid w:val="00E6591A"/>
    <w:rsid w:val="00E66167"/>
    <w:rsid w:val="00E66388"/>
    <w:rsid w:val="00E8128D"/>
    <w:rsid w:val="00E93822"/>
    <w:rsid w:val="00EA112F"/>
    <w:rsid w:val="00EA2DD0"/>
    <w:rsid w:val="00EB5363"/>
    <w:rsid w:val="00EC0BDC"/>
    <w:rsid w:val="00EC1C8C"/>
    <w:rsid w:val="00EC3B3A"/>
    <w:rsid w:val="00EC72A7"/>
    <w:rsid w:val="00ED28C5"/>
    <w:rsid w:val="00ED5215"/>
    <w:rsid w:val="00EE0E62"/>
    <w:rsid w:val="00EE6A28"/>
    <w:rsid w:val="00EF3466"/>
    <w:rsid w:val="00EF419F"/>
    <w:rsid w:val="00EF5531"/>
    <w:rsid w:val="00F024A2"/>
    <w:rsid w:val="00F13ABB"/>
    <w:rsid w:val="00F1589F"/>
    <w:rsid w:val="00F3462C"/>
    <w:rsid w:val="00F47477"/>
    <w:rsid w:val="00F50407"/>
    <w:rsid w:val="00F504FD"/>
    <w:rsid w:val="00F534B8"/>
    <w:rsid w:val="00F570EF"/>
    <w:rsid w:val="00F63FB1"/>
    <w:rsid w:val="00F65453"/>
    <w:rsid w:val="00F76435"/>
    <w:rsid w:val="00F77707"/>
    <w:rsid w:val="00F91B40"/>
    <w:rsid w:val="00F95C42"/>
    <w:rsid w:val="00FA43FA"/>
    <w:rsid w:val="00FB6DF9"/>
    <w:rsid w:val="00FC5594"/>
    <w:rsid w:val="00FD1489"/>
    <w:rsid w:val="00FD1A48"/>
    <w:rsid w:val="00FD4AAA"/>
    <w:rsid w:val="00FD5472"/>
    <w:rsid w:val="00FE29F4"/>
    <w:rsid w:val="00FE5A1E"/>
    <w:rsid w:val="00FF1EFC"/>
    <w:rsid w:val="00FF7098"/>
    <w:rsid w:val="02306FE2"/>
    <w:rsid w:val="02EBCE0C"/>
    <w:rsid w:val="0336A7A9"/>
    <w:rsid w:val="03EB5F17"/>
    <w:rsid w:val="0497F0B9"/>
    <w:rsid w:val="058A6981"/>
    <w:rsid w:val="060F1955"/>
    <w:rsid w:val="06135D49"/>
    <w:rsid w:val="066CCC9E"/>
    <w:rsid w:val="07BB6D58"/>
    <w:rsid w:val="07BD9888"/>
    <w:rsid w:val="09103D8B"/>
    <w:rsid w:val="09699A3C"/>
    <w:rsid w:val="0A8FA817"/>
    <w:rsid w:val="0BDD3DFF"/>
    <w:rsid w:val="0C414A9F"/>
    <w:rsid w:val="0E02DB95"/>
    <w:rsid w:val="0E7203DC"/>
    <w:rsid w:val="0F69749B"/>
    <w:rsid w:val="0F75E0BE"/>
    <w:rsid w:val="0FB29BC0"/>
    <w:rsid w:val="1104CDD7"/>
    <w:rsid w:val="13214CB0"/>
    <w:rsid w:val="146D4D9E"/>
    <w:rsid w:val="157D8CA1"/>
    <w:rsid w:val="161438CB"/>
    <w:rsid w:val="16D3CEBA"/>
    <w:rsid w:val="173441E7"/>
    <w:rsid w:val="175C0F24"/>
    <w:rsid w:val="176A2C13"/>
    <w:rsid w:val="17D6E3BC"/>
    <w:rsid w:val="19588578"/>
    <w:rsid w:val="1AAF6F40"/>
    <w:rsid w:val="1C030D17"/>
    <w:rsid w:val="1D14F249"/>
    <w:rsid w:val="1D63C002"/>
    <w:rsid w:val="1D6FC5F6"/>
    <w:rsid w:val="1DA49DD5"/>
    <w:rsid w:val="1F910914"/>
    <w:rsid w:val="1FB17960"/>
    <w:rsid w:val="21DAE4AE"/>
    <w:rsid w:val="244E7D4F"/>
    <w:rsid w:val="249BA340"/>
    <w:rsid w:val="25DD11DA"/>
    <w:rsid w:val="2916AE22"/>
    <w:rsid w:val="29A443AE"/>
    <w:rsid w:val="29E2A7B9"/>
    <w:rsid w:val="29FC7F16"/>
    <w:rsid w:val="2A972492"/>
    <w:rsid w:val="2CCD7D01"/>
    <w:rsid w:val="2D83C661"/>
    <w:rsid w:val="2DA09DB7"/>
    <w:rsid w:val="2DA46C1C"/>
    <w:rsid w:val="2E0C9092"/>
    <w:rsid w:val="2E4DEA79"/>
    <w:rsid w:val="2FBA6B09"/>
    <w:rsid w:val="2FC287BF"/>
    <w:rsid w:val="301D648F"/>
    <w:rsid w:val="30DB2BC1"/>
    <w:rsid w:val="3183B537"/>
    <w:rsid w:val="329DACD7"/>
    <w:rsid w:val="32EF921F"/>
    <w:rsid w:val="33A4EDE7"/>
    <w:rsid w:val="33FE67FF"/>
    <w:rsid w:val="34E84CC6"/>
    <w:rsid w:val="35653ED9"/>
    <w:rsid w:val="35A7F88E"/>
    <w:rsid w:val="35C2C46D"/>
    <w:rsid w:val="3633802C"/>
    <w:rsid w:val="36AD5125"/>
    <w:rsid w:val="3882AA2A"/>
    <w:rsid w:val="38ACE6AD"/>
    <w:rsid w:val="38C6B8DE"/>
    <w:rsid w:val="3BDE22DD"/>
    <w:rsid w:val="3C63B4BC"/>
    <w:rsid w:val="3C9CDAC4"/>
    <w:rsid w:val="3CD4A068"/>
    <w:rsid w:val="3CED4A4B"/>
    <w:rsid w:val="3D2554BA"/>
    <w:rsid w:val="3D29395F"/>
    <w:rsid w:val="3E18DFEE"/>
    <w:rsid w:val="3E513672"/>
    <w:rsid w:val="3EF37844"/>
    <w:rsid w:val="3FE118E8"/>
    <w:rsid w:val="4037370D"/>
    <w:rsid w:val="42FC2DE9"/>
    <w:rsid w:val="434FDA76"/>
    <w:rsid w:val="44257D45"/>
    <w:rsid w:val="44499269"/>
    <w:rsid w:val="45772C4C"/>
    <w:rsid w:val="45DAAB23"/>
    <w:rsid w:val="466AAC7F"/>
    <w:rsid w:val="48E8719E"/>
    <w:rsid w:val="48FB1A74"/>
    <w:rsid w:val="49FA2AC9"/>
    <w:rsid w:val="4A3E0229"/>
    <w:rsid w:val="4A86C907"/>
    <w:rsid w:val="4B54A6F7"/>
    <w:rsid w:val="4B87F966"/>
    <w:rsid w:val="4C30B1C0"/>
    <w:rsid w:val="4CD422DA"/>
    <w:rsid w:val="4CE4443F"/>
    <w:rsid w:val="4D905E75"/>
    <w:rsid w:val="4DA9B9E5"/>
    <w:rsid w:val="4EC314B7"/>
    <w:rsid w:val="4ED5A672"/>
    <w:rsid w:val="4EF2C998"/>
    <w:rsid w:val="4FAB7D32"/>
    <w:rsid w:val="5000BF59"/>
    <w:rsid w:val="508D8780"/>
    <w:rsid w:val="52EEC7EB"/>
    <w:rsid w:val="56AD395B"/>
    <w:rsid w:val="5719289B"/>
    <w:rsid w:val="57E6BD78"/>
    <w:rsid w:val="58023A48"/>
    <w:rsid w:val="5AF0595E"/>
    <w:rsid w:val="5B238956"/>
    <w:rsid w:val="5B3A9E8C"/>
    <w:rsid w:val="5BE212D7"/>
    <w:rsid w:val="5C5BE5F7"/>
    <w:rsid w:val="5C96B5D2"/>
    <w:rsid w:val="5DF0A84C"/>
    <w:rsid w:val="5E3648E8"/>
    <w:rsid w:val="5F505BCE"/>
    <w:rsid w:val="5FB92EE8"/>
    <w:rsid w:val="6287F786"/>
    <w:rsid w:val="63AFF7F7"/>
    <w:rsid w:val="6847F2A7"/>
    <w:rsid w:val="68C7AF42"/>
    <w:rsid w:val="693F5DEB"/>
    <w:rsid w:val="69A8D503"/>
    <w:rsid w:val="6B1F03C4"/>
    <w:rsid w:val="6C3EEA61"/>
    <w:rsid w:val="6DAD7448"/>
    <w:rsid w:val="6E09140E"/>
    <w:rsid w:val="6E601E24"/>
    <w:rsid w:val="6E6A6681"/>
    <w:rsid w:val="6EF5C464"/>
    <w:rsid w:val="6F7D67A4"/>
    <w:rsid w:val="6F99EB46"/>
    <w:rsid w:val="6FEC0F25"/>
    <w:rsid w:val="7154B2AB"/>
    <w:rsid w:val="729B2CC2"/>
    <w:rsid w:val="738AD36E"/>
    <w:rsid w:val="73A801C4"/>
    <w:rsid w:val="7426AC90"/>
    <w:rsid w:val="7443BC2A"/>
    <w:rsid w:val="74FC3145"/>
    <w:rsid w:val="754B2168"/>
    <w:rsid w:val="75CA3195"/>
    <w:rsid w:val="76476E38"/>
    <w:rsid w:val="7725D44B"/>
    <w:rsid w:val="77EB13E6"/>
    <w:rsid w:val="7821BA7C"/>
    <w:rsid w:val="783781B7"/>
    <w:rsid w:val="786B7614"/>
    <w:rsid w:val="787E7E9C"/>
    <w:rsid w:val="7CBC6ABC"/>
    <w:rsid w:val="7CFAE8D6"/>
    <w:rsid w:val="7E0A6A78"/>
    <w:rsid w:val="7E83676A"/>
    <w:rsid w:val="7ED9AD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B6E46F"/>
  <w15:chartTrackingRefBased/>
  <w15:docId w15:val="{00F4748A-2EA3-4A0C-B4D2-D1B21308A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alloonText">
    <w:name w:val="Balloon Text"/>
    <w:basedOn w:val="Normal"/>
    <w:semiHidden/>
    <w:rsid w:val="00FF7098"/>
    <w:rPr>
      <w:rFonts w:ascii="Tahoma" w:hAnsi="Tahoma" w:cs="Tahoma"/>
      <w:sz w:val="16"/>
      <w:szCs w:val="16"/>
    </w:rPr>
  </w:style>
  <w:style w:type="table" w:styleId="TableGrid">
    <w:name w:val="Table Grid"/>
    <w:basedOn w:val="TableNormal"/>
    <w:rsid w:val="00C52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paragraph" w:styleId="NormalWeb">
    <w:name w:val="Normal (Web)"/>
    <w:basedOn w:val="Normal"/>
    <w:uiPriority w:val="99"/>
    <w:rsid w:val="009D1594"/>
    <w:pPr>
      <w:spacing w:before="100" w:beforeAutospacing="1" w:after="100" w:afterAutospacing="1"/>
    </w:pPr>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cs="Tahoma"/>
      <w:sz w:val="20"/>
      <w:szCs w:val="20"/>
    </w:rPr>
  </w:style>
  <w:style w:type="paragraph" w:customStyle="1" w:styleId="InsideAddressName">
    <w:name w:val="Inside Address Name"/>
    <w:basedOn w:val="Normal"/>
    <w:next w:val="Normal"/>
    <w:pPr>
      <w:spacing w:before="220" w:line="220" w:lineRule="atLeast"/>
      <w:jc w:val="both"/>
    </w:pPr>
    <w:rPr>
      <w:rFonts w:ascii="Arial" w:hAnsi="Arial"/>
      <w:spacing w:val="-5"/>
      <w:sz w:val="20"/>
      <w:szCs w:val="20"/>
    </w:rPr>
  </w:style>
  <w:style w:type="character" w:customStyle="1" w:styleId="Heading2Char">
    <w:name w:val="Heading 2 Char"/>
    <w:link w:val="Heading2"/>
    <w:locked/>
    <w:rsid w:val="009D1594"/>
    <w:rPr>
      <w:rFonts w:ascii="Arial" w:hAnsi="Arial" w:cs="Arial"/>
      <w:b/>
      <w:bCs/>
      <w:i/>
      <w:iCs/>
      <w:sz w:val="28"/>
      <w:szCs w:val="28"/>
      <w:lang w:val="en-US" w:eastAsia="en-US" w:bidi="ar-SA"/>
    </w:rPr>
  </w:style>
  <w:style w:type="character" w:styleId="PageNumber">
    <w:name w:val="page number"/>
    <w:basedOn w:val="DefaultParagraphFont"/>
    <w:rsid w:val="00B05A5F"/>
  </w:style>
  <w:style w:type="paragraph" w:styleId="TOC2">
    <w:name w:val="toc 2"/>
    <w:basedOn w:val="Normal"/>
    <w:next w:val="Normal"/>
    <w:autoRedefine/>
    <w:uiPriority w:val="39"/>
    <w:rsid w:val="009355D1"/>
    <w:pPr>
      <w:tabs>
        <w:tab w:val="right" w:leader="dot" w:pos="12950"/>
      </w:tabs>
    </w:pPr>
  </w:style>
  <w:style w:type="character" w:styleId="UnresolvedMention">
    <w:name w:val="Unresolved Mention"/>
    <w:basedOn w:val="DefaultParagraphFont"/>
    <w:uiPriority w:val="99"/>
    <w:semiHidden/>
    <w:unhideWhenUsed/>
    <w:rsid w:val="001B311E"/>
    <w:rPr>
      <w:color w:val="605E5C"/>
      <w:shd w:val="clear" w:color="auto" w:fill="E1DFDD"/>
    </w:rPr>
  </w:style>
  <w:style w:type="paragraph" w:styleId="Revision">
    <w:name w:val="Revision"/>
    <w:hidden/>
    <w:uiPriority w:val="99"/>
    <w:semiHidden/>
    <w:rsid w:val="00AF28A6"/>
    <w:rPr>
      <w:sz w:val="24"/>
      <w:szCs w:val="24"/>
    </w:rPr>
  </w:style>
  <w:style w:type="character" w:styleId="CommentReference">
    <w:name w:val="annotation reference"/>
    <w:basedOn w:val="DefaultParagraphFont"/>
    <w:rsid w:val="00021693"/>
    <w:rPr>
      <w:sz w:val="16"/>
      <w:szCs w:val="16"/>
    </w:rPr>
  </w:style>
  <w:style w:type="paragraph" w:styleId="CommentText">
    <w:name w:val="annotation text"/>
    <w:basedOn w:val="Normal"/>
    <w:link w:val="CommentTextChar"/>
    <w:rsid w:val="00021693"/>
    <w:rPr>
      <w:sz w:val="20"/>
      <w:szCs w:val="20"/>
    </w:rPr>
  </w:style>
  <w:style w:type="character" w:customStyle="1" w:styleId="CommentTextChar">
    <w:name w:val="Comment Text Char"/>
    <w:basedOn w:val="DefaultParagraphFont"/>
    <w:link w:val="CommentText"/>
    <w:rsid w:val="00021693"/>
  </w:style>
  <w:style w:type="paragraph" w:styleId="CommentSubject">
    <w:name w:val="annotation subject"/>
    <w:basedOn w:val="CommentText"/>
    <w:next w:val="CommentText"/>
    <w:link w:val="CommentSubjectChar"/>
    <w:rsid w:val="00021693"/>
    <w:rPr>
      <w:b/>
      <w:bCs/>
    </w:rPr>
  </w:style>
  <w:style w:type="character" w:customStyle="1" w:styleId="CommentSubjectChar">
    <w:name w:val="Comment Subject Char"/>
    <w:basedOn w:val="CommentTextChar"/>
    <w:link w:val="CommentSubject"/>
    <w:rsid w:val="00021693"/>
    <w:rPr>
      <w:b/>
      <w:bCs/>
    </w:rPr>
  </w:style>
  <w:style w:type="character" w:styleId="Mention">
    <w:name w:val="Mention"/>
    <w:basedOn w:val="DefaultParagraphFont"/>
    <w:uiPriority w:val="99"/>
    <w:unhideWhenUsed/>
    <w:rsid w:val="00021693"/>
    <w:rPr>
      <w:color w:val="2B579A"/>
      <w:shd w:val="clear" w:color="auto" w:fill="E1DFDD"/>
    </w:rPr>
  </w:style>
  <w:style w:type="paragraph" w:styleId="ListParagraph">
    <w:name w:val="List Paragraph"/>
    <w:basedOn w:val="Normal"/>
    <w:uiPriority w:val="34"/>
    <w:qFormat/>
    <w:rsid w:val="00A20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303692">
      <w:bodyDiv w:val="1"/>
      <w:marLeft w:val="0"/>
      <w:marRight w:val="0"/>
      <w:marTop w:val="0"/>
      <w:marBottom w:val="0"/>
      <w:divBdr>
        <w:top w:val="none" w:sz="0" w:space="0" w:color="auto"/>
        <w:left w:val="none" w:sz="0" w:space="0" w:color="auto"/>
        <w:bottom w:val="none" w:sz="0" w:space="0" w:color="auto"/>
        <w:right w:val="none" w:sz="0" w:space="0" w:color="auto"/>
      </w:divBdr>
    </w:div>
    <w:div w:id="161089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policy.corp.cvscaremark.com/pnp/faces/DocRenderer?documentId=CALL-004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B85FE3-889C-421C-BDC6-40688FE8BF33}">
  <ds:schemaRefs>
    <ds:schemaRef ds:uri="http://schemas.openxmlformats.org/officeDocument/2006/bibliography"/>
  </ds:schemaRefs>
</ds:datastoreItem>
</file>

<file path=customXml/itemProps2.xml><?xml version="1.0" encoding="utf-8"?>
<ds:datastoreItem xmlns:ds="http://schemas.openxmlformats.org/officeDocument/2006/customXml" ds:itemID="{FA3030E3-0B4F-46A8-A534-0C3A6E6D63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593140-C6B3-43EC-AF3C-51CA4B9FC4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C7EE0F-D051-4751-99D2-7E8FCEA886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37</TotalTime>
  <Pages>1</Pages>
  <Words>1154</Words>
  <Characters>6583</Characters>
  <Application>Microsoft Office Word</Application>
  <DocSecurity>0</DocSecurity>
  <Lines>54</Lines>
  <Paragraphs>15</Paragraphs>
  <ScaleCrop>false</ScaleCrop>
  <Company>Caremark</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Dugdale, Brienna</cp:lastModifiedBy>
  <cp:revision>8</cp:revision>
  <dcterms:created xsi:type="dcterms:W3CDTF">2024-12-16T22:23:00Z</dcterms:created>
  <dcterms:modified xsi:type="dcterms:W3CDTF">2025-09-08T20:00:00Z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2022-11-10T20:10:42Z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52b51300-717e-40a1-8afa-b01ff0175e4c</vt:lpwstr>
  </property>
  <property fmtid="{D5CDD505-2E9C-101B-9397-08002B2CF9AE}" pid="8" name="MSIP_Label_67599526-06ca-49cc-9fa9-5307800a949a_ContentBits">
    <vt:lpwstr>0</vt:lpwstr>
  </property>
  <property fmtid="{D5CDD505-2E9C-101B-9397-08002B2CF9AE}" pid="9" name="ContentTypeId">
    <vt:lpwstr>0x010100C54942C34D83FF4FA91571050E536A93</vt:lpwstr>
  </property>
</Properties>
</file>