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56AA" w14:textId="697C48A7" w:rsidR="00FE4BDD" w:rsidRPr="009A0176" w:rsidRDefault="00C90AA8" w:rsidP="00FE4BDD">
      <w:pPr>
        <w:pStyle w:val="Heading1"/>
        <w:spacing w:before="120" w:after="120"/>
        <w:contextualSpacing/>
        <w:rPr>
          <w:color w:val="000000"/>
          <w:szCs w:val="36"/>
        </w:rPr>
      </w:pPr>
      <w:bookmarkStart w:id="0" w:name="_top"/>
      <w:bookmarkEnd w:id="0"/>
      <w:r>
        <w:rPr>
          <w:color w:val="000000" w:themeColor="text1"/>
          <w:szCs w:val="36"/>
        </w:rPr>
        <w:t>Compass</w:t>
      </w:r>
      <w:r w:rsidRPr="5AAAFC61">
        <w:rPr>
          <w:color w:val="000000" w:themeColor="text1"/>
          <w:szCs w:val="36"/>
        </w:rPr>
        <w:t xml:space="preserve"> </w:t>
      </w:r>
      <w:r w:rsidR="00FE4BDD" w:rsidRPr="5AAAFC61">
        <w:rPr>
          <w:color w:val="000000" w:themeColor="text1"/>
          <w:szCs w:val="36"/>
        </w:rPr>
        <w:t>- Return Rx - Member Wants Original Rx Mailed Back</w:t>
      </w:r>
    </w:p>
    <w:p w14:paraId="2349227E" w14:textId="4F605062" w:rsidR="00F8340C" w:rsidRDefault="009F22A4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5768559" w:history="1">
        <w:r w:rsidR="00F8340C" w:rsidRPr="00DC7F33">
          <w:rPr>
            <w:rStyle w:val="Hyperlink"/>
            <w:noProof/>
          </w:rPr>
          <w:t>Reminders</w:t>
        </w:r>
      </w:hyperlink>
    </w:p>
    <w:p w14:paraId="47BD0FFE" w14:textId="269F472F" w:rsidR="00F8340C" w:rsidRDefault="00F8340C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szCs w:val="24"/>
        </w:rPr>
      </w:pPr>
      <w:hyperlink w:anchor="_Toc195768560" w:history="1">
        <w:r w:rsidRPr="00DC7F33">
          <w:rPr>
            <w:rStyle w:val="Hyperlink"/>
            <w:noProof/>
          </w:rPr>
          <w:t>General Information</w:t>
        </w:r>
      </w:hyperlink>
    </w:p>
    <w:p w14:paraId="3B1B6368" w14:textId="45CD376F" w:rsidR="00F8340C" w:rsidRDefault="00F8340C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szCs w:val="24"/>
        </w:rPr>
      </w:pPr>
      <w:hyperlink w:anchor="_Toc195768561" w:history="1">
        <w:r w:rsidRPr="00DC7F33">
          <w:rPr>
            <w:rStyle w:val="Hyperlink"/>
            <w:noProof/>
          </w:rPr>
          <w:t>How to Request a Prescription Original</w:t>
        </w:r>
      </w:hyperlink>
    </w:p>
    <w:p w14:paraId="24C16858" w14:textId="2E11B640" w:rsidR="00F8340C" w:rsidRDefault="00F8340C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szCs w:val="24"/>
        </w:rPr>
      </w:pPr>
      <w:hyperlink w:anchor="_Toc195768562" w:history="1">
        <w:r w:rsidRPr="00DC7F33">
          <w:rPr>
            <w:rStyle w:val="Hyperlink"/>
            <w:noProof/>
          </w:rPr>
          <w:t>How to Verify a Prescription was Returned</w:t>
        </w:r>
      </w:hyperlink>
    </w:p>
    <w:p w14:paraId="2ACCD076" w14:textId="4DED51ED" w:rsidR="00F8340C" w:rsidRDefault="00F8340C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szCs w:val="24"/>
        </w:rPr>
      </w:pPr>
      <w:hyperlink w:anchor="_Toc195768563" w:history="1">
        <w:r w:rsidRPr="00DC7F33">
          <w:rPr>
            <w:rStyle w:val="Hyperlink"/>
            <w:noProof/>
          </w:rPr>
          <w:t>Additional Scenarios</w:t>
        </w:r>
      </w:hyperlink>
    </w:p>
    <w:p w14:paraId="0E660634" w14:textId="7EA0949D" w:rsidR="00F8340C" w:rsidRDefault="00F8340C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szCs w:val="24"/>
        </w:rPr>
      </w:pPr>
      <w:hyperlink w:anchor="_Toc195768564" w:history="1">
        <w:r w:rsidRPr="00DC7F33">
          <w:rPr>
            <w:rStyle w:val="Hyperlink"/>
            <w:noProof/>
          </w:rPr>
          <w:t>Resolution Time</w:t>
        </w:r>
      </w:hyperlink>
    </w:p>
    <w:p w14:paraId="7B08A95E" w14:textId="45EE953D" w:rsidR="00F8340C" w:rsidRDefault="00F8340C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szCs w:val="24"/>
        </w:rPr>
      </w:pPr>
      <w:hyperlink w:anchor="_Toc195768565" w:history="1">
        <w:r w:rsidRPr="00DC7F33">
          <w:rPr>
            <w:rStyle w:val="Hyperlink"/>
            <w:noProof/>
          </w:rPr>
          <w:t>Related Documents</w:t>
        </w:r>
      </w:hyperlink>
    </w:p>
    <w:p w14:paraId="672BEE80" w14:textId="165668FF" w:rsidR="00FE4BDD" w:rsidRDefault="009F22A4" w:rsidP="00524320">
      <w:pPr>
        <w:spacing w:before="120" w:after="120"/>
      </w:pPr>
      <w:r>
        <w:fldChar w:fldCharType="end"/>
      </w:r>
    </w:p>
    <w:p w14:paraId="4799D87C" w14:textId="2828110B" w:rsidR="00FE4BDD" w:rsidRDefault="00FE4BDD" w:rsidP="00FE4BDD">
      <w:pPr>
        <w:spacing w:before="120" w:after="120"/>
      </w:pPr>
      <w:r w:rsidRPr="00747603">
        <w:rPr>
          <w:b/>
          <w:bCs/>
        </w:rPr>
        <w:t>Description:</w:t>
      </w:r>
      <w:r>
        <w:t xml:space="preserve"> </w:t>
      </w:r>
      <w:r w:rsidR="002A2891">
        <w:t xml:space="preserve"> </w:t>
      </w:r>
      <w:r>
        <w:t>P</w:t>
      </w:r>
      <w:r w:rsidRPr="009A0176">
        <w:t xml:space="preserve">rocess to use </w:t>
      </w:r>
      <w:r>
        <w:t>when</w:t>
      </w:r>
      <w:r w:rsidRPr="009A0176">
        <w:t xml:space="preserve"> a member request</w:t>
      </w:r>
      <w:r>
        <w:t>s</w:t>
      </w:r>
      <w:r w:rsidRPr="009A0176">
        <w:t xml:space="preserve"> </w:t>
      </w:r>
      <w:r w:rsidRPr="00E87470">
        <w:t>that a</w:t>
      </w:r>
      <w:r w:rsidRPr="009A0176">
        <w:t>n original prescription</w:t>
      </w:r>
      <w:r>
        <w:t xml:space="preserve"> (</w:t>
      </w:r>
      <w:r w:rsidRPr="00C07498">
        <w:t>Rx</w:t>
      </w:r>
      <w:r>
        <w:t>)</w:t>
      </w:r>
      <w:r w:rsidRPr="009A0176">
        <w:t xml:space="preserve"> they mailed in be </w:t>
      </w:r>
      <w:r>
        <w:t>returned</w:t>
      </w:r>
      <w:r w:rsidRPr="009A0176">
        <w:t xml:space="preserve"> to them.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E4BDD" w14:paraId="002DFD95" w14:textId="77777777" w:rsidTr="00F8340C">
        <w:tc>
          <w:tcPr>
            <w:tcW w:w="5000" w:type="pct"/>
            <w:shd w:val="clear" w:color="auto" w:fill="BFBFBF" w:themeFill="background1" w:themeFillShade="BF"/>
          </w:tcPr>
          <w:p w14:paraId="34C4E265" w14:textId="77777777" w:rsidR="00FE4BDD" w:rsidRPr="009A0176" w:rsidRDefault="00FE4BDD">
            <w:pPr>
              <w:pStyle w:val="Heading2"/>
              <w:spacing w:before="120" w:after="120"/>
              <w:contextualSpacing/>
              <w:rPr>
                <w:i/>
                <w:iCs/>
              </w:rPr>
            </w:pPr>
            <w:bookmarkStart w:id="1" w:name="_Toc174625583"/>
            <w:bookmarkStart w:id="2" w:name="_Toc195768559"/>
            <w:r>
              <w:t>Reminders</w:t>
            </w:r>
            <w:bookmarkEnd w:id="1"/>
            <w:bookmarkEnd w:id="2"/>
          </w:p>
        </w:tc>
      </w:tr>
    </w:tbl>
    <w:p w14:paraId="45227BFA" w14:textId="77777777" w:rsidR="00FE4BDD" w:rsidRPr="000D52C3" w:rsidRDefault="00FE4BDD" w:rsidP="00FE4BDD">
      <w:pPr>
        <w:spacing w:before="120" w:after="120"/>
        <w:rPr>
          <w:color w:val="000000"/>
        </w:rPr>
      </w:pPr>
      <w:r w:rsidRPr="000D52C3">
        <w:rPr>
          <w:color w:val="000000"/>
        </w:rPr>
        <w:t>The request may be in response to a Return to Participant (RTP) letter or Communications Messaging Platform (CMP) notification that their prescription could not be filled and is available for return at the member’s request.</w:t>
      </w:r>
    </w:p>
    <w:p w14:paraId="7F85EB9B" w14:textId="77777777" w:rsidR="000D52C3" w:rsidRDefault="00FE4BDD" w:rsidP="000D52C3">
      <w:pPr>
        <w:pStyle w:val="NormalWeb"/>
        <w:numPr>
          <w:ilvl w:val="0"/>
          <w:numId w:val="11"/>
        </w:numPr>
        <w:spacing w:before="120" w:beforeAutospacing="0" w:after="120" w:afterAutospacing="0"/>
        <w:contextualSpacing/>
        <w:textAlignment w:val="top"/>
        <w:rPr>
          <w:color w:val="000000"/>
        </w:rPr>
      </w:pPr>
      <w:r w:rsidRPr="009A0176">
        <w:rPr>
          <w:color w:val="000000"/>
        </w:rPr>
        <w:t>If the member requests the prescription be returned before they receive the RTP letter, they will still receive the RTP letter separately from the returned prescription.</w:t>
      </w:r>
    </w:p>
    <w:p w14:paraId="6E34BE32" w14:textId="0E697A4F" w:rsidR="00FE4BDD" w:rsidRPr="000D52C3" w:rsidRDefault="00FE4BDD" w:rsidP="000D52C3">
      <w:pPr>
        <w:pStyle w:val="NormalWeb"/>
        <w:numPr>
          <w:ilvl w:val="0"/>
          <w:numId w:val="11"/>
        </w:numPr>
        <w:spacing w:before="120" w:beforeAutospacing="0" w:after="120" w:afterAutospacing="0"/>
        <w:contextualSpacing/>
        <w:textAlignment w:val="top"/>
        <w:rPr>
          <w:color w:val="000000"/>
        </w:rPr>
      </w:pPr>
      <w:r w:rsidRPr="000D52C3">
        <w:rPr>
          <w:color w:val="000000"/>
        </w:rPr>
        <w:t xml:space="preserve">The </w:t>
      </w:r>
      <w:proofErr w:type="gramStart"/>
      <w:r w:rsidRPr="000D52C3">
        <w:rPr>
          <w:color w:val="000000"/>
        </w:rPr>
        <w:t>m</w:t>
      </w:r>
      <w:r w:rsidRPr="00246BF1">
        <w:t>ember</w:t>
      </w:r>
      <w:proofErr w:type="gramEnd"/>
      <w:r w:rsidRPr="00246BF1">
        <w:t xml:space="preserve"> can disregard the RTP letter if they have already called us to have their prescription returned.</w:t>
      </w:r>
    </w:p>
    <w:p w14:paraId="7871674B" w14:textId="77777777" w:rsidR="00FE4BDD" w:rsidRPr="00246BF1" w:rsidRDefault="00FE4BDD" w:rsidP="00FE4BDD">
      <w:pPr>
        <w:pStyle w:val="NormalWeb"/>
        <w:spacing w:before="120" w:beforeAutospacing="0" w:after="120" w:afterAutospacing="0"/>
        <w:contextualSpacing/>
        <w:textAlignment w:val="top"/>
      </w:pPr>
    </w:p>
    <w:p w14:paraId="31948E13" w14:textId="77777777" w:rsidR="00FE4BDD" w:rsidRDefault="00FE4BDD" w:rsidP="00FE4BDD">
      <w:pPr>
        <w:spacing w:before="120" w:after="120"/>
      </w:pPr>
      <w:r w:rsidRPr="00246BF1">
        <w:t xml:space="preserve">Prescriptions </w:t>
      </w:r>
      <w:r w:rsidRPr="009A0176">
        <w:t>faxed, phoned</w:t>
      </w:r>
      <w:r>
        <w:t>,</w:t>
      </w:r>
      <w:r w:rsidRPr="009A0176">
        <w:t xml:space="preserve"> or electronically provided by the prescriber (eFax, </w:t>
      </w:r>
      <w:proofErr w:type="spellStart"/>
      <w:r w:rsidRPr="009A0176">
        <w:t>eScript</w:t>
      </w:r>
      <w:proofErr w:type="spellEnd"/>
      <w:r w:rsidRPr="009A0176">
        <w:t xml:space="preserve">) </w:t>
      </w:r>
      <w:r w:rsidRPr="009A0176">
        <w:rPr>
          <w:b/>
        </w:rPr>
        <w:t>cannot</w:t>
      </w:r>
      <w:r w:rsidRPr="009A0176">
        <w:t xml:space="preserve"> be returned.</w:t>
      </w:r>
    </w:p>
    <w:p w14:paraId="53B46066" w14:textId="7C33E801" w:rsidR="00FE4BDD" w:rsidRDefault="009F22A4" w:rsidP="00524320">
      <w:pPr>
        <w:spacing w:before="120" w:after="120"/>
        <w:jc w:val="right"/>
      </w:pPr>
      <w:hyperlink w:anchor="_top" w:history="1">
        <w:r w:rsidRPr="00F8340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E4BDD" w14:paraId="7151965F" w14:textId="77777777" w:rsidTr="00F8340C">
        <w:tc>
          <w:tcPr>
            <w:tcW w:w="5000" w:type="pct"/>
            <w:shd w:val="clear" w:color="auto" w:fill="BFBFBF" w:themeFill="background1" w:themeFillShade="BF"/>
          </w:tcPr>
          <w:p w14:paraId="602B1F03" w14:textId="77777777" w:rsidR="00FE4BDD" w:rsidRPr="009A0176" w:rsidRDefault="00FE4BDD">
            <w:pPr>
              <w:pStyle w:val="Heading2"/>
              <w:spacing w:before="120" w:after="120"/>
              <w:contextualSpacing/>
              <w:rPr>
                <w:i/>
                <w:iCs/>
              </w:rPr>
            </w:pPr>
            <w:bookmarkStart w:id="3" w:name="_Toc174625584"/>
            <w:bookmarkStart w:id="4" w:name="_Toc195768560"/>
            <w:r w:rsidRPr="009A0176">
              <w:t>General Information</w:t>
            </w:r>
            <w:bookmarkEnd w:id="3"/>
            <w:bookmarkEnd w:id="4"/>
          </w:p>
        </w:tc>
      </w:tr>
    </w:tbl>
    <w:p w14:paraId="625D8866" w14:textId="34FB3924" w:rsidR="00FE4BDD" w:rsidRDefault="00FE4BDD" w:rsidP="00FE4BDD">
      <w:pPr>
        <w:spacing w:before="120" w:after="120"/>
      </w:pPr>
      <w:r w:rsidRPr="009A0176">
        <w:t xml:space="preserve">Customer Care will use the </w:t>
      </w:r>
      <w:r w:rsidR="00DB6E6D">
        <w:rPr>
          <w:b/>
        </w:rPr>
        <w:t>Other</w:t>
      </w:r>
      <w:r w:rsidR="00D35C2A">
        <w:rPr>
          <w:b/>
        </w:rPr>
        <w:t xml:space="preserve"> Actions</w:t>
      </w:r>
      <w:r w:rsidR="004F575D">
        <w:rPr>
          <w:b/>
        </w:rPr>
        <w:t xml:space="preserve"> </w:t>
      </w:r>
      <w:r w:rsidR="006A63C1">
        <w:t>button</w:t>
      </w:r>
      <w:r w:rsidR="00FB1CC8">
        <w:t xml:space="preserve"> </w:t>
      </w:r>
      <w:r w:rsidRPr="009A0176">
        <w:t xml:space="preserve">in </w:t>
      </w:r>
      <w:r w:rsidR="00C90AA8">
        <w:t>Compass</w:t>
      </w:r>
      <w:r w:rsidR="00C90AA8" w:rsidRPr="009A0176">
        <w:t xml:space="preserve"> </w:t>
      </w:r>
      <w:r w:rsidRPr="009A0176">
        <w:t xml:space="preserve">to return an original prescription. The </w:t>
      </w:r>
      <w:r w:rsidR="00DB6E6D">
        <w:rPr>
          <w:b/>
        </w:rPr>
        <w:t>Other Actions</w:t>
      </w:r>
      <w:r w:rsidRPr="009A0176">
        <w:t xml:space="preserve"> button on the </w:t>
      </w:r>
      <w:r w:rsidRPr="009A0176">
        <w:rPr>
          <w:b/>
        </w:rPr>
        <w:t>Order Status</w:t>
      </w:r>
      <w:r w:rsidRPr="009A0176">
        <w:t xml:space="preserve"> screen will</w:t>
      </w:r>
      <w:r>
        <w:t xml:space="preserve"> be</w:t>
      </w:r>
      <w:r w:rsidRPr="009A0176">
        <w:t>:</w:t>
      </w:r>
    </w:p>
    <w:p w14:paraId="66253881" w14:textId="77777777" w:rsidR="00FE4BDD" w:rsidRPr="00A34110" w:rsidRDefault="00FE4BDD" w:rsidP="00FE4BDD">
      <w:pPr>
        <w:pStyle w:val="ListParagraph"/>
        <w:numPr>
          <w:ilvl w:val="0"/>
          <w:numId w:val="2"/>
        </w:numPr>
        <w:spacing w:before="120" w:after="120"/>
      </w:pPr>
      <w:r w:rsidRPr="00A34110">
        <w:t>Active for paper prescriptions that have never been filled by the mail service pharmacy.</w:t>
      </w:r>
    </w:p>
    <w:p w14:paraId="3CF58C2C" w14:textId="77777777" w:rsidR="00FE4BDD" w:rsidRPr="00A34110" w:rsidRDefault="00FE4BDD" w:rsidP="00FE4BDD">
      <w:pPr>
        <w:pStyle w:val="ListParagraph"/>
        <w:numPr>
          <w:ilvl w:val="0"/>
          <w:numId w:val="2"/>
        </w:numPr>
        <w:spacing w:before="120" w:after="120"/>
      </w:pPr>
      <w:r w:rsidRPr="00A34110">
        <w:t>Deactivated for the following prescription types:</w:t>
      </w:r>
    </w:p>
    <w:p w14:paraId="330F4F9F" w14:textId="77777777" w:rsidR="00FE4BDD" w:rsidRPr="00A34110" w:rsidRDefault="00FE4BDD" w:rsidP="00FE4BDD">
      <w:pPr>
        <w:pStyle w:val="ListParagraph"/>
        <w:numPr>
          <w:ilvl w:val="0"/>
          <w:numId w:val="3"/>
        </w:numPr>
        <w:spacing w:before="120" w:after="120"/>
        <w:ind w:firstLine="360"/>
      </w:pPr>
      <w:r w:rsidRPr="00A34110">
        <w:t>Faxed, phoned</w:t>
      </w:r>
      <w:r>
        <w:t>,</w:t>
      </w:r>
      <w:r w:rsidRPr="00A34110">
        <w:t xml:space="preserve"> or electronic prescriptions, which cannot be returned.</w:t>
      </w:r>
    </w:p>
    <w:p w14:paraId="6D6E6638" w14:textId="77777777" w:rsidR="00FE4BDD" w:rsidRPr="00A34110" w:rsidRDefault="00FE4BDD" w:rsidP="00FE4BDD">
      <w:pPr>
        <w:pStyle w:val="ListParagraph"/>
        <w:numPr>
          <w:ilvl w:val="0"/>
          <w:numId w:val="3"/>
        </w:numPr>
        <w:spacing w:before="120" w:after="120"/>
        <w:ind w:firstLine="360"/>
      </w:pPr>
      <w:r w:rsidRPr="00A34110">
        <w:t>Prescriptions currently in process. These must be cancelled first by the CCR.</w:t>
      </w:r>
    </w:p>
    <w:p w14:paraId="3F545BEB" w14:textId="77777777" w:rsidR="00FE4BDD" w:rsidRPr="009A0176" w:rsidRDefault="00FE4BDD" w:rsidP="00FE4BDD">
      <w:pPr>
        <w:spacing w:before="120" w:after="120"/>
      </w:pPr>
    </w:p>
    <w:p w14:paraId="22571DAA" w14:textId="18372ED8" w:rsidR="00FE4BDD" w:rsidRPr="009A0176" w:rsidRDefault="00FE4BDD" w:rsidP="00FE4BDD">
      <w:pPr>
        <w:spacing w:before="120" w:after="120"/>
      </w:pPr>
      <w:r>
        <w:rPr>
          <w:b/>
          <w:noProof/>
        </w:rPr>
        <w:drawing>
          <wp:inline distT="0" distB="0" distL="0" distR="0" wp14:anchorId="16AA7FF7" wp14:editId="25FBF5A2">
            <wp:extent cx="238095" cy="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9A0176">
        <w:t xml:space="preserve">There is no </w:t>
      </w:r>
      <w:r w:rsidR="0044015E">
        <w:t>Support Task</w:t>
      </w:r>
      <w:r w:rsidR="00F6582F">
        <w:t xml:space="preserve"> </w:t>
      </w:r>
      <w:r w:rsidRPr="009A0176">
        <w:t xml:space="preserve">associated with requesting the original prescription. If the Return Rx button in </w:t>
      </w:r>
      <w:r w:rsidR="00A14A97">
        <w:t>Compass</w:t>
      </w:r>
      <w:r w:rsidRPr="009A0176">
        <w:t xml:space="preserve"> is not available, then the prescription is ineligible to be returned. Do NOT submit any </w:t>
      </w:r>
      <w:r w:rsidR="00F6582F">
        <w:t xml:space="preserve">Support Tasks </w:t>
      </w:r>
      <w:r w:rsidRPr="009A0176">
        <w:t>for these requests.</w:t>
      </w:r>
    </w:p>
    <w:p w14:paraId="0319CDB1" w14:textId="77777777" w:rsidR="00FE4BDD" w:rsidRPr="009A0176" w:rsidRDefault="00FE4BDD" w:rsidP="00FE4BDD">
      <w:pPr>
        <w:spacing w:before="120" w:after="120"/>
        <w:rPr>
          <w:highlight w:val="yellow"/>
        </w:rPr>
      </w:pPr>
    </w:p>
    <w:p w14:paraId="0FF4A4FE" w14:textId="010E3CB2" w:rsidR="00FE4BDD" w:rsidRDefault="00FE4BDD" w:rsidP="00FE4BDD">
      <w:pPr>
        <w:spacing w:before="120" w:after="120"/>
      </w:pPr>
      <w:r w:rsidRPr="009A0176">
        <w:t xml:space="preserve">If the member wants a </w:t>
      </w:r>
      <w:r w:rsidRPr="009A0176">
        <w:rPr>
          <w:b/>
        </w:rPr>
        <w:t>copy</w:t>
      </w:r>
      <w:r w:rsidRPr="009A0176">
        <w:t xml:space="preserve"> of the prescription, </w:t>
      </w:r>
      <w:r w:rsidRPr="00E47169">
        <w:t>refer to</w:t>
      </w:r>
      <w:r>
        <w:t xml:space="preserve"> </w:t>
      </w:r>
      <w:hyperlink r:id="rId7" w:anchor="!/view?docid=e8a4272a-9dd0-4b49-a169-db4f728150a2" w:history="1">
        <w:r w:rsidR="008B279A">
          <w:rPr>
            <w:rStyle w:val="Hyperlink"/>
          </w:rPr>
          <w:t>Compass - Prescription (Rx) Copy Request (062870)</w:t>
        </w:r>
      </w:hyperlink>
      <w:r w:rsidR="00C90AA8">
        <w:rPr>
          <w:rStyle w:val="Hyperlink"/>
        </w:rPr>
        <w:t>.</w:t>
      </w:r>
    </w:p>
    <w:p w14:paraId="376A65C4" w14:textId="77777777" w:rsidR="00FE4BDD" w:rsidRPr="009A0176" w:rsidRDefault="00FE4BDD" w:rsidP="00FE4BDD">
      <w:pPr>
        <w:pStyle w:val="ListParagraph"/>
        <w:spacing w:before="120" w:after="120"/>
      </w:pPr>
    </w:p>
    <w:p w14:paraId="07CED13F" w14:textId="4108766D" w:rsidR="00FE4BDD" w:rsidRDefault="00FE4BDD" w:rsidP="00FE4BDD">
      <w:pPr>
        <w:spacing w:before="120" w:after="120"/>
      </w:pPr>
      <w:r w:rsidRPr="009A0176">
        <w:t xml:space="preserve">When a member requests the prescription be returned, click the </w:t>
      </w:r>
      <w:r w:rsidR="000A6EBD">
        <w:rPr>
          <w:b/>
        </w:rPr>
        <w:t>Other Actions</w:t>
      </w:r>
      <w:r w:rsidRPr="009A0176">
        <w:t xml:space="preserve"> button. An additional eligibility check will then occur. </w:t>
      </w:r>
    </w:p>
    <w:p w14:paraId="243E047A" w14:textId="2246556E" w:rsidR="00FE4BDD" w:rsidRDefault="00FE4BDD" w:rsidP="00FE4BDD">
      <w:pPr>
        <w:pStyle w:val="ListParagraph"/>
        <w:numPr>
          <w:ilvl w:val="0"/>
          <w:numId w:val="4"/>
        </w:numPr>
        <w:spacing w:before="120" w:after="120"/>
      </w:pPr>
      <w:r w:rsidRPr="009A0176">
        <w:t xml:space="preserve">If the Rx is </w:t>
      </w:r>
      <w:r w:rsidRPr="00B60BEE">
        <w:rPr>
          <w:b/>
          <w:bCs/>
        </w:rPr>
        <w:t>eligible</w:t>
      </w:r>
      <w:r w:rsidRPr="009A0176">
        <w:t xml:space="preserve"> to be returned,</w:t>
      </w:r>
      <w:r w:rsidR="00C43A70">
        <w:t xml:space="preserve"> a success message will display</w:t>
      </w:r>
      <w:r w:rsidRPr="009A0176">
        <w:t xml:space="preserve">. </w:t>
      </w:r>
    </w:p>
    <w:p w14:paraId="7A3E84B3" w14:textId="0EC1BB4A" w:rsidR="00FE4BDD" w:rsidRPr="009A0176" w:rsidRDefault="00FE4BDD" w:rsidP="00FE4BDD">
      <w:pPr>
        <w:pStyle w:val="ListParagraph"/>
        <w:numPr>
          <w:ilvl w:val="0"/>
          <w:numId w:val="4"/>
        </w:numPr>
        <w:spacing w:before="120" w:after="120"/>
      </w:pPr>
      <w:r w:rsidRPr="009A0176">
        <w:t xml:space="preserve">If </w:t>
      </w:r>
      <w:r w:rsidRPr="00B60BEE">
        <w:rPr>
          <w:b/>
          <w:bCs/>
        </w:rPr>
        <w:t>ineligible</w:t>
      </w:r>
      <w:r w:rsidRPr="009A0176">
        <w:t xml:space="preserve">, </w:t>
      </w:r>
      <w:r w:rsidR="00C43A70">
        <w:t>a failed message will</w:t>
      </w:r>
      <w:r w:rsidR="00694F90">
        <w:t xml:space="preserve"> display with the </w:t>
      </w:r>
      <w:r w:rsidR="004534E6">
        <w:t>reason stated,</w:t>
      </w:r>
      <w:r w:rsidRPr="009A0176">
        <w:t xml:space="preserve"> the CCR will advise the member accordingly.</w:t>
      </w:r>
    </w:p>
    <w:p w14:paraId="4B75B2B3" w14:textId="77777777" w:rsidR="00FE4BDD" w:rsidRPr="009A0176" w:rsidRDefault="00FE4BDD" w:rsidP="00FE4BDD">
      <w:pPr>
        <w:spacing w:before="120" w:after="120"/>
      </w:pPr>
    </w:p>
    <w:p w14:paraId="7D55579D" w14:textId="77777777" w:rsidR="00FE4BDD" w:rsidRPr="009A0176" w:rsidRDefault="00FE4BDD" w:rsidP="00FE4BDD">
      <w:pPr>
        <w:spacing w:before="120" w:after="120"/>
      </w:pPr>
      <w:bookmarkStart w:id="5" w:name="_Rationale"/>
      <w:bookmarkEnd w:id="5"/>
      <w:r w:rsidRPr="009A0176">
        <w:t>Member wants the original prescription returned. They do not want the medicatio</w:t>
      </w:r>
      <w:r>
        <w:t>n filled through home delivery service.</w:t>
      </w:r>
    </w:p>
    <w:p w14:paraId="4E0F1307" w14:textId="77777777" w:rsidR="00FE4BDD" w:rsidRPr="009A0176" w:rsidRDefault="00FE4BDD" w:rsidP="00FE4BDD">
      <w:pPr>
        <w:spacing w:before="120" w:after="120"/>
      </w:pPr>
    </w:p>
    <w:p w14:paraId="3359CA16" w14:textId="393AB52A" w:rsidR="00FE4BDD" w:rsidRDefault="00FE4BDD" w:rsidP="00FE4BDD">
      <w:pPr>
        <w:spacing w:before="120" w:after="120"/>
      </w:pPr>
      <w:r w:rsidRPr="009A0176">
        <w:rPr>
          <w:b/>
        </w:rPr>
        <w:t>Note:</w:t>
      </w:r>
      <w:r w:rsidRPr="009A0176">
        <w:t xml:space="preserve">  We can only return the original prescription to the </w:t>
      </w:r>
      <w:r w:rsidR="00172336">
        <w:t>member</w:t>
      </w:r>
      <w:r w:rsidRPr="009A0176">
        <w:t xml:space="preserve"> if it has never been filled by the pharmacy.</w:t>
      </w:r>
      <w:bookmarkStart w:id="6" w:name="_Abbreviations_/_Definitions"/>
      <w:bookmarkEnd w:id="6"/>
    </w:p>
    <w:p w14:paraId="79BE621B" w14:textId="4AE92FDA" w:rsidR="009F22A4" w:rsidRDefault="009F22A4" w:rsidP="00524320">
      <w:pPr>
        <w:spacing w:before="120" w:after="120"/>
        <w:jc w:val="right"/>
      </w:pPr>
      <w:hyperlink w:anchor="_top" w:history="1">
        <w:r w:rsidRPr="00F8340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E4BDD" w14:paraId="7D5F95D6" w14:textId="77777777" w:rsidTr="00F8340C">
        <w:tc>
          <w:tcPr>
            <w:tcW w:w="5000" w:type="pct"/>
            <w:shd w:val="clear" w:color="auto" w:fill="BFBFBF" w:themeFill="background1" w:themeFillShade="BF"/>
          </w:tcPr>
          <w:p w14:paraId="0A83CD17" w14:textId="77777777" w:rsidR="00FE4BDD" w:rsidRPr="009A0176" w:rsidRDefault="00FE4BDD">
            <w:pPr>
              <w:pStyle w:val="Heading2"/>
              <w:spacing w:before="120" w:after="120"/>
              <w:contextualSpacing/>
              <w:rPr>
                <w:i/>
                <w:iCs/>
              </w:rPr>
            </w:pPr>
            <w:bookmarkStart w:id="7" w:name="_Toc174625585"/>
            <w:bookmarkStart w:id="8" w:name="_Toc195768561"/>
            <w:r w:rsidRPr="009A0176">
              <w:t>How to Request a Prescription Original</w:t>
            </w:r>
            <w:bookmarkEnd w:id="7"/>
            <w:bookmarkEnd w:id="8"/>
          </w:p>
        </w:tc>
      </w:tr>
    </w:tbl>
    <w:p w14:paraId="1517B2C0" w14:textId="77777777" w:rsidR="00FE4BDD" w:rsidRDefault="00FE4BDD" w:rsidP="00FE4BDD">
      <w:pPr>
        <w:spacing w:before="120" w:after="120"/>
      </w:pPr>
    </w:p>
    <w:p w14:paraId="300F2E0E" w14:textId="77777777" w:rsidR="00FE4BDD" w:rsidRDefault="00FE4BDD" w:rsidP="00FE4BDD">
      <w:pPr>
        <w:spacing w:before="120" w:after="120"/>
        <w:rPr>
          <w:b/>
          <w:bCs/>
        </w:rPr>
      </w:pPr>
      <w:r w:rsidRPr="009A0176">
        <w:t xml:space="preserve">Perform the following steps should a member </w:t>
      </w:r>
      <w:r w:rsidRPr="00497018">
        <w:t>request a prescription original</w:t>
      </w:r>
      <w:r w:rsidRPr="00AC6603"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8"/>
        <w:gridCol w:w="3935"/>
        <w:gridCol w:w="8317"/>
      </w:tblGrid>
      <w:tr w:rsidR="00932A80" w:rsidRPr="00FE4BDD" w14:paraId="32191F44" w14:textId="77777777" w:rsidTr="00746158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E3F80" w14:textId="77777777" w:rsidR="00FE4BDD" w:rsidRPr="00FE4BDD" w:rsidRDefault="00FE4BDD" w:rsidP="00C90AA8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Step</w:t>
            </w:r>
          </w:p>
        </w:tc>
        <w:tc>
          <w:tcPr>
            <w:tcW w:w="4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6D5E9" w14:textId="77777777" w:rsidR="00FE4BDD" w:rsidRPr="00FE4BDD" w:rsidRDefault="00FE4BDD" w:rsidP="00524320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Action</w:t>
            </w:r>
          </w:p>
        </w:tc>
      </w:tr>
      <w:tr w:rsidR="00932A80" w:rsidRPr="00FE4BDD" w14:paraId="1969D632" w14:textId="77777777" w:rsidTr="00746158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4275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1</w:t>
            </w:r>
          </w:p>
        </w:tc>
        <w:tc>
          <w:tcPr>
            <w:tcW w:w="4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5995" w14:textId="5417B021" w:rsidR="00FE4BDD" w:rsidRDefault="008D216B" w:rsidP="00FE4BDD">
            <w:pPr>
              <w:spacing w:before="120" w:after="120"/>
            </w:pPr>
            <w:r>
              <w:t xml:space="preserve">From the Claims Landing Page, </w:t>
            </w:r>
            <w:r w:rsidR="00FE4BDD" w:rsidRPr="00FE4BDD">
              <w:t>click</w:t>
            </w:r>
            <w:r w:rsidR="00E44E44">
              <w:t xml:space="preserve"> on</w:t>
            </w:r>
            <w:r w:rsidR="00FE4BDD" w:rsidRPr="00FE4BDD">
              <w:t xml:space="preserve"> the </w:t>
            </w:r>
            <w:r w:rsidR="00C46FDA">
              <w:rPr>
                <w:b/>
              </w:rPr>
              <w:t>Mail Order History</w:t>
            </w:r>
            <w:r w:rsidR="00FE4BDD" w:rsidRPr="00FE4BDD">
              <w:t xml:space="preserve"> </w:t>
            </w:r>
            <w:r w:rsidR="00E44E44">
              <w:t>tab.</w:t>
            </w:r>
          </w:p>
          <w:p w14:paraId="3A6D9699" w14:textId="77777777" w:rsidR="008D216B" w:rsidRDefault="008D216B" w:rsidP="00FE4BDD">
            <w:pPr>
              <w:spacing w:before="120" w:after="120"/>
            </w:pPr>
          </w:p>
          <w:p w14:paraId="74139E08" w14:textId="5CA9B080" w:rsidR="00CB6C6F" w:rsidRDefault="004F546F" w:rsidP="004F546F">
            <w:pPr>
              <w:spacing w:before="120" w:after="120"/>
            </w:pPr>
            <w:r w:rsidRPr="00C07498">
              <w:rPr>
                <w:b/>
                <w:bCs/>
              </w:rPr>
              <w:t>Result:</w:t>
            </w:r>
            <w:r>
              <w:t xml:space="preserve"> </w:t>
            </w:r>
            <w:r w:rsidR="00AC6603">
              <w:t xml:space="preserve"> </w:t>
            </w:r>
            <w:r>
              <w:t>Mail Order History</w:t>
            </w:r>
            <w:r w:rsidR="00CB6C6F">
              <w:t xml:space="preserve"> Screen</w:t>
            </w:r>
            <w:r w:rsidR="00E770B2">
              <w:t xml:space="preserve"> displays</w:t>
            </w:r>
            <w:r w:rsidR="00497018">
              <w:t>.</w:t>
            </w:r>
          </w:p>
          <w:p w14:paraId="5EEF324E" w14:textId="667E637A" w:rsidR="00192FFA" w:rsidRPr="00FE4BDD" w:rsidRDefault="00192FFA" w:rsidP="00FE4BDD">
            <w:pPr>
              <w:spacing w:before="120" w:after="120"/>
            </w:pPr>
          </w:p>
        </w:tc>
      </w:tr>
      <w:tr w:rsidR="00932A80" w:rsidRPr="00FE4BDD" w14:paraId="47B7F6C3" w14:textId="77777777" w:rsidTr="00746158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F94F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2</w:t>
            </w:r>
          </w:p>
        </w:tc>
        <w:tc>
          <w:tcPr>
            <w:tcW w:w="4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7448" w14:textId="7F868733" w:rsidR="00CB4C21" w:rsidRDefault="004A7E8A" w:rsidP="00CB4C21">
            <w:pPr>
              <w:spacing w:before="120" w:after="120"/>
            </w:pPr>
            <w:r>
              <w:t xml:space="preserve">Locate the </w:t>
            </w:r>
            <w:r w:rsidR="002C20ED">
              <w:t>prescription and the order number</w:t>
            </w:r>
            <w:r w:rsidR="0066588C">
              <w:t xml:space="preserve"> in question</w:t>
            </w:r>
            <w:r w:rsidR="002C20ED">
              <w:t xml:space="preserve"> and click on the Order Number hyperlink</w:t>
            </w:r>
            <w:r w:rsidR="0033187C">
              <w:t>.</w:t>
            </w:r>
          </w:p>
          <w:p w14:paraId="64CA580A" w14:textId="77777777" w:rsidR="00CB4C21" w:rsidRDefault="00CB4C21" w:rsidP="00CB4C21">
            <w:pPr>
              <w:spacing w:before="120" w:after="120"/>
            </w:pPr>
          </w:p>
          <w:p w14:paraId="171B47BB" w14:textId="3C318D6D" w:rsidR="00CB4C21" w:rsidRDefault="005C5A96" w:rsidP="00C07498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AE47477" wp14:editId="71F6C056">
                  <wp:extent cx="8807669" cy="5236845"/>
                  <wp:effectExtent l="19050" t="19050" r="12700" b="209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7200" cy="5242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56C1B" w14:textId="77777777" w:rsidR="007C3408" w:rsidRPr="00FE4BDD" w:rsidRDefault="007C3408" w:rsidP="00FE4BDD">
            <w:pPr>
              <w:spacing w:before="120" w:after="120"/>
            </w:pPr>
          </w:p>
          <w:p w14:paraId="7C7C73F5" w14:textId="1E074EFF" w:rsidR="00FE4BDD" w:rsidRDefault="00FE4BDD" w:rsidP="00524320">
            <w:pPr>
              <w:spacing w:before="120" w:after="120"/>
              <w:jc w:val="center"/>
            </w:pPr>
          </w:p>
          <w:p w14:paraId="4D797630" w14:textId="66FDA84F" w:rsidR="00FE4BDD" w:rsidRPr="00FE4BDD" w:rsidRDefault="00C74AD4" w:rsidP="00FE4BDD">
            <w:pPr>
              <w:spacing w:before="120" w:after="120"/>
            </w:pPr>
            <w:r w:rsidRPr="00C07498">
              <w:rPr>
                <w:b/>
                <w:bCs/>
              </w:rPr>
              <w:t>Result:</w:t>
            </w:r>
            <w:r>
              <w:t xml:space="preserve"> </w:t>
            </w:r>
            <w:r w:rsidR="00AC6603">
              <w:t xml:space="preserve"> </w:t>
            </w:r>
            <w:r w:rsidR="00AD6A3E">
              <w:t>Order Details Screen</w:t>
            </w:r>
            <w:r w:rsidR="00222DA2">
              <w:t xml:space="preserve"> displays</w:t>
            </w:r>
            <w:r w:rsidR="0033187C">
              <w:t>.</w:t>
            </w:r>
          </w:p>
        </w:tc>
      </w:tr>
      <w:tr w:rsidR="00932A80" w:rsidRPr="00FE4BDD" w14:paraId="661909E0" w14:textId="77777777" w:rsidTr="00746158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832F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3</w:t>
            </w:r>
          </w:p>
        </w:tc>
        <w:tc>
          <w:tcPr>
            <w:tcW w:w="4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94F0" w14:textId="037238C7" w:rsidR="00FE4BDD" w:rsidRPr="00FE4BDD" w:rsidRDefault="00EA51DB" w:rsidP="00FE4BDD">
            <w:pPr>
              <w:spacing w:before="120" w:after="120"/>
            </w:pPr>
            <w:r>
              <w:t>From the Order Details screen, c</w:t>
            </w:r>
            <w:r w:rsidR="00FE4BDD" w:rsidRPr="00FE4BDD">
              <w:t xml:space="preserve">lick the </w:t>
            </w:r>
            <w:r w:rsidR="007971E7">
              <w:rPr>
                <w:b/>
              </w:rPr>
              <w:t>Other</w:t>
            </w:r>
            <w:r w:rsidR="00AD2B2D">
              <w:rPr>
                <w:b/>
              </w:rPr>
              <w:t xml:space="preserve"> Actions</w:t>
            </w:r>
            <w:r w:rsidR="00FE4BDD" w:rsidRPr="00FE4BDD">
              <w:t xml:space="preserve"> button</w:t>
            </w:r>
            <w:r w:rsidR="003F1BF8">
              <w:t xml:space="preserve"> and select </w:t>
            </w:r>
            <w:r w:rsidR="0013372B" w:rsidRPr="0033187C">
              <w:rPr>
                <w:b/>
                <w:bCs/>
              </w:rPr>
              <w:t>Return Hard Copy Rx to Member</w:t>
            </w:r>
            <w:r w:rsidR="00FE4BDD" w:rsidRPr="00FE4BDD">
              <w:t>.</w:t>
            </w:r>
          </w:p>
          <w:p w14:paraId="5631A68F" w14:textId="77777777" w:rsidR="00FE4BDD" w:rsidRPr="00FE4BDD" w:rsidRDefault="00FE4BDD" w:rsidP="00FE4BDD">
            <w:pPr>
              <w:spacing w:before="120" w:after="120"/>
            </w:pPr>
          </w:p>
          <w:p w14:paraId="49CFA0F4" w14:textId="05779572" w:rsidR="00FE4BDD" w:rsidRPr="00FE4BDD" w:rsidRDefault="00FE4BDD" w:rsidP="00FE4BDD">
            <w:pPr>
              <w:spacing w:before="120" w:after="120"/>
            </w:pPr>
            <w:r w:rsidRPr="00FE4BDD">
              <w:rPr>
                <w:b/>
              </w:rPr>
              <w:t>Note:</w:t>
            </w:r>
            <w:r w:rsidRPr="00FE4BDD">
              <w:t xml:space="preserve"> </w:t>
            </w:r>
            <w:r w:rsidR="00AC6603">
              <w:t xml:space="preserve"> </w:t>
            </w:r>
            <w:r w:rsidRPr="00FE4BDD">
              <w:t xml:space="preserve">If the </w:t>
            </w:r>
            <w:r w:rsidR="00C37226">
              <w:t>option for Return Hard Copy to Member</w:t>
            </w:r>
            <w:r w:rsidRPr="00FE4BDD">
              <w:t xml:space="preserve"> is disabled, the Rx is either not a paper prescription, has been filled before, or is still in process. Research and advise the member accordingly.</w:t>
            </w:r>
          </w:p>
          <w:p w14:paraId="3D5E84C9" w14:textId="77777777" w:rsidR="00FE4BDD" w:rsidRPr="00FE4BDD" w:rsidRDefault="00FE4BDD" w:rsidP="00FE4BDD">
            <w:pPr>
              <w:spacing w:before="120" w:after="120"/>
            </w:pPr>
          </w:p>
          <w:p w14:paraId="15787D6E" w14:textId="3894AD12" w:rsidR="00702691" w:rsidRDefault="00746158" w:rsidP="00AC660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AC0592A" wp14:editId="4C7EED72">
                  <wp:extent cx="238095" cy="209524"/>
                  <wp:effectExtent l="0" t="0" r="0" b="635"/>
                  <wp:docPr id="1899196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196449" name="Picture 189919644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6603">
              <w:t xml:space="preserve"> </w:t>
            </w:r>
            <w:r w:rsidR="00FE4BDD" w:rsidRPr="00FE4BDD">
              <w:t xml:space="preserve">There is no </w:t>
            </w:r>
            <w:r w:rsidR="00BA6881">
              <w:t xml:space="preserve">Support Task </w:t>
            </w:r>
            <w:r w:rsidR="00FE4BDD" w:rsidRPr="00FE4BDD">
              <w:t xml:space="preserve">associated with requesting the original prescription. If </w:t>
            </w:r>
            <w:r w:rsidR="001D2680" w:rsidRPr="00AC6603">
              <w:rPr>
                <w:b/>
                <w:bCs/>
              </w:rPr>
              <w:t>Return Hard Copy Rx to Member</w:t>
            </w:r>
            <w:r w:rsidR="001D2680">
              <w:t xml:space="preserve"> selection</w:t>
            </w:r>
            <w:r w:rsidR="002F52D1">
              <w:t xml:space="preserve"> </w:t>
            </w:r>
            <w:r w:rsidR="00FE4BDD" w:rsidRPr="00FE4BDD">
              <w:t xml:space="preserve">in </w:t>
            </w:r>
            <w:r w:rsidR="001617B3">
              <w:t>Compass</w:t>
            </w:r>
            <w:r w:rsidR="00FE4BDD" w:rsidRPr="00FE4BDD">
              <w:t xml:space="preserve"> is </w:t>
            </w:r>
            <w:r w:rsidR="00160D92">
              <w:t>disabled</w:t>
            </w:r>
            <w:r w:rsidR="00FE4BDD" w:rsidRPr="00FE4BDD">
              <w:t xml:space="preserve">, then the prescription is ineligible to be returned. Do NOT submit any </w:t>
            </w:r>
            <w:r w:rsidR="001617B3">
              <w:t xml:space="preserve">Support Tasks </w:t>
            </w:r>
            <w:r w:rsidR="00FE4BDD" w:rsidRPr="00FE4BDD">
              <w:t>for these requests.</w:t>
            </w:r>
          </w:p>
          <w:p w14:paraId="70FB0143" w14:textId="77777777" w:rsidR="0094758B" w:rsidRPr="00FE4BDD" w:rsidRDefault="0094758B" w:rsidP="0094758B">
            <w:pPr>
              <w:spacing w:before="120" w:after="120"/>
            </w:pPr>
          </w:p>
          <w:p w14:paraId="50C251CF" w14:textId="1C4BF040" w:rsidR="0094758B" w:rsidRDefault="00CB02F9" w:rsidP="00565F7E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B81F03B" wp14:editId="37F42F00">
                  <wp:extent cx="9569942" cy="4018280"/>
                  <wp:effectExtent l="19050" t="19050" r="12700" b="203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7564" cy="40256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EF301" w14:textId="77777777" w:rsidR="0011378C" w:rsidRDefault="0011378C" w:rsidP="00565F7E">
            <w:pPr>
              <w:spacing w:before="120" w:after="120"/>
              <w:jc w:val="center"/>
            </w:pPr>
          </w:p>
          <w:p w14:paraId="615DC9F1" w14:textId="3785E89D" w:rsidR="00FE4BDD" w:rsidRPr="00FE4BDD" w:rsidRDefault="00051860" w:rsidP="0048578C">
            <w:pPr>
              <w:spacing w:before="120" w:after="120"/>
            </w:pPr>
            <w:r w:rsidRPr="00C07498">
              <w:rPr>
                <w:b/>
                <w:bCs/>
              </w:rPr>
              <w:t>Result:</w:t>
            </w:r>
            <w:r>
              <w:t xml:space="preserve"> </w:t>
            </w:r>
            <w:r w:rsidR="00746158">
              <w:t xml:space="preserve"> </w:t>
            </w:r>
            <w:r>
              <w:t>Messaging appears</w:t>
            </w:r>
            <w:r w:rsidR="00746158">
              <w:t>.</w:t>
            </w:r>
          </w:p>
        </w:tc>
      </w:tr>
      <w:tr w:rsidR="00932A80" w:rsidRPr="00FE4BDD" w14:paraId="4BE009D0" w14:textId="77777777" w:rsidTr="00746158">
        <w:tc>
          <w:tcPr>
            <w:tcW w:w="4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06C2" w14:textId="7043D284" w:rsidR="00FE4BDD" w:rsidRPr="00FE4BDD" w:rsidRDefault="007D34D8" w:rsidP="00C0749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18BF" w14:textId="74F00DE2" w:rsidR="00FE4BDD" w:rsidRPr="00FE4BDD" w:rsidRDefault="00FE4BDD" w:rsidP="00FE4BDD">
            <w:pPr>
              <w:spacing w:before="120" w:after="120"/>
            </w:pPr>
            <w:r w:rsidRPr="00FE4BDD">
              <w:t>Review the messaging and advise the member accordingly.</w:t>
            </w:r>
          </w:p>
        </w:tc>
      </w:tr>
      <w:tr w:rsidR="00CB4C21" w:rsidRPr="00FE4BDD" w14:paraId="5BF330D4" w14:textId="77777777" w:rsidTr="00746158">
        <w:tc>
          <w:tcPr>
            <w:tcW w:w="4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553C4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B72ED" w14:textId="77777777" w:rsidR="00FE4BDD" w:rsidRPr="00FE4BDD" w:rsidRDefault="00FE4BDD" w:rsidP="00524320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If the message indicates…</w:t>
            </w:r>
          </w:p>
        </w:tc>
        <w:tc>
          <w:tcPr>
            <w:tcW w:w="3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04B726" w14:textId="77777777" w:rsidR="00FE4BDD" w:rsidRPr="00FE4BDD" w:rsidRDefault="00FE4BDD" w:rsidP="00524320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Then the request…</w:t>
            </w:r>
          </w:p>
        </w:tc>
      </w:tr>
      <w:tr w:rsidR="00CB4C21" w:rsidRPr="00FE4BDD" w14:paraId="32DB638E" w14:textId="77777777" w:rsidTr="00AC41F4">
        <w:tc>
          <w:tcPr>
            <w:tcW w:w="4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510F5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359C" w14:textId="385181BA" w:rsidR="00FE4BDD" w:rsidRPr="00FE4BDD" w:rsidRDefault="00A20AF1" w:rsidP="00FE4BDD">
            <w:pPr>
              <w:spacing w:before="120" w:after="120"/>
            </w:pPr>
            <w:r w:rsidRPr="00A20AF1">
              <w:t>Return Hard Copy Rx to Member</w:t>
            </w:r>
            <w:r w:rsidR="00612058">
              <w:t xml:space="preserve"> </w:t>
            </w:r>
            <w:r w:rsidR="009D465A">
              <w:t>is</w:t>
            </w:r>
            <w:r w:rsidRPr="00A20AF1">
              <w:t xml:space="preserve"> requested successfully</w:t>
            </w:r>
          </w:p>
        </w:tc>
        <w:tc>
          <w:tcPr>
            <w:tcW w:w="3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85E0" w14:textId="29EA8255" w:rsidR="00FE4BDD" w:rsidRDefault="00FE4BDD" w:rsidP="00FE4BDD">
            <w:pPr>
              <w:spacing w:before="120" w:after="120"/>
            </w:pPr>
            <w:r w:rsidRPr="00FE4BDD">
              <w:t>Advise the member the request has been submitted successfully and they will receive the prescription in the mail.</w:t>
            </w:r>
          </w:p>
          <w:p w14:paraId="527D7AC3" w14:textId="72CFC28D" w:rsidR="007071BC" w:rsidRPr="00FE4BDD" w:rsidRDefault="007071BC" w:rsidP="00FE4BDD">
            <w:pPr>
              <w:spacing w:before="120" w:after="120"/>
            </w:pPr>
            <w:r w:rsidRPr="00C07498">
              <w:rPr>
                <w:b/>
                <w:bCs/>
              </w:rPr>
              <w:t>Note:</w:t>
            </w:r>
            <w:r w:rsidR="00746158">
              <w:rPr>
                <w:b/>
                <w:bCs/>
              </w:rPr>
              <w:t xml:space="preserve"> </w:t>
            </w:r>
            <w:r>
              <w:t xml:space="preserve"> </w:t>
            </w:r>
            <w:r w:rsidR="005D7680" w:rsidRPr="00746158">
              <w:t>Return Hard Copy will send the Rx to the last address the order was placed or pending to be sent to.</w:t>
            </w:r>
          </w:p>
        </w:tc>
      </w:tr>
      <w:tr w:rsidR="00CB4C21" w:rsidRPr="00FE4BDD" w14:paraId="4446E438" w14:textId="77777777" w:rsidTr="00AC41F4">
        <w:tc>
          <w:tcPr>
            <w:tcW w:w="4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1AD3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B1CDB21" w14:textId="5DEB3D4F" w:rsidR="00FE4BDD" w:rsidRPr="00FE4BDD" w:rsidRDefault="004A3E7A" w:rsidP="00FE4BDD">
            <w:pPr>
              <w:spacing w:before="120" w:after="120"/>
            </w:pPr>
            <w:r w:rsidRPr="004A3E7A">
              <w:t xml:space="preserve">Return Hard Copy Rx to Member failed due to </w:t>
            </w:r>
            <w:r w:rsidR="00F03DF7">
              <w:t>&lt;reason stated&gt;</w:t>
            </w:r>
          </w:p>
        </w:tc>
        <w:tc>
          <w:tcPr>
            <w:tcW w:w="30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0F6FF5" w14:textId="249BE288" w:rsidR="00FE4BDD" w:rsidRPr="00FE4BDD" w:rsidRDefault="00772AA9" w:rsidP="00FE4BDD">
            <w:pPr>
              <w:spacing w:before="120" w:after="120"/>
            </w:pPr>
            <w:r w:rsidRPr="00772AA9">
              <w:t>Advise the member that, due to the reason provided, the original prescription cannot be returned.</w:t>
            </w:r>
          </w:p>
        </w:tc>
      </w:tr>
      <w:tr w:rsidR="00CB4C21" w:rsidRPr="00FE4BDD" w14:paraId="2C0A2EA1" w14:textId="77777777" w:rsidTr="00AC41F4">
        <w:tc>
          <w:tcPr>
            <w:tcW w:w="4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067E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4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FAEC" w14:textId="0B4E454A" w:rsidR="00FE4BDD" w:rsidRPr="00FE4BDD" w:rsidRDefault="00FE4BDD" w:rsidP="00FE4BDD">
            <w:pPr>
              <w:spacing w:before="120" w:after="120"/>
            </w:pPr>
          </w:p>
        </w:tc>
        <w:tc>
          <w:tcPr>
            <w:tcW w:w="30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FFFC" w14:textId="54C4DF1B" w:rsidR="00FE4BDD" w:rsidRPr="00FE4BDD" w:rsidRDefault="00FE4BDD" w:rsidP="00FE4BDD">
            <w:pPr>
              <w:spacing w:before="120" w:after="120"/>
            </w:pPr>
          </w:p>
        </w:tc>
      </w:tr>
      <w:tr w:rsidR="00CB4C21" w:rsidRPr="00FE4BDD" w14:paraId="17935213" w14:textId="77777777" w:rsidTr="00746158">
        <w:tc>
          <w:tcPr>
            <w:tcW w:w="4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A64A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984" w14:textId="1FAFE3A1" w:rsidR="00FE4BDD" w:rsidRPr="00FE4BDD" w:rsidRDefault="00FE4BDD" w:rsidP="00FE4BDD">
            <w:pPr>
              <w:spacing w:before="120" w:after="120"/>
            </w:pPr>
          </w:p>
        </w:tc>
        <w:tc>
          <w:tcPr>
            <w:tcW w:w="3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957A" w14:textId="39BC62A4" w:rsidR="00FE4BDD" w:rsidRPr="00FE4BDD" w:rsidRDefault="00FE4BDD" w:rsidP="00FE4BDD">
            <w:pPr>
              <w:spacing w:before="120" w:after="120"/>
            </w:pPr>
          </w:p>
        </w:tc>
      </w:tr>
    </w:tbl>
    <w:p w14:paraId="7848F289" w14:textId="77777777" w:rsidR="00FE4BDD" w:rsidRDefault="00FE4BDD" w:rsidP="00FE4BDD">
      <w:pPr>
        <w:spacing w:before="120" w:after="120"/>
      </w:pPr>
    </w:p>
    <w:p w14:paraId="0F662EC8" w14:textId="6232E210" w:rsidR="00FE4BDD" w:rsidRDefault="009F22A4" w:rsidP="00524320">
      <w:pPr>
        <w:spacing w:before="120" w:after="120"/>
        <w:jc w:val="right"/>
      </w:pPr>
      <w:hyperlink w:anchor="_top" w:history="1">
        <w:r w:rsidRPr="00F8340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E4BDD" w14:paraId="066AD3D7" w14:textId="77777777" w:rsidTr="00F8340C">
        <w:tc>
          <w:tcPr>
            <w:tcW w:w="5000" w:type="pct"/>
            <w:shd w:val="clear" w:color="auto" w:fill="BFBFBF" w:themeFill="background1" w:themeFillShade="BF"/>
          </w:tcPr>
          <w:p w14:paraId="21A307B1" w14:textId="77777777" w:rsidR="00FE4BDD" w:rsidRPr="009A0176" w:rsidRDefault="00FE4BDD">
            <w:pPr>
              <w:pStyle w:val="Heading2"/>
              <w:spacing w:before="120" w:after="120"/>
              <w:contextualSpacing/>
              <w:rPr>
                <w:i/>
                <w:iCs/>
                <w:color w:val="000000"/>
              </w:rPr>
            </w:pPr>
            <w:bookmarkStart w:id="9" w:name="_Toc174625586"/>
            <w:bookmarkStart w:id="10" w:name="_Toc195768562"/>
            <w:r w:rsidRPr="009A0176">
              <w:rPr>
                <w:color w:val="000000"/>
              </w:rPr>
              <w:t>How to Verify a Prescription was Returned</w:t>
            </w:r>
            <w:bookmarkEnd w:id="9"/>
            <w:bookmarkEnd w:id="10"/>
          </w:p>
        </w:tc>
      </w:tr>
    </w:tbl>
    <w:p w14:paraId="397BCFD5" w14:textId="77777777" w:rsidR="00FE4BDD" w:rsidRDefault="00FE4BDD" w:rsidP="00FE4BDD">
      <w:pPr>
        <w:spacing w:before="120" w:after="120"/>
      </w:pPr>
    </w:p>
    <w:p w14:paraId="4E14C516" w14:textId="0E377943" w:rsidR="00FE4BDD" w:rsidRPr="000D52C3" w:rsidRDefault="002A002D" w:rsidP="00FE4BDD">
      <w:pPr>
        <w:spacing w:before="120" w:after="120"/>
      </w:pPr>
      <w:r w:rsidRPr="000D52C3">
        <w:t xml:space="preserve"> Perform the following steps to verify whether a prescription was mailed back to the member: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8"/>
        <w:gridCol w:w="4481"/>
        <w:gridCol w:w="6941"/>
      </w:tblGrid>
      <w:tr w:rsidR="00FE4BDD" w:rsidRPr="00FE4BDD" w14:paraId="5CA1086E" w14:textId="77777777" w:rsidTr="00742D2E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4090C8" w14:textId="77777777" w:rsidR="00FE4BDD" w:rsidRPr="00FE4BDD" w:rsidRDefault="00FE4BDD" w:rsidP="00C90AA8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Step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F3BAB" w14:textId="77777777" w:rsidR="00FE4BDD" w:rsidRPr="00FE4BDD" w:rsidRDefault="00FE4BDD" w:rsidP="00524320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Action</w:t>
            </w:r>
          </w:p>
        </w:tc>
      </w:tr>
      <w:tr w:rsidR="00FE4BDD" w:rsidRPr="00FE4BDD" w14:paraId="0A5B20B8" w14:textId="77777777" w:rsidTr="00742D2E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40CD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1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D97D" w14:textId="77777777" w:rsidR="00FE4BDD" w:rsidRDefault="00B82246" w:rsidP="00C07498">
            <w:pPr>
              <w:spacing w:before="120" w:after="120"/>
            </w:pPr>
            <w:r>
              <w:t xml:space="preserve">Click the </w:t>
            </w:r>
            <w:r w:rsidRPr="004672F3">
              <w:rPr>
                <w:b/>
                <w:bCs/>
              </w:rPr>
              <w:t>Mail Order History</w:t>
            </w:r>
            <w:r>
              <w:t xml:space="preserve"> tab </w:t>
            </w:r>
            <w:r w:rsidR="00405574" w:rsidRPr="00405574">
              <w:t>and locate the prescription</w:t>
            </w:r>
            <w:r w:rsidR="0053142C">
              <w:t xml:space="preserve"> and the order</w:t>
            </w:r>
            <w:r w:rsidR="00405574" w:rsidRPr="00405574">
              <w:t xml:space="preserve"> in question.</w:t>
            </w:r>
          </w:p>
          <w:p w14:paraId="4E3DD208" w14:textId="65AD6CF3" w:rsidR="002C3BF6" w:rsidRDefault="002C3BF6" w:rsidP="00F8340C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If the order is cancelled, review the Received Mode column to determine how we received the prescription.</w:t>
            </w:r>
          </w:p>
          <w:p w14:paraId="3D8DF775" w14:textId="353C3D02" w:rsidR="002C3BF6" w:rsidRPr="00FE4BDD" w:rsidRDefault="002C3BF6" w:rsidP="00C07498">
            <w:pPr>
              <w:spacing w:before="120" w:after="120"/>
            </w:pPr>
          </w:p>
        </w:tc>
      </w:tr>
      <w:tr w:rsidR="00E90246" w:rsidRPr="00FE4BDD" w14:paraId="5DAB1255" w14:textId="77777777" w:rsidTr="00742D2E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07E" w14:textId="6B6E8ED1" w:rsidR="00E90246" w:rsidRDefault="00742D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144" w14:textId="4D79C278" w:rsidR="00E90246" w:rsidRDefault="004B6C4A" w:rsidP="00A90101">
            <w:pPr>
              <w:spacing w:before="120" w:after="120"/>
            </w:pPr>
            <w:r>
              <w:t xml:space="preserve">Click the </w:t>
            </w:r>
            <w:r w:rsidR="005D4202" w:rsidRPr="0002745F">
              <w:rPr>
                <w:b/>
                <w:bCs/>
              </w:rPr>
              <w:t>Rx# hyperlink</w:t>
            </w:r>
            <w:r w:rsidR="00206D62">
              <w:t>.</w:t>
            </w:r>
          </w:p>
        </w:tc>
      </w:tr>
      <w:tr w:rsidR="00FE4BDD" w:rsidRPr="00FE4BDD" w14:paraId="1CD3A772" w14:textId="77777777" w:rsidTr="00742D2E">
        <w:trPr>
          <w:trHeight w:val="50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E4D2" w14:textId="0B69EA4E" w:rsidR="00FE4BDD" w:rsidRPr="00FE4BDD" w:rsidRDefault="00742D2E" w:rsidP="00C0749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2C0C" w14:textId="1870CB11" w:rsidR="00FE4BDD" w:rsidRPr="00FE4BDD" w:rsidRDefault="005D4202" w:rsidP="00FC3B2E">
            <w:pPr>
              <w:spacing w:before="120" w:after="120"/>
            </w:pPr>
            <w:r>
              <w:rPr>
                <w:color w:val="000000" w:themeColor="text1"/>
              </w:rPr>
              <w:t xml:space="preserve">In the Claims Details, on the Quick View tab, </w:t>
            </w:r>
            <w:r w:rsidR="00FC3B2E" w:rsidRPr="00FC3B2E">
              <w:rPr>
                <w:color w:val="000000" w:themeColor="text1"/>
              </w:rPr>
              <w:t>determine if the prescription is Controlled or Non-Controlled.</w:t>
            </w:r>
          </w:p>
        </w:tc>
      </w:tr>
      <w:tr w:rsidR="00FE4BDD" w:rsidRPr="00FE4BDD" w14:paraId="473C0309" w14:textId="77777777" w:rsidTr="00F8340C">
        <w:trPr>
          <w:trHeight w:val="5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8725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0C8243" w14:textId="69034762" w:rsidR="00FE4BDD" w:rsidRPr="00FE4BDD" w:rsidRDefault="00FE4BDD" w:rsidP="00524320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If the</w:t>
            </w:r>
            <w:r w:rsidR="00742D2E">
              <w:rPr>
                <w:b/>
                <w:bCs/>
              </w:rPr>
              <w:t>…</w:t>
            </w:r>
          </w:p>
        </w:tc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E2CDE" w14:textId="77777777" w:rsidR="00FE4BDD" w:rsidRPr="00FE4BDD" w:rsidRDefault="00FE4BDD" w:rsidP="00524320">
            <w:pPr>
              <w:spacing w:before="120" w:after="120"/>
              <w:jc w:val="center"/>
              <w:rPr>
                <w:b/>
                <w:bCs/>
              </w:rPr>
            </w:pPr>
            <w:r w:rsidRPr="00FE4BDD">
              <w:rPr>
                <w:b/>
                <w:bCs/>
              </w:rPr>
              <w:t>Then…</w:t>
            </w:r>
          </w:p>
        </w:tc>
      </w:tr>
      <w:tr w:rsidR="00FE4BDD" w:rsidRPr="00FE4BDD" w14:paraId="2286E741" w14:textId="77777777" w:rsidTr="00742D2E">
        <w:trPr>
          <w:trHeight w:val="5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478F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2A3F" w14:textId="01698864" w:rsidR="00FE4BDD" w:rsidRPr="00FE4BDD" w:rsidRDefault="00FE4BDD" w:rsidP="00FE4BDD">
            <w:pPr>
              <w:spacing w:before="120" w:after="120"/>
            </w:pPr>
            <w:r w:rsidRPr="00FE4BDD">
              <w:t xml:space="preserve">Prescription was received via ‘MAIL,’ or is a </w:t>
            </w:r>
            <w:proofErr w:type="spellStart"/>
            <w:r w:rsidR="0067362A">
              <w:t>C2</w:t>
            </w:r>
            <w:proofErr w:type="spellEnd"/>
          </w:p>
        </w:tc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807B" w14:textId="63A9882D" w:rsidR="00FE4BDD" w:rsidRPr="00742D2E" w:rsidRDefault="00D62F7E" w:rsidP="00FE4BDD">
            <w:pPr>
              <w:spacing w:before="120" w:after="120"/>
              <w:rPr>
                <w:color w:val="000000"/>
              </w:rPr>
            </w:pPr>
            <w:r w:rsidRPr="004672F3">
              <w:rPr>
                <w:color w:val="000000"/>
              </w:rPr>
              <w:t>Review Member’s</w:t>
            </w:r>
            <w:r w:rsidRPr="00742D2E">
              <w:rPr>
                <w:color w:val="000000"/>
              </w:rPr>
              <w:t xml:space="preserve"> </w:t>
            </w:r>
            <w:r w:rsidRPr="004672F3">
              <w:rPr>
                <w:color w:val="000000"/>
              </w:rPr>
              <w:t>Recent Cases and Mail Order alerts</w:t>
            </w:r>
            <w:r w:rsidRPr="00742D2E">
              <w:rPr>
                <w:color w:val="000000"/>
              </w:rPr>
              <w:t> to determine if anyone has requested the hard copy to be returned to the member.</w:t>
            </w:r>
          </w:p>
          <w:p w14:paraId="57C45893" w14:textId="794E67E8" w:rsidR="00257A2C" w:rsidRPr="00FE4BDD" w:rsidRDefault="00F0116B" w:rsidP="004672F3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 w:rsidRPr="00FD4FB1">
              <w:rPr>
                <w:color w:val="000000"/>
              </w:rPr>
              <w:t xml:space="preserve">If the prescription </w:t>
            </w:r>
            <w:r w:rsidRPr="00FE4BDD">
              <w:t>has not been requested to be sent back to the member</w:t>
            </w:r>
            <w:r w:rsidR="000136B0">
              <w:t xml:space="preserve">, it can be restarted, refer to </w:t>
            </w:r>
            <w:hyperlink r:id="rId10" w:anchor="!/view?docid=db21add8-521c-4f56-806b-2bd60acc39ed" w:history="1">
              <w:r w:rsidR="000136B0" w:rsidRPr="00FD4FB1">
                <w:rPr>
                  <w:rStyle w:val="Hyperlink"/>
                </w:rPr>
                <w:t>Compass – Offline Refill (056373)</w:t>
              </w:r>
            </w:hyperlink>
            <w:r w:rsidR="00894DA3">
              <w:t xml:space="preserve">, continue to step </w:t>
            </w:r>
            <w:r w:rsidR="00263CEA">
              <w:t>4.</w:t>
            </w:r>
          </w:p>
        </w:tc>
      </w:tr>
      <w:tr w:rsidR="00FE4BDD" w:rsidRPr="00FE4BDD" w14:paraId="0010EE52" w14:textId="77777777" w:rsidTr="00742D2E">
        <w:trPr>
          <w:trHeight w:val="5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7903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3E1B" w14:textId="79DA0F9E" w:rsidR="00FE4BDD" w:rsidRPr="00FE4BDD" w:rsidRDefault="00FE4BDD" w:rsidP="00FE4BDD">
            <w:pPr>
              <w:spacing w:before="120" w:after="120"/>
            </w:pPr>
            <w:proofErr w:type="gramStart"/>
            <w:r w:rsidRPr="00FE4BDD">
              <w:t>Prescription</w:t>
            </w:r>
            <w:proofErr w:type="gramEnd"/>
            <w:r w:rsidRPr="00FE4BDD">
              <w:t xml:space="preserve"> is not </w:t>
            </w:r>
            <w:proofErr w:type="gramStart"/>
            <w:r w:rsidRPr="00FE4BDD">
              <w:t xml:space="preserve">a </w:t>
            </w:r>
            <w:proofErr w:type="spellStart"/>
            <w:r w:rsidR="00393012" w:rsidRPr="00FE4BDD">
              <w:t>C</w:t>
            </w:r>
            <w:r w:rsidR="00393012">
              <w:t>2</w:t>
            </w:r>
            <w:proofErr w:type="spellEnd"/>
            <w:proofErr w:type="gramEnd"/>
            <w:r w:rsidR="00393012" w:rsidRPr="00FE4BDD">
              <w:t xml:space="preserve"> </w:t>
            </w:r>
            <w:r w:rsidRPr="00FE4BDD">
              <w:t>and was received via ERX, Fax or Phone</w:t>
            </w:r>
          </w:p>
        </w:tc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7FBB" w14:textId="5FCD8C91" w:rsidR="00FE4BDD" w:rsidRPr="00FE4BDD" w:rsidRDefault="00ED3BAD" w:rsidP="00FE4BDD">
            <w:pPr>
              <w:spacing w:before="120" w:after="120"/>
            </w:pPr>
            <w:r>
              <w:t>The prescription</w:t>
            </w:r>
            <w:r w:rsidRPr="00FE4BDD">
              <w:t xml:space="preserve"> </w:t>
            </w:r>
            <w:r w:rsidR="00FE4BDD" w:rsidRPr="00FE4BDD">
              <w:t>can be restarted</w:t>
            </w:r>
            <w:r>
              <w:t xml:space="preserve">. </w:t>
            </w:r>
            <w:r w:rsidRPr="00F8340C">
              <w:t>R</w:t>
            </w:r>
            <w:r w:rsidR="00FE4BDD" w:rsidRPr="00F8340C">
              <w:t>efer to</w:t>
            </w:r>
            <w:r w:rsidR="00FE4BDD" w:rsidRPr="00FE4BDD">
              <w:t xml:space="preserve"> </w:t>
            </w:r>
            <w:hyperlink r:id="rId11" w:anchor="!/view?docid=db21add8-521c-4f56-806b-2bd60acc39ed" w:history="1">
              <w:r w:rsidR="00131B90" w:rsidRPr="00ED3BAD">
                <w:rPr>
                  <w:rStyle w:val="Hyperlink"/>
                </w:rPr>
                <w:t>Compass – Offline Refill</w:t>
              </w:r>
              <w:r w:rsidR="003F7801" w:rsidRPr="00ED3BAD">
                <w:rPr>
                  <w:rStyle w:val="Hyperlink"/>
                </w:rPr>
                <w:t xml:space="preserve"> (056373)</w:t>
              </w:r>
            </w:hyperlink>
            <w:r w:rsidR="00894DA3">
              <w:t xml:space="preserve">, continue to step </w:t>
            </w:r>
            <w:r w:rsidR="00263CEA">
              <w:t>4</w:t>
            </w:r>
            <w:r>
              <w:t>.</w:t>
            </w:r>
          </w:p>
        </w:tc>
      </w:tr>
      <w:tr w:rsidR="00FE4BDD" w:rsidRPr="00FE4BDD" w14:paraId="418D151D" w14:textId="77777777" w:rsidTr="00742D2E">
        <w:trPr>
          <w:trHeight w:val="50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DCF4" w14:textId="77777777" w:rsidR="00FE4BDD" w:rsidRPr="00FE4BDD" w:rsidRDefault="00FE4BDD" w:rsidP="00C07498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4851" w14:textId="13D3403F" w:rsidR="00FE4BDD" w:rsidRPr="00FE4BDD" w:rsidRDefault="006B2E02" w:rsidP="00FE4BDD">
            <w:pPr>
              <w:spacing w:before="120" w:after="120"/>
            </w:pPr>
            <w:r>
              <w:t>Order is notated</w:t>
            </w:r>
            <w:r w:rsidR="009A165E">
              <w:t xml:space="preserve"> </w:t>
            </w:r>
            <w:r w:rsidR="00FE4BDD" w:rsidRPr="00FE4BDD">
              <w:t>that the prescription was sent back to the member</w:t>
            </w:r>
          </w:p>
        </w:tc>
        <w:tc>
          <w:tcPr>
            <w:tcW w:w="2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4B4D" w14:textId="051938C0" w:rsidR="00FE4BDD" w:rsidRDefault="00FC6501" w:rsidP="00F8340C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If the medication is </w:t>
            </w:r>
            <w:proofErr w:type="gramStart"/>
            <w:r>
              <w:t>a C2</w:t>
            </w:r>
            <w:proofErr w:type="gramEnd"/>
            <w:r>
              <w:t>, advise the caller to o</w:t>
            </w:r>
            <w:r w:rsidR="00FE4BDD" w:rsidRPr="00FE4BDD">
              <w:t xml:space="preserve">btain a new hard copy to </w:t>
            </w:r>
            <w:r>
              <w:t xml:space="preserve">mail in or have provider send via </w:t>
            </w:r>
            <w:proofErr w:type="spellStart"/>
            <w:r w:rsidR="004C7E41">
              <w:t>ERX</w:t>
            </w:r>
            <w:proofErr w:type="spellEnd"/>
            <w:r w:rsidR="004C7E41">
              <w:t>.</w:t>
            </w:r>
          </w:p>
          <w:p w14:paraId="342EB114" w14:textId="77777777" w:rsidR="004C7E41" w:rsidRDefault="004C7E41" w:rsidP="00FE4BDD">
            <w:pPr>
              <w:spacing w:before="120" w:after="120"/>
            </w:pPr>
          </w:p>
          <w:p w14:paraId="5ED236CC" w14:textId="05216707" w:rsidR="004C7E41" w:rsidRPr="00FE4BDD" w:rsidRDefault="004C7E41" w:rsidP="00F8340C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If the medication is not a</w:t>
            </w:r>
            <w:r w:rsidR="00FA5077">
              <w:t xml:space="preserve"> C2, offer to send a New Rx request or advise </w:t>
            </w:r>
            <w:r w:rsidR="00417CA0">
              <w:t xml:space="preserve">the provider can send a </w:t>
            </w:r>
            <w:r w:rsidR="002A3E5F">
              <w:t>N</w:t>
            </w:r>
            <w:r w:rsidR="00417CA0">
              <w:t xml:space="preserve">ew </w:t>
            </w:r>
            <w:r w:rsidR="002A3E5F">
              <w:t>R</w:t>
            </w:r>
            <w:r w:rsidR="00417CA0">
              <w:t xml:space="preserve">x via ERX, fax, or phone </w:t>
            </w:r>
            <w:r w:rsidR="00B44D7C">
              <w:t>or they can</w:t>
            </w:r>
            <w:r w:rsidR="00562483">
              <w:t xml:space="preserve"> obtain a new hard copy from the provider and</w:t>
            </w:r>
            <w:r w:rsidR="00B44D7C">
              <w:t xml:space="preserve"> mail the new prescription to us. </w:t>
            </w:r>
          </w:p>
        </w:tc>
      </w:tr>
      <w:tr w:rsidR="00FE4BDD" w:rsidRPr="00FE4BDD" w14:paraId="4B837B2A" w14:textId="77777777" w:rsidTr="00742D2E"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CDAE" w14:textId="6B9670E3" w:rsidR="00FE4BDD" w:rsidRPr="00FE4BDD" w:rsidRDefault="00742D2E" w:rsidP="00C0749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6560" w14:textId="24153056" w:rsidR="00FE4BDD" w:rsidRPr="00FE4BDD" w:rsidRDefault="00FE4BDD" w:rsidP="00FE4BDD">
            <w:pPr>
              <w:spacing w:before="120" w:after="120"/>
            </w:pPr>
            <w:r w:rsidRPr="00FE4BDD">
              <w:t xml:space="preserve">Proceed to placing order via </w:t>
            </w:r>
            <w:r w:rsidR="00905422">
              <w:t>Offline</w:t>
            </w:r>
            <w:r w:rsidR="003D216C">
              <w:t xml:space="preserve"> Refill</w:t>
            </w:r>
            <w:r w:rsidR="009F77CF">
              <w:t xml:space="preserve"> Support </w:t>
            </w:r>
            <w:r w:rsidR="003D216C">
              <w:t xml:space="preserve">Task </w:t>
            </w:r>
            <w:r w:rsidRPr="00FE4BDD">
              <w:t>if eligible and provide member TAT for order to be restarted.</w:t>
            </w:r>
          </w:p>
          <w:p w14:paraId="5067F38F" w14:textId="77777777" w:rsidR="00FE4BDD" w:rsidRPr="00FE4BDD" w:rsidRDefault="00FE4BDD" w:rsidP="00FE4BDD">
            <w:pPr>
              <w:numPr>
                <w:ilvl w:val="0"/>
                <w:numId w:val="6"/>
              </w:numPr>
              <w:spacing w:before="120" w:after="120"/>
            </w:pPr>
            <w:r w:rsidRPr="00FE4BDD">
              <w:t>If not eligible, please advise the member that we will need a new prescription.</w:t>
            </w:r>
          </w:p>
          <w:p w14:paraId="3EF78D11" w14:textId="77777777" w:rsidR="00FE4BDD" w:rsidRPr="00FE4BDD" w:rsidRDefault="00FE4BDD" w:rsidP="00FE4BDD">
            <w:pPr>
              <w:spacing w:before="120" w:after="120"/>
            </w:pPr>
          </w:p>
          <w:p w14:paraId="39EB9008" w14:textId="77777777" w:rsidR="00FE4BDD" w:rsidRPr="00FE4BDD" w:rsidRDefault="00FE4BDD" w:rsidP="00FE4BDD">
            <w:pPr>
              <w:spacing w:before="120" w:after="120"/>
              <w:rPr>
                <w:b/>
              </w:rPr>
            </w:pPr>
            <w:r w:rsidRPr="00FE4BDD">
              <w:rPr>
                <w:b/>
              </w:rPr>
              <w:t>Notes:</w:t>
            </w:r>
          </w:p>
          <w:p w14:paraId="1D0147FE" w14:textId="5BEC079E" w:rsidR="00FE4BDD" w:rsidRPr="00FE4BDD" w:rsidRDefault="00FE4BDD" w:rsidP="00FE4BDD">
            <w:pPr>
              <w:numPr>
                <w:ilvl w:val="0"/>
                <w:numId w:val="7"/>
              </w:numPr>
              <w:spacing w:before="120" w:after="120"/>
            </w:pPr>
            <w:r w:rsidRPr="00FE4BDD">
              <w:t xml:space="preserve">The only reason we would need a new prescription is if the member has requested it be returned. Members are sent a letter when hard copy orders are cancelled and are required to initiate the prescription return on their own. We do not automatically return hard copy prescriptions. </w:t>
            </w:r>
          </w:p>
          <w:p w14:paraId="5533A0E1" w14:textId="0AE9672C" w:rsidR="00FE4BDD" w:rsidRPr="00FE4BDD" w:rsidRDefault="00393012" w:rsidP="00FE4BDD">
            <w:pPr>
              <w:numPr>
                <w:ilvl w:val="0"/>
                <w:numId w:val="7"/>
              </w:numPr>
              <w:spacing w:before="120" w:after="120"/>
            </w:pPr>
            <w:proofErr w:type="spellStart"/>
            <w:r w:rsidRPr="00FE4BDD">
              <w:t>C</w:t>
            </w:r>
            <w:r>
              <w:t>2</w:t>
            </w:r>
            <w:proofErr w:type="spellEnd"/>
            <w:r w:rsidRPr="00FE4BDD">
              <w:t xml:space="preserve"> </w:t>
            </w:r>
            <w:r w:rsidR="00FE4BDD" w:rsidRPr="00FE4BDD">
              <w:t xml:space="preserve">prescriptions must still be </w:t>
            </w:r>
            <w:proofErr w:type="gramStart"/>
            <w:r w:rsidR="00FE4BDD" w:rsidRPr="00FE4BDD">
              <w:t>in</w:t>
            </w:r>
            <w:proofErr w:type="gramEnd"/>
            <w:r w:rsidR="00FE4BDD" w:rsidRPr="00FE4BDD">
              <w:t xml:space="preserve"> date. Review the applicable document below to verify the prescription has not expired in accordance with the individual member’s state law</w:t>
            </w:r>
            <w:r w:rsidR="00FD2236">
              <w:t xml:space="preserve">. Refer to </w:t>
            </w:r>
            <w:hyperlink r:id="rId12" w:anchor="!/view?docid=76fe19d9-b159-43a4-9db5-077ba1f6a958" w:history="1">
              <w:r w:rsidR="000D071A" w:rsidRPr="0098298B">
                <w:rPr>
                  <w:rStyle w:val="Hyperlink"/>
                </w:rPr>
                <w:t>Compass – Controlled Substance State Laws (058033)</w:t>
              </w:r>
            </w:hyperlink>
            <w:r w:rsidR="000D071A">
              <w:t xml:space="preserve">. </w:t>
            </w:r>
          </w:p>
          <w:p w14:paraId="38AFCE20" w14:textId="3D07CE96" w:rsidR="00FE4BDD" w:rsidRPr="00FE4BDD" w:rsidRDefault="00FE4BDD" w:rsidP="0058478A">
            <w:pPr>
              <w:spacing w:before="120" w:after="120"/>
            </w:pPr>
          </w:p>
        </w:tc>
      </w:tr>
    </w:tbl>
    <w:p w14:paraId="3BAD9A0B" w14:textId="77777777" w:rsidR="00FE4BDD" w:rsidRPr="009A0176" w:rsidRDefault="00FE4BDD" w:rsidP="00FE4BDD">
      <w:pPr>
        <w:spacing w:before="120" w:after="120"/>
      </w:pPr>
    </w:p>
    <w:p w14:paraId="7A4EDDE0" w14:textId="0C1FB6BF" w:rsidR="00FE4BDD" w:rsidRDefault="009F22A4" w:rsidP="00524320">
      <w:pPr>
        <w:spacing w:before="120" w:after="120"/>
        <w:jc w:val="right"/>
      </w:pPr>
      <w:hyperlink w:anchor="_top" w:history="1">
        <w:r w:rsidRPr="00F8340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E4BDD" w14:paraId="3C63032D" w14:textId="77777777" w:rsidTr="00F8340C">
        <w:tc>
          <w:tcPr>
            <w:tcW w:w="5000" w:type="pct"/>
            <w:shd w:val="clear" w:color="auto" w:fill="BFBFBF" w:themeFill="background1" w:themeFillShade="BF"/>
          </w:tcPr>
          <w:p w14:paraId="3DD55678" w14:textId="77777777" w:rsidR="00FE4BDD" w:rsidRPr="009A0176" w:rsidRDefault="00FE4BDD">
            <w:pPr>
              <w:pStyle w:val="Heading2"/>
              <w:tabs>
                <w:tab w:val="left" w:pos="11985"/>
              </w:tabs>
              <w:spacing w:before="120" w:after="120"/>
              <w:contextualSpacing/>
              <w:rPr>
                <w:i/>
                <w:iCs/>
                <w:color w:val="000000"/>
              </w:rPr>
            </w:pPr>
            <w:bookmarkStart w:id="11" w:name="_Toc174625587"/>
            <w:bookmarkStart w:id="12" w:name="_Toc195768563"/>
            <w:r w:rsidRPr="009A0176">
              <w:rPr>
                <w:color w:val="000000"/>
              </w:rPr>
              <w:t>Additional Scenarios</w:t>
            </w:r>
            <w:bookmarkEnd w:id="11"/>
            <w:bookmarkEnd w:id="12"/>
          </w:p>
        </w:tc>
      </w:tr>
    </w:tbl>
    <w:p w14:paraId="6EAEF898" w14:textId="77777777" w:rsidR="00FE4BDD" w:rsidRDefault="00FE4BDD" w:rsidP="00FE4BDD">
      <w:pPr>
        <w:spacing w:before="120" w:after="120"/>
      </w:pPr>
    </w:p>
    <w:p w14:paraId="6CEA4100" w14:textId="4A583EA3" w:rsidR="00FE4BDD" w:rsidRPr="0098298B" w:rsidRDefault="00FE4BDD" w:rsidP="00FE4BDD">
      <w:pPr>
        <w:spacing w:before="120" w:after="120"/>
        <w:contextualSpacing/>
        <w:rPr>
          <w:bCs/>
          <w:color w:val="000000"/>
        </w:rPr>
      </w:pPr>
      <w:r w:rsidRPr="0098298B">
        <w:rPr>
          <w:bCs/>
          <w:color w:val="000000"/>
        </w:rPr>
        <w:t xml:space="preserve">Refer to the following scenarios and instructions </w:t>
      </w:r>
      <w:r w:rsidRPr="0058478A">
        <w:rPr>
          <w:bCs/>
          <w:color w:val="000000"/>
        </w:rPr>
        <w:t>when applicable to the member’s situation:</w:t>
      </w:r>
    </w:p>
    <w:tbl>
      <w:tblPr>
        <w:tblStyle w:val="TableGrid3"/>
        <w:tblW w:w="5000" w:type="pct"/>
        <w:tblInd w:w="0" w:type="dxa"/>
        <w:tblLook w:val="04A0" w:firstRow="1" w:lastRow="0" w:firstColumn="1" w:lastColumn="0" w:noHBand="0" w:noVBand="1"/>
      </w:tblPr>
      <w:tblGrid>
        <w:gridCol w:w="4843"/>
        <w:gridCol w:w="8107"/>
      </w:tblGrid>
      <w:tr w:rsidR="00FE4BDD" w:rsidRPr="00C870DC" w14:paraId="16408573" w14:textId="77777777" w:rsidTr="0058478A"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571D4D" w14:textId="77777777" w:rsidR="00FE4BDD" w:rsidRPr="00C870DC" w:rsidRDefault="00FE4BDD">
            <w:pPr>
              <w:spacing w:before="120" w:after="120"/>
              <w:jc w:val="center"/>
              <w:rPr>
                <w:b/>
                <w:bCs/>
              </w:rPr>
            </w:pPr>
            <w:bookmarkStart w:id="13" w:name="OLE_LINK3"/>
            <w:r w:rsidRPr="00C870DC">
              <w:rPr>
                <w:b/>
                <w:bCs/>
              </w:rPr>
              <w:t>If…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BF846" w14:textId="77777777" w:rsidR="00FE4BDD" w:rsidRPr="00C870DC" w:rsidRDefault="00FE4BDD">
            <w:pPr>
              <w:spacing w:before="120" w:after="120"/>
              <w:jc w:val="center"/>
              <w:rPr>
                <w:b/>
                <w:bCs/>
              </w:rPr>
            </w:pPr>
            <w:r w:rsidRPr="00C870DC">
              <w:rPr>
                <w:b/>
                <w:bCs/>
              </w:rPr>
              <w:t>Then…</w:t>
            </w:r>
          </w:p>
        </w:tc>
      </w:tr>
      <w:tr w:rsidR="00FE4BDD" w:rsidRPr="00C870DC" w14:paraId="4AE957E6" w14:textId="77777777" w:rsidTr="00907E5B"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5588" w14:textId="01CAE10A" w:rsidR="00FE4BDD" w:rsidRPr="0058478A" w:rsidRDefault="00844E59">
            <w:pPr>
              <w:spacing w:before="120" w:after="120"/>
            </w:pPr>
            <w:r w:rsidRPr="0058478A">
              <w:t xml:space="preserve">Original </w:t>
            </w:r>
            <w:r w:rsidR="00FE4BDD" w:rsidRPr="0058478A">
              <w:t>Prescription Unable to Be Returned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75DB" w14:textId="671DC2C3" w:rsidR="00FE4BDD" w:rsidRPr="00A6166B" w:rsidRDefault="00FE4BDD" w:rsidP="00C07498">
            <w:pPr>
              <w:spacing w:before="120" w:after="120"/>
              <w:rPr>
                <w:bCs/>
              </w:rPr>
            </w:pPr>
            <w:r w:rsidRPr="00A6166B">
              <w:rPr>
                <w:bCs/>
              </w:rPr>
              <w:t xml:space="preserve">If the original prescription cannot be returned, we can still send a copy of the prescription if the member wishes to review it or keep it for their records. Consult with the member about why they wanted their prescription returned and offer a copy if appropriate. </w:t>
            </w:r>
            <w:r>
              <w:t xml:space="preserve">Refer to </w:t>
            </w:r>
            <w:hyperlink r:id="rId13" w:anchor="!/view?docid=e8a4272a-9dd0-4b49-a169-db4f728150a2" w:history="1">
              <w:r w:rsidR="009B767C" w:rsidRPr="0026628E">
                <w:rPr>
                  <w:rStyle w:val="Hyperlink"/>
                  <w:rFonts w:eastAsiaTheme="minorHAnsi" w:cstheme="minorBidi"/>
                  <w:kern w:val="2"/>
                  <w14:ligatures w14:val="standardContextual"/>
                </w:rPr>
                <w:t xml:space="preserve">Compass </w:t>
              </w:r>
              <w:r w:rsidR="00A6166B" w:rsidRPr="0026628E">
                <w:rPr>
                  <w:rStyle w:val="Hyperlink"/>
                </w:rPr>
                <w:t>–</w:t>
              </w:r>
              <w:r w:rsidR="009B767C" w:rsidRPr="0026628E">
                <w:rPr>
                  <w:rStyle w:val="Hyperlink"/>
                </w:rPr>
                <w:t xml:space="preserve"> </w:t>
              </w:r>
              <w:r w:rsidR="00A6166B" w:rsidRPr="0026628E">
                <w:rPr>
                  <w:rStyle w:val="Hyperlink"/>
                </w:rPr>
                <w:t>Prescription (Rx) Copy Request (062870)</w:t>
              </w:r>
            </w:hyperlink>
            <w:r w:rsidR="0026628E">
              <w:t>.</w:t>
            </w:r>
          </w:p>
          <w:p w14:paraId="68193E74" w14:textId="77777777" w:rsidR="00FE4BDD" w:rsidRPr="00C870DC" w:rsidRDefault="00FE4BDD" w:rsidP="00FE4BDD">
            <w:pPr>
              <w:numPr>
                <w:ilvl w:val="0"/>
                <w:numId w:val="8"/>
              </w:numPr>
              <w:spacing w:before="120" w:after="120"/>
              <w:rPr>
                <w:bCs/>
              </w:rPr>
            </w:pPr>
            <w:r w:rsidRPr="00C870DC">
              <w:rPr>
                <w:bCs/>
              </w:rPr>
              <w:t xml:space="preserve">If the member intended to </w:t>
            </w:r>
            <w:proofErr w:type="gramStart"/>
            <w:r w:rsidRPr="00C870DC">
              <w:rPr>
                <w:bCs/>
              </w:rPr>
              <w:t>fill</w:t>
            </w:r>
            <w:proofErr w:type="gramEnd"/>
            <w:r w:rsidRPr="00C870DC">
              <w:rPr>
                <w:bCs/>
              </w:rPr>
              <w:t xml:space="preserve"> the prescription at another pharmacy, </w:t>
            </w:r>
            <w:proofErr w:type="gramStart"/>
            <w:r w:rsidRPr="00C870DC">
              <w:rPr>
                <w:bCs/>
              </w:rPr>
              <w:t>offer</w:t>
            </w:r>
            <w:proofErr w:type="gramEnd"/>
            <w:r w:rsidRPr="00C870DC">
              <w:rPr>
                <w:bCs/>
              </w:rPr>
              <w:t xml:space="preserve"> options for obtaining a new prescription. A prescription transfer may also be possible, refer to the applicable link(s) below:</w:t>
            </w:r>
          </w:p>
          <w:p w14:paraId="2B7DD790" w14:textId="79D7F079" w:rsidR="00FE4BDD" w:rsidRPr="00383B72" w:rsidRDefault="00D127F3" w:rsidP="00FE4BDD">
            <w:pPr>
              <w:numPr>
                <w:ilvl w:val="1"/>
                <w:numId w:val="8"/>
              </w:numPr>
              <w:spacing w:before="120" w:after="120"/>
              <w:rPr>
                <w:bCs/>
                <w:color w:val="0000FF"/>
              </w:rPr>
            </w:pPr>
            <w:hyperlink r:id="rId14" w:anchor="!/view?docid=1e31ea60-77a3-4bb9-a619-7340ebf57484" w:history="1">
              <w:r w:rsidRPr="002B3D7E">
                <w:rPr>
                  <w:rStyle w:val="Hyperlink"/>
                  <w:rFonts w:eastAsiaTheme="minorHAnsi" w:cstheme="minorBidi"/>
                  <w:kern w:val="2"/>
                  <w14:ligatures w14:val="standardContextual"/>
                </w:rPr>
                <w:t>Compass – Prescription (Rx) Transfer (053932</w:t>
              </w:r>
              <w:r w:rsidR="007936B7" w:rsidRPr="002B3D7E">
                <w:rPr>
                  <w:rStyle w:val="Hyperlink"/>
                </w:rPr>
                <w:t>)</w:t>
              </w:r>
            </w:hyperlink>
            <w:r w:rsidR="007936B7" w:rsidDel="007936B7">
              <w:t xml:space="preserve"> </w:t>
            </w:r>
          </w:p>
          <w:p w14:paraId="15C3669D" w14:textId="77B0FB0A" w:rsidR="00FE4BDD" w:rsidRPr="00383B72" w:rsidRDefault="000C4460" w:rsidP="00FE4BDD">
            <w:pPr>
              <w:numPr>
                <w:ilvl w:val="1"/>
                <w:numId w:val="8"/>
              </w:numPr>
              <w:spacing w:before="120" w:after="120"/>
              <w:rPr>
                <w:bCs/>
                <w:color w:val="0000FF"/>
              </w:rPr>
            </w:pPr>
            <w:hyperlink r:id="rId15" w:anchor="!/view?docid=2caace6e-39db-4411-9813-86cc2997a67d" w:history="1">
              <w:r w:rsidRPr="002B3D7E">
                <w:rPr>
                  <w:rStyle w:val="Hyperlink"/>
                  <w:rFonts w:eastAsiaTheme="minorHAnsi" w:cstheme="minorBidi"/>
                  <w:kern w:val="2"/>
                  <w14:ligatures w14:val="standardContextual"/>
                </w:rPr>
                <w:t xml:space="preserve">Compass </w:t>
              </w:r>
              <w:r w:rsidR="00E200DF" w:rsidRPr="002B3D7E">
                <w:rPr>
                  <w:rStyle w:val="Hyperlink"/>
                </w:rPr>
                <w:t>–</w:t>
              </w:r>
              <w:r w:rsidRPr="002B3D7E">
                <w:rPr>
                  <w:rStyle w:val="Hyperlink"/>
                </w:rPr>
                <w:t xml:space="preserve"> </w:t>
              </w:r>
              <w:r w:rsidR="00975690" w:rsidRPr="002B3D7E">
                <w:rPr>
                  <w:rStyle w:val="Hyperlink"/>
                </w:rPr>
                <w:t xml:space="preserve">Handling </w:t>
              </w:r>
              <w:r w:rsidR="00E200DF" w:rsidRPr="002B3D7E">
                <w:rPr>
                  <w:rStyle w:val="Hyperlink"/>
                </w:rPr>
                <w:t xml:space="preserve">Maintenance Choice </w:t>
              </w:r>
              <w:r w:rsidR="00975690" w:rsidRPr="002B3D7E">
                <w:rPr>
                  <w:rStyle w:val="Hyperlink"/>
                </w:rPr>
                <w:t xml:space="preserve">Calls </w:t>
              </w:r>
              <w:r w:rsidR="00590087" w:rsidRPr="002B3D7E">
                <w:rPr>
                  <w:rStyle w:val="Hyperlink"/>
                </w:rPr>
                <w:t>(</w:t>
              </w:r>
              <w:r w:rsidR="00EC5C32" w:rsidRPr="002B3D7E">
                <w:rPr>
                  <w:rStyle w:val="Hyperlink"/>
                </w:rPr>
                <w:t>062836</w:t>
              </w:r>
              <w:r w:rsidR="00FB7C12" w:rsidRPr="002B3D7E">
                <w:rPr>
                  <w:rStyle w:val="Hyperlink"/>
                </w:rPr>
                <w:t>)</w:t>
              </w:r>
            </w:hyperlink>
            <w:r w:rsidR="00FB7C12" w:rsidDel="00FB7C12">
              <w:t xml:space="preserve"> </w:t>
            </w:r>
          </w:p>
          <w:p w14:paraId="04444A77" w14:textId="77777777" w:rsidR="00FE4BDD" w:rsidRPr="00C870DC" w:rsidRDefault="00FE4BDD">
            <w:pPr>
              <w:spacing w:before="120" w:after="120"/>
              <w:ind w:left="1080"/>
              <w:rPr>
                <w:bCs/>
              </w:rPr>
            </w:pPr>
          </w:p>
        </w:tc>
      </w:tr>
      <w:tr w:rsidR="00FE4BDD" w:rsidRPr="00C870DC" w14:paraId="7E1FFBD6" w14:textId="77777777" w:rsidTr="00907E5B">
        <w:trPr>
          <w:trHeight w:val="50"/>
        </w:trPr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F3E2" w14:textId="77777777" w:rsidR="00FE4BDD" w:rsidRPr="0058478A" w:rsidRDefault="00FE4BDD">
            <w:pPr>
              <w:spacing w:before="120" w:after="120"/>
            </w:pPr>
            <w:r w:rsidRPr="0058478A">
              <w:rPr>
                <w:color w:val="000000"/>
              </w:rPr>
              <w:t>Order in Process or Rx on Hold Until/Future Fill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236F" w14:textId="5E0F93A1" w:rsidR="00FE4BDD" w:rsidRPr="00C870DC" w:rsidRDefault="00FE4BDD">
            <w:pPr>
              <w:spacing w:before="120" w:after="120"/>
              <w:rPr>
                <w:bCs/>
              </w:rPr>
            </w:pPr>
            <w:r w:rsidRPr="00C870DC">
              <w:rPr>
                <w:bCs/>
              </w:rPr>
              <w:t xml:space="preserve">For scenarios in which an order is in process or Hold Until/Future Fill, cancel the order first. Once the </w:t>
            </w:r>
            <w:r w:rsidR="00BD5E1C">
              <w:rPr>
                <w:b/>
                <w:bCs/>
              </w:rPr>
              <w:t>Order Status s</w:t>
            </w:r>
            <w:r w:rsidRPr="00C870DC">
              <w:rPr>
                <w:bCs/>
              </w:rPr>
              <w:t xml:space="preserve">creen is updated to show the cancelled status, </w:t>
            </w:r>
            <w:r w:rsidR="000D6C6B">
              <w:rPr>
                <w:bCs/>
              </w:rPr>
              <w:t xml:space="preserve">click the </w:t>
            </w:r>
            <w:r w:rsidR="00496BF1">
              <w:rPr>
                <w:b/>
                <w:bCs/>
              </w:rPr>
              <w:t>Other Actions</w:t>
            </w:r>
            <w:r w:rsidRPr="00C870DC">
              <w:rPr>
                <w:bCs/>
              </w:rPr>
              <w:t xml:space="preserve"> button</w:t>
            </w:r>
            <w:r w:rsidR="000D6C6B">
              <w:rPr>
                <w:bCs/>
              </w:rPr>
              <w:t xml:space="preserve"> and select </w:t>
            </w:r>
            <w:r w:rsidR="000D6C6B">
              <w:t>Return Hard Copy Rx to Member</w:t>
            </w:r>
            <w:r w:rsidRPr="00C870DC">
              <w:rPr>
                <w:bCs/>
              </w:rPr>
              <w:t xml:space="preserve"> to complete the request.</w:t>
            </w:r>
          </w:p>
          <w:p w14:paraId="5C45D597" w14:textId="54E4E03F" w:rsidR="00FE4BDD" w:rsidRPr="00C870DC" w:rsidRDefault="00FE4BDD" w:rsidP="00C07498">
            <w:pPr>
              <w:spacing w:before="120" w:after="120"/>
            </w:pPr>
            <w:r>
              <w:t xml:space="preserve">Refer to </w:t>
            </w:r>
            <w:hyperlink r:id="rId16" w:anchor="!/view?docid=9c43c276-a6a4-4481-880d-62b194600f02" w:history="1">
              <w:r w:rsidR="00CC1F4C" w:rsidRPr="00914EC2">
                <w:rPr>
                  <w:rStyle w:val="Hyperlink"/>
                  <w:rFonts w:eastAsiaTheme="minorHAnsi" w:cstheme="minorBidi"/>
                  <w:kern w:val="2"/>
                  <w14:ligatures w14:val="standardContextual"/>
                </w:rPr>
                <w:t xml:space="preserve">Compass – Cancel or Remove a Prescription (Rx) </w:t>
              </w:r>
              <w:r w:rsidR="00CC2B4D" w:rsidRPr="00914EC2">
                <w:rPr>
                  <w:rStyle w:val="Hyperlink"/>
                </w:rPr>
                <w:t>from an Order (056363)</w:t>
              </w:r>
            </w:hyperlink>
            <w:r w:rsidR="00914EC2">
              <w:t>.</w:t>
            </w:r>
            <w:r w:rsidR="00CC2B4D" w:rsidDel="00CC2B4D">
              <w:t xml:space="preserve"> </w:t>
            </w:r>
          </w:p>
        </w:tc>
      </w:tr>
      <w:tr w:rsidR="00FE4BDD" w:rsidRPr="00C870DC" w14:paraId="61D77FDC" w14:textId="77777777" w:rsidTr="00907E5B"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35DB" w14:textId="77777777" w:rsidR="00FE4BDD" w:rsidRPr="0058478A" w:rsidRDefault="00FE4BDD">
            <w:pPr>
              <w:spacing w:before="120" w:after="120"/>
            </w:pPr>
            <w:r w:rsidRPr="0058478A">
              <w:rPr>
                <w:color w:val="000000"/>
              </w:rPr>
              <w:t>Rx on Indefinite Hold, DPR Hold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E8CE" w14:textId="7EEAEF4C" w:rsidR="00FE4BDD" w:rsidRPr="00C870DC" w:rsidRDefault="00FE4BDD">
            <w:pPr>
              <w:spacing w:before="120" w:after="120"/>
              <w:rPr>
                <w:bCs/>
              </w:rPr>
            </w:pPr>
            <w:r w:rsidRPr="00C870DC">
              <w:rPr>
                <w:bCs/>
              </w:rPr>
              <w:t xml:space="preserve">Prescriptions on Indefinite Hold or </w:t>
            </w:r>
            <w:r w:rsidRPr="00E17285">
              <w:rPr>
                <w:b/>
              </w:rPr>
              <w:t>DPR</w:t>
            </w:r>
            <w:r w:rsidRPr="00C870DC">
              <w:rPr>
                <w:bCs/>
              </w:rPr>
              <w:t xml:space="preserve"> Hold (Delayed Prescriber Response) can be returned</w:t>
            </w:r>
            <w:r w:rsidR="0007322F">
              <w:rPr>
                <w:bCs/>
              </w:rPr>
              <w:t xml:space="preserve"> by clicking </w:t>
            </w:r>
            <w:r w:rsidRPr="00C870DC">
              <w:rPr>
                <w:bCs/>
              </w:rPr>
              <w:t xml:space="preserve">the </w:t>
            </w:r>
            <w:r w:rsidR="00ED186F">
              <w:rPr>
                <w:b/>
                <w:bCs/>
              </w:rPr>
              <w:t>Other Actions</w:t>
            </w:r>
            <w:r w:rsidRPr="00C870DC">
              <w:rPr>
                <w:bCs/>
              </w:rPr>
              <w:t xml:space="preserve"> button</w:t>
            </w:r>
            <w:r w:rsidR="0007322F">
              <w:rPr>
                <w:bCs/>
              </w:rPr>
              <w:t xml:space="preserve"> and se</w:t>
            </w:r>
            <w:r w:rsidR="00907E5B">
              <w:rPr>
                <w:bCs/>
              </w:rPr>
              <w:t xml:space="preserve">lecting </w:t>
            </w:r>
            <w:r w:rsidR="00907E5B">
              <w:t>Return Hard Copy Rx to Member</w:t>
            </w:r>
            <w:r w:rsidRPr="00C870DC">
              <w:rPr>
                <w:bCs/>
              </w:rPr>
              <w:t>. However, keep in mind that there may have been issues with the prescription. For example, a prescription placed on DPR Hold may have been incomplete or illegible, requiring clarification from the prescriber.</w:t>
            </w:r>
          </w:p>
          <w:p w14:paraId="72CA9C35" w14:textId="1CDA825D" w:rsidR="00FE4BDD" w:rsidRPr="00C870DC" w:rsidRDefault="00FE4BDD" w:rsidP="00C07498">
            <w:pPr>
              <w:spacing w:before="120" w:after="120"/>
              <w:rPr>
                <w:bCs/>
              </w:rPr>
            </w:pPr>
            <w:r>
              <w:t xml:space="preserve">Refer to </w:t>
            </w:r>
            <w:hyperlink r:id="rId17" w:anchor="!/view?docid=101f5c27-321e-427d-86e2-715d4e62b660" w:history="1">
              <w:r w:rsidR="001167F6" w:rsidRPr="00F2519E">
                <w:rPr>
                  <w:rStyle w:val="Hyperlink"/>
                  <w:rFonts w:eastAsiaTheme="minorHAnsi" w:cstheme="minorBidi"/>
                  <w:kern w:val="2"/>
                  <w14:ligatures w14:val="standardContextual"/>
                </w:rPr>
                <w:t>Compass – Delayed Prescriber Response/Prescriber Holds (057051)</w:t>
              </w:r>
            </w:hyperlink>
            <w:r w:rsidR="00F2519E">
              <w:t>.</w:t>
            </w:r>
          </w:p>
        </w:tc>
        <w:bookmarkEnd w:id="13"/>
      </w:tr>
    </w:tbl>
    <w:p w14:paraId="439BCB33" w14:textId="77777777" w:rsidR="00FE4BDD" w:rsidRDefault="00FE4BDD" w:rsidP="00FE4BDD">
      <w:pPr>
        <w:spacing w:before="120" w:after="120"/>
      </w:pPr>
    </w:p>
    <w:p w14:paraId="00A6716C" w14:textId="6E34FD43" w:rsidR="009F22A4" w:rsidRDefault="009F22A4" w:rsidP="00524320">
      <w:pPr>
        <w:spacing w:before="120" w:after="120"/>
        <w:jc w:val="right"/>
      </w:pPr>
      <w:hyperlink w:anchor="_top" w:history="1">
        <w:r w:rsidRPr="00F8340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F22A4" w14:paraId="75CC2416" w14:textId="77777777" w:rsidTr="00F8340C">
        <w:tc>
          <w:tcPr>
            <w:tcW w:w="5000" w:type="pct"/>
            <w:shd w:val="clear" w:color="auto" w:fill="BFBFBF" w:themeFill="background1" w:themeFillShade="BF"/>
          </w:tcPr>
          <w:p w14:paraId="778CF627" w14:textId="77777777" w:rsidR="009F22A4" w:rsidRPr="009A0176" w:rsidRDefault="009F22A4">
            <w:pPr>
              <w:pStyle w:val="Heading2"/>
              <w:tabs>
                <w:tab w:val="left" w:pos="11985"/>
              </w:tabs>
              <w:spacing w:before="120" w:after="120"/>
              <w:contextualSpacing/>
              <w:rPr>
                <w:i/>
                <w:iCs/>
              </w:rPr>
            </w:pPr>
            <w:bookmarkStart w:id="14" w:name="_Toc174625588"/>
            <w:bookmarkStart w:id="15" w:name="_Toc195768564"/>
            <w:r w:rsidRPr="009A0176">
              <w:t>Resolution Time</w:t>
            </w:r>
            <w:bookmarkEnd w:id="14"/>
            <w:bookmarkEnd w:id="15"/>
          </w:p>
        </w:tc>
      </w:tr>
    </w:tbl>
    <w:p w14:paraId="2502EAA2" w14:textId="77777777" w:rsidR="009F22A4" w:rsidRDefault="009F22A4" w:rsidP="0058478A">
      <w:pPr>
        <w:spacing w:before="120" w:after="120"/>
      </w:pPr>
      <w:r>
        <w:t xml:space="preserve">Up to </w:t>
      </w:r>
      <w:r w:rsidRPr="009A0176">
        <w:t>10 business days</w:t>
      </w:r>
    </w:p>
    <w:p w14:paraId="3568C304" w14:textId="739389DA" w:rsidR="009F22A4" w:rsidRDefault="009F22A4" w:rsidP="00524320">
      <w:pPr>
        <w:spacing w:before="120" w:after="120"/>
        <w:contextualSpacing/>
        <w:jc w:val="right"/>
        <w:rPr>
          <w:bCs/>
        </w:rPr>
      </w:pPr>
      <w:hyperlink w:anchor="_top" w:history="1">
        <w:r w:rsidRPr="00F8340C">
          <w:rPr>
            <w:rStyle w:val="Hyperlink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F22A4" w14:paraId="057DBAD6" w14:textId="77777777" w:rsidTr="00F8340C">
        <w:tc>
          <w:tcPr>
            <w:tcW w:w="5000" w:type="pct"/>
            <w:shd w:val="clear" w:color="auto" w:fill="BFBFBF" w:themeFill="background1" w:themeFillShade="BF"/>
          </w:tcPr>
          <w:p w14:paraId="7A50B6B2" w14:textId="77777777" w:rsidR="009F22A4" w:rsidRPr="00F13F27" w:rsidRDefault="009F22A4">
            <w:pPr>
              <w:pStyle w:val="Heading2"/>
              <w:spacing w:before="120" w:after="120"/>
              <w:rPr>
                <w:i/>
              </w:rPr>
            </w:pPr>
            <w:bookmarkStart w:id="16" w:name="_Toc174625589"/>
            <w:bookmarkStart w:id="17" w:name="_Toc195768565"/>
            <w:r w:rsidRPr="00F13F27">
              <w:t>Related Documents</w:t>
            </w:r>
            <w:bookmarkEnd w:id="16"/>
            <w:bookmarkEnd w:id="17"/>
          </w:p>
        </w:tc>
      </w:tr>
    </w:tbl>
    <w:p w14:paraId="5DDEEF95" w14:textId="77777777" w:rsidR="009F22A4" w:rsidRDefault="009F22A4" w:rsidP="009F22A4">
      <w:pPr>
        <w:spacing w:before="120" w:after="120"/>
        <w:contextualSpacing/>
      </w:pPr>
    </w:p>
    <w:p w14:paraId="7E487BAF" w14:textId="77777777" w:rsidR="009F22A4" w:rsidRPr="009F22A4" w:rsidRDefault="009F22A4" w:rsidP="009F22A4">
      <w:pPr>
        <w:spacing w:before="120" w:after="120" w:line="240" w:lineRule="auto"/>
        <w:rPr>
          <w:rFonts w:eastAsia="Times New Roman" w:cs="Times New Roman"/>
          <w:b/>
          <w:kern w:val="0"/>
          <w:szCs w:val="24"/>
          <w14:ligatures w14:val="none"/>
        </w:rPr>
      </w:pPr>
      <w:r w:rsidRPr="009F22A4">
        <w:rPr>
          <w:rFonts w:eastAsia="Times New Roman" w:cs="Times New Roman"/>
          <w:b/>
          <w:kern w:val="0"/>
          <w:szCs w:val="24"/>
          <w14:ligatures w14:val="none"/>
        </w:rPr>
        <w:t xml:space="preserve">Parent Document: </w:t>
      </w:r>
      <w:hyperlink r:id="rId18" w:tgtFrame="_blank" w:history="1">
        <w:r w:rsidRPr="009F22A4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Customer Care Internal and External Call Handling (CALL-0049)</w:t>
        </w:r>
      </w:hyperlink>
    </w:p>
    <w:p w14:paraId="3DBDF225" w14:textId="77777777" w:rsidR="009F22A4" w:rsidRPr="009F22A4" w:rsidRDefault="009F22A4" w:rsidP="009F22A4">
      <w:pPr>
        <w:spacing w:before="120" w:after="120" w:line="240" w:lineRule="auto"/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hyperlink r:id="rId19" w:anchor="!/view?docid=c1f1028b-e42c-4b4f-a4cf-cc0b42c91606" w:history="1">
        <w:r w:rsidRPr="009F22A4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Customer Care Abbreviations, Definitions, and Terms Index (017428)</w:t>
        </w:r>
      </w:hyperlink>
    </w:p>
    <w:p w14:paraId="3AFF3BCD" w14:textId="6E169A73" w:rsidR="009F22A4" w:rsidRPr="009F22A4" w:rsidRDefault="00D5546C" w:rsidP="009F22A4">
      <w:pPr>
        <w:spacing w:before="120" w:after="120" w:line="240" w:lineRule="auto"/>
        <w:contextualSpacing/>
        <w:rPr>
          <w:rFonts w:eastAsia="Times New Roman" w:cs="Times New Roman"/>
          <w:bCs/>
          <w:kern w:val="0"/>
          <w:szCs w:val="24"/>
          <w14:ligatures w14:val="none"/>
        </w:rPr>
      </w:pPr>
      <w:hyperlink r:id="rId20" w:anchor="!/view?docid=0296717e-6df6-4184-b337-13abcd4b070b" w:history="1">
        <w:r w:rsidRPr="00D5546C">
          <w:rPr>
            <w:rStyle w:val="Hyperlink"/>
          </w:rPr>
          <w:t>Compass - Close an Interaction or Research Case (050011)</w:t>
        </w:r>
      </w:hyperlink>
      <w:r>
        <w:t xml:space="preserve"> </w:t>
      </w:r>
    </w:p>
    <w:p w14:paraId="41010AFA" w14:textId="77777777" w:rsidR="009F22A4" w:rsidRDefault="009F22A4" w:rsidP="009F22A4">
      <w:pPr>
        <w:spacing w:before="120" w:after="120"/>
        <w:contextualSpacing/>
      </w:pPr>
    </w:p>
    <w:p w14:paraId="72DB9CAF" w14:textId="77777777" w:rsidR="009F22A4" w:rsidRDefault="009F22A4" w:rsidP="00FE4BDD">
      <w:pPr>
        <w:spacing w:before="120" w:after="120"/>
      </w:pPr>
    </w:p>
    <w:p w14:paraId="5ED35705" w14:textId="37FF25B5" w:rsidR="009F22A4" w:rsidRDefault="009F22A4" w:rsidP="00524320">
      <w:pPr>
        <w:spacing w:before="120" w:after="120"/>
        <w:jc w:val="right"/>
      </w:pPr>
      <w:hyperlink w:anchor="_top" w:history="1">
        <w:r w:rsidRPr="00F8340C">
          <w:rPr>
            <w:rStyle w:val="Hyperlink"/>
          </w:rPr>
          <w:t>Top of the Document</w:t>
        </w:r>
      </w:hyperlink>
    </w:p>
    <w:p w14:paraId="651E3C43" w14:textId="77777777" w:rsidR="009F22A4" w:rsidRPr="00C247CB" w:rsidRDefault="009F22A4" w:rsidP="009F22A4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66BC907C" w14:textId="08609C68" w:rsidR="009F22A4" w:rsidRPr="00524320" w:rsidRDefault="009F22A4" w:rsidP="00524320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9F22A4" w:rsidRPr="00524320" w:rsidSect="0052432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2BB0B0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57999003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63B0FC6D" wp14:editId="63B0FC6E">
            <wp:extent cx="238125" cy="209550"/>
            <wp:effectExtent l="0" t="0" r="0" b="0"/>
            <wp:docPr id="557999003" name="Picture 557999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946352"/>
    <w:multiLevelType w:val="hybridMultilevel"/>
    <w:tmpl w:val="4EE4188E"/>
    <w:lvl w:ilvl="0" w:tplc="ABD80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88B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4CC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C5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659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308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89F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6FF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F60B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607A"/>
    <w:multiLevelType w:val="hybridMultilevel"/>
    <w:tmpl w:val="C9E4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6A92"/>
    <w:multiLevelType w:val="hybridMultilevel"/>
    <w:tmpl w:val="6966C83E"/>
    <w:lvl w:ilvl="0" w:tplc="493A90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831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5C38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BEDD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D4B1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C8DF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80A1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64F3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40221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DB5C5E"/>
    <w:multiLevelType w:val="hybridMultilevel"/>
    <w:tmpl w:val="99A4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25DF8"/>
    <w:multiLevelType w:val="hybridMultilevel"/>
    <w:tmpl w:val="8A8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4129"/>
    <w:multiLevelType w:val="hybridMultilevel"/>
    <w:tmpl w:val="296452F2"/>
    <w:lvl w:ilvl="0" w:tplc="86AAB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B84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5AD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CCD3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1A2B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6EEF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D68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AF2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CEF9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1FA7C74"/>
    <w:multiLevelType w:val="hybridMultilevel"/>
    <w:tmpl w:val="52201942"/>
    <w:lvl w:ilvl="0" w:tplc="39A84C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EE7A0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25D232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F21E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6EC8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AEAF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7E0A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A4C1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386D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80092B"/>
    <w:multiLevelType w:val="hybridMultilevel"/>
    <w:tmpl w:val="B762D3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D7C6E"/>
    <w:multiLevelType w:val="hybridMultilevel"/>
    <w:tmpl w:val="D13EB772"/>
    <w:lvl w:ilvl="0" w:tplc="599C1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B4F72"/>
    <w:multiLevelType w:val="hybridMultilevel"/>
    <w:tmpl w:val="3BB891E0"/>
    <w:lvl w:ilvl="0" w:tplc="14D8F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EC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F4F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82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EAF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FA2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46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5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43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4787E"/>
    <w:multiLevelType w:val="hybridMultilevel"/>
    <w:tmpl w:val="59FE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C03D4"/>
    <w:multiLevelType w:val="hybridMultilevel"/>
    <w:tmpl w:val="2270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A6F77"/>
    <w:multiLevelType w:val="hybridMultilevel"/>
    <w:tmpl w:val="EF66CB70"/>
    <w:lvl w:ilvl="0" w:tplc="A5DA0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C2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C7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2F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CE3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AA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8AC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AA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EA2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98985">
    <w:abstractNumId w:val="2"/>
  </w:num>
  <w:num w:numId="2" w16cid:durableId="565457796">
    <w:abstractNumId w:val="4"/>
  </w:num>
  <w:num w:numId="3" w16cid:durableId="2089836855">
    <w:abstractNumId w:val="7"/>
  </w:num>
  <w:num w:numId="4" w16cid:durableId="1249928370">
    <w:abstractNumId w:val="8"/>
  </w:num>
  <w:num w:numId="5" w16cid:durableId="1867787754">
    <w:abstractNumId w:val="12"/>
  </w:num>
  <w:num w:numId="6" w16cid:durableId="667177070">
    <w:abstractNumId w:val="9"/>
  </w:num>
  <w:num w:numId="7" w16cid:durableId="657224018">
    <w:abstractNumId w:val="0"/>
  </w:num>
  <w:num w:numId="8" w16cid:durableId="1320496640">
    <w:abstractNumId w:val="6"/>
  </w:num>
  <w:num w:numId="9" w16cid:durableId="1274098117">
    <w:abstractNumId w:val="3"/>
  </w:num>
  <w:num w:numId="10" w16cid:durableId="1025517486">
    <w:abstractNumId w:val="5"/>
  </w:num>
  <w:num w:numId="11" w16cid:durableId="854079724">
    <w:abstractNumId w:val="11"/>
  </w:num>
  <w:num w:numId="12" w16cid:durableId="972977159">
    <w:abstractNumId w:val="1"/>
  </w:num>
  <w:num w:numId="13" w16cid:durableId="90564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DD"/>
    <w:rsid w:val="00002841"/>
    <w:rsid w:val="000136B0"/>
    <w:rsid w:val="0002745F"/>
    <w:rsid w:val="00034EE7"/>
    <w:rsid w:val="00050DA9"/>
    <w:rsid w:val="00051860"/>
    <w:rsid w:val="00054E54"/>
    <w:rsid w:val="0007322F"/>
    <w:rsid w:val="00077922"/>
    <w:rsid w:val="00091CD7"/>
    <w:rsid w:val="000A6EBD"/>
    <w:rsid w:val="000B4CEE"/>
    <w:rsid w:val="000C4460"/>
    <w:rsid w:val="000D071A"/>
    <w:rsid w:val="000D52C3"/>
    <w:rsid w:val="000D6C6B"/>
    <w:rsid w:val="000F28A1"/>
    <w:rsid w:val="0011378C"/>
    <w:rsid w:val="001167F6"/>
    <w:rsid w:val="00131B90"/>
    <w:rsid w:val="0013372B"/>
    <w:rsid w:val="00135BBC"/>
    <w:rsid w:val="00144CA4"/>
    <w:rsid w:val="001511E9"/>
    <w:rsid w:val="00160D92"/>
    <w:rsid w:val="0016134B"/>
    <w:rsid w:val="001617B3"/>
    <w:rsid w:val="0016785C"/>
    <w:rsid w:val="00172336"/>
    <w:rsid w:val="00192FFA"/>
    <w:rsid w:val="001B796C"/>
    <w:rsid w:val="001C3FC4"/>
    <w:rsid w:val="001D2680"/>
    <w:rsid w:val="001D795A"/>
    <w:rsid w:val="00204059"/>
    <w:rsid w:val="00206D62"/>
    <w:rsid w:val="0021629C"/>
    <w:rsid w:val="00222DA2"/>
    <w:rsid w:val="002355F5"/>
    <w:rsid w:val="00251F94"/>
    <w:rsid w:val="00257A2C"/>
    <w:rsid w:val="00263CEA"/>
    <w:rsid w:val="0026628E"/>
    <w:rsid w:val="00280142"/>
    <w:rsid w:val="0029007D"/>
    <w:rsid w:val="0029186C"/>
    <w:rsid w:val="002A002D"/>
    <w:rsid w:val="002A2891"/>
    <w:rsid w:val="002A3E5F"/>
    <w:rsid w:val="002A4A28"/>
    <w:rsid w:val="002A5CA4"/>
    <w:rsid w:val="002B3D7E"/>
    <w:rsid w:val="002B494E"/>
    <w:rsid w:val="002C20ED"/>
    <w:rsid w:val="002C3BF6"/>
    <w:rsid w:val="002F52D1"/>
    <w:rsid w:val="00303CD1"/>
    <w:rsid w:val="00306051"/>
    <w:rsid w:val="0032079D"/>
    <w:rsid w:val="00325458"/>
    <w:rsid w:val="0033187C"/>
    <w:rsid w:val="0035386E"/>
    <w:rsid w:val="00365238"/>
    <w:rsid w:val="00377F24"/>
    <w:rsid w:val="00387E28"/>
    <w:rsid w:val="00393012"/>
    <w:rsid w:val="003A7E52"/>
    <w:rsid w:val="003B0A40"/>
    <w:rsid w:val="003B64DC"/>
    <w:rsid w:val="003C343F"/>
    <w:rsid w:val="003C3580"/>
    <w:rsid w:val="003D216C"/>
    <w:rsid w:val="003E1ACE"/>
    <w:rsid w:val="003F0E08"/>
    <w:rsid w:val="003F1BF8"/>
    <w:rsid w:val="003F7801"/>
    <w:rsid w:val="00405574"/>
    <w:rsid w:val="00413F0A"/>
    <w:rsid w:val="00417CA0"/>
    <w:rsid w:val="004303D1"/>
    <w:rsid w:val="00430DA8"/>
    <w:rsid w:val="0043608B"/>
    <w:rsid w:val="0044015E"/>
    <w:rsid w:val="00450226"/>
    <w:rsid w:val="004534E6"/>
    <w:rsid w:val="004616B6"/>
    <w:rsid w:val="004672F3"/>
    <w:rsid w:val="004855D8"/>
    <w:rsid w:val="0048578C"/>
    <w:rsid w:val="0049457E"/>
    <w:rsid w:val="00496BF1"/>
    <w:rsid w:val="00497018"/>
    <w:rsid w:val="004A3E7A"/>
    <w:rsid w:val="004A7E8A"/>
    <w:rsid w:val="004B6C4A"/>
    <w:rsid w:val="004C6AB5"/>
    <w:rsid w:val="004C7E41"/>
    <w:rsid w:val="004F0A1E"/>
    <w:rsid w:val="004F0EA9"/>
    <w:rsid w:val="004F546F"/>
    <w:rsid w:val="004F575D"/>
    <w:rsid w:val="0050728E"/>
    <w:rsid w:val="00507823"/>
    <w:rsid w:val="00524320"/>
    <w:rsid w:val="0053142C"/>
    <w:rsid w:val="00550BA9"/>
    <w:rsid w:val="0056233B"/>
    <w:rsid w:val="00562483"/>
    <w:rsid w:val="005642BE"/>
    <w:rsid w:val="00565F7E"/>
    <w:rsid w:val="0058478A"/>
    <w:rsid w:val="00590087"/>
    <w:rsid w:val="005A3212"/>
    <w:rsid w:val="005C5A96"/>
    <w:rsid w:val="005D4202"/>
    <w:rsid w:val="005D7680"/>
    <w:rsid w:val="005D7959"/>
    <w:rsid w:val="005E3812"/>
    <w:rsid w:val="005E677E"/>
    <w:rsid w:val="00612058"/>
    <w:rsid w:val="006154D1"/>
    <w:rsid w:val="00657768"/>
    <w:rsid w:val="0066588C"/>
    <w:rsid w:val="0067362A"/>
    <w:rsid w:val="0068350A"/>
    <w:rsid w:val="00683F96"/>
    <w:rsid w:val="00694F90"/>
    <w:rsid w:val="006A63C1"/>
    <w:rsid w:val="006B2E02"/>
    <w:rsid w:val="006C3D9E"/>
    <w:rsid w:val="006F6BE5"/>
    <w:rsid w:val="00701B4F"/>
    <w:rsid w:val="00702691"/>
    <w:rsid w:val="007071BC"/>
    <w:rsid w:val="00721ADC"/>
    <w:rsid w:val="007244DF"/>
    <w:rsid w:val="00734879"/>
    <w:rsid w:val="00742D2E"/>
    <w:rsid w:val="00746158"/>
    <w:rsid w:val="00770129"/>
    <w:rsid w:val="00772AA9"/>
    <w:rsid w:val="00780393"/>
    <w:rsid w:val="007936B7"/>
    <w:rsid w:val="007971E7"/>
    <w:rsid w:val="00797B2A"/>
    <w:rsid w:val="007C13D1"/>
    <w:rsid w:val="007C3408"/>
    <w:rsid w:val="007C4745"/>
    <w:rsid w:val="007D34D8"/>
    <w:rsid w:val="007E1AA7"/>
    <w:rsid w:val="008033A6"/>
    <w:rsid w:val="0081051B"/>
    <w:rsid w:val="008429E0"/>
    <w:rsid w:val="00844E59"/>
    <w:rsid w:val="008476ED"/>
    <w:rsid w:val="00847F5A"/>
    <w:rsid w:val="008671A2"/>
    <w:rsid w:val="008701B3"/>
    <w:rsid w:val="008748B7"/>
    <w:rsid w:val="00894DA3"/>
    <w:rsid w:val="00896E4D"/>
    <w:rsid w:val="008B0571"/>
    <w:rsid w:val="008B279A"/>
    <w:rsid w:val="008D216B"/>
    <w:rsid w:val="008E6F7F"/>
    <w:rsid w:val="008F4BA1"/>
    <w:rsid w:val="00905422"/>
    <w:rsid w:val="00907E5B"/>
    <w:rsid w:val="0091248D"/>
    <w:rsid w:val="00914EC2"/>
    <w:rsid w:val="009166D3"/>
    <w:rsid w:val="00921078"/>
    <w:rsid w:val="00932A80"/>
    <w:rsid w:val="0094758B"/>
    <w:rsid w:val="00956FB5"/>
    <w:rsid w:val="0096507E"/>
    <w:rsid w:val="00975439"/>
    <w:rsid w:val="00975690"/>
    <w:rsid w:val="0098298B"/>
    <w:rsid w:val="00990D00"/>
    <w:rsid w:val="00994A78"/>
    <w:rsid w:val="009A165E"/>
    <w:rsid w:val="009B767C"/>
    <w:rsid w:val="009D465A"/>
    <w:rsid w:val="009F22A4"/>
    <w:rsid w:val="009F77CF"/>
    <w:rsid w:val="00A114F0"/>
    <w:rsid w:val="00A14A97"/>
    <w:rsid w:val="00A20AF1"/>
    <w:rsid w:val="00A6166B"/>
    <w:rsid w:val="00A72C49"/>
    <w:rsid w:val="00A90101"/>
    <w:rsid w:val="00A93401"/>
    <w:rsid w:val="00AA1905"/>
    <w:rsid w:val="00AA49B4"/>
    <w:rsid w:val="00AC02CA"/>
    <w:rsid w:val="00AC41F4"/>
    <w:rsid w:val="00AC6603"/>
    <w:rsid w:val="00AD2B2D"/>
    <w:rsid w:val="00AD6A3E"/>
    <w:rsid w:val="00AE7A7A"/>
    <w:rsid w:val="00AF07BE"/>
    <w:rsid w:val="00B25AFB"/>
    <w:rsid w:val="00B3634C"/>
    <w:rsid w:val="00B44D7C"/>
    <w:rsid w:val="00B46D5C"/>
    <w:rsid w:val="00B82246"/>
    <w:rsid w:val="00B946F1"/>
    <w:rsid w:val="00B96E95"/>
    <w:rsid w:val="00BA66A9"/>
    <w:rsid w:val="00BA6881"/>
    <w:rsid w:val="00BD5E1C"/>
    <w:rsid w:val="00BF3CA6"/>
    <w:rsid w:val="00BF70D3"/>
    <w:rsid w:val="00C07498"/>
    <w:rsid w:val="00C25E8D"/>
    <w:rsid w:val="00C34FD3"/>
    <w:rsid w:val="00C37226"/>
    <w:rsid w:val="00C43A70"/>
    <w:rsid w:val="00C46FDA"/>
    <w:rsid w:val="00C5404C"/>
    <w:rsid w:val="00C609A8"/>
    <w:rsid w:val="00C71D36"/>
    <w:rsid w:val="00C74AD4"/>
    <w:rsid w:val="00C90AA8"/>
    <w:rsid w:val="00CA0AD8"/>
    <w:rsid w:val="00CB02F9"/>
    <w:rsid w:val="00CB4C21"/>
    <w:rsid w:val="00CB6C6F"/>
    <w:rsid w:val="00CC1F4C"/>
    <w:rsid w:val="00CC2935"/>
    <w:rsid w:val="00CC2B4D"/>
    <w:rsid w:val="00CE6E03"/>
    <w:rsid w:val="00D00785"/>
    <w:rsid w:val="00D127F3"/>
    <w:rsid w:val="00D168EF"/>
    <w:rsid w:val="00D23694"/>
    <w:rsid w:val="00D30EC7"/>
    <w:rsid w:val="00D33310"/>
    <w:rsid w:val="00D35C2A"/>
    <w:rsid w:val="00D53FBB"/>
    <w:rsid w:val="00D5546C"/>
    <w:rsid w:val="00D564AC"/>
    <w:rsid w:val="00D62F7E"/>
    <w:rsid w:val="00D76D89"/>
    <w:rsid w:val="00D772F0"/>
    <w:rsid w:val="00D83F02"/>
    <w:rsid w:val="00DA640B"/>
    <w:rsid w:val="00DB6E6D"/>
    <w:rsid w:val="00DD07BD"/>
    <w:rsid w:val="00DD3BFD"/>
    <w:rsid w:val="00DF7670"/>
    <w:rsid w:val="00E14FE3"/>
    <w:rsid w:val="00E200DF"/>
    <w:rsid w:val="00E44E44"/>
    <w:rsid w:val="00E536BD"/>
    <w:rsid w:val="00E76B76"/>
    <w:rsid w:val="00E770B2"/>
    <w:rsid w:val="00E90246"/>
    <w:rsid w:val="00E9746A"/>
    <w:rsid w:val="00E97938"/>
    <w:rsid w:val="00EA2C35"/>
    <w:rsid w:val="00EA51DB"/>
    <w:rsid w:val="00EB3D4F"/>
    <w:rsid w:val="00EC5C32"/>
    <w:rsid w:val="00ED186F"/>
    <w:rsid w:val="00ED3BAD"/>
    <w:rsid w:val="00ED41D8"/>
    <w:rsid w:val="00ED5195"/>
    <w:rsid w:val="00EF5EF7"/>
    <w:rsid w:val="00EF6ADC"/>
    <w:rsid w:val="00EF6EC7"/>
    <w:rsid w:val="00F0116B"/>
    <w:rsid w:val="00F03DF7"/>
    <w:rsid w:val="00F2519E"/>
    <w:rsid w:val="00F464E4"/>
    <w:rsid w:val="00F6582F"/>
    <w:rsid w:val="00F8340C"/>
    <w:rsid w:val="00F96EE9"/>
    <w:rsid w:val="00FA5077"/>
    <w:rsid w:val="00FB1CC8"/>
    <w:rsid w:val="00FB429C"/>
    <w:rsid w:val="00FB7C12"/>
    <w:rsid w:val="00FC15A4"/>
    <w:rsid w:val="00FC3B2E"/>
    <w:rsid w:val="00FC5620"/>
    <w:rsid w:val="00FC6501"/>
    <w:rsid w:val="00FD2236"/>
    <w:rsid w:val="00FD4FB1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0B9B"/>
  <w15:chartTrackingRefBased/>
  <w15:docId w15:val="{E002E5A6-A877-49D3-B26E-787835C1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BDD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BD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BD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E4B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E4BDD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BDD"/>
    <w:rPr>
      <w:rFonts w:ascii="Verdana" w:eastAsiaTheme="majorEastAsia" w:hAnsi="Verdana" w:cstheme="majorBidi"/>
      <w:b/>
      <w:sz w:val="28"/>
      <w:szCs w:val="26"/>
    </w:rPr>
  </w:style>
  <w:style w:type="paragraph" w:styleId="NormalWeb">
    <w:name w:val="Normal (Web)"/>
    <w:basedOn w:val="Normal"/>
    <w:rsid w:val="00FE4BD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Hyperlink">
    <w:name w:val="Hyperlink"/>
    <w:uiPriority w:val="99"/>
    <w:rsid w:val="00FE4B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BDD"/>
    <w:pPr>
      <w:spacing w:after="0" w:line="240" w:lineRule="auto"/>
      <w:ind w:left="720"/>
    </w:pPr>
    <w:rPr>
      <w:rFonts w:eastAsia="Times New Roman" w:cs="Times New Roman"/>
      <w:kern w:val="0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E4BDD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FE4BD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F22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22A4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867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16BF-A05E-492E-93DA-F9ADB7CF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Links>
    <vt:vector size="102" baseType="variant"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2424887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1900566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!/view?docid=a96488fd-ccd0-4890-8456-894932ff1a8e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_Toc174702388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_Toc174702387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_Toc174702386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_Toc174702385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_Toc174702384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_Toc174702383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_Toc174702382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SolerZayas, Nadya G</dc:creator>
  <cp:keywords/>
  <dc:description/>
  <cp:lastModifiedBy>Dugdale, Brienna</cp:lastModifiedBy>
  <cp:revision>2</cp:revision>
  <dcterms:created xsi:type="dcterms:W3CDTF">2025-05-14T19:14:00Z</dcterms:created>
  <dcterms:modified xsi:type="dcterms:W3CDTF">2025-05-14T19:14:00Z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2024-08-16T16:07:05Z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b7ad8068-3a39-439a-9aaf-df0b4990b8d9</vt:lpwstr>
  </property>
  <property fmtid="{D5CDD505-2E9C-101B-9397-08002B2CF9AE}" pid="8" name="MSIP_Label_1ecdf243-b9b0-4f63-8694-76742e4201b7_ContentBits">
    <vt:lpwstr>0</vt:lpwstr>
  </property>
</Properties>
</file>