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6CFC8" w14:textId="37D10DB9" w:rsidR="0022274B" w:rsidRDefault="0022274B" w:rsidP="0022274B">
      <w:pPr>
        <w:rPr>
          <w:rFonts w:ascii="Verdana" w:hAnsi="Verdana"/>
          <w:b/>
          <w:bCs/>
          <w:sz w:val="44"/>
          <w:szCs w:val="44"/>
        </w:rPr>
      </w:pPr>
      <w:bookmarkStart w:id="0" w:name="_top"/>
      <w:bookmarkEnd w:id="0"/>
      <w:r w:rsidRPr="0022274B">
        <w:rPr>
          <w:rFonts w:ascii="Verdana" w:hAnsi="Verdana"/>
          <w:b/>
          <w:bCs/>
          <w:sz w:val="44"/>
          <w:szCs w:val="44"/>
        </w:rPr>
        <w:t>Announcement: Return of</w:t>
      </w:r>
      <w:r w:rsidR="008D6571">
        <w:rPr>
          <w:rFonts w:ascii="Verdana" w:hAnsi="Verdana"/>
          <w:b/>
          <w:bCs/>
          <w:sz w:val="44"/>
          <w:szCs w:val="44"/>
        </w:rPr>
        <w:t xml:space="preserve"> Select</w:t>
      </w:r>
      <w:r w:rsidRPr="0022274B">
        <w:rPr>
          <w:rFonts w:ascii="Verdana" w:hAnsi="Verdana"/>
          <w:b/>
          <w:bCs/>
          <w:sz w:val="44"/>
          <w:szCs w:val="44"/>
        </w:rPr>
        <w:t xml:space="preserve"> GLP-1 Medications to Caremark Mail Order Pharmacy</w:t>
      </w:r>
    </w:p>
    <w:p w14:paraId="4CF399C9" w14:textId="77777777" w:rsidR="0022274B" w:rsidRPr="0022274B" w:rsidRDefault="0022274B" w:rsidP="0022274B">
      <w:pPr>
        <w:rPr>
          <w:rFonts w:ascii="Verdana" w:hAnsi="Verdana"/>
          <w:b/>
          <w:bCs/>
          <w:sz w:val="44"/>
          <w:szCs w:val="44"/>
        </w:rPr>
      </w:pPr>
    </w:p>
    <w:p w14:paraId="4CEE3141" w14:textId="1ED7C527" w:rsidR="0022274B" w:rsidRDefault="0022274B" w:rsidP="0022274B">
      <w:pPr>
        <w:rPr>
          <w:rFonts w:ascii="Verdana" w:hAnsi="Verdana"/>
          <w:sz w:val="24"/>
          <w:szCs w:val="24"/>
        </w:rPr>
      </w:pPr>
      <w:r w:rsidRPr="28839E5C">
        <w:rPr>
          <w:rFonts w:ascii="Verdana" w:hAnsi="Verdana"/>
          <w:b/>
          <w:bCs/>
          <w:sz w:val="24"/>
          <w:szCs w:val="24"/>
        </w:rPr>
        <w:t>Impacted Audience:</w:t>
      </w:r>
      <w:r w:rsidRPr="28839E5C">
        <w:rPr>
          <w:rFonts w:ascii="Verdana" w:hAnsi="Verdana"/>
          <w:sz w:val="24"/>
          <w:szCs w:val="24"/>
        </w:rPr>
        <w:t xml:space="preserve"> </w:t>
      </w:r>
      <w:r w:rsidR="000D34BD" w:rsidRPr="28839E5C">
        <w:rPr>
          <w:rFonts w:ascii="Verdana" w:hAnsi="Verdana"/>
          <w:sz w:val="24"/>
          <w:szCs w:val="24"/>
        </w:rPr>
        <w:t>Aetna, Aetna IVL, Aetna Med D, Aetna Med D – Joint Venture, Commercial, Consumer Business, Coventry Med D, CVS Caremark, DOW, Medicaid, Medicare D, SRT</w:t>
      </w:r>
    </w:p>
    <w:p w14:paraId="1554405D" w14:textId="77777777" w:rsidR="0022274B" w:rsidRPr="0022274B" w:rsidRDefault="0022274B" w:rsidP="0022274B">
      <w:pPr>
        <w:rPr>
          <w:rFonts w:ascii="Verdana" w:hAnsi="Verdana"/>
          <w:sz w:val="24"/>
          <w:szCs w:val="24"/>
        </w:rPr>
      </w:pPr>
    </w:p>
    <w:p w14:paraId="68E45F5B" w14:textId="75DEDF5B" w:rsidR="0022274B" w:rsidRDefault="0022274B" w:rsidP="0022274B">
      <w:pPr>
        <w:rPr>
          <w:rFonts w:ascii="Verdana" w:hAnsi="Verdana"/>
          <w:sz w:val="24"/>
          <w:szCs w:val="24"/>
        </w:rPr>
      </w:pPr>
      <w:r w:rsidRPr="0022274B">
        <w:rPr>
          <w:rFonts w:ascii="Verdana" w:hAnsi="Verdana"/>
          <w:sz w:val="24"/>
          <w:szCs w:val="24"/>
        </w:rPr>
        <w:t xml:space="preserve">We are pleased to announce that </w:t>
      </w:r>
      <w:r w:rsidR="008D6571">
        <w:rPr>
          <w:rFonts w:ascii="Verdana" w:hAnsi="Verdana"/>
          <w:sz w:val="24"/>
          <w:szCs w:val="24"/>
        </w:rPr>
        <w:t xml:space="preserve">select </w:t>
      </w:r>
      <w:r w:rsidRPr="0022274B">
        <w:rPr>
          <w:rFonts w:ascii="Verdana" w:hAnsi="Verdana"/>
          <w:sz w:val="24"/>
          <w:szCs w:val="24"/>
        </w:rPr>
        <w:t xml:space="preserve">GLP-1 medications will be returning to the Caremark Mail Order pharmacy. </w:t>
      </w:r>
    </w:p>
    <w:p w14:paraId="1A6AB25E" w14:textId="77777777" w:rsidR="0022274B" w:rsidRPr="0022274B" w:rsidRDefault="0022274B" w:rsidP="0022274B">
      <w:pPr>
        <w:rPr>
          <w:rFonts w:ascii="Verdana" w:hAnsi="Verdana"/>
          <w:sz w:val="24"/>
          <w:szCs w:val="24"/>
        </w:rPr>
      </w:pPr>
    </w:p>
    <w:p w14:paraId="1C2B109C" w14:textId="77777777" w:rsidR="0022274B" w:rsidRPr="0022274B" w:rsidRDefault="0022274B" w:rsidP="0022274B">
      <w:pPr>
        <w:rPr>
          <w:rFonts w:ascii="Verdana" w:hAnsi="Verdana"/>
          <w:sz w:val="24"/>
          <w:szCs w:val="24"/>
        </w:rPr>
      </w:pPr>
      <w:r w:rsidRPr="0022274B">
        <w:rPr>
          <w:rFonts w:ascii="Verdana" w:hAnsi="Verdana"/>
          <w:b/>
          <w:bCs/>
          <w:sz w:val="24"/>
          <w:szCs w:val="24"/>
        </w:rPr>
        <w:t>Key Details:</w:t>
      </w:r>
    </w:p>
    <w:p w14:paraId="3B28EF63" w14:textId="63C7E6B4" w:rsidR="0022274B" w:rsidRDefault="00846626" w:rsidP="0022274B">
      <w:pPr>
        <w:numPr>
          <w:ilvl w:val="0"/>
          <w:numId w:val="1"/>
        </w:numPr>
        <w:rPr>
          <w:rFonts w:ascii="Verdana" w:hAnsi="Verdana"/>
          <w:sz w:val="24"/>
          <w:szCs w:val="24"/>
        </w:rPr>
      </w:pPr>
      <w:r>
        <w:rPr>
          <w:rFonts w:ascii="Verdana" w:hAnsi="Verdana"/>
          <w:b/>
          <w:bCs/>
          <w:sz w:val="24"/>
          <w:szCs w:val="24"/>
        </w:rPr>
        <w:t xml:space="preserve"> </w:t>
      </w:r>
      <w:r w:rsidR="0022274B" w:rsidRPr="0022274B">
        <w:rPr>
          <w:rFonts w:ascii="Verdana" w:hAnsi="Verdana"/>
          <w:b/>
          <w:bCs/>
          <w:sz w:val="24"/>
          <w:szCs w:val="24"/>
        </w:rPr>
        <w:t>Effective June 1</w:t>
      </w:r>
      <w:r w:rsidR="004A05D0" w:rsidRPr="00DE5934">
        <w:rPr>
          <w:rFonts w:ascii="Verdana" w:hAnsi="Verdana"/>
          <w:b/>
          <w:bCs/>
          <w:sz w:val="24"/>
          <w:szCs w:val="24"/>
          <w:vertAlign w:val="superscript"/>
        </w:rPr>
        <w:t>st</w:t>
      </w:r>
      <w:r w:rsidR="004A05D0">
        <w:rPr>
          <w:rFonts w:ascii="Verdana" w:hAnsi="Verdana"/>
          <w:b/>
          <w:bCs/>
          <w:sz w:val="24"/>
          <w:szCs w:val="24"/>
        </w:rPr>
        <w:t>, 2025</w:t>
      </w:r>
      <w:r w:rsidR="0022274B" w:rsidRPr="0022274B">
        <w:rPr>
          <w:rFonts w:ascii="Verdana" w:hAnsi="Verdana"/>
          <w:b/>
          <w:bCs/>
          <w:sz w:val="24"/>
          <w:szCs w:val="24"/>
        </w:rPr>
        <w:t>:</w:t>
      </w:r>
      <w:r w:rsidR="0022274B" w:rsidRPr="0022274B">
        <w:rPr>
          <w:rFonts w:ascii="Verdana" w:hAnsi="Verdana"/>
          <w:sz w:val="24"/>
          <w:szCs w:val="24"/>
        </w:rPr>
        <w:t xml:space="preserve"> Maintenance doses of </w:t>
      </w:r>
      <w:r w:rsidR="0022274B" w:rsidRPr="0022274B">
        <w:rPr>
          <w:rFonts w:ascii="Verdana" w:hAnsi="Verdana"/>
          <w:b/>
          <w:bCs/>
          <w:sz w:val="24"/>
          <w:szCs w:val="24"/>
        </w:rPr>
        <w:t>Wegovy</w:t>
      </w:r>
      <w:r w:rsidR="0022274B" w:rsidRPr="0022274B">
        <w:rPr>
          <w:rFonts w:ascii="Verdana" w:hAnsi="Verdana"/>
          <w:sz w:val="24"/>
          <w:szCs w:val="24"/>
        </w:rPr>
        <w:t xml:space="preserve"> and </w:t>
      </w:r>
      <w:r w:rsidR="0022274B" w:rsidRPr="0022274B">
        <w:rPr>
          <w:rFonts w:ascii="Verdana" w:hAnsi="Verdana"/>
          <w:b/>
          <w:bCs/>
          <w:sz w:val="24"/>
          <w:szCs w:val="24"/>
        </w:rPr>
        <w:t>Saxenda</w:t>
      </w:r>
      <w:r w:rsidR="0022274B" w:rsidRPr="0022274B">
        <w:rPr>
          <w:rFonts w:ascii="Verdana" w:hAnsi="Verdana"/>
          <w:sz w:val="24"/>
          <w:szCs w:val="24"/>
        </w:rPr>
        <w:t xml:space="preserve"> will be available through Mail Order.</w:t>
      </w:r>
      <w:r w:rsidR="002E0EB3">
        <w:rPr>
          <w:rFonts w:ascii="Verdana" w:hAnsi="Verdana"/>
          <w:sz w:val="24"/>
          <w:szCs w:val="24"/>
        </w:rPr>
        <w:t xml:space="preserve"> </w:t>
      </w:r>
      <w:r w:rsidR="00EC6007" w:rsidRPr="00EC6007">
        <w:rPr>
          <w:rFonts w:ascii="Verdana" w:hAnsi="Verdana"/>
          <w:sz w:val="24"/>
          <w:szCs w:val="24"/>
        </w:rPr>
        <w:t>Mail Order will NOT (and currently does not) dispense</w:t>
      </w:r>
      <w:r w:rsidR="00152512">
        <w:rPr>
          <w:rFonts w:ascii="Verdana" w:hAnsi="Verdana"/>
          <w:sz w:val="24"/>
          <w:szCs w:val="24"/>
        </w:rPr>
        <w:t xml:space="preserve"> any starter or step-u</w:t>
      </w:r>
      <w:r w:rsidR="005A50FB">
        <w:rPr>
          <w:rFonts w:ascii="Verdana" w:hAnsi="Verdana"/>
          <w:sz w:val="24"/>
          <w:szCs w:val="24"/>
        </w:rPr>
        <w:t>p doses for</w:t>
      </w:r>
      <w:r w:rsidR="006A0BAF">
        <w:rPr>
          <w:rFonts w:ascii="Verdana" w:hAnsi="Verdana"/>
          <w:sz w:val="24"/>
          <w:szCs w:val="24"/>
        </w:rPr>
        <w:t xml:space="preserve"> this medication</w:t>
      </w:r>
      <w:r w:rsidR="00831105">
        <w:rPr>
          <w:rFonts w:ascii="Verdana" w:hAnsi="Verdana"/>
          <w:sz w:val="24"/>
          <w:szCs w:val="24"/>
        </w:rPr>
        <w:t>:</w:t>
      </w:r>
      <w:r w:rsidR="00636791">
        <w:rPr>
          <w:rFonts w:ascii="Verdana" w:hAnsi="Verdana"/>
          <w:sz w:val="24"/>
          <w:szCs w:val="24"/>
        </w:rPr>
        <w:t xml:space="preserve"> Wegovy INJ 0.25MG, 0.5MG, and 1MG. </w:t>
      </w:r>
    </w:p>
    <w:p w14:paraId="5F8BD3E9" w14:textId="77777777" w:rsidR="00170AB4" w:rsidRPr="0022274B" w:rsidRDefault="00170AB4" w:rsidP="00170AB4">
      <w:pPr>
        <w:ind w:left="720"/>
        <w:rPr>
          <w:rFonts w:ascii="Verdana" w:hAnsi="Verdana"/>
          <w:sz w:val="24"/>
          <w:szCs w:val="24"/>
        </w:rPr>
      </w:pPr>
    </w:p>
    <w:p w14:paraId="52CCA403" w14:textId="75EB8E1A" w:rsidR="00170AB4" w:rsidRDefault="0022274B" w:rsidP="00280CF1">
      <w:pPr>
        <w:numPr>
          <w:ilvl w:val="0"/>
          <w:numId w:val="1"/>
        </w:numPr>
        <w:rPr>
          <w:rFonts w:ascii="Verdana" w:hAnsi="Verdana"/>
          <w:sz w:val="24"/>
          <w:szCs w:val="24"/>
        </w:rPr>
      </w:pPr>
      <w:r w:rsidRPr="0022274B">
        <w:rPr>
          <w:rFonts w:ascii="Verdana" w:hAnsi="Verdana"/>
          <w:b/>
          <w:bCs/>
          <w:sz w:val="24"/>
          <w:szCs w:val="24"/>
        </w:rPr>
        <w:t xml:space="preserve">Effective </w:t>
      </w:r>
      <w:r w:rsidR="004A05D0">
        <w:rPr>
          <w:rFonts w:ascii="Verdana" w:hAnsi="Verdana"/>
          <w:b/>
          <w:bCs/>
          <w:sz w:val="24"/>
          <w:szCs w:val="24"/>
        </w:rPr>
        <w:t>July 1</w:t>
      </w:r>
      <w:r w:rsidR="004A05D0" w:rsidRPr="00DE5934">
        <w:rPr>
          <w:rFonts w:ascii="Verdana" w:hAnsi="Verdana"/>
          <w:b/>
          <w:bCs/>
          <w:sz w:val="24"/>
          <w:szCs w:val="24"/>
          <w:vertAlign w:val="superscript"/>
        </w:rPr>
        <w:t>st</w:t>
      </w:r>
      <w:r w:rsidR="004A05D0">
        <w:rPr>
          <w:rFonts w:ascii="Verdana" w:hAnsi="Verdana"/>
          <w:b/>
          <w:bCs/>
          <w:sz w:val="24"/>
          <w:szCs w:val="24"/>
        </w:rPr>
        <w:t>, 2025</w:t>
      </w:r>
      <w:r w:rsidRPr="0022274B">
        <w:rPr>
          <w:rFonts w:ascii="Verdana" w:hAnsi="Verdana"/>
          <w:b/>
          <w:bCs/>
          <w:sz w:val="24"/>
          <w:szCs w:val="24"/>
        </w:rPr>
        <w:t>:</w:t>
      </w:r>
      <w:r w:rsidRPr="0022274B">
        <w:rPr>
          <w:rFonts w:ascii="Verdana" w:hAnsi="Verdana"/>
          <w:sz w:val="24"/>
          <w:szCs w:val="24"/>
        </w:rPr>
        <w:t xml:space="preserve"> Maintenance doses of </w:t>
      </w:r>
      <w:r w:rsidRPr="0022274B">
        <w:rPr>
          <w:rFonts w:ascii="Verdana" w:hAnsi="Verdana"/>
          <w:b/>
          <w:bCs/>
          <w:sz w:val="24"/>
          <w:szCs w:val="24"/>
        </w:rPr>
        <w:t>Mounjaro</w:t>
      </w:r>
      <w:r w:rsidRPr="0022274B">
        <w:rPr>
          <w:rFonts w:ascii="Verdana" w:hAnsi="Verdana"/>
          <w:sz w:val="24"/>
          <w:szCs w:val="24"/>
        </w:rPr>
        <w:t xml:space="preserve"> and </w:t>
      </w:r>
      <w:r w:rsidRPr="0022274B">
        <w:rPr>
          <w:rFonts w:ascii="Verdana" w:hAnsi="Verdana"/>
          <w:b/>
          <w:bCs/>
          <w:sz w:val="24"/>
          <w:szCs w:val="24"/>
        </w:rPr>
        <w:t>Trulicity</w:t>
      </w:r>
      <w:r w:rsidRPr="0022274B">
        <w:rPr>
          <w:rFonts w:ascii="Verdana" w:hAnsi="Verdana"/>
          <w:sz w:val="24"/>
          <w:szCs w:val="24"/>
        </w:rPr>
        <w:t xml:space="preserve"> will also be available through Mail Order.</w:t>
      </w:r>
    </w:p>
    <w:p w14:paraId="4276FF4F" w14:textId="77777777" w:rsidR="00170AB4" w:rsidRDefault="00170AB4" w:rsidP="00170AB4">
      <w:pPr>
        <w:ind w:left="720"/>
        <w:rPr>
          <w:rFonts w:ascii="Verdana" w:hAnsi="Verdana"/>
          <w:sz w:val="24"/>
          <w:szCs w:val="24"/>
        </w:rPr>
      </w:pPr>
    </w:p>
    <w:p w14:paraId="6866413E" w14:textId="7CB05193" w:rsidR="00170AB4" w:rsidRPr="00170AB4" w:rsidRDefault="003B20F3" w:rsidP="00ED41D6">
      <w:pPr>
        <w:rPr>
          <w:rFonts w:ascii="Verdana" w:hAnsi="Verdana"/>
          <w:sz w:val="24"/>
          <w:szCs w:val="24"/>
        </w:rPr>
      </w:pPr>
      <w:r w:rsidRPr="00170AB4">
        <w:rPr>
          <w:rFonts w:ascii="Verdana" w:hAnsi="Verdana"/>
          <w:sz w:val="24"/>
          <w:szCs w:val="24"/>
        </w:rPr>
        <w:t xml:space="preserve">List </w:t>
      </w:r>
      <w:r w:rsidR="00216DCD" w:rsidRPr="00170AB4">
        <w:rPr>
          <w:rFonts w:ascii="Verdana" w:hAnsi="Verdana"/>
          <w:sz w:val="24"/>
          <w:szCs w:val="24"/>
        </w:rPr>
        <w:t>of select GLP-1 Medications and the dates returning to mail order</w:t>
      </w:r>
      <w:r w:rsidR="00ED41D6">
        <w:rPr>
          <w:rFonts w:ascii="Verdana" w:hAnsi="Verdana"/>
          <w:sz w:val="24"/>
          <w:szCs w:val="24"/>
        </w:rPr>
        <w:t>:</w:t>
      </w:r>
    </w:p>
    <w:tbl>
      <w:tblPr>
        <w:tblStyle w:val="TableGrid"/>
        <w:tblW w:w="5000" w:type="pct"/>
        <w:tblLook w:val="04A0" w:firstRow="1" w:lastRow="0" w:firstColumn="1" w:lastColumn="0" w:noHBand="0" w:noVBand="1"/>
      </w:tblPr>
      <w:tblGrid>
        <w:gridCol w:w="3116"/>
        <w:gridCol w:w="3117"/>
        <w:gridCol w:w="3117"/>
      </w:tblGrid>
      <w:tr w:rsidR="0006414E" w:rsidRPr="00E109E1" w14:paraId="23267D18" w14:textId="77777777" w:rsidTr="002C4839">
        <w:tc>
          <w:tcPr>
            <w:tcW w:w="1666" w:type="pct"/>
            <w:shd w:val="clear" w:color="auto" w:fill="D9D9D9" w:themeFill="background1" w:themeFillShade="D9"/>
          </w:tcPr>
          <w:p w14:paraId="7FB61D83" w14:textId="71A08F0B" w:rsidR="00780AE1" w:rsidRPr="00DE5934" w:rsidRDefault="00FC118F" w:rsidP="00E109E1">
            <w:pPr>
              <w:spacing w:before="120" w:after="120"/>
              <w:jc w:val="center"/>
              <w:rPr>
                <w:rFonts w:ascii="Verdana" w:hAnsi="Verdana"/>
                <w:b/>
                <w:bCs/>
                <w:sz w:val="24"/>
                <w:szCs w:val="24"/>
              </w:rPr>
            </w:pPr>
            <w:r w:rsidRPr="00DE5934">
              <w:rPr>
                <w:rFonts w:ascii="Verdana" w:hAnsi="Verdana"/>
                <w:b/>
                <w:bCs/>
                <w:sz w:val="24"/>
                <w:szCs w:val="24"/>
              </w:rPr>
              <w:t>Drug Name</w:t>
            </w:r>
          </w:p>
        </w:tc>
        <w:tc>
          <w:tcPr>
            <w:tcW w:w="1667" w:type="pct"/>
            <w:shd w:val="clear" w:color="auto" w:fill="D9D9D9" w:themeFill="background1" w:themeFillShade="D9"/>
          </w:tcPr>
          <w:p w14:paraId="089731C4" w14:textId="0ABDDF29" w:rsidR="00780AE1" w:rsidRPr="00DE5934" w:rsidRDefault="00FC118F" w:rsidP="00E109E1">
            <w:pPr>
              <w:spacing w:before="120" w:after="120"/>
              <w:jc w:val="center"/>
              <w:rPr>
                <w:rFonts w:ascii="Verdana" w:hAnsi="Verdana"/>
                <w:b/>
                <w:bCs/>
                <w:sz w:val="24"/>
                <w:szCs w:val="24"/>
              </w:rPr>
            </w:pPr>
            <w:r w:rsidRPr="00DE5934">
              <w:rPr>
                <w:rFonts w:ascii="Verdana" w:hAnsi="Verdana"/>
                <w:b/>
                <w:bCs/>
                <w:sz w:val="24"/>
                <w:szCs w:val="24"/>
              </w:rPr>
              <w:t>NDC</w:t>
            </w:r>
          </w:p>
        </w:tc>
        <w:tc>
          <w:tcPr>
            <w:tcW w:w="1667" w:type="pct"/>
            <w:shd w:val="clear" w:color="auto" w:fill="D9D9D9" w:themeFill="background1" w:themeFillShade="D9"/>
          </w:tcPr>
          <w:p w14:paraId="2B5CD364" w14:textId="76F828E2" w:rsidR="00780AE1" w:rsidRPr="00DE5934" w:rsidRDefault="00FC118F" w:rsidP="00E109E1">
            <w:pPr>
              <w:spacing w:before="120" w:after="120"/>
              <w:jc w:val="center"/>
              <w:rPr>
                <w:rFonts w:ascii="Verdana" w:hAnsi="Verdana"/>
                <w:b/>
                <w:bCs/>
                <w:sz w:val="24"/>
                <w:szCs w:val="24"/>
              </w:rPr>
            </w:pPr>
            <w:r w:rsidRPr="00DE5934">
              <w:rPr>
                <w:rFonts w:ascii="Verdana" w:hAnsi="Verdana"/>
                <w:b/>
                <w:bCs/>
                <w:sz w:val="24"/>
                <w:szCs w:val="24"/>
              </w:rPr>
              <w:t>Date Returning to Mail</w:t>
            </w:r>
          </w:p>
        </w:tc>
      </w:tr>
      <w:tr w:rsidR="00933B74" w:rsidRPr="00E109E1" w14:paraId="0B5BF470" w14:textId="77777777" w:rsidTr="002C4839">
        <w:tc>
          <w:tcPr>
            <w:tcW w:w="1666" w:type="pct"/>
          </w:tcPr>
          <w:p w14:paraId="1699CC6D" w14:textId="0C3DAE40" w:rsidR="00780AE1" w:rsidRPr="003A3C27" w:rsidRDefault="000D5B50" w:rsidP="00E109E1">
            <w:pPr>
              <w:spacing w:before="120" w:after="120"/>
              <w:jc w:val="center"/>
              <w:rPr>
                <w:rFonts w:ascii="Verdana" w:eastAsia="Times New Roman" w:hAnsi="Verdana" w:cs="Aptos"/>
                <w:kern w:val="0"/>
                <w:sz w:val="24"/>
                <w:szCs w:val="24"/>
              </w:rPr>
            </w:pPr>
            <w:r w:rsidRPr="003A3C27">
              <w:rPr>
                <w:rFonts w:ascii="Verdana" w:eastAsia="Times New Roman" w:hAnsi="Verdana" w:cs="Aptos"/>
                <w:kern w:val="0"/>
                <w:sz w:val="24"/>
                <w:szCs w:val="24"/>
              </w:rPr>
              <w:t>Wegovy INJ 1.7MG</w:t>
            </w:r>
          </w:p>
        </w:tc>
        <w:tc>
          <w:tcPr>
            <w:tcW w:w="1667" w:type="pct"/>
          </w:tcPr>
          <w:p w14:paraId="254428BF" w14:textId="6FD0FBFF" w:rsidR="00780AE1" w:rsidRPr="003A3C27" w:rsidRDefault="002C4839" w:rsidP="00E109E1">
            <w:pPr>
              <w:spacing w:before="120" w:after="120"/>
              <w:jc w:val="center"/>
              <w:rPr>
                <w:rFonts w:ascii="Verdana" w:eastAsia="Times New Roman" w:hAnsi="Verdana"/>
                <w:sz w:val="24"/>
                <w:szCs w:val="24"/>
              </w:rPr>
            </w:pPr>
            <w:r>
              <w:rPr>
                <w:rFonts w:ascii="Verdana" w:hAnsi="Verdana"/>
                <w:b/>
                <w:bCs/>
                <w:noProof/>
                <w:sz w:val="24"/>
                <w:szCs w:val="24"/>
              </w:rPr>
              <w:drawing>
                <wp:inline distT="0" distB="0" distL="0" distR="0" wp14:anchorId="5101512D" wp14:editId="3A93FFF1">
                  <wp:extent cx="304762" cy="304762"/>
                  <wp:effectExtent l="0" t="0" r="635" b="635"/>
                  <wp:docPr id="9968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5349" name="Picture 99687534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3A3C27" w:rsidDel="00DF0022">
              <w:rPr>
                <w:rFonts w:ascii="Verdana" w:eastAsia="Times New Roman" w:hAnsi="Verdana"/>
                <w:sz w:val="24"/>
                <w:szCs w:val="24"/>
              </w:rPr>
              <w:t xml:space="preserve"> </w:t>
            </w:r>
            <w:r w:rsidR="00D42A28" w:rsidRPr="00D42A28">
              <w:rPr>
                <w:rFonts w:ascii="Verdana" w:eastAsia="Times New Roman" w:hAnsi="Verdana"/>
                <w:sz w:val="24"/>
                <w:szCs w:val="24"/>
              </w:rPr>
              <w:t>00169-4517-14</w:t>
            </w:r>
          </w:p>
        </w:tc>
        <w:tc>
          <w:tcPr>
            <w:tcW w:w="1667" w:type="pct"/>
          </w:tcPr>
          <w:p w14:paraId="42DBF53D" w14:textId="44E16531" w:rsidR="00780AE1" w:rsidRPr="003A3C27" w:rsidRDefault="00140510" w:rsidP="00E109E1">
            <w:pPr>
              <w:spacing w:before="120" w:after="120"/>
              <w:jc w:val="center"/>
              <w:rPr>
                <w:rFonts w:ascii="Verdana" w:hAnsi="Verdana"/>
                <w:sz w:val="24"/>
                <w:szCs w:val="24"/>
              </w:rPr>
            </w:pPr>
            <w:r w:rsidRPr="003A3C27">
              <w:rPr>
                <w:rFonts w:ascii="Verdana" w:hAnsi="Verdana"/>
                <w:sz w:val="24"/>
                <w:szCs w:val="24"/>
              </w:rPr>
              <w:t>06/01/2025</w:t>
            </w:r>
          </w:p>
        </w:tc>
      </w:tr>
      <w:tr w:rsidR="00933B74" w:rsidRPr="00E109E1" w14:paraId="2371DEAC" w14:textId="77777777" w:rsidTr="002C4839">
        <w:tc>
          <w:tcPr>
            <w:tcW w:w="1666" w:type="pct"/>
          </w:tcPr>
          <w:p w14:paraId="61BD26E8" w14:textId="6E4A3520" w:rsidR="00780AE1" w:rsidRPr="00DE5934" w:rsidRDefault="00727B51" w:rsidP="00DE5934">
            <w:pPr>
              <w:spacing w:before="120" w:after="120"/>
              <w:jc w:val="center"/>
              <w:rPr>
                <w:rFonts w:ascii="Verdana" w:eastAsia="Times New Roman" w:hAnsi="Verdana"/>
                <w:sz w:val="24"/>
                <w:szCs w:val="24"/>
              </w:rPr>
            </w:pPr>
            <w:r w:rsidRPr="003A3C27">
              <w:rPr>
                <w:rFonts w:ascii="Verdana" w:eastAsia="Times New Roman" w:hAnsi="Verdana"/>
                <w:sz w:val="24"/>
                <w:szCs w:val="24"/>
              </w:rPr>
              <w:t>Wegovy INJ 2.4 MG</w:t>
            </w:r>
          </w:p>
        </w:tc>
        <w:tc>
          <w:tcPr>
            <w:tcW w:w="1667" w:type="pct"/>
          </w:tcPr>
          <w:p w14:paraId="308A714B" w14:textId="0B4B4691" w:rsidR="00780AE1" w:rsidRPr="00DE5934" w:rsidRDefault="002C4839" w:rsidP="00DE5934">
            <w:pPr>
              <w:spacing w:before="120" w:after="120"/>
              <w:jc w:val="center"/>
              <w:rPr>
                <w:rFonts w:ascii="Verdana" w:eastAsia="Times New Roman" w:hAnsi="Verdana"/>
                <w:sz w:val="24"/>
                <w:szCs w:val="24"/>
              </w:rPr>
            </w:pPr>
            <w:r>
              <w:rPr>
                <w:rFonts w:ascii="Verdana" w:hAnsi="Verdana"/>
                <w:b/>
                <w:bCs/>
                <w:noProof/>
                <w:sz w:val="24"/>
                <w:szCs w:val="24"/>
              </w:rPr>
              <w:drawing>
                <wp:inline distT="0" distB="0" distL="0" distR="0" wp14:anchorId="6DA19489" wp14:editId="6ACC3019">
                  <wp:extent cx="304762" cy="304762"/>
                  <wp:effectExtent l="0" t="0" r="635" b="635"/>
                  <wp:docPr id="204776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5349" name="Picture 99687534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3A3C27" w:rsidDel="00233596">
              <w:rPr>
                <w:rFonts w:ascii="Verdana" w:eastAsia="Times New Roman" w:hAnsi="Verdana"/>
                <w:sz w:val="24"/>
                <w:szCs w:val="24"/>
              </w:rPr>
              <w:t xml:space="preserve"> </w:t>
            </w:r>
            <w:r w:rsidR="00233596" w:rsidRPr="00233596">
              <w:rPr>
                <w:rFonts w:ascii="Verdana" w:eastAsia="Times New Roman" w:hAnsi="Verdana"/>
                <w:sz w:val="24"/>
                <w:szCs w:val="24"/>
              </w:rPr>
              <w:t>00169-4524-14</w:t>
            </w:r>
          </w:p>
        </w:tc>
        <w:tc>
          <w:tcPr>
            <w:tcW w:w="1667" w:type="pct"/>
          </w:tcPr>
          <w:p w14:paraId="4A290A03" w14:textId="758AF0EE" w:rsidR="00780AE1" w:rsidRPr="003A3C27" w:rsidRDefault="00727B51" w:rsidP="00DE5934">
            <w:pPr>
              <w:spacing w:before="120" w:after="120"/>
              <w:jc w:val="center"/>
              <w:rPr>
                <w:rFonts w:ascii="Verdana" w:hAnsi="Verdana"/>
                <w:sz w:val="24"/>
                <w:szCs w:val="24"/>
              </w:rPr>
            </w:pPr>
            <w:r w:rsidRPr="003A3C27">
              <w:rPr>
                <w:rFonts w:ascii="Verdana" w:hAnsi="Verdana"/>
                <w:sz w:val="24"/>
                <w:szCs w:val="24"/>
              </w:rPr>
              <w:t>06/01/2025</w:t>
            </w:r>
          </w:p>
        </w:tc>
      </w:tr>
      <w:tr w:rsidR="00933B74" w:rsidRPr="00E109E1" w14:paraId="6DE391EE" w14:textId="77777777" w:rsidTr="002C4839">
        <w:tc>
          <w:tcPr>
            <w:tcW w:w="1666" w:type="pct"/>
          </w:tcPr>
          <w:p w14:paraId="62782E32" w14:textId="27F55DE1" w:rsidR="00780AE1" w:rsidRPr="003A3C27" w:rsidRDefault="004172F4" w:rsidP="00DE5934">
            <w:pPr>
              <w:spacing w:before="120" w:after="120"/>
              <w:jc w:val="center"/>
              <w:rPr>
                <w:rFonts w:ascii="Verdana" w:hAnsi="Verdana"/>
                <w:sz w:val="24"/>
                <w:szCs w:val="24"/>
              </w:rPr>
            </w:pPr>
            <w:r w:rsidRPr="003A3C27">
              <w:rPr>
                <w:rFonts w:ascii="Verdana" w:eastAsia="Times New Roman" w:hAnsi="Verdana"/>
                <w:sz w:val="24"/>
                <w:szCs w:val="24"/>
              </w:rPr>
              <w:t>Saxenda 3MLx5 Pen 6MG/ML</w:t>
            </w:r>
          </w:p>
        </w:tc>
        <w:tc>
          <w:tcPr>
            <w:tcW w:w="1667" w:type="pct"/>
          </w:tcPr>
          <w:p w14:paraId="37911978" w14:textId="5CFCC3A0" w:rsidR="00780AE1" w:rsidRPr="003A3C27" w:rsidRDefault="002C4839" w:rsidP="00DE5934">
            <w:pPr>
              <w:spacing w:before="120" w:after="120"/>
              <w:jc w:val="center"/>
              <w:rPr>
                <w:rFonts w:ascii="Verdana" w:hAnsi="Verdana"/>
                <w:sz w:val="24"/>
                <w:szCs w:val="24"/>
              </w:rPr>
            </w:pPr>
            <w:r>
              <w:rPr>
                <w:rFonts w:ascii="Verdana" w:hAnsi="Verdana"/>
                <w:b/>
                <w:bCs/>
                <w:noProof/>
                <w:sz w:val="24"/>
                <w:szCs w:val="24"/>
              </w:rPr>
              <w:drawing>
                <wp:inline distT="0" distB="0" distL="0" distR="0" wp14:anchorId="400706AB" wp14:editId="6897B718">
                  <wp:extent cx="304762" cy="304762"/>
                  <wp:effectExtent l="0" t="0" r="635" b="635"/>
                  <wp:docPr id="204400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75349" name="Picture 99687534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3A3C27" w:rsidDel="00687516">
              <w:rPr>
                <w:rFonts w:ascii="Verdana" w:eastAsia="Times New Roman" w:hAnsi="Verdana"/>
                <w:sz w:val="24"/>
                <w:szCs w:val="24"/>
              </w:rPr>
              <w:t xml:space="preserve"> </w:t>
            </w:r>
            <w:r w:rsidR="00687516" w:rsidRPr="00687516">
              <w:rPr>
                <w:rFonts w:ascii="Verdana" w:eastAsia="Times New Roman" w:hAnsi="Verdana"/>
                <w:sz w:val="24"/>
                <w:szCs w:val="24"/>
              </w:rPr>
              <w:t>00169-2800-15</w:t>
            </w:r>
          </w:p>
        </w:tc>
        <w:tc>
          <w:tcPr>
            <w:tcW w:w="1667" w:type="pct"/>
          </w:tcPr>
          <w:p w14:paraId="548ADA3F" w14:textId="158637C4" w:rsidR="00780AE1" w:rsidRPr="003A3C27" w:rsidRDefault="00081B1B" w:rsidP="00DE5934">
            <w:pPr>
              <w:spacing w:before="120" w:after="120"/>
              <w:jc w:val="center"/>
              <w:rPr>
                <w:rFonts w:ascii="Verdana" w:hAnsi="Verdana"/>
                <w:sz w:val="24"/>
                <w:szCs w:val="24"/>
              </w:rPr>
            </w:pPr>
            <w:r w:rsidRPr="00DE5934">
              <w:rPr>
                <w:rFonts w:ascii="Verdana" w:hAnsi="Verdana"/>
                <w:sz w:val="24"/>
                <w:szCs w:val="24"/>
              </w:rPr>
              <w:t>06/01/2025</w:t>
            </w:r>
          </w:p>
        </w:tc>
      </w:tr>
      <w:tr w:rsidR="00933B74" w:rsidRPr="00E109E1" w14:paraId="049077DF" w14:textId="77777777" w:rsidTr="002C4839">
        <w:tc>
          <w:tcPr>
            <w:tcW w:w="1666" w:type="pct"/>
          </w:tcPr>
          <w:p w14:paraId="4E6238A4" w14:textId="55B0F236" w:rsidR="00780AE1" w:rsidRPr="003A3C27" w:rsidRDefault="005E4088" w:rsidP="00DE5934">
            <w:pPr>
              <w:spacing w:before="120" w:after="120"/>
              <w:jc w:val="center"/>
              <w:rPr>
                <w:rFonts w:ascii="Verdana" w:hAnsi="Verdana"/>
                <w:sz w:val="24"/>
                <w:szCs w:val="24"/>
              </w:rPr>
            </w:pPr>
            <w:r w:rsidRPr="003A3C27">
              <w:rPr>
                <w:rFonts w:ascii="Verdana" w:hAnsi="Verdana"/>
                <w:sz w:val="24"/>
                <w:szCs w:val="24"/>
              </w:rPr>
              <w:t>Mounjaro Pen 5/0.5</w:t>
            </w:r>
            <w:r w:rsidRPr="003A3C27">
              <w:rPr>
                <w:rFonts w:ascii="Verdana" w:hAnsi="Verdana" w:cs="Arial"/>
                <w:sz w:val="24"/>
                <w:szCs w:val="24"/>
              </w:rPr>
              <w:t> </w:t>
            </w:r>
          </w:p>
        </w:tc>
        <w:tc>
          <w:tcPr>
            <w:tcW w:w="1667" w:type="pct"/>
          </w:tcPr>
          <w:p w14:paraId="2923DC0C" w14:textId="4755C0F6" w:rsidR="00780AE1" w:rsidRPr="003A3C27" w:rsidRDefault="003F3283" w:rsidP="00DE5934">
            <w:pPr>
              <w:spacing w:before="120" w:after="120"/>
              <w:jc w:val="center"/>
              <w:rPr>
                <w:rFonts w:ascii="Verdana" w:hAnsi="Verdana"/>
                <w:sz w:val="24"/>
                <w:szCs w:val="24"/>
              </w:rPr>
            </w:pPr>
            <w:r w:rsidRPr="003A3C27">
              <w:rPr>
                <w:rFonts w:ascii="Verdana" w:hAnsi="Verdana"/>
                <w:sz w:val="24"/>
                <w:szCs w:val="24"/>
              </w:rPr>
              <w:t>00002-1495-80</w:t>
            </w:r>
            <w:r w:rsidRPr="003A3C27">
              <w:rPr>
                <w:rFonts w:ascii="Verdana" w:hAnsi="Verdana" w:cs="Arial"/>
                <w:sz w:val="24"/>
                <w:szCs w:val="24"/>
              </w:rPr>
              <w:t> </w:t>
            </w:r>
          </w:p>
        </w:tc>
        <w:tc>
          <w:tcPr>
            <w:tcW w:w="1667" w:type="pct"/>
          </w:tcPr>
          <w:p w14:paraId="5FBD847C" w14:textId="6E21E90C" w:rsidR="00780AE1" w:rsidRPr="003A3C27" w:rsidRDefault="003F3283" w:rsidP="00DE5934">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47C9EE57" w14:textId="77777777" w:rsidTr="002C4839">
        <w:tc>
          <w:tcPr>
            <w:tcW w:w="1666" w:type="pct"/>
          </w:tcPr>
          <w:p w14:paraId="35534BED" w14:textId="0048DE75" w:rsidR="00780AE1" w:rsidRPr="003A3C27" w:rsidRDefault="00EC1443" w:rsidP="00DE5934">
            <w:pPr>
              <w:spacing w:before="120" w:after="120"/>
              <w:jc w:val="center"/>
              <w:rPr>
                <w:rFonts w:ascii="Verdana" w:hAnsi="Verdana"/>
                <w:sz w:val="24"/>
                <w:szCs w:val="24"/>
              </w:rPr>
            </w:pPr>
            <w:r w:rsidRPr="003A3C27">
              <w:rPr>
                <w:rFonts w:ascii="Verdana" w:hAnsi="Verdana"/>
                <w:sz w:val="24"/>
                <w:szCs w:val="24"/>
              </w:rPr>
              <w:t>Mounjaro Pen 7.5/0.5</w:t>
            </w:r>
            <w:r w:rsidRPr="003A3C27">
              <w:rPr>
                <w:rFonts w:ascii="Verdana" w:hAnsi="Verdana" w:cs="Arial"/>
                <w:sz w:val="24"/>
                <w:szCs w:val="24"/>
              </w:rPr>
              <w:t> </w:t>
            </w:r>
          </w:p>
        </w:tc>
        <w:tc>
          <w:tcPr>
            <w:tcW w:w="1667" w:type="pct"/>
          </w:tcPr>
          <w:p w14:paraId="5794997D" w14:textId="7B5CF2AB" w:rsidR="00780AE1" w:rsidRPr="003A3C27" w:rsidRDefault="005F01D9" w:rsidP="00E109E1">
            <w:pPr>
              <w:spacing w:before="120" w:after="120"/>
              <w:jc w:val="center"/>
              <w:rPr>
                <w:rFonts w:ascii="Verdana" w:hAnsi="Verdana"/>
                <w:sz w:val="24"/>
                <w:szCs w:val="24"/>
              </w:rPr>
            </w:pPr>
            <w:r w:rsidRPr="003A3C27">
              <w:rPr>
                <w:rFonts w:ascii="Verdana" w:hAnsi="Verdana"/>
                <w:sz w:val="24"/>
                <w:szCs w:val="24"/>
              </w:rPr>
              <w:t>00002-1484-80</w:t>
            </w:r>
            <w:r w:rsidRPr="003A3C27">
              <w:rPr>
                <w:rFonts w:ascii="Verdana" w:hAnsi="Verdana" w:cs="Arial"/>
                <w:sz w:val="24"/>
                <w:szCs w:val="24"/>
              </w:rPr>
              <w:t> </w:t>
            </w:r>
          </w:p>
        </w:tc>
        <w:tc>
          <w:tcPr>
            <w:tcW w:w="1667" w:type="pct"/>
          </w:tcPr>
          <w:p w14:paraId="7AD13ACE" w14:textId="2D39DE55"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271B24C8" w14:textId="77777777" w:rsidTr="002C4839">
        <w:tc>
          <w:tcPr>
            <w:tcW w:w="1666" w:type="pct"/>
          </w:tcPr>
          <w:p w14:paraId="28C96309" w14:textId="068AE402" w:rsidR="00780AE1" w:rsidRPr="003A3C27" w:rsidRDefault="0006414E" w:rsidP="00DE5934">
            <w:pPr>
              <w:spacing w:before="120" w:after="120"/>
              <w:jc w:val="center"/>
              <w:rPr>
                <w:rFonts w:ascii="Verdana" w:hAnsi="Verdana"/>
                <w:sz w:val="24"/>
                <w:szCs w:val="24"/>
              </w:rPr>
            </w:pPr>
            <w:r w:rsidRPr="003A3C27">
              <w:rPr>
                <w:rFonts w:ascii="Verdana" w:hAnsi="Verdana"/>
                <w:sz w:val="24"/>
                <w:szCs w:val="24"/>
              </w:rPr>
              <w:t>Mounjaro Pen 10/0.5</w:t>
            </w:r>
            <w:r w:rsidRPr="003A3C27">
              <w:rPr>
                <w:rFonts w:ascii="Verdana" w:hAnsi="Verdana" w:cs="Arial"/>
                <w:sz w:val="24"/>
                <w:szCs w:val="24"/>
              </w:rPr>
              <w:t> </w:t>
            </w:r>
          </w:p>
        </w:tc>
        <w:tc>
          <w:tcPr>
            <w:tcW w:w="1667" w:type="pct"/>
          </w:tcPr>
          <w:p w14:paraId="50E92B88" w14:textId="7A82F4B1" w:rsidR="00780AE1" w:rsidRPr="003A3C27" w:rsidRDefault="00254F0D" w:rsidP="00DE5934">
            <w:pPr>
              <w:spacing w:before="120" w:after="120"/>
              <w:jc w:val="center"/>
              <w:rPr>
                <w:rFonts w:ascii="Verdana" w:hAnsi="Verdana"/>
                <w:sz w:val="24"/>
                <w:szCs w:val="24"/>
              </w:rPr>
            </w:pPr>
            <w:r w:rsidRPr="003A3C27">
              <w:rPr>
                <w:rFonts w:ascii="Verdana" w:hAnsi="Verdana"/>
                <w:sz w:val="24"/>
                <w:szCs w:val="24"/>
              </w:rPr>
              <w:t>00002-1471-80</w:t>
            </w:r>
            <w:r w:rsidRPr="003A3C27">
              <w:rPr>
                <w:rFonts w:ascii="Verdana" w:hAnsi="Verdana" w:cs="Arial"/>
                <w:sz w:val="24"/>
                <w:szCs w:val="24"/>
              </w:rPr>
              <w:t> </w:t>
            </w:r>
          </w:p>
        </w:tc>
        <w:tc>
          <w:tcPr>
            <w:tcW w:w="1667" w:type="pct"/>
          </w:tcPr>
          <w:p w14:paraId="1C37E364" w14:textId="20133561"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57E527FD" w14:textId="77777777" w:rsidTr="002C4839">
        <w:tc>
          <w:tcPr>
            <w:tcW w:w="1666" w:type="pct"/>
          </w:tcPr>
          <w:p w14:paraId="575EE200" w14:textId="1959C85E" w:rsidR="00780AE1" w:rsidRPr="003A3C27" w:rsidRDefault="0006414E" w:rsidP="00DE5934">
            <w:pPr>
              <w:spacing w:before="120" w:after="120"/>
              <w:jc w:val="center"/>
              <w:rPr>
                <w:rFonts w:ascii="Verdana" w:hAnsi="Verdana"/>
                <w:sz w:val="24"/>
                <w:szCs w:val="24"/>
              </w:rPr>
            </w:pPr>
            <w:r w:rsidRPr="003A3C27">
              <w:rPr>
                <w:rFonts w:ascii="Verdana" w:hAnsi="Verdana"/>
                <w:sz w:val="24"/>
                <w:szCs w:val="24"/>
              </w:rPr>
              <w:t>Mounjaro Pen 12.5/0.5</w:t>
            </w:r>
            <w:r w:rsidRPr="003A3C27">
              <w:rPr>
                <w:rFonts w:ascii="Verdana" w:hAnsi="Verdana" w:cs="Arial"/>
                <w:sz w:val="24"/>
                <w:szCs w:val="24"/>
              </w:rPr>
              <w:t> </w:t>
            </w:r>
          </w:p>
        </w:tc>
        <w:tc>
          <w:tcPr>
            <w:tcW w:w="1667" w:type="pct"/>
          </w:tcPr>
          <w:p w14:paraId="6E10EF91" w14:textId="2DEAA5A3" w:rsidR="00780AE1" w:rsidRPr="003A3C27" w:rsidRDefault="0053130B" w:rsidP="00DE5934">
            <w:pPr>
              <w:spacing w:before="120" w:after="120"/>
              <w:jc w:val="center"/>
              <w:rPr>
                <w:rFonts w:ascii="Verdana" w:hAnsi="Verdana"/>
                <w:sz w:val="24"/>
                <w:szCs w:val="24"/>
              </w:rPr>
            </w:pPr>
            <w:r w:rsidRPr="003A3C27">
              <w:rPr>
                <w:rFonts w:ascii="Verdana" w:hAnsi="Verdana"/>
                <w:sz w:val="24"/>
                <w:szCs w:val="24"/>
              </w:rPr>
              <w:t>00002-1460-80</w:t>
            </w:r>
            <w:r w:rsidRPr="003A3C27">
              <w:rPr>
                <w:rFonts w:ascii="Verdana" w:hAnsi="Verdana" w:cs="Arial"/>
                <w:sz w:val="24"/>
                <w:szCs w:val="24"/>
              </w:rPr>
              <w:t> </w:t>
            </w:r>
          </w:p>
        </w:tc>
        <w:tc>
          <w:tcPr>
            <w:tcW w:w="1667" w:type="pct"/>
          </w:tcPr>
          <w:p w14:paraId="1AC37827" w14:textId="1BF37D31"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534E96CE" w14:textId="77777777" w:rsidTr="002C4839">
        <w:tc>
          <w:tcPr>
            <w:tcW w:w="1666" w:type="pct"/>
          </w:tcPr>
          <w:p w14:paraId="0D3BFB1E" w14:textId="2468835F" w:rsidR="00780AE1" w:rsidRPr="003A3C27" w:rsidRDefault="0006414E" w:rsidP="00DE5934">
            <w:pPr>
              <w:spacing w:before="120" w:after="120"/>
              <w:jc w:val="center"/>
              <w:rPr>
                <w:rFonts w:ascii="Verdana" w:hAnsi="Verdana"/>
                <w:sz w:val="24"/>
                <w:szCs w:val="24"/>
              </w:rPr>
            </w:pPr>
            <w:r w:rsidRPr="003A3C27">
              <w:rPr>
                <w:rFonts w:ascii="Verdana" w:hAnsi="Verdana"/>
                <w:sz w:val="24"/>
                <w:szCs w:val="24"/>
              </w:rPr>
              <w:t>Mounjaro Pen 15/0.5</w:t>
            </w:r>
            <w:r w:rsidRPr="003A3C27">
              <w:rPr>
                <w:rFonts w:ascii="Verdana" w:hAnsi="Verdana" w:cs="Arial"/>
                <w:sz w:val="24"/>
                <w:szCs w:val="24"/>
              </w:rPr>
              <w:t> </w:t>
            </w:r>
          </w:p>
        </w:tc>
        <w:tc>
          <w:tcPr>
            <w:tcW w:w="1667" w:type="pct"/>
          </w:tcPr>
          <w:p w14:paraId="511D5815" w14:textId="24BDFBDF" w:rsidR="00780AE1" w:rsidRPr="003A3C27" w:rsidRDefault="0053130B" w:rsidP="00DE5934">
            <w:pPr>
              <w:spacing w:before="120" w:after="120"/>
              <w:jc w:val="center"/>
              <w:rPr>
                <w:rFonts w:ascii="Verdana" w:hAnsi="Verdana"/>
                <w:sz w:val="24"/>
                <w:szCs w:val="24"/>
              </w:rPr>
            </w:pPr>
            <w:r w:rsidRPr="003A3C27">
              <w:rPr>
                <w:rFonts w:ascii="Verdana" w:hAnsi="Verdana"/>
                <w:sz w:val="24"/>
                <w:szCs w:val="24"/>
              </w:rPr>
              <w:t>00002-1457-80</w:t>
            </w:r>
            <w:r w:rsidRPr="003A3C27">
              <w:rPr>
                <w:rFonts w:ascii="Verdana" w:hAnsi="Verdana" w:cs="Arial"/>
                <w:sz w:val="24"/>
                <w:szCs w:val="24"/>
              </w:rPr>
              <w:t> </w:t>
            </w:r>
          </w:p>
        </w:tc>
        <w:tc>
          <w:tcPr>
            <w:tcW w:w="1667" w:type="pct"/>
          </w:tcPr>
          <w:p w14:paraId="6DC90195" w14:textId="6716880E"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72EEC7AB" w14:textId="77777777" w:rsidTr="002C4839">
        <w:tc>
          <w:tcPr>
            <w:tcW w:w="1666" w:type="pct"/>
          </w:tcPr>
          <w:p w14:paraId="08FC4969" w14:textId="683BA6AB" w:rsidR="00780AE1" w:rsidRPr="003A3C27" w:rsidRDefault="00933B74" w:rsidP="00DE5934">
            <w:pPr>
              <w:spacing w:before="120" w:after="120"/>
              <w:jc w:val="center"/>
              <w:rPr>
                <w:rFonts w:ascii="Verdana" w:hAnsi="Verdana"/>
                <w:sz w:val="24"/>
                <w:szCs w:val="24"/>
              </w:rPr>
            </w:pPr>
            <w:r w:rsidRPr="003A3C27">
              <w:rPr>
                <w:rFonts w:ascii="Verdana" w:hAnsi="Verdana"/>
                <w:sz w:val="24"/>
                <w:szCs w:val="24"/>
              </w:rPr>
              <w:t>Trulicity Pen 0.75/0.5</w:t>
            </w:r>
            <w:r w:rsidRPr="003A3C27">
              <w:rPr>
                <w:rFonts w:ascii="Verdana" w:hAnsi="Verdana" w:cs="Arial"/>
                <w:sz w:val="24"/>
                <w:szCs w:val="24"/>
              </w:rPr>
              <w:t> </w:t>
            </w:r>
          </w:p>
        </w:tc>
        <w:tc>
          <w:tcPr>
            <w:tcW w:w="1667" w:type="pct"/>
          </w:tcPr>
          <w:p w14:paraId="5198FC30" w14:textId="4EE87E4F" w:rsidR="00780AE1" w:rsidRPr="003A3C27" w:rsidRDefault="00897853" w:rsidP="00DE5934">
            <w:pPr>
              <w:spacing w:before="120" w:after="120"/>
              <w:jc w:val="center"/>
              <w:rPr>
                <w:rFonts w:ascii="Verdana" w:hAnsi="Verdana"/>
                <w:sz w:val="24"/>
                <w:szCs w:val="24"/>
              </w:rPr>
            </w:pPr>
            <w:r w:rsidRPr="003A3C27">
              <w:rPr>
                <w:rFonts w:ascii="Verdana" w:hAnsi="Verdana"/>
                <w:sz w:val="24"/>
                <w:szCs w:val="24"/>
              </w:rPr>
              <w:t>00002-1433-80</w:t>
            </w:r>
            <w:r w:rsidRPr="003A3C27">
              <w:rPr>
                <w:rFonts w:ascii="Verdana" w:hAnsi="Verdana" w:cs="Arial"/>
                <w:sz w:val="24"/>
                <w:szCs w:val="24"/>
              </w:rPr>
              <w:t> </w:t>
            </w:r>
          </w:p>
        </w:tc>
        <w:tc>
          <w:tcPr>
            <w:tcW w:w="1667" w:type="pct"/>
          </w:tcPr>
          <w:p w14:paraId="750F9C5E" w14:textId="666E7752"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392DF5AC" w14:textId="77777777" w:rsidTr="002C4839">
        <w:tc>
          <w:tcPr>
            <w:tcW w:w="1666" w:type="pct"/>
          </w:tcPr>
          <w:p w14:paraId="4D6EDF56" w14:textId="2B0DEC47" w:rsidR="00780AE1" w:rsidRPr="003A3C27" w:rsidRDefault="008E6773" w:rsidP="00DE5934">
            <w:pPr>
              <w:spacing w:before="120" w:after="120"/>
              <w:jc w:val="center"/>
              <w:rPr>
                <w:rFonts w:ascii="Verdana" w:hAnsi="Verdana"/>
                <w:sz w:val="24"/>
                <w:szCs w:val="24"/>
              </w:rPr>
            </w:pPr>
            <w:r w:rsidRPr="003A3C27">
              <w:rPr>
                <w:rFonts w:ascii="Verdana" w:hAnsi="Verdana"/>
                <w:sz w:val="24"/>
                <w:szCs w:val="24"/>
              </w:rPr>
              <w:t>Trulicity Pen 1.5/0.5</w:t>
            </w:r>
            <w:r w:rsidRPr="003A3C27">
              <w:rPr>
                <w:rFonts w:ascii="Verdana" w:hAnsi="Verdana" w:cs="Arial"/>
                <w:sz w:val="24"/>
                <w:szCs w:val="24"/>
              </w:rPr>
              <w:t> </w:t>
            </w:r>
          </w:p>
        </w:tc>
        <w:tc>
          <w:tcPr>
            <w:tcW w:w="1667" w:type="pct"/>
          </w:tcPr>
          <w:p w14:paraId="317AB598" w14:textId="3A472208" w:rsidR="00780AE1" w:rsidRPr="003A3C27" w:rsidRDefault="00897853" w:rsidP="00DE5934">
            <w:pPr>
              <w:spacing w:before="120" w:after="120"/>
              <w:jc w:val="center"/>
              <w:rPr>
                <w:rFonts w:ascii="Verdana" w:hAnsi="Verdana"/>
                <w:sz w:val="24"/>
                <w:szCs w:val="24"/>
              </w:rPr>
            </w:pPr>
            <w:r w:rsidRPr="003A3C27">
              <w:rPr>
                <w:rFonts w:ascii="Verdana" w:hAnsi="Verdana"/>
                <w:sz w:val="24"/>
                <w:szCs w:val="24"/>
              </w:rPr>
              <w:t>00002-1434-80</w:t>
            </w:r>
            <w:r w:rsidRPr="003A3C27">
              <w:rPr>
                <w:rFonts w:ascii="Verdana" w:hAnsi="Verdana" w:cs="Arial"/>
                <w:sz w:val="24"/>
                <w:szCs w:val="24"/>
              </w:rPr>
              <w:t> </w:t>
            </w:r>
          </w:p>
        </w:tc>
        <w:tc>
          <w:tcPr>
            <w:tcW w:w="1667" w:type="pct"/>
          </w:tcPr>
          <w:p w14:paraId="4B954968" w14:textId="36E476C2"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933B74" w:rsidRPr="00E109E1" w14:paraId="7470C4AB" w14:textId="77777777" w:rsidTr="002C4839">
        <w:tc>
          <w:tcPr>
            <w:tcW w:w="1666" w:type="pct"/>
          </w:tcPr>
          <w:p w14:paraId="333687A0" w14:textId="16422649" w:rsidR="00780AE1" w:rsidRPr="003A3C27" w:rsidRDefault="005377CB" w:rsidP="00DE5934">
            <w:pPr>
              <w:spacing w:before="120" w:after="120"/>
              <w:jc w:val="center"/>
              <w:rPr>
                <w:rFonts w:ascii="Verdana" w:hAnsi="Verdana"/>
                <w:sz w:val="24"/>
                <w:szCs w:val="24"/>
              </w:rPr>
            </w:pPr>
            <w:r w:rsidRPr="003A3C27">
              <w:rPr>
                <w:rFonts w:ascii="Verdana" w:hAnsi="Verdana"/>
                <w:sz w:val="24"/>
                <w:szCs w:val="24"/>
              </w:rPr>
              <w:t>Trulicity Pen 3/0.5</w:t>
            </w:r>
            <w:r w:rsidRPr="003A3C27">
              <w:rPr>
                <w:rFonts w:ascii="Verdana" w:hAnsi="Verdana" w:cs="Arial"/>
                <w:sz w:val="24"/>
                <w:szCs w:val="24"/>
              </w:rPr>
              <w:t> </w:t>
            </w:r>
          </w:p>
        </w:tc>
        <w:tc>
          <w:tcPr>
            <w:tcW w:w="1667" w:type="pct"/>
          </w:tcPr>
          <w:p w14:paraId="4DFDCB2F" w14:textId="19D6510F" w:rsidR="00780AE1" w:rsidRPr="00DE5934" w:rsidRDefault="008215F5" w:rsidP="00DE5934">
            <w:pPr>
              <w:spacing w:before="120" w:after="120"/>
              <w:jc w:val="center"/>
              <w:rPr>
                <w:rFonts w:ascii="Verdana" w:eastAsia="Aptos" w:hAnsi="Verdana" w:cs="Aptos"/>
                <w:kern w:val="0"/>
                <w:sz w:val="24"/>
                <w:szCs w:val="24"/>
              </w:rPr>
            </w:pPr>
            <w:r w:rsidRPr="003A3C27">
              <w:rPr>
                <w:rFonts w:ascii="Verdana" w:eastAsia="Aptos" w:hAnsi="Verdana" w:cs="Aptos"/>
                <w:kern w:val="0"/>
                <w:sz w:val="24"/>
                <w:szCs w:val="24"/>
              </w:rPr>
              <w:t>00002-2236-80</w:t>
            </w:r>
            <w:r w:rsidRPr="003A3C27">
              <w:rPr>
                <w:rFonts w:ascii="Verdana" w:eastAsia="Aptos" w:hAnsi="Verdana" w:cs="Arial"/>
                <w:kern w:val="0"/>
                <w:sz w:val="24"/>
                <w:szCs w:val="24"/>
              </w:rPr>
              <w:t> </w:t>
            </w:r>
          </w:p>
        </w:tc>
        <w:tc>
          <w:tcPr>
            <w:tcW w:w="1667" w:type="pct"/>
          </w:tcPr>
          <w:p w14:paraId="1C689D8C" w14:textId="75ACAE84" w:rsidR="00780AE1"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r w:rsidR="00897853" w:rsidRPr="00E109E1" w14:paraId="79AB8FA7" w14:textId="77777777" w:rsidTr="002C4839">
        <w:tc>
          <w:tcPr>
            <w:tcW w:w="1666" w:type="pct"/>
            <w:shd w:val="clear" w:color="auto" w:fill="FFFFFF" w:themeFill="background1"/>
          </w:tcPr>
          <w:p w14:paraId="1DCCBA9F" w14:textId="0D0F588E" w:rsidR="00640EBE" w:rsidRPr="003A3C27" w:rsidRDefault="00696D65" w:rsidP="00DE5934">
            <w:pPr>
              <w:spacing w:before="120" w:after="120"/>
              <w:jc w:val="center"/>
              <w:rPr>
                <w:rFonts w:ascii="Verdana" w:hAnsi="Verdana"/>
                <w:sz w:val="24"/>
                <w:szCs w:val="24"/>
              </w:rPr>
            </w:pPr>
            <w:r w:rsidRPr="003A3C27">
              <w:rPr>
                <w:rFonts w:ascii="Verdana" w:hAnsi="Verdana"/>
                <w:sz w:val="24"/>
                <w:szCs w:val="24"/>
              </w:rPr>
              <w:t>Trulicity Pen 4.5/0.5</w:t>
            </w:r>
            <w:r w:rsidRPr="003A3C27">
              <w:rPr>
                <w:rFonts w:ascii="Verdana" w:hAnsi="Verdana" w:cs="Arial"/>
                <w:sz w:val="24"/>
                <w:szCs w:val="24"/>
              </w:rPr>
              <w:t> </w:t>
            </w:r>
          </w:p>
        </w:tc>
        <w:tc>
          <w:tcPr>
            <w:tcW w:w="1667" w:type="pct"/>
            <w:shd w:val="clear" w:color="auto" w:fill="FFFFFF" w:themeFill="background1"/>
          </w:tcPr>
          <w:p w14:paraId="52201C29" w14:textId="78DCCEA6" w:rsidR="00640EBE" w:rsidRPr="003A3C27" w:rsidRDefault="003B20F3" w:rsidP="00DE5934">
            <w:pPr>
              <w:spacing w:before="120" w:after="120"/>
              <w:jc w:val="center"/>
              <w:rPr>
                <w:rFonts w:ascii="Verdana" w:hAnsi="Verdana"/>
                <w:sz w:val="24"/>
                <w:szCs w:val="24"/>
              </w:rPr>
            </w:pPr>
            <w:r w:rsidRPr="003A3C27">
              <w:rPr>
                <w:rFonts w:ascii="Verdana" w:hAnsi="Verdana"/>
                <w:sz w:val="24"/>
                <w:szCs w:val="24"/>
              </w:rPr>
              <w:t>00002-3182-80</w:t>
            </w:r>
            <w:r w:rsidRPr="003A3C27">
              <w:rPr>
                <w:rFonts w:ascii="Verdana" w:hAnsi="Verdana" w:cs="Arial"/>
                <w:sz w:val="24"/>
                <w:szCs w:val="24"/>
              </w:rPr>
              <w:t> </w:t>
            </w:r>
          </w:p>
        </w:tc>
        <w:tc>
          <w:tcPr>
            <w:tcW w:w="1667" w:type="pct"/>
            <w:shd w:val="clear" w:color="auto" w:fill="FFFFFF" w:themeFill="background1"/>
          </w:tcPr>
          <w:p w14:paraId="34E525CA" w14:textId="7CAFE713" w:rsidR="00640EBE" w:rsidRPr="003A3C27" w:rsidRDefault="00557482" w:rsidP="00E109E1">
            <w:pPr>
              <w:spacing w:before="120" w:after="120"/>
              <w:jc w:val="center"/>
              <w:rPr>
                <w:rFonts w:ascii="Verdana" w:hAnsi="Verdana"/>
                <w:sz w:val="24"/>
                <w:szCs w:val="24"/>
              </w:rPr>
            </w:pPr>
            <w:r w:rsidRPr="00DE5934">
              <w:rPr>
                <w:rFonts w:ascii="Verdana" w:hAnsi="Verdana"/>
                <w:sz w:val="24"/>
                <w:szCs w:val="24"/>
              </w:rPr>
              <w:t>07/01/2025</w:t>
            </w:r>
          </w:p>
        </w:tc>
      </w:tr>
    </w:tbl>
    <w:p w14:paraId="68797EDD" w14:textId="77777777" w:rsidR="00F359D3" w:rsidRDefault="00F359D3" w:rsidP="00F359D3">
      <w:pPr>
        <w:rPr>
          <w:rFonts w:ascii="Verdana" w:hAnsi="Verdana"/>
          <w:sz w:val="24"/>
          <w:szCs w:val="24"/>
        </w:rPr>
      </w:pPr>
    </w:p>
    <w:p w14:paraId="19E6329F" w14:textId="77777777" w:rsidR="007857D4" w:rsidRDefault="007857D4" w:rsidP="007857D4">
      <w:pPr>
        <w:rPr>
          <w:rFonts w:ascii="Verdana" w:hAnsi="Verdana"/>
          <w:sz w:val="24"/>
          <w:szCs w:val="24"/>
        </w:rPr>
      </w:pPr>
    </w:p>
    <w:p w14:paraId="52E9AAE6" w14:textId="0AA3FE5E" w:rsidR="007857D4" w:rsidRPr="00454724" w:rsidRDefault="00454724" w:rsidP="007857D4">
      <w:pPr>
        <w:rPr>
          <w:rFonts w:ascii="Verdana" w:hAnsi="Verdana"/>
          <w:b/>
          <w:bCs/>
          <w:sz w:val="24"/>
          <w:szCs w:val="24"/>
        </w:rPr>
      </w:pPr>
      <w:r w:rsidRPr="00454724">
        <w:rPr>
          <w:rFonts w:ascii="Verdana" w:hAnsi="Verdana"/>
          <w:b/>
          <w:bCs/>
          <w:sz w:val="24"/>
          <w:szCs w:val="24"/>
        </w:rPr>
        <w:t>Talking Points:</w:t>
      </w:r>
    </w:p>
    <w:p w14:paraId="5E686E80" w14:textId="77777777" w:rsidR="00454724" w:rsidRDefault="00454724" w:rsidP="007857D4">
      <w:pPr>
        <w:rPr>
          <w:rFonts w:ascii="Verdana" w:hAnsi="Verdana"/>
          <w:sz w:val="24"/>
          <w:szCs w:val="24"/>
        </w:rPr>
      </w:pPr>
    </w:p>
    <w:p w14:paraId="3F4ED2E7" w14:textId="77777777" w:rsidR="00030B5C" w:rsidRPr="00030B5C" w:rsidRDefault="007857D4" w:rsidP="00030B5C">
      <w:pPr>
        <w:pStyle w:val="ListParagraph"/>
        <w:numPr>
          <w:ilvl w:val="0"/>
          <w:numId w:val="10"/>
        </w:numPr>
        <w:rPr>
          <w:rFonts w:ascii="Verdana" w:hAnsi="Verdana"/>
          <w:sz w:val="24"/>
          <w:szCs w:val="24"/>
        </w:rPr>
      </w:pPr>
      <w:r w:rsidRPr="00030B5C">
        <w:rPr>
          <w:rFonts w:ascii="Verdana" w:hAnsi="Verdana"/>
          <w:b/>
          <w:bCs/>
          <w:sz w:val="24"/>
          <w:szCs w:val="24"/>
        </w:rPr>
        <w:t>Why do you all keep changing your mind and impacting customers?</w:t>
      </w:r>
    </w:p>
    <w:p w14:paraId="4E326F99" w14:textId="3FDA43A0" w:rsidR="007857D4" w:rsidRPr="00030B5C" w:rsidRDefault="00030B5C" w:rsidP="00030B5C">
      <w:pPr>
        <w:pStyle w:val="ListParagraph"/>
        <w:rPr>
          <w:rFonts w:ascii="Verdana" w:hAnsi="Verdana"/>
          <w:sz w:val="24"/>
          <w:szCs w:val="24"/>
        </w:rPr>
      </w:pPr>
      <w:r>
        <w:rPr>
          <w:noProof/>
        </w:rPr>
        <w:drawing>
          <wp:inline distT="0" distB="0" distL="0" distR="0" wp14:anchorId="4C331E81" wp14:editId="20C6B116">
            <wp:extent cx="238158" cy="209579"/>
            <wp:effectExtent l="0" t="0" r="9525" b="0"/>
            <wp:docPr id="59382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9360" name="Picture 593829360"/>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30B5C">
        <w:rPr>
          <w:rFonts w:ascii="Verdana" w:hAnsi="Verdana"/>
          <w:sz w:val="24"/>
          <w:szCs w:val="24"/>
        </w:rPr>
        <w:t xml:space="preserve"> </w:t>
      </w:r>
      <w:r w:rsidR="007857D4" w:rsidRPr="00030B5C">
        <w:rPr>
          <w:rFonts w:ascii="Verdana" w:hAnsi="Verdana"/>
          <w:sz w:val="24"/>
          <w:szCs w:val="24"/>
        </w:rPr>
        <w:t>We understand that frequent changes can be frustrating. Our decisions are based on ongoing evaluations of market conditions, member feedback, and the need to ensure that our members have access to the medications they require. We are committed to making informed decisions that prioritize our members’ health.</w:t>
      </w:r>
    </w:p>
    <w:p w14:paraId="7FF014F3" w14:textId="77777777" w:rsidR="007857D4" w:rsidRPr="007857D4" w:rsidRDefault="007857D4" w:rsidP="007857D4">
      <w:pPr>
        <w:rPr>
          <w:rFonts w:ascii="Verdana" w:hAnsi="Verdana"/>
          <w:sz w:val="24"/>
          <w:szCs w:val="24"/>
        </w:rPr>
      </w:pPr>
    </w:p>
    <w:p w14:paraId="38609C59" w14:textId="77777777" w:rsidR="007857D4" w:rsidRPr="00030B5C" w:rsidRDefault="007857D4" w:rsidP="00030B5C">
      <w:pPr>
        <w:pStyle w:val="ListParagraph"/>
        <w:numPr>
          <w:ilvl w:val="0"/>
          <w:numId w:val="10"/>
        </w:numPr>
        <w:rPr>
          <w:rFonts w:ascii="Verdana" w:hAnsi="Verdana"/>
          <w:sz w:val="24"/>
          <w:szCs w:val="24"/>
        </w:rPr>
      </w:pPr>
      <w:r w:rsidRPr="00030B5C">
        <w:rPr>
          <w:rFonts w:ascii="Verdana" w:hAnsi="Verdana"/>
          <w:b/>
          <w:bCs/>
          <w:sz w:val="24"/>
          <w:szCs w:val="24"/>
        </w:rPr>
        <w:t>Why can I do the higher dose but not a starter dose?</w:t>
      </w:r>
    </w:p>
    <w:p w14:paraId="6D5AD5BA" w14:textId="3069C689" w:rsidR="007857D4" w:rsidRPr="007857D4" w:rsidRDefault="00030B5C" w:rsidP="00030B5C">
      <w:pPr>
        <w:ind w:left="720"/>
        <w:rPr>
          <w:rFonts w:ascii="Verdana" w:hAnsi="Verdana"/>
          <w:sz w:val="24"/>
          <w:szCs w:val="24"/>
        </w:rPr>
      </w:pPr>
      <w:r>
        <w:rPr>
          <w:noProof/>
        </w:rPr>
        <w:drawing>
          <wp:inline distT="0" distB="0" distL="0" distR="0" wp14:anchorId="64F23E99" wp14:editId="3C5862B4">
            <wp:extent cx="238158" cy="209579"/>
            <wp:effectExtent l="0" t="0" r="9525" b="0"/>
            <wp:docPr id="173810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9360" name="Picture 593829360"/>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30B5C">
        <w:rPr>
          <w:rFonts w:ascii="Verdana" w:hAnsi="Verdana"/>
          <w:sz w:val="24"/>
          <w:szCs w:val="24"/>
        </w:rPr>
        <w:t xml:space="preserve"> </w:t>
      </w:r>
      <w:r w:rsidR="007857D4" w:rsidRPr="008F5FE7">
        <w:rPr>
          <w:rFonts w:ascii="Verdana" w:hAnsi="Verdana"/>
          <w:sz w:val="24"/>
          <w:szCs w:val="24"/>
        </w:rPr>
        <w:t>The availability of higher doses versus starter doses is determined by clinical guidelines and the specific needs of our members. Higher doses may be appropriate for patients who have already been prescribed these medications, while starter doses often require in-person consultations to ensure proper monitoring and support.</w:t>
      </w:r>
    </w:p>
    <w:p w14:paraId="50C620C7" w14:textId="77777777" w:rsidR="007857D4" w:rsidRPr="007857D4" w:rsidRDefault="007857D4" w:rsidP="007857D4">
      <w:pPr>
        <w:rPr>
          <w:rFonts w:ascii="Verdana" w:hAnsi="Verdana"/>
          <w:sz w:val="24"/>
          <w:szCs w:val="24"/>
        </w:rPr>
      </w:pPr>
    </w:p>
    <w:p w14:paraId="5BE454D3" w14:textId="77777777" w:rsidR="007857D4" w:rsidRPr="00030B5C" w:rsidRDefault="007857D4" w:rsidP="00030B5C">
      <w:pPr>
        <w:pStyle w:val="ListParagraph"/>
        <w:numPr>
          <w:ilvl w:val="0"/>
          <w:numId w:val="10"/>
        </w:numPr>
        <w:rPr>
          <w:rFonts w:ascii="Verdana" w:hAnsi="Verdana"/>
          <w:sz w:val="24"/>
          <w:szCs w:val="24"/>
        </w:rPr>
      </w:pPr>
      <w:r w:rsidRPr="00030B5C">
        <w:rPr>
          <w:rFonts w:ascii="Verdana" w:hAnsi="Verdana"/>
          <w:b/>
          <w:bCs/>
          <w:sz w:val="24"/>
          <w:szCs w:val="24"/>
        </w:rPr>
        <w:t>This is not related to 07/01 formulary changes for Wegovy and Zepbound.</w:t>
      </w:r>
    </w:p>
    <w:p w14:paraId="3D16B184" w14:textId="66075170" w:rsidR="00030B5C" w:rsidRDefault="00030B5C" w:rsidP="00030B5C">
      <w:pPr>
        <w:ind w:left="720"/>
        <w:rPr>
          <w:rFonts w:ascii="Verdana" w:hAnsi="Verdana"/>
          <w:sz w:val="24"/>
          <w:szCs w:val="24"/>
        </w:rPr>
      </w:pPr>
      <w:r>
        <w:rPr>
          <w:noProof/>
        </w:rPr>
        <w:drawing>
          <wp:inline distT="0" distB="0" distL="0" distR="0" wp14:anchorId="3B8C429D" wp14:editId="0EE449F2">
            <wp:extent cx="238158" cy="209579"/>
            <wp:effectExtent l="0" t="0" r="9525" b="0"/>
            <wp:docPr id="126405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9360" name="Picture 593829360"/>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30B5C">
        <w:rPr>
          <w:rFonts w:ascii="Verdana" w:hAnsi="Verdana"/>
          <w:sz w:val="24"/>
          <w:szCs w:val="24"/>
        </w:rPr>
        <w:t xml:space="preserve"> </w:t>
      </w:r>
      <w:r w:rsidR="00A54D11" w:rsidRPr="008F5FE7">
        <w:rPr>
          <w:rFonts w:ascii="Verdana" w:hAnsi="Verdana"/>
          <w:sz w:val="24"/>
          <w:szCs w:val="24"/>
        </w:rPr>
        <w:t>It is</w:t>
      </w:r>
      <w:r w:rsidR="007857D4" w:rsidRPr="008F5FE7">
        <w:rPr>
          <w:rFonts w:ascii="Verdana" w:hAnsi="Verdana"/>
          <w:sz w:val="24"/>
          <w:szCs w:val="24"/>
        </w:rPr>
        <w:t xml:space="preserve"> important to clarify that the return of </w:t>
      </w:r>
      <w:r w:rsidR="0049594C">
        <w:rPr>
          <w:rFonts w:ascii="Verdana" w:hAnsi="Verdana"/>
          <w:sz w:val="24"/>
          <w:szCs w:val="24"/>
        </w:rPr>
        <w:t xml:space="preserve">select </w:t>
      </w:r>
      <w:r w:rsidR="007857D4" w:rsidRPr="008F5FE7">
        <w:rPr>
          <w:rFonts w:ascii="Verdana" w:hAnsi="Verdana"/>
          <w:sz w:val="24"/>
          <w:szCs w:val="24"/>
        </w:rPr>
        <w:t>GLP-1 medications to Mail Order is a separate initiative from the 07/01 formulary changes. While both involve medication access, they address different aspects of our service offerings.</w:t>
      </w:r>
    </w:p>
    <w:p w14:paraId="1227ED6A" w14:textId="77777777" w:rsidR="00030B5C" w:rsidRDefault="00030B5C" w:rsidP="00030B5C">
      <w:pPr>
        <w:ind w:left="720"/>
        <w:rPr>
          <w:rFonts w:ascii="Verdana" w:hAnsi="Verdana"/>
          <w:sz w:val="24"/>
          <w:szCs w:val="24"/>
        </w:rPr>
      </w:pPr>
    </w:p>
    <w:p w14:paraId="6673F44F" w14:textId="77777777" w:rsidR="00030B5C" w:rsidRDefault="00030B5C" w:rsidP="00030B5C">
      <w:pPr>
        <w:ind w:left="720"/>
        <w:rPr>
          <w:rFonts w:ascii="Verdana" w:hAnsi="Verdana"/>
          <w:sz w:val="24"/>
          <w:szCs w:val="24"/>
        </w:rPr>
      </w:pPr>
      <w:r>
        <w:rPr>
          <w:noProof/>
        </w:rPr>
        <w:drawing>
          <wp:inline distT="0" distB="0" distL="0" distR="0" wp14:anchorId="445A84CF" wp14:editId="5FA5D642">
            <wp:extent cx="238158" cy="209579"/>
            <wp:effectExtent l="0" t="0" r="9525" b="0"/>
            <wp:docPr id="11427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9360" name="Picture 593829360"/>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30B5C">
        <w:rPr>
          <w:rFonts w:ascii="Verdana" w:hAnsi="Verdana"/>
          <w:sz w:val="24"/>
          <w:szCs w:val="24"/>
        </w:rPr>
        <w:t xml:space="preserve"> </w:t>
      </w:r>
      <w:r w:rsidR="007857D4" w:rsidRPr="00030B5C">
        <w:rPr>
          <w:rFonts w:ascii="Verdana" w:hAnsi="Verdana"/>
          <w:sz w:val="24"/>
          <w:szCs w:val="24"/>
        </w:rPr>
        <w:t xml:space="preserve">The return of </w:t>
      </w:r>
      <w:r w:rsidR="0049594C" w:rsidRPr="00030B5C">
        <w:rPr>
          <w:rFonts w:ascii="Verdana" w:hAnsi="Verdana"/>
          <w:sz w:val="24"/>
          <w:szCs w:val="24"/>
        </w:rPr>
        <w:t xml:space="preserve">select </w:t>
      </w:r>
      <w:r w:rsidR="007857D4" w:rsidRPr="00030B5C">
        <w:rPr>
          <w:rFonts w:ascii="Verdana" w:hAnsi="Verdana"/>
          <w:sz w:val="24"/>
          <w:szCs w:val="24"/>
        </w:rPr>
        <w:t>GLP</w:t>
      </w:r>
      <w:r w:rsidR="000E263B" w:rsidRPr="00030B5C">
        <w:rPr>
          <w:rFonts w:ascii="Verdana" w:hAnsi="Verdana"/>
          <w:sz w:val="24"/>
          <w:szCs w:val="24"/>
        </w:rPr>
        <w:t>-</w:t>
      </w:r>
      <w:r w:rsidR="007857D4" w:rsidRPr="00030B5C">
        <w:rPr>
          <w:rFonts w:ascii="Verdana" w:hAnsi="Verdana"/>
          <w:sz w:val="24"/>
          <w:szCs w:val="24"/>
        </w:rPr>
        <w:t>1</w:t>
      </w:r>
      <w:r w:rsidR="0048692C" w:rsidRPr="00030B5C">
        <w:rPr>
          <w:rFonts w:ascii="Verdana" w:hAnsi="Verdana"/>
          <w:sz w:val="24"/>
          <w:szCs w:val="24"/>
        </w:rPr>
        <w:t xml:space="preserve"> medications</w:t>
      </w:r>
      <w:r w:rsidR="007857D4" w:rsidRPr="00030B5C">
        <w:rPr>
          <w:rFonts w:ascii="Verdana" w:hAnsi="Verdana"/>
          <w:sz w:val="24"/>
          <w:szCs w:val="24"/>
        </w:rPr>
        <w:t xml:space="preserve"> at mail is based on supply availability, allowing us to provide this important medication to our members more effectively.</w:t>
      </w:r>
    </w:p>
    <w:p w14:paraId="38F73ACF" w14:textId="77777777" w:rsidR="00030B5C" w:rsidRDefault="00030B5C" w:rsidP="00030B5C">
      <w:pPr>
        <w:ind w:left="720"/>
        <w:rPr>
          <w:rFonts w:ascii="Verdana" w:hAnsi="Verdana"/>
          <w:sz w:val="24"/>
          <w:szCs w:val="24"/>
        </w:rPr>
      </w:pPr>
    </w:p>
    <w:p w14:paraId="18AC1A8C" w14:textId="77777777" w:rsidR="00030B5C" w:rsidRDefault="00030B5C" w:rsidP="00030B5C">
      <w:pPr>
        <w:ind w:left="720"/>
        <w:rPr>
          <w:rFonts w:ascii="Verdana" w:hAnsi="Verdana"/>
          <w:sz w:val="24"/>
          <w:szCs w:val="24"/>
        </w:rPr>
      </w:pPr>
      <w:r>
        <w:rPr>
          <w:noProof/>
        </w:rPr>
        <w:drawing>
          <wp:inline distT="0" distB="0" distL="0" distR="0" wp14:anchorId="02A80294" wp14:editId="0277896A">
            <wp:extent cx="238158" cy="209579"/>
            <wp:effectExtent l="0" t="0" r="9525" b="0"/>
            <wp:docPr id="44033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29360" name="Picture 593829360"/>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30B5C">
        <w:rPr>
          <w:rFonts w:ascii="Verdana" w:hAnsi="Verdana"/>
          <w:sz w:val="24"/>
          <w:szCs w:val="24"/>
        </w:rPr>
        <w:t xml:space="preserve"> </w:t>
      </w:r>
      <w:r w:rsidR="007857D4" w:rsidRPr="00030B5C">
        <w:rPr>
          <w:rFonts w:ascii="Verdana" w:hAnsi="Verdana"/>
          <w:sz w:val="24"/>
          <w:szCs w:val="24"/>
        </w:rPr>
        <w:t xml:space="preserve">The return of </w:t>
      </w:r>
      <w:r w:rsidR="0049594C" w:rsidRPr="00030B5C">
        <w:rPr>
          <w:rFonts w:ascii="Verdana" w:hAnsi="Verdana"/>
          <w:sz w:val="24"/>
          <w:szCs w:val="24"/>
        </w:rPr>
        <w:t xml:space="preserve">select </w:t>
      </w:r>
      <w:r w:rsidR="007857D4" w:rsidRPr="00030B5C">
        <w:rPr>
          <w:rFonts w:ascii="Verdana" w:hAnsi="Verdana"/>
          <w:sz w:val="24"/>
          <w:szCs w:val="24"/>
        </w:rPr>
        <w:t>GLP</w:t>
      </w:r>
      <w:r w:rsidR="000E263B" w:rsidRPr="00030B5C">
        <w:rPr>
          <w:rFonts w:ascii="Verdana" w:hAnsi="Verdana"/>
          <w:sz w:val="24"/>
          <w:szCs w:val="24"/>
        </w:rPr>
        <w:t>-</w:t>
      </w:r>
      <w:r w:rsidR="007857D4" w:rsidRPr="00030B5C">
        <w:rPr>
          <w:rFonts w:ascii="Verdana" w:hAnsi="Verdana"/>
          <w:sz w:val="24"/>
          <w:szCs w:val="24"/>
        </w:rPr>
        <w:t xml:space="preserve">1 </w:t>
      </w:r>
      <w:r w:rsidR="0048692C" w:rsidRPr="00030B5C">
        <w:rPr>
          <w:rFonts w:ascii="Verdana" w:hAnsi="Verdana"/>
          <w:sz w:val="24"/>
          <w:szCs w:val="24"/>
        </w:rPr>
        <w:t xml:space="preserve">medications </w:t>
      </w:r>
      <w:r w:rsidR="007857D4" w:rsidRPr="00030B5C">
        <w:rPr>
          <w:rFonts w:ascii="Verdana" w:hAnsi="Verdana"/>
          <w:sz w:val="24"/>
          <w:szCs w:val="24"/>
        </w:rPr>
        <w:t>at mail is not related to the 07/01 formulary changes. The formulary changes impact specific plan formularies, while the return of</w:t>
      </w:r>
      <w:r w:rsidR="0049594C" w:rsidRPr="00030B5C">
        <w:rPr>
          <w:rFonts w:ascii="Verdana" w:hAnsi="Verdana"/>
          <w:sz w:val="24"/>
          <w:szCs w:val="24"/>
        </w:rPr>
        <w:t xml:space="preserve"> select</w:t>
      </w:r>
      <w:r w:rsidR="007857D4" w:rsidRPr="00030B5C">
        <w:rPr>
          <w:rFonts w:ascii="Verdana" w:hAnsi="Verdana"/>
          <w:sz w:val="24"/>
          <w:szCs w:val="24"/>
        </w:rPr>
        <w:t xml:space="preserve"> GLP</w:t>
      </w:r>
      <w:r w:rsidR="000E263B" w:rsidRPr="00030B5C">
        <w:rPr>
          <w:rFonts w:ascii="Verdana" w:hAnsi="Verdana"/>
          <w:sz w:val="24"/>
          <w:szCs w:val="24"/>
        </w:rPr>
        <w:t>-</w:t>
      </w:r>
      <w:r w:rsidR="007857D4" w:rsidRPr="00030B5C">
        <w:rPr>
          <w:rFonts w:ascii="Verdana" w:hAnsi="Verdana"/>
          <w:sz w:val="24"/>
          <w:szCs w:val="24"/>
        </w:rPr>
        <w:t>1</w:t>
      </w:r>
      <w:r w:rsidR="00957520" w:rsidRPr="00030B5C">
        <w:rPr>
          <w:rFonts w:ascii="Verdana" w:hAnsi="Verdana"/>
          <w:sz w:val="24"/>
          <w:szCs w:val="24"/>
        </w:rPr>
        <w:t xml:space="preserve"> medications</w:t>
      </w:r>
      <w:r w:rsidR="007857D4" w:rsidRPr="00030B5C">
        <w:rPr>
          <w:rFonts w:ascii="Verdana" w:hAnsi="Verdana"/>
          <w:sz w:val="24"/>
          <w:szCs w:val="24"/>
        </w:rPr>
        <w:t xml:space="preserve"> affects all clients using the Caremark Mail Order pharmacy.</w:t>
      </w:r>
    </w:p>
    <w:p w14:paraId="1ECED934" w14:textId="77777777" w:rsidR="00030B5C" w:rsidRDefault="00030B5C" w:rsidP="00030B5C">
      <w:pPr>
        <w:rPr>
          <w:rFonts w:ascii="Verdana" w:hAnsi="Verdana"/>
          <w:sz w:val="24"/>
          <w:szCs w:val="24"/>
        </w:rPr>
      </w:pPr>
    </w:p>
    <w:p w14:paraId="5247C1FF" w14:textId="7512809F" w:rsidR="000E2816" w:rsidRPr="00030B5C" w:rsidRDefault="00AA7474" w:rsidP="00030B5C">
      <w:pPr>
        <w:rPr>
          <w:rFonts w:ascii="Verdana" w:hAnsi="Verdana"/>
          <w:sz w:val="24"/>
          <w:szCs w:val="24"/>
        </w:rPr>
      </w:pPr>
      <w:r w:rsidRPr="00030B5C">
        <w:rPr>
          <w:rFonts w:ascii="Verdana" w:hAnsi="Verdana"/>
          <w:sz w:val="24"/>
          <w:szCs w:val="24"/>
        </w:rPr>
        <w:t>For more information on the 07/01 formulary changes</w:t>
      </w:r>
      <w:r w:rsidR="000E2816" w:rsidRPr="00030B5C">
        <w:rPr>
          <w:rFonts w:ascii="Verdana" w:hAnsi="Verdana"/>
          <w:sz w:val="24"/>
          <w:szCs w:val="24"/>
        </w:rPr>
        <w:t xml:space="preserve">, refer to </w:t>
      </w:r>
      <w:hyperlink r:id="rId10" w:anchor="!/view?docid=c746a1ed-5394-4841-8191-86f9724b2372" w:history="1">
        <w:r w:rsidR="000E2816" w:rsidRPr="00EE5E33">
          <w:rPr>
            <w:rStyle w:val="Hyperlink"/>
            <w:szCs w:val="24"/>
          </w:rPr>
          <w:t>Formulary Changes Starting July 1</w:t>
        </w:r>
        <w:r w:rsidR="000E2816" w:rsidRPr="00EE5E33">
          <w:rPr>
            <w:rStyle w:val="Hyperlink"/>
            <w:szCs w:val="24"/>
            <w:vertAlign w:val="superscript"/>
          </w:rPr>
          <w:t>st, </w:t>
        </w:r>
        <w:r w:rsidR="000E2816" w:rsidRPr="00EE5E33">
          <w:rPr>
            <w:rStyle w:val="Hyperlink"/>
            <w:szCs w:val="24"/>
          </w:rPr>
          <w:t xml:space="preserve">2025, for GLP-1 Weight Loss Medications </w:t>
        </w:r>
        <w:r w:rsidR="00EE5E33" w:rsidRPr="00EE5E33">
          <w:rPr>
            <w:rStyle w:val="Hyperlink"/>
            <w:szCs w:val="24"/>
          </w:rPr>
          <w:t>(</w:t>
        </w:r>
        <w:r w:rsidR="000E2816" w:rsidRPr="00EE5E33">
          <w:rPr>
            <w:rStyle w:val="Hyperlink"/>
            <w:szCs w:val="24"/>
          </w:rPr>
          <w:t>074827</w:t>
        </w:r>
        <w:r w:rsidR="00EE5E33" w:rsidRPr="00EE5E33">
          <w:rPr>
            <w:rStyle w:val="Hyperlink"/>
            <w:szCs w:val="24"/>
          </w:rPr>
          <w:t>)</w:t>
        </w:r>
      </w:hyperlink>
      <w:r w:rsidR="00EE5E33">
        <w:rPr>
          <w:rFonts w:ascii="Verdana" w:hAnsi="Verdana"/>
          <w:sz w:val="24"/>
          <w:szCs w:val="24"/>
        </w:rPr>
        <w:t>.</w:t>
      </w:r>
    </w:p>
    <w:p w14:paraId="26411183" w14:textId="25EA2B88" w:rsidR="00AA7474" w:rsidRPr="007857D4" w:rsidRDefault="00AA7474" w:rsidP="000E2816">
      <w:pPr>
        <w:pStyle w:val="ListParagraph"/>
        <w:ind w:left="1080"/>
        <w:rPr>
          <w:rFonts w:ascii="Verdana" w:hAnsi="Verdana"/>
          <w:sz w:val="24"/>
          <w:szCs w:val="24"/>
        </w:rPr>
      </w:pPr>
    </w:p>
    <w:p w14:paraId="06A37B1C" w14:textId="77777777" w:rsidR="00A44FCD" w:rsidRPr="00EE5E33" w:rsidRDefault="00A44FCD" w:rsidP="00A44FCD">
      <w:pPr>
        <w:rPr>
          <w:rFonts w:ascii="Verdana" w:hAnsi="Verdana"/>
          <w:b/>
          <w:bCs/>
          <w:sz w:val="24"/>
          <w:szCs w:val="24"/>
        </w:rPr>
      </w:pPr>
    </w:p>
    <w:p w14:paraId="0CFBC850" w14:textId="56DE3EA4" w:rsidR="0022274B" w:rsidRPr="00EE5E33" w:rsidRDefault="0022274B" w:rsidP="00EE5E33">
      <w:pPr>
        <w:rPr>
          <w:rFonts w:ascii="Verdana" w:hAnsi="Verdana"/>
          <w:sz w:val="24"/>
          <w:szCs w:val="24"/>
        </w:rPr>
      </w:pPr>
      <w:r w:rsidRPr="00EE5E33">
        <w:rPr>
          <w:rFonts w:ascii="Verdana" w:hAnsi="Verdana"/>
          <w:sz w:val="24"/>
          <w:szCs w:val="24"/>
        </w:rPr>
        <w:t>Please note that the return of</w:t>
      </w:r>
      <w:r w:rsidR="0049594C" w:rsidRPr="00EE5E33">
        <w:rPr>
          <w:rFonts w:ascii="Verdana" w:hAnsi="Verdana"/>
          <w:sz w:val="24"/>
          <w:szCs w:val="24"/>
        </w:rPr>
        <w:t xml:space="preserve"> select</w:t>
      </w:r>
      <w:r w:rsidRPr="00EE5E33">
        <w:rPr>
          <w:rFonts w:ascii="Verdana" w:hAnsi="Verdana"/>
          <w:sz w:val="24"/>
          <w:szCs w:val="24"/>
        </w:rPr>
        <w:t xml:space="preserve"> GLP-1 medications to Mail Order does not guarantee coverage under each plan. To determine coverage, refer to the CIF and Test Claims.</w:t>
      </w:r>
    </w:p>
    <w:p w14:paraId="4CFC1D7C" w14:textId="77777777" w:rsidR="002A0FBD" w:rsidRDefault="002A0FBD" w:rsidP="0022274B">
      <w:pPr>
        <w:rPr>
          <w:rFonts w:ascii="Verdana" w:hAnsi="Verdana"/>
          <w:sz w:val="24"/>
          <w:szCs w:val="24"/>
        </w:rPr>
      </w:pPr>
    </w:p>
    <w:p w14:paraId="5D8A7C15" w14:textId="72822F80" w:rsidR="009135EA" w:rsidRPr="00EE5E33" w:rsidRDefault="002A0FBD" w:rsidP="00EE5E33">
      <w:pPr>
        <w:rPr>
          <w:rFonts w:ascii="Verdana" w:hAnsi="Verdana"/>
          <w:sz w:val="24"/>
          <w:szCs w:val="24"/>
        </w:rPr>
      </w:pPr>
      <w:r w:rsidRPr="00EE5E33">
        <w:rPr>
          <w:rFonts w:ascii="Verdana" w:hAnsi="Verdana"/>
          <w:sz w:val="24"/>
          <w:szCs w:val="24"/>
        </w:rPr>
        <w:t xml:space="preserve">Utilize </w:t>
      </w:r>
      <w:r w:rsidR="005E6190" w:rsidRPr="00EE5E33">
        <w:rPr>
          <w:rFonts w:ascii="Verdana" w:hAnsi="Verdana"/>
          <w:sz w:val="24"/>
          <w:szCs w:val="24"/>
        </w:rPr>
        <w:t xml:space="preserve">Compass </w:t>
      </w:r>
      <w:r w:rsidR="00A40D8D" w:rsidRPr="00EE5E33">
        <w:rPr>
          <w:rFonts w:ascii="Verdana" w:hAnsi="Verdana"/>
          <w:sz w:val="24"/>
          <w:szCs w:val="24"/>
        </w:rPr>
        <w:t>Test Claims</w:t>
      </w:r>
      <w:r w:rsidR="005E6190" w:rsidRPr="00EE5E33">
        <w:rPr>
          <w:rFonts w:ascii="Verdana" w:hAnsi="Verdana"/>
          <w:sz w:val="24"/>
          <w:szCs w:val="24"/>
        </w:rPr>
        <w:t xml:space="preserve"> to determine</w:t>
      </w:r>
      <w:r w:rsidR="00980C0F" w:rsidRPr="00EE5E33">
        <w:rPr>
          <w:rFonts w:ascii="Verdana" w:hAnsi="Verdana"/>
          <w:sz w:val="24"/>
          <w:szCs w:val="24"/>
        </w:rPr>
        <w:t xml:space="preserve"> Mail Availability</w:t>
      </w:r>
      <w:r w:rsidR="006A3853" w:rsidRPr="00EE5E33">
        <w:rPr>
          <w:rFonts w:ascii="Verdana" w:hAnsi="Verdana"/>
          <w:sz w:val="24"/>
          <w:szCs w:val="24"/>
        </w:rPr>
        <w:t>:</w:t>
      </w:r>
    </w:p>
    <w:p w14:paraId="4E3DD753" w14:textId="70CF72F7" w:rsidR="00EE5E33" w:rsidRDefault="009135EA" w:rsidP="00EE5E33">
      <w:pPr>
        <w:pStyle w:val="ListParagraph"/>
        <w:numPr>
          <w:ilvl w:val="0"/>
          <w:numId w:val="10"/>
        </w:numPr>
        <w:rPr>
          <w:rFonts w:ascii="Verdana" w:hAnsi="Verdana"/>
          <w:sz w:val="24"/>
          <w:szCs w:val="24"/>
        </w:rPr>
      </w:pPr>
      <w:hyperlink r:id="rId11" w:anchor="!/view?docid=60c20ea0-1d07-46e3-809a-b54734b80fbe" w:history="1">
        <w:r w:rsidRPr="00EE5E33">
          <w:rPr>
            <w:rStyle w:val="Hyperlink"/>
            <w:szCs w:val="24"/>
          </w:rPr>
          <w:t xml:space="preserve">Compass – Test Claims </w:t>
        </w:r>
        <w:r w:rsidR="00EE5E33" w:rsidRPr="00EE5E33">
          <w:rPr>
            <w:rStyle w:val="Hyperlink"/>
            <w:szCs w:val="24"/>
          </w:rPr>
          <w:t>(</w:t>
        </w:r>
        <w:r w:rsidRPr="00EE5E33">
          <w:rPr>
            <w:rStyle w:val="Hyperlink"/>
            <w:szCs w:val="24"/>
          </w:rPr>
          <w:t>050041</w:t>
        </w:r>
        <w:r w:rsidR="00EE5E33" w:rsidRPr="00EE5E33">
          <w:rPr>
            <w:rStyle w:val="Hyperlink"/>
            <w:szCs w:val="24"/>
          </w:rPr>
          <w:t>)</w:t>
        </w:r>
      </w:hyperlink>
    </w:p>
    <w:p w14:paraId="7569F224" w14:textId="603914B5" w:rsidR="00EE5E33" w:rsidRDefault="005E0327" w:rsidP="00EE5E33">
      <w:pPr>
        <w:pStyle w:val="ListParagraph"/>
        <w:numPr>
          <w:ilvl w:val="0"/>
          <w:numId w:val="10"/>
        </w:numPr>
        <w:rPr>
          <w:rFonts w:ascii="Verdana" w:hAnsi="Verdana"/>
          <w:sz w:val="24"/>
          <w:szCs w:val="24"/>
        </w:rPr>
      </w:pPr>
      <w:hyperlink r:id="rId12" w:anchor="!/view?docid=bf264650-c4b2-4b12-a7da-15d39fa128c3">
        <w:r w:rsidRPr="28839E5C">
          <w:rPr>
            <w:rStyle w:val="Hyperlink"/>
          </w:rPr>
          <w:t xml:space="preserve">Aetna Compass – Test Claims </w:t>
        </w:r>
        <w:r w:rsidR="00EE5E33" w:rsidRPr="28839E5C">
          <w:rPr>
            <w:rStyle w:val="Hyperlink"/>
          </w:rPr>
          <w:t>(</w:t>
        </w:r>
        <w:r w:rsidRPr="28839E5C">
          <w:rPr>
            <w:rStyle w:val="Hyperlink"/>
          </w:rPr>
          <w:t>064284</w:t>
        </w:r>
        <w:r w:rsidR="00EE5E33" w:rsidRPr="28839E5C">
          <w:rPr>
            <w:rStyle w:val="Hyperlink"/>
          </w:rPr>
          <w:t>)</w:t>
        </w:r>
      </w:hyperlink>
    </w:p>
    <w:p w14:paraId="3EF10F7D" w14:textId="77777777" w:rsidR="00027CA2" w:rsidRDefault="00027CA2" w:rsidP="00027CA2">
      <w:pPr>
        <w:rPr>
          <w:rFonts w:ascii="Verdana" w:hAnsi="Verdana"/>
          <w:sz w:val="24"/>
          <w:szCs w:val="24"/>
        </w:rPr>
      </w:pPr>
    </w:p>
    <w:p w14:paraId="75C440DA" w14:textId="40975665" w:rsidR="00027CA2" w:rsidRPr="00EE5E33" w:rsidRDefault="00D32625" w:rsidP="00EE5E33">
      <w:pPr>
        <w:rPr>
          <w:rFonts w:ascii="Verdana" w:hAnsi="Verdana"/>
          <w:sz w:val="24"/>
          <w:szCs w:val="24"/>
        </w:rPr>
      </w:pPr>
      <w:r w:rsidRPr="00EE5E33">
        <w:rPr>
          <w:rFonts w:ascii="Verdana" w:hAnsi="Verdana"/>
          <w:sz w:val="24"/>
          <w:szCs w:val="24"/>
        </w:rPr>
        <w:t>T</w:t>
      </w:r>
      <w:r w:rsidR="00027CA2" w:rsidRPr="00EE5E33">
        <w:rPr>
          <w:rFonts w:ascii="Verdana" w:hAnsi="Verdana"/>
          <w:sz w:val="24"/>
          <w:szCs w:val="24"/>
        </w:rPr>
        <w:t>he backorder drug list</w:t>
      </w:r>
      <w:r w:rsidRPr="00EE5E33">
        <w:rPr>
          <w:rFonts w:ascii="Verdana" w:hAnsi="Verdana"/>
          <w:sz w:val="24"/>
          <w:szCs w:val="24"/>
        </w:rPr>
        <w:t xml:space="preserve"> can also be utilized</w:t>
      </w:r>
      <w:r w:rsidR="00027CA2" w:rsidRPr="00EE5E33">
        <w:rPr>
          <w:rFonts w:ascii="Verdana" w:hAnsi="Verdana"/>
          <w:sz w:val="24"/>
          <w:szCs w:val="24"/>
        </w:rPr>
        <w:t xml:space="preserve"> to determine Mail Availab</w:t>
      </w:r>
      <w:r w:rsidRPr="00EE5E33">
        <w:rPr>
          <w:rFonts w:ascii="Verdana" w:hAnsi="Verdana"/>
          <w:sz w:val="24"/>
          <w:szCs w:val="24"/>
        </w:rPr>
        <w:t>i</w:t>
      </w:r>
      <w:r w:rsidR="00027CA2" w:rsidRPr="00EE5E33">
        <w:rPr>
          <w:rFonts w:ascii="Verdana" w:hAnsi="Verdana"/>
          <w:sz w:val="24"/>
          <w:szCs w:val="24"/>
        </w:rPr>
        <w:t>lity</w:t>
      </w:r>
      <w:r w:rsidR="000E3A0A" w:rsidRPr="00EE5E33">
        <w:rPr>
          <w:rFonts w:ascii="Verdana" w:hAnsi="Verdana"/>
          <w:sz w:val="24"/>
          <w:szCs w:val="24"/>
        </w:rPr>
        <w:t xml:space="preserve"> </w:t>
      </w:r>
      <w:hyperlink r:id="rId13" w:history="1">
        <w:r w:rsidR="000E3A0A" w:rsidRPr="00EE5E33">
          <w:rPr>
            <w:rStyle w:val="Hyperlink"/>
            <w:rFonts w:eastAsia="Times New Roman" w:cs="Times New Roman"/>
            <w:szCs w:val="24"/>
          </w:rPr>
          <w:t>http://sapmmreports.caremark.com/shortage_rpt.htm</w:t>
        </w:r>
      </w:hyperlink>
    </w:p>
    <w:p w14:paraId="0AE3E3A8" w14:textId="77777777" w:rsidR="00CC2E89" w:rsidRDefault="00CC2E89" w:rsidP="0022274B">
      <w:pPr>
        <w:rPr>
          <w:rFonts w:ascii="Verdana" w:hAnsi="Verdana"/>
          <w:sz w:val="24"/>
          <w:szCs w:val="24"/>
        </w:rPr>
      </w:pPr>
    </w:p>
    <w:p w14:paraId="3F2B4D76" w14:textId="31CD8964" w:rsidR="00CC2E89" w:rsidRPr="00EE5E33" w:rsidRDefault="00350632" w:rsidP="00EE5E33">
      <w:pPr>
        <w:rPr>
          <w:rFonts w:ascii="Verdana" w:hAnsi="Verdana"/>
          <w:sz w:val="24"/>
          <w:szCs w:val="24"/>
        </w:rPr>
      </w:pPr>
      <w:r w:rsidRPr="00EE5E33">
        <w:rPr>
          <w:rFonts w:ascii="Verdana" w:hAnsi="Verdana"/>
          <w:sz w:val="24"/>
          <w:szCs w:val="24"/>
        </w:rPr>
        <w:t>These select GLP-1 medications will not be reinstated on the Maintenance Choice drug list. These medications will not be subject to mandatory mail requirements, Mandatory Maintenance Choice retail fills, or any incentivized mail rules associated with Maintenance Choice.</w:t>
      </w:r>
    </w:p>
    <w:p w14:paraId="3EFD8563" w14:textId="77777777" w:rsidR="00350632" w:rsidRPr="00350632" w:rsidRDefault="00350632" w:rsidP="00350632">
      <w:pPr>
        <w:pStyle w:val="ListParagraph"/>
        <w:rPr>
          <w:rFonts w:ascii="Verdana" w:hAnsi="Verdana"/>
          <w:sz w:val="24"/>
          <w:szCs w:val="24"/>
        </w:rPr>
      </w:pPr>
    </w:p>
    <w:p w14:paraId="32405EC2" w14:textId="77777777" w:rsidR="0022274B" w:rsidRDefault="0022274B" w:rsidP="0022274B">
      <w:pPr>
        <w:rPr>
          <w:rFonts w:ascii="Verdana" w:hAnsi="Verdana"/>
          <w:sz w:val="24"/>
          <w:szCs w:val="24"/>
        </w:rPr>
      </w:pPr>
      <w:r w:rsidRPr="0022274B">
        <w:rPr>
          <w:rFonts w:ascii="Verdana" w:hAnsi="Verdana"/>
          <w:sz w:val="24"/>
          <w:szCs w:val="24"/>
        </w:rPr>
        <w:t>Ensure that you handle calls regarding these medications as per normal operating procedures. Your attention to this update is greatly appreciated as we continue to provide quality service to our members.</w:t>
      </w:r>
    </w:p>
    <w:p w14:paraId="5F4BDF84" w14:textId="77777777" w:rsidR="0022274B" w:rsidRDefault="0022274B" w:rsidP="0022274B">
      <w:pPr>
        <w:rPr>
          <w:rFonts w:ascii="Verdana" w:hAnsi="Verdana"/>
          <w:sz w:val="24"/>
          <w:szCs w:val="24"/>
        </w:rPr>
      </w:pPr>
    </w:p>
    <w:p w14:paraId="6A800D11" w14:textId="77777777" w:rsidR="0022274B" w:rsidRDefault="0022274B" w:rsidP="0022274B">
      <w:pPr>
        <w:rPr>
          <w:rFonts w:ascii="Verdana" w:hAnsi="Verdana"/>
          <w:sz w:val="24"/>
          <w:szCs w:val="24"/>
        </w:rPr>
      </w:pPr>
      <w:r w:rsidRPr="0022274B">
        <w:rPr>
          <w:rFonts w:ascii="Verdana" w:hAnsi="Verdana"/>
          <w:sz w:val="24"/>
          <w:szCs w:val="24"/>
        </w:rPr>
        <w:t>Thank you for your cooperation.</w:t>
      </w:r>
    </w:p>
    <w:p w14:paraId="35BF7BD0" w14:textId="77777777" w:rsidR="00030B5C" w:rsidRDefault="00030B5C" w:rsidP="0022274B">
      <w:pPr>
        <w:rPr>
          <w:rFonts w:ascii="Verdana" w:hAnsi="Verdana"/>
          <w:sz w:val="24"/>
          <w:szCs w:val="24"/>
        </w:rPr>
      </w:pPr>
    </w:p>
    <w:p w14:paraId="58A868F8" w14:textId="10FED3E1" w:rsidR="00030B5C" w:rsidRDefault="00030B5C" w:rsidP="00030B5C">
      <w:pPr>
        <w:jc w:val="right"/>
        <w:rPr>
          <w:rFonts w:ascii="Verdana" w:hAnsi="Verdana"/>
          <w:sz w:val="24"/>
          <w:szCs w:val="24"/>
        </w:rPr>
      </w:pPr>
      <w:hyperlink w:anchor="_top" w:history="1">
        <w:r w:rsidRPr="00030B5C">
          <w:rPr>
            <w:rStyle w:val="Hyperlink"/>
            <w:szCs w:val="24"/>
          </w:rPr>
          <w:t>Top of the Document</w:t>
        </w:r>
      </w:hyperlink>
    </w:p>
    <w:p w14:paraId="105A2001" w14:textId="77777777" w:rsidR="00030B5C" w:rsidRDefault="00030B5C" w:rsidP="00FD6B9E">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43EB4DF5" w14:textId="03C3410B" w:rsidR="00030B5C" w:rsidRPr="00030B5C" w:rsidRDefault="00030B5C" w:rsidP="00030B5C">
      <w:pPr>
        <w:pStyle w:val="NormalWeb"/>
        <w:spacing w:before="0" w:beforeAutospacing="0" w:after="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p w14:paraId="5A553571" w14:textId="77777777" w:rsidR="00A579F5" w:rsidRDefault="00A579F5"/>
    <w:sectPr w:rsidR="00A5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825"/>
    <w:multiLevelType w:val="multilevel"/>
    <w:tmpl w:val="671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4791"/>
    <w:multiLevelType w:val="hybridMultilevel"/>
    <w:tmpl w:val="890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B19D0"/>
    <w:multiLevelType w:val="multilevel"/>
    <w:tmpl w:val="CEB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B4EF3"/>
    <w:multiLevelType w:val="hybridMultilevel"/>
    <w:tmpl w:val="F1B0A464"/>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45816"/>
    <w:multiLevelType w:val="hybridMultilevel"/>
    <w:tmpl w:val="90BE5F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9B385A"/>
    <w:multiLevelType w:val="hybridMultilevel"/>
    <w:tmpl w:val="413E32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9974E6"/>
    <w:multiLevelType w:val="hybridMultilevel"/>
    <w:tmpl w:val="C8D4E01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928E0"/>
    <w:multiLevelType w:val="hybridMultilevel"/>
    <w:tmpl w:val="955EAF32"/>
    <w:lvl w:ilvl="0" w:tplc="96829EDA">
      <w:start w:val="1"/>
      <w:numFmt w:val="bullet"/>
      <w:lvlText w:val=""/>
      <w:lvlJc w:val="left"/>
      <w:pPr>
        <w:tabs>
          <w:tab w:val="num" w:pos="720"/>
        </w:tabs>
        <w:ind w:left="720" w:hanging="360"/>
      </w:pPr>
      <w:rPr>
        <w:rFonts w:ascii="Wingdings" w:hAnsi="Wingdings" w:hint="default"/>
      </w:rPr>
    </w:lvl>
    <w:lvl w:ilvl="1" w:tplc="7DA6E3AA">
      <w:start w:val="1"/>
      <w:numFmt w:val="bullet"/>
      <w:lvlText w:val=""/>
      <w:lvlJc w:val="left"/>
      <w:pPr>
        <w:tabs>
          <w:tab w:val="num" w:pos="1440"/>
        </w:tabs>
        <w:ind w:left="1440" w:hanging="360"/>
      </w:pPr>
      <w:rPr>
        <w:rFonts w:ascii="Wingdings" w:hAnsi="Wingdings" w:hint="default"/>
      </w:rPr>
    </w:lvl>
    <w:lvl w:ilvl="2" w:tplc="ABCE8E04">
      <w:start w:val="1"/>
      <w:numFmt w:val="bullet"/>
      <w:lvlText w:val=""/>
      <w:lvlJc w:val="left"/>
      <w:pPr>
        <w:tabs>
          <w:tab w:val="num" w:pos="2160"/>
        </w:tabs>
        <w:ind w:left="2160" w:hanging="360"/>
      </w:pPr>
      <w:rPr>
        <w:rFonts w:ascii="Wingdings" w:hAnsi="Wingdings" w:hint="default"/>
      </w:rPr>
    </w:lvl>
    <w:lvl w:ilvl="3" w:tplc="C18C8CAA">
      <w:start w:val="1"/>
      <w:numFmt w:val="bullet"/>
      <w:lvlText w:val=""/>
      <w:lvlJc w:val="left"/>
      <w:pPr>
        <w:tabs>
          <w:tab w:val="num" w:pos="2880"/>
        </w:tabs>
        <w:ind w:left="2880" w:hanging="360"/>
      </w:pPr>
      <w:rPr>
        <w:rFonts w:ascii="Wingdings" w:hAnsi="Wingdings" w:hint="default"/>
      </w:rPr>
    </w:lvl>
    <w:lvl w:ilvl="4" w:tplc="EA66EC60">
      <w:start w:val="1"/>
      <w:numFmt w:val="bullet"/>
      <w:lvlText w:val=""/>
      <w:lvlJc w:val="left"/>
      <w:pPr>
        <w:tabs>
          <w:tab w:val="num" w:pos="3600"/>
        </w:tabs>
        <w:ind w:left="3600" w:hanging="360"/>
      </w:pPr>
      <w:rPr>
        <w:rFonts w:ascii="Wingdings" w:hAnsi="Wingdings" w:hint="default"/>
      </w:rPr>
    </w:lvl>
    <w:lvl w:ilvl="5" w:tplc="B934999E">
      <w:start w:val="1"/>
      <w:numFmt w:val="bullet"/>
      <w:lvlText w:val=""/>
      <w:lvlJc w:val="left"/>
      <w:pPr>
        <w:tabs>
          <w:tab w:val="num" w:pos="4320"/>
        </w:tabs>
        <w:ind w:left="4320" w:hanging="360"/>
      </w:pPr>
      <w:rPr>
        <w:rFonts w:ascii="Wingdings" w:hAnsi="Wingdings" w:hint="default"/>
      </w:rPr>
    </w:lvl>
    <w:lvl w:ilvl="6" w:tplc="F18E7D8E">
      <w:start w:val="1"/>
      <w:numFmt w:val="bullet"/>
      <w:lvlText w:val=""/>
      <w:lvlJc w:val="left"/>
      <w:pPr>
        <w:tabs>
          <w:tab w:val="num" w:pos="5040"/>
        </w:tabs>
        <w:ind w:left="5040" w:hanging="360"/>
      </w:pPr>
      <w:rPr>
        <w:rFonts w:ascii="Wingdings" w:hAnsi="Wingdings" w:hint="default"/>
      </w:rPr>
    </w:lvl>
    <w:lvl w:ilvl="7" w:tplc="2862C040">
      <w:start w:val="1"/>
      <w:numFmt w:val="bullet"/>
      <w:lvlText w:val=""/>
      <w:lvlJc w:val="left"/>
      <w:pPr>
        <w:tabs>
          <w:tab w:val="num" w:pos="5760"/>
        </w:tabs>
        <w:ind w:left="5760" w:hanging="360"/>
      </w:pPr>
      <w:rPr>
        <w:rFonts w:ascii="Wingdings" w:hAnsi="Wingdings" w:hint="default"/>
      </w:rPr>
    </w:lvl>
    <w:lvl w:ilvl="8" w:tplc="08F6159A">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20357"/>
    <w:multiLevelType w:val="multilevel"/>
    <w:tmpl w:val="827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75D00"/>
    <w:multiLevelType w:val="multilevel"/>
    <w:tmpl w:val="339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F6691"/>
    <w:multiLevelType w:val="hybridMultilevel"/>
    <w:tmpl w:val="243EAA6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3276DB8"/>
    <w:multiLevelType w:val="hybridMultilevel"/>
    <w:tmpl w:val="DC36B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9150665">
    <w:abstractNumId w:val="2"/>
  </w:num>
  <w:num w:numId="2" w16cid:durableId="435172533">
    <w:abstractNumId w:val="8"/>
  </w:num>
  <w:num w:numId="3" w16cid:durableId="492721613">
    <w:abstractNumId w:val="9"/>
  </w:num>
  <w:num w:numId="4" w16cid:durableId="1762097828">
    <w:abstractNumId w:val="0"/>
  </w:num>
  <w:num w:numId="5" w16cid:durableId="1592274819">
    <w:abstractNumId w:val="11"/>
  </w:num>
  <w:num w:numId="6" w16cid:durableId="1373459458">
    <w:abstractNumId w:val="3"/>
  </w:num>
  <w:num w:numId="7" w16cid:durableId="384453963">
    <w:abstractNumId w:val="10"/>
  </w:num>
  <w:num w:numId="8" w16cid:durableId="511065686">
    <w:abstractNumId w:val="6"/>
  </w:num>
  <w:num w:numId="9" w16cid:durableId="266424849">
    <w:abstractNumId w:val="5"/>
  </w:num>
  <w:num w:numId="10" w16cid:durableId="1588881518">
    <w:abstractNumId w:val="1"/>
  </w:num>
  <w:num w:numId="11" w16cid:durableId="366032757">
    <w:abstractNumId w:val="4"/>
  </w:num>
  <w:num w:numId="12" w16cid:durableId="842665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4B"/>
    <w:rsid w:val="00027CA2"/>
    <w:rsid w:val="00030B5C"/>
    <w:rsid w:val="00063EB0"/>
    <w:rsid w:val="0006414E"/>
    <w:rsid w:val="00081B1B"/>
    <w:rsid w:val="000A1C6F"/>
    <w:rsid w:val="000D34BD"/>
    <w:rsid w:val="000D5B50"/>
    <w:rsid w:val="000E263B"/>
    <w:rsid w:val="000E2816"/>
    <w:rsid w:val="000E3A0A"/>
    <w:rsid w:val="000F205E"/>
    <w:rsid w:val="00133E66"/>
    <w:rsid w:val="00140510"/>
    <w:rsid w:val="00146EDD"/>
    <w:rsid w:val="00152512"/>
    <w:rsid w:val="0016534C"/>
    <w:rsid w:val="00170AB4"/>
    <w:rsid w:val="00196365"/>
    <w:rsid w:val="00197A10"/>
    <w:rsid w:val="001B5A5A"/>
    <w:rsid w:val="00205B3D"/>
    <w:rsid w:val="00211EB3"/>
    <w:rsid w:val="00216DCD"/>
    <w:rsid w:val="0022274B"/>
    <w:rsid w:val="00233596"/>
    <w:rsid w:val="00254F0D"/>
    <w:rsid w:val="00263CBF"/>
    <w:rsid w:val="00280CF1"/>
    <w:rsid w:val="0028433A"/>
    <w:rsid w:val="002A0FBD"/>
    <w:rsid w:val="002A677D"/>
    <w:rsid w:val="002C4839"/>
    <w:rsid w:val="002E0EB3"/>
    <w:rsid w:val="002F72D9"/>
    <w:rsid w:val="003266D3"/>
    <w:rsid w:val="00340EFD"/>
    <w:rsid w:val="00350632"/>
    <w:rsid w:val="003676FA"/>
    <w:rsid w:val="00377A45"/>
    <w:rsid w:val="003A3C27"/>
    <w:rsid w:val="003B20F3"/>
    <w:rsid w:val="003D711C"/>
    <w:rsid w:val="003F3283"/>
    <w:rsid w:val="004172F4"/>
    <w:rsid w:val="00432213"/>
    <w:rsid w:val="0043370A"/>
    <w:rsid w:val="00440029"/>
    <w:rsid w:val="004464C6"/>
    <w:rsid w:val="00451E4C"/>
    <w:rsid w:val="00454724"/>
    <w:rsid w:val="00454B58"/>
    <w:rsid w:val="00455AA9"/>
    <w:rsid w:val="0047080C"/>
    <w:rsid w:val="004731AE"/>
    <w:rsid w:val="0048692C"/>
    <w:rsid w:val="0049594C"/>
    <w:rsid w:val="004A05D0"/>
    <w:rsid w:val="005043C0"/>
    <w:rsid w:val="00516D3D"/>
    <w:rsid w:val="00525529"/>
    <w:rsid w:val="0053130B"/>
    <w:rsid w:val="005377CB"/>
    <w:rsid w:val="00557482"/>
    <w:rsid w:val="005A50FB"/>
    <w:rsid w:val="005E0327"/>
    <w:rsid w:val="005E1A79"/>
    <w:rsid w:val="005E4088"/>
    <w:rsid w:val="005E6190"/>
    <w:rsid w:val="005F01D9"/>
    <w:rsid w:val="00636791"/>
    <w:rsid w:val="00640EBE"/>
    <w:rsid w:val="006418D6"/>
    <w:rsid w:val="0065154F"/>
    <w:rsid w:val="00687516"/>
    <w:rsid w:val="00696D65"/>
    <w:rsid w:val="006A0BAF"/>
    <w:rsid w:val="006A18B4"/>
    <w:rsid w:val="006A2C95"/>
    <w:rsid w:val="006A3853"/>
    <w:rsid w:val="006A6957"/>
    <w:rsid w:val="006D6073"/>
    <w:rsid w:val="006F3489"/>
    <w:rsid w:val="007118A0"/>
    <w:rsid w:val="00727B51"/>
    <w:rsid w:val="00764F86"/>
    <w:rsid w:val="00780AE1"/>
    <w:rsid w:val="007857D4"/>
    <w:rsid w:val="007F1E15"/>
    <w:rsid w:val="00807FCD"/>
    <w:rsid w:val="00810979"/>
    <w:rsid w:val="008215F5"/>
    <w:rsid w:val="0082464C"/>
    <w:rsid w:val="00831105"/>
    <w:rsid w:val="00846626"/>
    <w:rsid w:val="00890C91"/>
    <w:rsid w:val="00897853"/>
    <w:rsid w:val="008D6571"/>
    <w:rsid w:val="008E6773"/>
    <w:rsid w:val="009135EA"/>
    <w:rsid w:val="0093220D"/>
    <w:rsid w:val="00933B74"/>
    <w:rsid w:val="00944932"/>
    <w:rsid w:val="00957520"/>
    <w:rsid w:val="00980C0F"/>
    <w:rsid w:val="009B0217"/>
    <w:rsid w:val="009B5DA3"/>
    <w:rsid w:val="009C78D7"/>
    <w:rsid w:val="00A30890"/>
    <w:rsid w:val="00A40D8D"/>
    <w:rsid w:val="00A44FCD"/>
    <w:rsid w:val="00A5288B"/>
    <w:rsid w:val="00A54D11"/>
    <w:rsid w:val="00A579F5"/>
    <w:rsid w:val="00A63FE0"/>
    <w:rsid w:val="00A770DE"/>
    <w:rsid w:val="00A8076A"/>
    <w:rsid w:val="00AA7474"/>
    <w:rsid w:val="00AC3827"/>
    <w:rsid w:val="00AC7ADF"/>
    <w:rsid w:val="00AF6B51"/>
    <w:rsid w:val="00B00E44"/>
    <w:rsid w:val="00B45815"/>
    <w:rsid w:val="00BC1FCD"/>
    <w:rsid w:val="00C6515B"/>
    <w:rsid w:val="00C9706B"/>
    <w:rsid w:val="00CC2E89"/>
    <w:rsid w:val="00CF77A0"/>
    <w:rsid w:val="00D32625"/>
    <w:rsid w:val="00D42A28"/>
    <w:rsid w:val="00DC2E0E"/>
    <w:rsid w:val="00DE5934"/>
    <w:rsid w:val="00DF0022"/>
    <w:rsid w:val="00E109E1"/>
    <w:rsid w:val="00E33545"/>
    <w:rsid w:val="00E4391C"/>
    <w:rsid w:val="00E84C41"/>
    <w:rsid w:val="00EC1443"/>
    <w:rsid w:val="00EC6007"/>
    <w:rsid w:val="00ED41D6"/>
    <w:rsid w:val="00EE5E33"/>
    <w:rsid w:val="00F00AF1"/>
    <w:rsid w:val="00F359D3"/>
    <w:rsid w:val="00FC118F"/>
    <w:rsid w:val="00FF65D2"/>
    <w:rsid w:val="28839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55B6"/>
  <w15:chartTrackingRefBased/>
  <w15:docId w15:val="{2160CAF9-2A0E-4FC1-8236-F2A531CC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7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7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7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7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74B"/>
    <w:rPr>
      <w:rFonts w:eastAsiaTheme="majorEastAsia" w:cstheme="majorBidi"/>
      <w:color w:val="272727" w:themeColor="text1" w:themeTint="D8"/>
    </w:rPr>
  </w:style>
  <w:style w:type="paragraph" w:styleId="Title">
    <w:name w:val="Title"/>
    <w:basedOn w:val="Normal"/>
    <w:next w:val="Normal"/>
    <w:link w:val="TitleChar"/>
    <w:uiPriority w:val="10"/>
    <w:qFormat/>
    <w:rsid w:val="00222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7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7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274B"/>
    <w:rPr>
      <w:i/>
      <w:iCs/>
      <w:color w:val="404040" w:themeColor="text1" w:themeTint="BF"/>
    </w:rPr>
  </w:style>
  <w:style w:type="paragraph" w:styleId="ListParagraph">
    <w:name w:val="List Paragraph"/>
    <w:basedOn w:val="Normal"/>
    <w:uiPriority w:val="34"/>
    <w:qFormat/>
    <w:rsid w:val="0022274B"/>
    <w:pPr>
      <w:ind w:left="720"/>
      <w:contextualSpacing/>
    </w:pPr>
  </w:style>
  <w:style w:type="character" w:styleId="IntenseEmphasis">
    <w:name w:val="Intense Emphasis"/>
    <w:basedOn w:val="DefaultParagraphFont"/>
    <w:uiPriority w:val="21"/>
    <w:qFormat/>
    <w:rsid w:val="0022274B"/>
    <w:rPr>
      <w:i/>
      <w:iCs/>
      <w:color w:val="0F4761" w:themeColor="accent1" w:themeShade="BF"/>
    </w:rPr>
  </w:style>
  <w:style w:type="paragraph" w:styleId="IntenseQuote">
    <w:name w:val="Intense Quote"/>
    <w:basedOn w:val="Normal"/>
    <w:next w:val="Normal"/>
    <w:link w:val="IntenseQuoteChar"/>
    <w:uiPriority w:val="30"/>
    <w:qFormat/>
    <w:rsid w:val="00222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74B"/>
    <w:rPr>
      <w:i/>
      <w:iCs/>
      <w:color w:val="0F4761" w:themeColor="accent1" w:themeShade="BF"/>
    </w:rPr>
  </w:style>
  <w:style w:type="character" w:styleId="IntenseReference">
    <w:name w:val="Intense Reference"/>
    <w:basedOn w:val="DefaultParagraphFont"/>
    <w:uiPriority w:val="32"/>
    <w:qFormat/>
    <w:rsid w:val="0022274B"/>
    <w:rPr>
      <w:b/>
      <w:bCs/>
      <w:smallCaps/>
      <w:color w:val="0F4761" w:themeColor="accent1" w:themeShade="BF"/>
      <w:spacing w:val="5"/>
    </w:rPr>
  </w:style>
  <w:style w:type="character" w:styleId="Hyperlink">
    <w:name w:val="Hyperlink"/>
    <w:basedOn w:val="DefaultParagraphFont"/>
    <w:uiPriority w:val="99"/>
    <w:unhideWhenUsed/>
    <w:qFormat/>
    <w:rsid w:val="000E3A0A"/>
    <w:rPr>
      <w:rFonts w:ascii="Verdana" w:hAnsi="Verdana"/>
      <w:color w:val="0000FF"/>
      <w:sz w:val="24"/>
      <w:u w:val="single"/>
    </w:rPr>
  </w:style>
  <w:style w:type="character" w:styleId="UnresolvedMention">
    <w:name w:val="Unresolved Mention"/>
    <w:basedOn w:val="DefaultParagraphFont"/>
    <w:uiPriority w:val="99"/>
    <w:semiHidden/>
    <w:unhideWhenUsed/>
    <w:rsid w:val="00030B5C"/>
    <w:rPr>
      <w:color w:val="605E5C"/>
      <w:shd w:val="clear" w:color="auto" w:fill="E1DFDD"/>
    </w:rPr>
  </w:style>
  <w:style w:type="paragraph" w:styleId="NormalWeb">
    <w:name w:val="Normal (Web)"/>
    <w:basedOn w:val="Normal"/>
    <w:uiPriority w:val="99"/>
    <w:unhideWhenUsed/>
    <w:rsid w:val="00030B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EC6007"/>
    <w:pPr>
      <w:spacing w:line="240" w:lineRule="auto"/>
    </w:pPr>
  </w:style>
  <w:style w:type="table" w:styleId="TableGrid">
    <w:name w:val="Table Grid"/>
    <w:basedOn w:val="TableNormal"/>
    <w:uiPriority w:val="39"/>
    <w:rsid w:val="00780A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4002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2C48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5911">
      <w:bodyDiv w:val="1"/>
      <w:marLeft w:val="0"/>
      <w:marRight w:val="0"/>
      <w:marTop w:val="0"/>
      <w:marBottom w:val="0"/>
      <w:divBdr>
        <w:top w:val="none" w:sz="0" w:space="0" w:color="auto"/>
        <w:left w:val="none" w:sz="0" w:space="0" w:color="auto"/>
        <w:bottom w:val="none" w:sz="0" w:space="0" w:color="auto"/>
        <w:right w:val="none" w:sz="0" w:space="0" w:color="auto"/>
      </w:divBdr>
    </w:div>
    <w:div w:id="55399126">
      <w:bodyDiv w:val="1"/>
      <w:marLeft w:val="0"/>
      <w:marRight w:val="0"/>
      <w:marTop w:val="0"/>
      <w:marBottom w:val="0"/>
      <w:divBdr>
        <w:top w:val="none" w:sz="0" w:space="0" w:color="auto"/>
        <w:left w:val="none" w:sz="0" w:space="0" w:color="auto"/>
        <w:bottom w:val="none" w:sz="0" w:space="0" w:color="auto"/>
        <w:right w:val="none" w:sz="0" w:space="0" w:color="auto"/>
      </w:divBdr>
    </w:div>
    <w:div w:id="122895670">
      <w:bodyDiv w:val="1"/>
      <w:marLeft w:val="0"/>
      <w:marRight w:val="0"/>
      <w:marTop w:val="0"/>
      <w:marBottom w:val="0"/>
      <w:divBdr>
        <w:top w:val="none" w:sz="0" w:space="0" w:color="auto"/>
        <w:left w:val="none" w:sz="0" w:space="0" w:color="auto"/>
        <w:bottom w:val="none" w:sz="0" w:space="0" w:color="auto"/>
        <w:right w:val="none" w:sz="0" w:space="0" w:color="auto"/>
      </w:divBdr>
    </w:div>
    <w:div w:id="129636956">
      <w:bodyDiv w:val="1"/>
      <w:marLeft w:val="0"/>
      <w:marRight w:val="0"/>
      <w:marTop w:val="0"/>
      <w:marBottom w:val="0"/>
      <w:divBdr>
        <w:top w:val="none" w:sz="0" w:space="0" w:color="auto"/>
        <w:left w:val="none" w:sz="0" w:space="0" w:color="auto"/>
        <w:bottom w:val="none" w:sz="0" w:space="0" w:color="auto"/>
        <w:right w:val="none" w:sz="0" w:space="0" w:color="auto"/>
      </w:divBdr>
    </w:div>
    <w:div w:id="153689861">
      <w:bodyDiv w:val="1"/>
      <w:marLeft w:val="0"/>
      <w:marRight w:val="0"/>
      <w:marTop w:val="0"/>
      <w:marBottom w:val="0"/>
      <w:divBdr>
        <w:top w:val="none" w:sz="0" w:space="0" w:color="auto"/>
        <w:left w:val="none" w:sz="0" w:space="0" w:color="auto"/>
        <w:bottom w:val="none" w:sz="0" w:space="0" w:color="auto"/>
        <w:right w:val="none" w:sz="0" w:space="0" w:color="auto"/>
      </w:divBdr>
    </w:div>
    <w:div w:id="203178161">
      <w:bodyDiv w:val="1"/>
      <w:marLeft w:val="0"/>
      <w:marRight w:val="0"/>
      <w:marTop w:val="0"/>
      <w:marBottom w:val="0"/>
      <w:divBdr>
        <w:top w:val="none" w:sz="0" w:space="0" w:color="auto"/>
        <w:left w:val="none" w:sz="0" w:space="0" w:color="auto"/>
        <w:bottom w:val="none" w:sz="0" w:space="0" w:color="auto"/>
        <w:right w:val="none" w:sz="0" w:space="0" w:color="auto"/>
      </w:divBdr>
    </w:div>
    <w:div w:id="225379569">
      <w:bodyDiv w:val="1"/>
      <w:marLeft w:val="0"/>
      <w:marRight w:val="0"/>
      <w:marTop w:val="0"/>
      <w:marBottom w:val="0"/>
      <w:divBdr>
        <w:top w:val="none" w:sz="0" w:space="0" w:color="auto"/>
        <w:left w:val="none" w:sz="0" w:space="0" w:color="auto"/>
        <w:bottom w:val="none" w:sz="0" w:space="0" w:color="auto"/>
        <w:right w:val="none" w:sz="0" w:space="0" w:color="auto"/>
      </w:divBdr>
    </w:div>
    <w:div w:id="328482565">
      <w:bodyDiv w:val="1"/>
      <w:marLeft w:val="0"/>
      <w:marRight w:val="0"/>
      <w:marTop w:val="0"/>
      <w:marBottom w:val="0"/>
      <w:divBdr>
        <w:top w:val="none" w:sz="0" w:space="0" w:color="auto"/>
        <w:left w:val="none" w:sz="0" w:space="0" w:color="auto"/>
        <w:bottom w:val="none" w:sz="0" w:space="0" w:color="auto"/>
        <w:right w:val="none" w:sz="0" w:space="0" w:color="auto"/>
      </w:divBdr>
    </w:div>
    <w:div w:id="338701075">
      <w:bodyDiv w:val="1"/>
      <w:marLeft w:val="0"/>
      <w:marRight w:val="0"/>
      <w:marTop w:val="0"/>
      <w:marBottom w:val="0"/>
      <w:divBdr>
        <w:top w:val="none" w:sz="0" w:space="0" w:color="auto"/>
        <w:left w:val="none" w:sz="0" w:space="0" w:color="auto"/>
        <w:bottom w:val="none" w:sz="0" w:space="0" w:color="auto"/>
        <w:right w:val="none" w:sz="0" w:space="0" w:color="auto"/>
      </w:divBdr>
    </w:div>
    <w:div w:id="401874621">
      <w:bodyDiv w:val="1"/>
      <w:marLeft w:val="0"/>
      <w:marRight w:val="0"/>
      <w:marTop w:val="0"/>
      <w:marBottom w:val="0"/>
      <w:divBdr>
        <w:top w:val="none" w:sz="0" w:space="0" w:color="auto"/>
        <w:left w:val="none" w:sz="0" w:space="0" w:color="auto"/>
        <w:bottom w:val="none" w:sz="0" w:space="0" w:color="auto"/>
        <w:right w:val="none" w:sz="0" w:space="0" w:color="auto"/>
      </w:divBdr>
    </w:div>
    <w:div w:id="509956601">
      <w:bodyDiv w:val="1"/>
      <w:marLeft w:val="0"/>
      <w:marRight w:val="0"/>
      <w:marTop w:val="0"/>
      <w:marBottom w:val="0"/>
      <w:divBdr>
        <w:top w:val="none" w:sz="0" w:space="0" w:color="auto"/>
        <w:left w:val="none" w:sz="0" w:space="0" w:color="auto"/>
        <w:bottom w:val="none" w:sz="0" w:space="0" w:color="auto"/>
        <w:right w:val="none" w:sz="0" w:space="0" w:color="auto"/>
      </w:divBdr>
    </w:div>
    <w:div w:id="615907481">
      <w:bodyDiv w:val="1"/>
      <w:marLeft w:val="0"/>
      <w:marRight w:val="0"/>
      <w:marTop w:val="0"/>
      <w:marBottom w:val="0"/>
      <w:divBdr>
        <w:top w:val="none" w:sz="0" w:space="0" w:color="auto"/>
        <w:left w:val="none" w:sz="0" w:space="0" w:color="auto"/>
        <w:bottom w:val="none" w:sz="0" w:space="0" w:color="auto"/>
        <w:right w:val="none" w:sz="0" w:space="0" w:color="auto"/>
      </w:divBdr>
    </w:div>
    <w:div w:id="703217525">
      <w:bodyDiv w:val="1"/>
      <w:marLeft w:val="0"/>
      <w:marRight w:val="0"/>
      <w:marTop w:val="0"/>
      <w:marBottom w:val="0"/>
      <w:divBdr>
        <w:top w:val="none" w:sz="0" w:space="0" w:color="auto"/>
        <w:left w:val="none" w:sz="0" w:space="0" w:color="auto"/>
        <w:bottom w:val="none" w:sz="0" w:space="0" w:color="auto"/>
        <w:right w:val="none" w:sz="0" w:space="0" w:color="auto"/>
      </w:divBdr>
    </w:div>
    <w:div w:id="817960180">
      <w:bodyDiv w:val="1"/>
      <w:marLeft w:val="0"/>
      <w:marRight w:val="0"/>
      <w:marTop w:val="0"/>
      <w:marBottom w:val="0"/>
      <w:divBdr>
        <w:top w:val="none" w:sz="0" w:space="0" w:color="auto"/>
        <w:left w:val="none" w:sz="0" w:space="0" w:color="auto"/>
        <w:bottom w:val="none" w:sz="0" w:space="0" w:color="auto"/>
        <w:right w:val="none" w:sz="0" w:space="0" w:color="auto"/>
      </w:divBdr>
    </w:div>
    <w:div w:id="885407510">
      <w:bodyDiv w:val="1"/>
      <w:marLeft w:val="0"/>
      <w:marRight w:val="0"/>
      <w:marTop w:val="0"/>
      <w:marBottom w:val="0"/>
      <w:divBdr>
        <w:top w:val="none" w:sz="0" w:space="0" w:color="auto"/>
        <w:left w:val="none" w:sz="0" w:space="0" w:color="auto"/>
        <w:bottom w:val="none" w:sz="0" w:space="0" w:color="auto"/>
        <w:right w:val="none" w:sz="0" w:space="0" w:color="auto"/>
      </w:divBdr>
    </w:div>
    <w:div w:id="907961963">
      <w:bodyDiv w:val="1"/>
      <w:marLeft w:val="0"/>
      <w:marRight w:val="0"/>
      <w:marTop w:val="0"/>
      <w:marBottom w:val="0"/>
      <w:divBdr>
        <w:top w:val="none" w:sz="0" w:space="0" w:color="auto"/>
        <w:left w:val="none" w:sz="0" w:space="0" w:color="auto"/>
        <w:bottom w:val="none" w:sz="0" w:space="0" w:color="auto"/>
        <w:right w:val="none" w:sz="0" w:space="0" w:color="auto"/>
      </w:divBdr>
    </w:div>
    <w:div w:id="994260752">
      <w:bodyDiv w:val="1"/>
      <w:marLeft w:val="0"/>
      <w:marRight w:val="0"/>
      <w:marTop w:val="0"/>
      <w:marBottom w:val="0"/>
      <w:divBdr>
        <w:top w:val="none" w:sz="0" w:space="0" w:color="auto"/>
        <w:left w:val="none" w:sz="0" w:space="0" w:color="auto"/>
        <w:bottom w:val="none" w:sz="0" w:space="0" w:color="auto"/>
        <w:right w:val="none" w:sz="0" w:space="0" w:color="auto"/>
      </w:divBdr>
    </w:div>
    <w:div w:id="1097944785">
      <w:bodyDiv w:val="1"/>
      <w:marLeft w:val="0"/>
      <w:marRight w:val="0"/>
      <w:marTop w:val="0"/>
      <w:marBottom w:val="0"/>
      <w:divBdr>
        <w:top w:val="none" w:sz="0" w:space="0" w:color="auto"/>
        <w:left w:val="none" w:sz="0" w:space="0" w:color="auto"/>
        <w:bottom w:val="none" w:sz="0" w:space="0" w:color="auto"/>
        <w:right w:val="none" w:sz="0" w:space="0" w:color="auto"/>
      </w:divBdr>
    </w:div>
    <w:div w:id="1257637386">
      <w:bodyDiv w:val="1"/>
      <w:marLeft w:val="0"/>
      <w:marRight w:val="0"/>
      <w:marTop w:val="0"/>
      <w:marBottom w:val="0"/>
      <w:divBdr>
        <w:top w:val="none" w:sz="0" w:space="0" w:color="auto"/>
        <w:left w:val="none" w:sz="0" w:space="0" w:color="auto"/>
        <w:bottom w:val="none" w:sz="0" w:space="0" w:color="auto"/>
        <w:right w:val="none" w:sz="0" w:space="0" w:color="auto"/>
      </w:divBdr>
    </w:div>
    <w:div w:id="1317680985">
      <w:bodyDiv w:val="1"/>
      <w:marLeft w:val="0"/>
      <w:marRight w:val="0"/>
      <w:marTop w:val="0"/>
      <w:marBottom w:val="0"/>
      <w:divBdr>
        <w:top w:val="none" w:sz="0" w:space="0" w:color="auto"/>
        <w:left w:val="none" w:sz="0" w:space="0" w:color="auto"/>
        <w:bottom w:val="none" w:sz="0" w:space="0" w:color="auto"/>
        <w:right w:val="none" w:sz="0" w:space="0" w:color="auto"/>
      </w:divBdr>
    </w:div>
    <w:div w:id="1368799817">
      <w:bodyDiv w:val="1"/>
      <w:marLeft w:val="0"/>
      <w:marRight w:val="0"/>
      <w:marTop w:val="0"/>
      <w:marBottom w:val="0"/>
      <w:divBdr>
        <w:top w:val="none" w:sz="0" w:space="0" w:color="auto"/>
        <w:left w:val="none" w:sz="0" w:space="0" w:color="auto"/>
        <w:bottom w:val="none" w:sz="0" w:space="0" w:color="auto"/>
        <w:right w:val="none" w:sz="0" w:space="0" w:color="auto"/>
      </w:divBdr>
    </w:div>
    <w:div w:id="1544977036">
      <w:bodyDiv w:val="1"/>
      <w:marLeft w:val="0"/>
      <w:marRight w:val="0"/>
      <w:marTop w:val="0"/>
      <w:marBottom w:val="0"/>
      <w:divBdr>
        <w:top w:val="none" w:sz="0" w:space="0" w:color="auto"/>
        <w:left w:val="none" w:sz="0" w:space="0" w:color="auto"/>
        <w:bottom w:val="none" w:sz="0" w:space="0" w:color="auto"/>
        <w:right w:val="none" w:sz="0" w:space="0" w:color="auto"/>
      </w:divBdr>
    </w:div>
    <w:div w:id="1616710731">
      <w:bodyDiv w:val="1"/>
      <w:marLeft w:val="0"/>
      <w:marRight w:val="0"/>
      <w:marTop w:val="0"/>
      <w:marBottom w:val="0"/>
      <w:divBdr>
        <w:top w:val="none" w:sz="0" w:space="0" w:color="auto"/>
        <w:left w:val="none" w:sz="0" w:space="0" w:color="auto"/>
        <w:bottom w:val="none" w:sz="0" w:space="0" w:color="auto"/>
        <w:right w:val="none" w:sz="0" w:space="0" w:color="auto"/>
      </w:divBdr>
    </w:div>
    <w:div w:id="1707632156">
      <w:bodyDiv w:val="1"/>
      <w:marLeft w:val="0"/>
      <w:marRight w:val="0"/>
      <w:marTop w:val="0"/>
      <w:marBottom w:val="0"/>
      <w:divBdr>
        <w:top w:val="none" w:sz="0" w:space="0" w:color="auto"/>
        <w:left w:val="none" w:sz="0" w:space="0" w:color="auto"/>
        <w:bottom w:val="none" w:sz="0" w:space="0" w:color="auto"/>
        <w:right w:val="none" w:sz="0" w:space="0" w:color="auto"/>
      </w:divBdr>
    </w:div>
    <w:div w:id="1726758109">
      <w:bodyDiv w:val="1"/>
      <w:marLeft w:val="0"/>
      <w:marRight w:val="0"/>
      <w:marTop w:val="0"/>
      <w:marBottom w:val="0"/>
      <w:divBdr>
        <w:top w:val="none" w:sz="0" w:space="0" w:color="auto"/>
        <w:left w:val="none" w:sz="0" w:space="0" w:color="auto"/>
        <w:bottom w:val="none" w:sz="0" w:space="0" w:color="auto"/>
        <w:right w:val="none" w:sz="0" w:space="0" w:color="auto"/>
      </w:divBdr>
    </w:div>
    <w:div w:id="2070759223">
      <w:bodyDiv w:val="1"/>
      <w:marLeft w:val="0"/>
      <w:marRight w:val="0"/>
      <w:marTop w:val="0"/>
      <w:marBottom w:val="0"/>
      <w:divBdr>
        <w:top w:val="none" w:sz="0" w:space="0" w:color="auto"/>
        <w:left w:val="none" w:sz="0" w:space="0" w:color="auto"/>
        <w:bottom w:val="none" w:sz="0" w:space="0" w:color="auto"/>
        <w:right w:val="none" w:sz="0" w:space="0" w:color="auto"/>
      </w:divBdr>
    </w:div>
    <w:div w:id="21247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mmreports.caremark.com/shortage_rpt.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Lindsey</ProjectAnalyst>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031AE3FD-B112-4E5B-80D9-34F866971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131D2-757B-46E3-A016-1990CC3D706B}">
  <ds:schemaRefs>
    <ds:schemaRef ds:uri="http://schemas.microsoft.com/sharepoint/v3/contenttype/forms"/>
  </ds:schemaRefs>
</ds:datastoreItem>
</file>

<file path=customXml/itemProps3.xml><?xml version="1.0" encoding="utf-8"?>
<ds:datastoreItem xmlns:ds="http://schemas.openxmlformats.org/officeDocument/2006/customXml" ds:itemID="{88886FA1-ACC5-4951-A54B-40D705E84930}">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Davis, David P.</cp:lastModifiedBy>
  <cp:revision>5</cp:revision>
  <dcterms:created xsi:type="dcterms:W3CDTF">2025-07-08T17:30:00Z</dcterms:created>
  <dcterms:modified xsi:type="dcterms:W3CDTF">2025-07-08T17:36:00Z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2025-05-13T16:49:48Z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8f3a91d4-536f-444f-8c7e-5608b0a61e75</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