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D0CC" w14:textId="48277F1F" w:rsidR="00836D9A" w:rsidRPr="006F5B10" w:rsidRDefault="00B42948" w:rsidP="00FC25E2">
      <w:pPr>
        <w:pStyle w:val="Heading1"/>
        <w:rPr>
          <w:rFonts w:ascii="Verdana" w:hAnsi="Verdana"/>
          <w:bCs/>
          <w:color w:val="000000"/>
          <w:sz w:val="36"/>
          <w:szCs w:val="36"/>
        </w:rPr>
      </w:pPr>
      <w:bookmarkStart w:id="0" w:name="_top"/>
      <w:bookmarkStart w:id="1" w:name="_Toc460425783"/>
      <w:bookmarkStart w:id="2" w:name="_Toc507423672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836D9A" w:rsidRPr="006F5B10">
        <w:rPr>
          <w:rFonts w:ascii="Verdana" w:hAnsi="Verdana"/>
          <w:color w:val="000000"/>
          <w:sz w:val="36"/>
          <w:szCs w:val="36"/>
        </w:rPr>
        <w:t>Order Not Showing in System</w:t>
      </w:r>
      <w:bookmarkEnd w:id="1"/>
      <w:bookmarkEnd w:id="2"/>
    </w:p>
    <w:p w14:paraId="702CB6B3" w14:textId="2D26666A" w:rsidR="00C814C4" w:rsidRDefault="0017032D" w:rsidP="00C814C4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C75B7">
        <w:fldChar w:fldCharType="begin"/>
      </w:r>
      <w:r w:rsidRPr="005C75B7">
        <w:instrText xml:space="preserve"> TOC \o "2-2" \n \p " " \h \z \u </w:instrText>
      </w:r>
      <w:r w:rsidRPr="005C75B7">
        <w:fldChar w:fldCharType="separate"/>
      </w:r>
      <w:hyperlink w:anchor="_Toc160092838" w:history="1">
        <w:r w:rsidR="00C814C4" w:rsidRPr="005636FD">
          <w:rPr>
            <w:rStyle w:val="Hyperlink"/>
            <w:noProof/>
          </w:rPr>
          <w:t>Process</w:t>
        </w:r>
      </w:hyperlink>
    </w:p>
    <w:p w14:paraId="7E69F400" w14:textId="1F6AC40F" w:rsidR="00C814C4" w:rsidRDefault="006D5E62" w:rsidP="00C814C4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092839" w:history="1">
        <w:r w:rsidR="00C814C4" w:rsidRPr="005636FD">
          <w:rPr>
            <w:rStyle w:val="Hyperlink"/>
            <w:noProof/>
          </w:rPr>
          <w:t>Resolution Time</w:t>
        </w:r>
      </w:hyperlink>
    </w:p>
    <w:p w14:paraId="41C29152" w14:textId="615720AA" w:rsidR="00C814C4" w:rsidRDefault="006D5E62" w:rsidP="00C814C4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092840" w:history="1">
        <w:r w:rsidR="00C814C4" w:rsidRPr="005636FD">
          <w:rPr>
            <w:rStyle w:val="Hyperlink"/>
            <w:noProof/>
          </w:rPr>
          <w:t>Related Documents</w:t>
        </w:r>
      </w:hyperlink>
    </w:p>
    <w:p w14:paraId="685ABB3C" w14:textId="604DD13A" w:rsidR="00126C70" w:rsidRDefault="0017032D" w:rsidP="00FC25E2">
      <w:r w:rsidRPr="005C75B7">
        <w:fldChar w:fldCharType="end"/>
      </w:r>
    </w:p>
    <w:p w14:paraId="7BCDEB0C" w14:textId="23F79A52" w:rsidR="00836D9A" w:rsidRDefault="00B503BA" w:rsidP="001C7F9C">
      <w:pPr>
        <w:spacing w:before="120" w:after="120"/>
      </w:pPr>
      <w:bookmarkStart w:id="3" w:name="_Overview"/>
      <w:bookmarkEnd w:id="3"/>
      <w:r w:rsidRPr="008E4132">
        <w:rPr>
          <w:b/>
          <w:bCs/>
        </w:rPr>
        <w:t>Description:</w:t>
      </w:r>
      <w:r w:rsidRPr="008E4132">
        <w:t xml:space="preserve">  </w:t>
      </w:r>
      <w:r w:rsidR="006D5E62">
        <w:t>Procedure</w:t>
      </w:r>
      <w:r w:rsidR="00F8199A" w:rsidRPr="008E4132">
        <w:t xml:space="preserve"> when a call is </w:t>
      </w:r>
      <w:r w:rsidR="00836D9A" w:rsidRPr="008E4132">
        <w:t xml:space="preserve">received from a </w:t>
      </w:r>
      <w:r w:rsidR="001E02F0" w:rsidRPr="008E4132">
        <w:t>member</w:t>
      </w:r>
      <w:r w:rsidR="00836D9A" w:rsidRPr="008E4132">
        <w:t xml:space="preserve"> who is checking on the status of their order, and the order has not been received</w:t>
      </w:r>
      <w:r w:rsidR="00F8199A" w:rsidRPr="008E4132">
        <w:t xml:space="preserve"> or</w:t>
      </w:r>
      <w:r w:rsidR="0017032D" w:rsidRPr="008E4132">
        <w:t xml:space="preserve"> </w:t>
      </w:r>
      <w:r w:rsidR="003C6293" w:rsidRPr="008E4132">
        <w:t>entered</w:t>
      </w:r>
      <w:r w:rsidR="00836D9A" w:rsidRPr="008E4132">
        <w:t xml:space="preserve"> </w:t>
      </w:r>
      <w:r w:rsidR="003C6293">
        <w:t xml:space="preserve">in </w:t>
      </w:r>
      <w:r w:rsidR="00836D9A" w:rsidRPr="008E4132">
        <w:t>the system.</w:t>
      </w:r>
    </w:p>
    <w:p w14:paraId="2708A0CC" w14:textId="77777777" w:rsidR="00C814C4" w:rsidRPr="008E4132" w:rsidRDefault="00C814C4" w:rsidP="001C7F9C">
      <w:pPr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36D9A" w:rsidRPr="008E4132" w14:paraId="3255E0B8" w14:textId="77777777" w:rsidTr="00D073C7">
        <w:tc>
          <w:tcPr>
            <w:tcW w:w="5000" w:type="pct"/>
            <w:shd w:val="clear" w:color="auto" w:fill="BFBFBF" w:themeFill="background1" w:themeFillShade="BF"/>
          </w:tcPr>
          <w:p w14:paraId="25BF2E09" w14:textId="265862B9" w:rsidR="00836D9A" w:rsidRPr="008E4132" w:rsidRDefault="00836D9A" w:rsidP="001C7F9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Various_Work_Instructions_3"/>
            <w:bookmarkStart w:id="5" w:name="_Process"/>
            <w:bookmarkStart w:id="6" w:name="_Toc160092838"/>
            <w:bookmarkEnd w:id="4"/>
            <w:bookmarkEnd w:id="5"/>
            <w:r w:rsidRPr="008E4132">
              <w:rPr>
                <w:rFonts w:ascii="Verdana" w:hAnsi="Verdana"/>
                <w:i w:val="0"/>
                <w:iCs w:val="0"/>
              </w:rPr>
              <w:t>Process</w:t>
            </w:r>
            <w:bookmarkEnd w:id="6"/>
            <w:r w:rsidRPr="008E4132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239AB755" w14:textId="77777777" w:rsidR="0017032D" w:rsidRPr="008E4132" w:rsidRDefault="001E02F0" w:rsidP="001C7F9C">
      <w:pPr>
        <w:spacing w:before="120" w:after="120"/>
      </w:pPr>
      <w:r w:rsidRPr="008E4132"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2"/>
        <w:gridCol w:w="1140"/>
        <w:gridCol w:w="1462"/>
        <w:gridCol w:w="2893"/>
        <w:gridCol w:w="6763"/>
      </w:tblGrid>
      <w:tr w:rsidR="006A73A9" w:rsidRPr="008E4132" w14:paraId="3463A93B" w14:textId="77777777" w:rsidTr="00D073C7">
        <w:tc>
          <w:tcPr>
            <w:tcW w:w="311" w:type="pct"/>
            <w:shd w:val="clear" w:color="auto" w:fill="D9D9D9" w:themeFill="background1" w:themeFillShade="D9"/>
          </w:tcPr>
          <w:p w14:paraId="0177EC1C" w14:textId="77777777" w:rsidR="00836D9A" w:rsidRPr="008E4132" w:rsidRDefault="00836D9A" w:rsidP="001C7F9C">
            <w:pPr>
              <w:spacing w:before="120" w:after="120"/>
              <w:jc w:val="center"/>
              <w:rPr>
                <w:b/>
              </w:rPr>
            </w:pPr>
            <w:r w:rsidRPr="008E4132">
              <w:rPr>
                <w:b/>
              </w:rPr>
              <w:t>Step</w:t>
            </w:r>
          </w:p>
        </w:tc>
        <w:tc>
          <w:tcPr>
            <w:tcW w:w="4689" w:type="pct"/>
            <w:gridSpan w:val="4"/>
            <w:shd w:val="clear" w:color="auto" w:fill="D9D9D9" w:themeFill="background1" w:themeFillShade="D9"/>
          </w:tcPr>
          <w:p w14:paraId="70A9926F" w14:textId="77777777" w:rsidR="00836D9A" w:rsidRPr="008E4132" w:rsidRDefault="00836D9A" w:rsidP="001C7F9C">
            <w:pPr>
              <w:spacing w:before="120" w:after="120"/>
              <w:jc w:val="center"/>
              <w:rPr>
                <w:b/>
              </w:rPr>
            </w:pPr>
            <w:r w:rsidRPr="008E4132">
              <w:rPr>
                <w:b/>
              </w:rPr>
              <w:t>Action</w:t>
            </w:r>
          </w:p>
        </w:tc>
      </w:tr>
      <w:tr w:rsidR="00493A33" w:rsidRPr="008E4132" w14:paraId="639B955E" w14:textId="77777777" w:rsidTr="000B69A1">
        <w:trPr>
          <w:cantSplit/>
        </w:trPr>
        <w:tc>
          <w:tcPr>
            <w:tcW w:w="311" w:type="pct"/>
          </w:tcPr>
          <w:p w14:paraId="3679D8FD" w14:textId="435A55D6" w:rsidR="00493A33" w:rsidRPr="008E4132" w:rsidRDefault="00493A33" w:rsidP="001C7F9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89" w:type="pct"/>
            <w:gridSpan w:val="4"/>
            <w:tcBorders>
              <w:bottom w:val="single" w:sz="4" w:space="0" w:color="auto"/>
            </w:tcBorders>
          </w:tcPr>
          <w:p w14:paraId="7B86208C" w14:textId="1095E145" w:rsidR="00493A33" w:rsidDel="00004822" w:rsidRDefault="00493A33" w:rsidP="001C7F9C">
            <w:pPr>
              <w:spacing w:before="120" w:after="120"/>
              <w:textAlignment w:val="top"/>
            </w:pPr>
            <w:r>
              <w:t xml:space="preserve">From the </w:t>
            </w:r>
            <w:r w:rsidRPr="00004822">
              <w:t>Claims Landing Page,</w:t>
            </w:r>
            <w:r>
              <w:t xml:space="preserve"> click the </w:t>
            </w:r>
            <w:r>
              <w:rPr>
                <w:b/>
                <w:bCs/>
              </w:rPr>
              <w:t>Mail Order History</w:t>
            </w:r>
            <w:r>
              <w:t xml:space="preserve"> tab</w:t>
            </w:r>
            <w:r w:rsidR="00706612">
              <w:t>.</w:t>
            </w:r>
          </w:p>
        </w:tc>
      </w:tr>
      <w:tr w:rsidR="006A73A9" w:rsidRPr="008E4132" w14:paraId="75B2665D" w14:textId="77777777" w:rsidTr="000B69A1">
        <w:trPr>
          <w:cantSplit/>
        </w:trPr>
        <w:tc>
          <w:tcPr>
            <w:tcW w:w="311" w:type="pct"/>
            <w:vMerge w:val="restart"/>
          </w:tcPr>
          <w:p w14:paraId="6E601A04" w14:textId="667727B7" w:rsidR="00836D9A" w:rsidRPr="008E4132" w:rsidRDefault="001C7F9C" w:rsidP="001C7F9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89" w:type="pct"/>
            <w:gridSpan w:val="4"/>
            <w:tcBorders>
              <w:bottom w:val="single" w:sz="4" w:space="0" w:color="auto"/>
            </w:tcBorders>
          </w:tcPr>
          <w:p w14:paraId="77D306A2" w14:textId="3323BC5F" w:rsidR="00F63300" w:rsidRPr="001C66AE" w:rsidRDefault="00F63300" w:rsidP="001C7F9C">
            <w:pPr>
              <w:spacing w:before="120" w:after="120"/>
              <w:textAlignment w:val="top"/>
            </w:pPr>
            <w:r>
              <w:t>Locate the order with the prescription(s) the member is inquiring about</w:t>
            </w:r>
            <w:r w:rsidR="00004822">
              <w:rPr>
                <w:color w:val="333333"/>
              </w:rPr>
              <w:t xml:space="preserve"> </w:t>
            </w:r>
            <w:r w:rsidR="00493A33">
              <w:rPr>
                <w:color w:val="333333"/>
              </w:rPr>
              <w:t xml:space="preserve">by </w:t>
            </w:r>
            <w:r w:rsidR="00004822">
              <w:rPr>
                <w:color w:val="333333"/>
              </w:rPr>
              <w:t>c</w:t>
            </w:r>
            <w:r w:rsidR="00004822">
              <w:rPr>
                <w:rStyle w:val="ui-provider"/>
              </w:rPr>
              <w:t>lick</w:t>
            </w:r>
            <w:r w:rsidR="00493A33">
              <w:rPr>
                <w:rStyle w:val="ui-provider"/>
              </w:rPr>
              <w:t>in</w:t>
            </w:r>
            <w:r w:rsidR="00706612">
              <w:rPr>
                <w:rStyle w:val="ui-provider"/>
              </w:rPr>
              <w:t>g</w:t>
            </w:r>
            <w:r w:rsidR="00004822">
              <w:rPr>
                <w:rStyle w:val="ui-provider"/>
              </w:rPr>
              <w:t xml:space="preserve"> the chevron arrow next to the </w:t>
            </w:r>
            <w:r w:rsidR="00004822">
              <w:rPr>
                <w:rStyle w:val="Strong"/>
              </w:rPr>
              <w:t xml:space="preserve">Order Number </w:t>
            </w:r>
            <w:r w:rsidR="00004822">
              <w:rPr>
                <w:rStyle w:val="ui-provider"/>
              </w:rPr>
              <w:t xml:space="preserve">link(s) to expand/collapse a preview of the prescriptions in </w:t>
            </w:r>
            <w:r w:rsidR="00493A33">
              <w:rPr>
                <w:rStyle w:val="ui-provider"/>
              </w:rPr>
              <w:t>each</w:t>
            </w:r>
            <w:r w:rsidR="00004822">
              <w:rPr>
                <w:rStyle w:val="ui-provider"/>
              </w:rPr>
              <w:t xml:space="preserve"> order</w:t>
            </w:r>
            <w:r>
              <w:t>.</w:t>
            </w:r>
          </w:p>
        </w:tc>
      </w:tr>
      <w:tr w:rsidR="000F66EF" w:rsidRPr="008E4132" w14:paraId="5B4C56E5" w14:textId="77777777" w:rsidTr="00D073C7">
        <w:trPr>
          <w:cantSplit/>
        </w:trPr>
        <w:tc>
          <w:tcPr>
            <w:tcW w:w="311" w:type="pct"/>
            <w:vMerge/>
          </w:tcPr>
          <w:p w14:paraId="580E052E" w14:textId="77777777" w:rsidR="005C17E3" w:rsidRPr="008E4132" w:rsidRDefault="005C17E3" w:rsidP="001C7F9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2" w:type="pct"/>
            <w:shd w:val="clear" w:color="auto" w:fill="D9D9D9" w:themeFill="background1" w:themeFillShade="D9"/>
          </w:tcPr>
          <w:p w14:paraId="2CE9983E" w14:textId="072025F6" w:rsidR="005C17E3" w:rsidRPr="008E4132" w:rsidRDefault="005C17E3" w:rsidP="001C7F9C">
            <w:pPr>
              <w:spacing w:before="120" w:after="120"/>
              <w:jc w:val="center"/>
              <w:rPr>
                <w:b/>
              </w:rPr>
            </w:pPr>
            <w:r w:rsidRPr="008E4132">
              <w:rPr>
                <w:b/>
              </w:rPr>
              <w:t>If</w:t>
            </w:r>
            <w:r w:rsidR="00493A33">
              <w:rPr>
                <w:b/>
              </w:rPr>
              <w:t xml:space="preserve"> the order</w:t>
            </w:r>
            <w:r w:rsidRPr="008E4132">
              <w:rPr>
                <w:b/>
              </w:rPr>
              <w:t>…</w:t>
            </w:r>
          </w:p>
        </w:tc>
        <w:tc>
          <w:tcPr>
            <w:tcW w:w="4197" w:type="pct"/>
            <w:gridSpan w:val="3"/>
            <w:shd w:val="clear" w:color="auto" w:fill="D9D9D9" w:themeFill="background1" w:themeFillShade="D9"/>
          </w:tcPr>
          <w:p w14:paraId="188256E5" w14:textId="77777777" w:rsidR="005C17E3" w:rsidRPr="008E4132" w:rsidRDefault="005C17E3" w:rsidP="001C7F9C">
            <w:pPr>
              <w:spacing w:before="120" w:after="120"/>
              <w:jc w:val="center"/>
              <w:rPr>
                <w:b/>
              </w:rPr>
            </w:pPr>
            <w:r w:rsidRPr="008E4132">
              <w:rPr>
                <w:b/>
              </w:rPr>
              <w:t>Then…</w:t>
            </w:r>
          </w:p>
        </w:tc>
      </w:tr>
      <w:tr w:rsidR="000F66EF" w:rsidRPr="008E4132" w14:paraId="42CCCBBF" w14:textId="77777777" w:rsidTr="000B69A1">
        <w:trPr>
          <w:cantSplit/>
        </w:trPr>
        <w:tc>
          <w:tcPr>
            <w:tcW w:w="311" w:type="pct"/>
            <w:vMerge/>
          </w:tcPr>
          <w:p w14:paraId="1AAE88E1" w14:textId="77777777" w:rsidR="00864D0B" w:rsidRPr="008E4132" w:rsidRDefault="00864D0B" w:rsidP="001C7F9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2" w:type="pct"/>
          </w:tcPr>
          <w:p w14:paraId="34C5D29E" w14:textId="60DC60C1" w:rsidR="00864D0B" w:rsidRPr="008E4132" w:rsidRDefault="00864D0B" w:rsidP="001C7F9C">
            <w:pPr>
              <w:spacing w:before="120" w:after="120"/>
              <w:textAlignment w:val="top"/>
              <w:rPr>
                <w:color w:val="000000"/>
              </w:rPr>
            </w:pPr>
            <w:r w:rsidRPr="008E4132">
              <w:rPr>
                <w:b/>
                <w:caps/>
              </w:rPr>
              <w:t>DOES NOT</w:t>
            </w:r>
            <w:r w:rsidRPr="008E4132">
              <w:t xml:space="preserve"> display </w:t>
            </w:r>
            <w:r w:rsidR="00F63300">
              <w:t>in Mail Order History</w:t>
            </w:r>
          </w:p>
        </w:tc>
        <w:tc>
          <w:tcPr>
            <w:tcW w:w="4197" w:type="pct"/>
            <w:gridSpan w:val="3"/>
          </w:tcPr>
          <w:p w14:paraId="70CF57FD" w14:textId="37BE9499" w:rsidR="005D14B9" w:rsidRDefault="008E4132" w:rsidP="001C7F9C">
            <w:pPr>
              <w:spacing w:before="120" w:after="120"/>
              <w:textAlignment w:val="top"/>
            </w:pPr>
            <w:r w:rsidRPr="008E4132">
              <w:t>P</w:t>
            </w:r>
            <w:r w:rsidR="001D625C" w:rsidRPr="008E4132">
              <w:t>rescriptions received by phone, fax</w:t>
            </w:r>
            <w:r>
              <w:t>,</w:t>
            </w:r>
            <w:r w:rsidR="001D625C" w:rsidRPr="008E4132">
              <w:t xml:space="preserve"> or </w:t>
            </w:r>
            <w:proofErr w:type="spellStart"/>
            <w:r w:rsidR="001D625C" w:rsidRPr="008E4132">
              <w:t>eScribe</w:t>
            </w:r>
            <w:proofErr w:type="spellEnd"/>
            <w:r w:rsidR="001D625C" w:rsidRPr="008E4132">
              <w:t xml:space="preserve"> should appear in </w:t>
            </w:r>
            <w:r w:rsidR="00F63300">
              <w:t>Compass</w:t>
            </w:r>
            <w:r w:rsidR="00F63300" w:rsidRPr="008E4132">
              <w:t xml:space="preserve"> </w:t>
            </w:r>
            <w:r w:rsidR="001D625C" w:rsidRPr="008E4132">
              <w:t xml:space="preserve">within </w:t>
            </w:r>
            <w:r w:rsidR="00247A7B">
              <w:t>48</w:t>
            </w:r>
            <w:r w:rsidR="001D625C" w:rsidRPr="008E4132">
              <w:t xml:space="preserve"> hours. Rx Translation can take up to four </w:t>
            </w:r>
            <w:r>
              <w:t xml:space="preserve">(4) </w:t>
            </w:r>
            <w:r w:rsidR="001D625C" w:rsidRPr="008E4132">
              <w:t>business days.</w:t>
            </w:r>
            <w:r>
              <w:t xml:space="preserve"> </w:t>
            </w:r>
            <w:r w:rsidR="001D625C" w:rsidRPr="008E4132">
              <w:t xml:space="preserve"> Educate the member on the </w:t>
            </w:r>
            <w:r w:rsidR="00247A7B">
              <w:t>5</w:t>
            </w:r>
            <w:r w:rsidR="001D625C" w:rsidRPr="008E4132">
              <w:t>-day turnaround time, then investigate as appropriate.</w:t>
            </w:r>
          </w:p>
          <w:p w14:paraId="28A53E0C" w14:textId="77777777" w:rsidR="00E3230C" w:rsidRDefault="00E3230C" w:rsidP="001C7F9C">
            <w:pPr>
              <w:pStyle w:val="ListParagraph"/>
              <w:spacing w:before="120" w:after="120"/>
              <w:textAlignment w:val="top"/>
            </w:pPr>
          </w:p>
          <w:p w14:paraId="00DC683B" w14:textId="466FE979" w:rsidR="0056205B" w:rsidRPr="00107EAD" w:rsidRDefault="002E3B2F" w:rsidP="001C7F9C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</w:pPr>
            <w:r w:rsidRPr="0056205B">
              <w:rPr>
                <w:rFonts w:eastAsia="Verdana" w:cs="Verdana"/>
                <w:color w:val="000000" w:themeColor="text1"/>
              </w:rPr>
              <w:t>Review</w:t>
            </w:r>
            <w:r w:rsidR="0056205B" w:rsidRPr="0056205B">
              <w:rPr>
                <w:rFonts w:eastAsia="Verdana" w:cs="Verdana"/>
                <w:color w:val="000000" w:themeColor="text1"/>
              </w:rPr>
              <w:t xml:space="preserve"> Member</w:t>
            </w:r>
            <w:r w:rsidRPr="0056205B">
              <w:rPr>
                <w:rFonts w:eastAsia="Verdana" w:cs="Verdana"/>
                <w:color w:val="000000" w:themeColor="text1"/>
              </w:rPr>
              <w:t xml:space="preserve"> </w:t>
            </w:r>
            <w:r w:rsidR="0056205B">
              <w:rPr>
                <w:rFonts w:eastAsia="Verdana" w:cs="Verdana"/>
                <w:color w:val="000000" w:themeColor="text1"/>
              </w:rPr>
              <w:t>Aler</w:t>
            </w:r>
            <w:r w:rsidR="0056205B" w:rsidRPr="0056205B">
              <w:rPr>
                <w:rFonts w:eastAsia="Verdana" w:cs="Verdana"/>
                <w:color w:val="000000" w:themeColor="text1"/>
              </w:rPr>
              <w:t>ts</w:t>
            </w:r>
            <w:r w:rsidR="00F63300" w:rsidRPr="0056205B">
              <w:rPr>
                <w:rFonts w:eastAsia="Verdana" w:cs="Verdana"/>
                <w:color w:val="000000" w:themeColor="text1"/>
              </w:rPr>
              <w:t xml:space="preserve"> in Compass</w:t>
            </w:r>
            <w:r w:rsidRPr="0056205B">
              <w:rPr>
                <w:rFonts w:eastAsia="Verdana" w:cs="Verdana"/>
                <w:color w:val="000000" w:themeColor="text1"/>
              </w:rPr>
              <w:t xml:space="preserve"> to see if there are </w:t>
            </w:r>
            <w:r w:rsidR="007B20DD" w:rsidRPr="007B20DD">
              <w:rPr>
                <w:rFonts w:eastAsia="Verdana" w:cs="Verdana"/>
                <w:b/>
                <w:bCs/>
                <w:color w:val="000000" w:themeColor="text1"/>
              </w:rPr>
              <w:t>A</w:t>
            </w:r>
            <w:r w:rsidR="0056205B" w:rsidRPr="007B20DD">
              <w:rPr>
                <w:rFonts w:eastAsia="Verdana" w:cs="Verdana"/>
                <w:b/>
                <w:bCs/>
                <w:color w:val="000000" w:themeColor="text1"/>
              </w:rPr>
              <w:t xml:space="preserve">lert </w:t>
            </w:r>
            <w:r w:rsidR="007B20DD" w:rsidRPr="007B20DD">
              <w:rPr>
                <w:rFonts w:eastAsia="Verdana" w:cs="Verdana"/>
                <w:b/>
                <w:bCs/>
                <w:color w:val="000000" w:themeColor="text1"/>
              </w:rPr>
              <w:t>D</w:t>
            </w:r>
            <w:r w:rsidR="0056205B" w:rsidRPr="007B20DD">
              <w:rPr>
                <w:rFonts w:eastAsia="Verdana" w:cs="Verdana"/>
                <w:b/>
                <w:bCs/>
                <w:color w:val="000000" w:themeColor="text1"/>
              </w:rPr>
              <w:t>etails</w:t>
            </w:r>
            <w:r w:rsidRPr="0056205B">
              <w:rPr>
                <w:rFonts w:eastAsia="Verdana" w:cs="Verdana"/>
                <w:color w:val="000000" w:themeColor="text1"/>
              </w:rPr>
              <w:t xml:space="preserve"> </w:t>
            </w:r>
            <w:r w:rsidR="0056205B">
              <w:rPr>
                <w:rFonts w:eastAsia="Verdana" w:cs="Verdana"/>
                <w:color w:val="000000" w:themeColor="text1"/>
              </w:rPr>
              <w:t xml:space="preserve">regarding </w:t>
            </w:r>
            <w:r w:rsidRPr="0056205B">
              <w:rPr>
                <w:rFonts w:eastAsia="Verdana" w:cs="Verdana"/>
                <w:color w:val="000000" w:themeColor="text1"/>
              </w:rPr>
              <w:t xml:space="preserve">FastStart.  </w:t>
            </w:r>
            <w:r w:rsidR="0056205B">
              <w:rPr>
                <w:rFonts w:eastAsia="Verdana" w:cs="Verdana"/>
                <w:color w:val="000000" w:themeColor="text1"/>
              </w:rPr>
              <w:t xml:space="preserve">Refer to </w:t>
            </w:r>
            <w:hyperlink r:id="rId11" w:anchor="!/view?docid=36c941d2-25a6-4075-993d-f12deb31be18" w:history="1">
              <w:r w:rsidR="0053244A">
                <w:rPr>
                  <w:rStyle w:val="Hyperlink"/>
                  <w:rFonts w:eastAsia="Verdana" w:cs="Verdana"/>
                </w:rPr>
                <w:t>Compass - Viewing, Adding, and Editing Alerts (054194)</w:t>
              </w:r>
            </w:hyperlink>
            <w:r w:rsidR="0056205B">
              <w:rPr>
                <w:rFonts w:eastAsia="Verdana" w:cs="Verdana"/>
                <w:color w:val="000000" w:themeColor="text1"/>
              </w:rPr>
              <w:t xml:space="preserve"> as needed.</w:t>
            </w:r>
          </w:p>
          <w:p w14:paraId="02702C51" w14:textId="77777777" w:rsidR="003371D3" w:rsidRDefault="003371D3" w:rsidP="001C7F9C">
            <w:pPr>
              <w:spacing w:before="120" w:after="120"/>
              <w:jc w:val="center"/>
              <w:textAlignment w:val="top"/>
            </w:pPr>
          </w:p>
          <w:p w14:paraId="6525228B" w14:textId="3D1C5185" w:rsidR="0056205B" w:rsidRDefault="0056205B" w:rsidP="001C7F9C">
            <w:pPr>
              <w:spacing w:before="120" w:after="120"/>
              <w:jc w:val="center"/>
              <w:textAlignment w:val="top"/>
            </w:pPr>
            <w:r>
              <w:rPr>
                <w:noProof/>
              </w:rPr>
              <w:drawing>
                <wp:inline distT="0" distB="0" distL="0" distR="0" wp14:anchorId="7C795FEF" wp14:editId="3C33A215">
                  <wp:extent cx="8753475" cy="1866500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9591" cy="1869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CD752" w14:textId="77777777" w:rsidR="0056205B" w:rsidRDefault="0056205B" w:rsidP="001C7F9C">
            <w:pPr>
              <w:pStyle w:val="ListParagraph"/>
              <w:spacing w:before="120" w:after="120"/>
              <w:ind w:left="1440"/>
              <w:textAlignment w:val="top"/>
            </w:pPr>
          </w:p>
          <w:p w14:paraId="5F85A0A7" w14:textId="480A7FB4" w:rsidR="00107EAD" w:rsidRPr="00107EAD" w:rsidRDefault="00107EAD" w:rsidP="001C7F9C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</w:pPr>
            <w:r w:rsidRPr="0080342D">
              <w:t>Orders that were recently placed through</w:t>
            </w:r>
            <w:r>
              <w:t xml:space="preserve"> Outbound IVR phone call, text, or</w:t>
            </w:r>
            <w:r w:rsidRPr="0080342D">
              <w:t xml:space="preserve"> Caremark.com will not immediately show on the </w:t>
            </w:r>
            <w:r w:rsidR="005423B0" w:rsidRPr="00D314E7">
              <w:rPr>
                <w:b/>
                <w:bCs/>
              </w:rPr>
              <w:t xml:space="preserve">Mail Order History </w:t>
            </w:r>
            <w:r w:rsidR="005423B0">
              <w:t>tab in Compass</w:t>
            </w:r>
            <w:r>
              <w:t xml:space="preserve"> or for the member on the website for up to 4 hours</w:t>
            </w:r>
            <w:r w:rsidRPr="0080342D">
              <w:t>.</w:t>
            </w:r>
            <w:r>
              <w:t xml:space="preserve"> Refer to </w:t>
            </w:r>
            <w:hyperlink r:id="rId13" w:anchor="!/view?docid=ab5a6f09-8f08-424b-bff7-b1aa5cfc4d6a" w:history="1">
              <w:r w:rsidR="003A37C3">
                <w:rPr>
                  <w:rStyle w:val="Hyperlink"/>
                  <w:rFonts w:eastAsia="Verdana" w:cs="Verdana"/>
                </w:rPr>
                <w:t>Compass - Viewing Member's Recent Cases and Viewing PeopleSafe Activity (RM Task Information) in Compass (056036)</w:t>
              </w:r>
            </w:hyperlink>
            <w:r w:rsidRPr="0056205B">
              <w:rPr>
                <w:rFonts w:eastAsia="Verdana" w:cs="Verdana"/>
                <w:color w:val="000000" w:themeColor="text1"/>
              </w:rPr>
              <w:t>.</w:t>
            </w:r>
          </w:p>
          <w:p w14:paraId="0EB6A22A" w14:textId="0C3D04C5" w:rsidR="004B3C61" w:rsidRDefault="00107EAD" w:rsidP="001C7F9C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</w:pPr>
            <w:r w:rsidRPr="008E4132">
              <w:t xml:space="preserve">Search </w:t>
            </w:r>
            <w:r w:rsidR="00083DC7">
              <w:t>Compass</w:t>
            </w:r>
            <w:r w:rsidR="00083DC7" w:rsidRPr="008E4132">
              <w:t xml:space="preserve"> </w:t>
            </w:r>
            <w:r w:rsidRPr="008E4132">
              <w:t xml:space="preserve">to verify that the member does not have any additional active or inactive accounts and ask the member if there has been any recent name change. </w:t>
            </w:r>
          </w:p>
          <w:p w14:paraId="2638B2E6" w14:textId="10827C6A" w:rsidR="004B3C61" w:rsidRDefault="00864D0B" w:rsidP="001C7F9C">
            <w:pPr>
              <w:pStyle w:val="ListParagraph"/>
              <w:numPr>
                <w:ilvl w:val="1"/>
                <w:numId w:val="12"/>
              </w:numPr>
              <w:spacing w:before="120" w:after="120"/>
              <w:textAlignment w:val="top"/>
            </w:pPr>
            <w:r w:rsidRPr="008E4132">
              <w:t xml:space="preserve">If the member has another active account, verify that the prescriptions are being processed appropriately. </w:t>
            </w:r>
            <w:r w:rsidR="008E4132">
              <w:t xml:space="preserve"> </w:t>
            </w:r>
            <w:r w:rsidRPr="008E4132">
              <w:t>If not</w:t>
            </w:r>
            <w:r w:rsidR="008D6C33">
              <w:t xml:space="preserve"> processed appropriately</w:t>
            </w:r>
            <w:r w:rsidRPr="008E4132">
              <w:t xml:space="preserve">, refer to </w:t>
            </w:r>
            <w:hyperlink r:id="rId14" w:anchor="!/view?docid=bf4c270a-9562-4abf-9cea-dd6ee5f1293c" w:history="1">
              <w:r w:rsidR="00236BC6">
                <w:rPr>
                  <w:rStyle w:val="Hyperlink"/>
                </w:rPr>
                <w:t>Compass - Copay Mail Order Reverse and Reprocess Claim (058123)</w:t>
              </w:r>
            </w:hyperlink>
            <w:r w:rsidR="00700129" w:rsidRPr="00F86391">
              <w:t>.</w:t>
            </w:r>
          </w:p>
          <w:p w14:paraId="432A24A6" w14:textId="2FE2ADF7" w:rsidR="00864D0B" w:rsidRPr="008E4132" w:rsidRDefault="00864D0B" w:rsidP="001C7F9C">
            <w:pPr>
              <w:pStyle w:val="ListParagraph"/>
              <w:numPr>
                <w:ilvl w:val="1"/>
                <w:numId w:val="12"/>
              </w:numPr>
              <w:spacing w:before="120" w:after="120"/>
              <w:textAlignment w:val="top"/>
            </w:pPr>
            <w:r w:rsidRPr="008E4132">
              <w:t xml:space="preserve">If the member does not have another active account, proceed to the next step. </w:t>
            </w:r>
          </w:p>
        </w:tc>
      </w:tr>
      <w:tr w:rsidR="005F2E19" w:rsidRPr="008E4132" w14:paraId="18D3AFD1" w14:textId="77777777" w:rsidTr="000B69A1">
        <w:trPr>
          <w:cantSplit/>
        </w:trPr>
        <w:tc>
          <w:tcPr>
            <w:tcW w:w="311" w:type="pct"/>
            <w:vMerge/>
          </w:tcPr>
          <w:p w14:paraId="2EBE9843" w14:textId="77777777" w:rsidR="00864D0B" w:rsidRPr="008E4132" w:rsidRDefault="00864D0B" w:rsidP="001C7F9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2" w:type="pct"/>
          </w:tcPr>
          <w:p w14:paraId="60E414C2" w14:textId="64D94C96" w:rsidR="00864D0B" w:rsidRPr="008E4132" w:rsidRDefault="00493A33" w:rsidP="001C7F9C">
            <w:pPr>
              <w:spacing w:before="120" w:after="120"/>
              <w:textAlignment w:val="top"/>
              <w:rPr>
                <w:rStyle w:val="Heading1Char"/>
                <w:rFonts w:ascii="Verdana" w:hAnsi="Verdana"/>
                <w:b w:val="0"/>
                <w:bCs/>
                <w:noProof/>
                <w:color w:val="auto"/>
              </w:rPr>
            </w:pPr>
            <w:bookmarkStart w:id="7" w:name="OLE_LINK6"/>
            <w:r>
              <w:t>Was</w:t>
            </w:r>
            <w:r w:rsidR="00864D0B" w:rsidRPr="008E4132">
              <w:t xml:space="preserve"> archived </w:t>
            </w:r>
            <w:bookmarkEnd w:id="7"/>
            <w:r w:rsidR="00864D0B" w:rsidRPr="008E4132">
              <w:t>in error</w:t>
            </w:r>
          </w:p>
        </w:tc>
        <w:tc>
          <w:tcPr>
            <w:tcW w:w="4197" w:type="pct"/>
            <w:gridSpan w:val="3"/>
          </w:tcPr>
          <w:p w14:paraId="432EAC05" w14:textId="47A28A0E" w:rsidR="00864D0B" w:rsidRPr="008E4132" w:rsidRDefault="00864D0B" w:rsidP="001C7F9C">
            <w:pPr>
              <w:pStyle w:val="ListParagraph"/>
              <w:numPr>
                <w:ilvl w:val="0"/>
                <w:numId w:val="10"/>
              </w:numPr>
              <w:spacing w:before="120" w:after="120"/>
              <w:ind w:left="361"/>
              <w:textAlignment w:val="top"/>
            </w:pPr>
            <w:r w:rsidRPr="008E4132">
              <w:t xml:space="preserve">Review the Member </w:t>
            </w:r>
            <w:r w:rsidR="007455B0">
              <w:t>Alerts</w:t>
            </w:r>
            <w:r w:rsidR="007C33BB">
              <w:t>. I</w:t>
            </w:r>
            <w:r w:rsidRPr="008E4132">
              <w:t>f found</w:t>
            </w:r>
            <w:r w:rsidR="007C33BB">
              <w:t>,</w:t>
            </w:r>
            <w:r w:rsidRPr="008E4132">
              <w:t xml:space="preserve"> assure the member that their prescription has been received from the prescriber, and we will work to get it to them as quickly as possible.</w:t>
            </w:r>
          </w:p>
          <w:p w14:paraId="28FD4F30" w14:textId="0BDE383B" w:rsidR="00864D0B" w:rsidRPr="008E4132" w:rsidRDefault="00864D0B" w:rsidP="001C7F9C">
            <w:pPr>
              <w:numPr>
                <w:ilvl w:val="0"/>
                <w:numId w:val="10"/>
              </w:numPr>
              <w:spacing w:before="120" w:after="120"/>
              <w:ind w:left="361"/>
              <w:textAlignment w:val="top"/>
            </w:pPr>
            <w:r w:rsidRPr="008E4132">
              <w:t xml:space="preserve">Contact </w:t>
            </w:r>
            <w:hyperlink r:id="rId15" w:anchor="!/view?docid=d2dab105-056c-45be-b28b-bfad61c60a2f" w:history="1">
              <w:r w:rsidR="00517980">
                <w:rPr>
                  <w:rStyle w:val="Hyperlink"/>
                </w:rPr>
                <w:t>Clinical Care Services (062778)</w:t>
              </w:r>
            </w:hyperlink>
            <w:r w:rsidRPr="008E4132">
              <w:t xml:space="preserve"> to request a rescan of the archived prescription. </w:t>
            </w:r>
            <w:r w:rsidR="008D6C33">
              <w:t xml:space="preserve"> </w:t>
            </w:r>
            <w:r w:rsidRPr="008E4132">
              <w:t xml:space="preserve">Refer to </w:t>
            </w:r>
            <w:hyperlink r:id="rId16" w:anchor="!/view?docid=0b2c83da-f6be-4d4a-83cd-ce3d6a537bd3" w:history="1">
              <w:r w:rsidR="002306E1">
                <w:rPr>
                  <w:rStyle w:val="Hyperlink"/>
                </w:rPr>
                <w:t>Compass - Identified as Duplicate Archive Error CCR (062838)</w:t>
              </w:r>
            </w:hyperlink>
            <w:r w:rsidRPr="008E4132">
              <w:t>.</w:t>
            </w:r>
          </w:p>
        </w:tc>
      </w:tr>
      <w:tr w:rsidR="000F66EF" w:rsidRPr="008E4132" w14:paraId="1F626588" w14:textId="77777777" w:rsidTr="000B69A1">
        <w:trPr>
          <w:cantSplit/>
        </w:trPr>
        <w:tc>
          <w:tcPr>
            <w:tcW w:w="311" w:type="pct"/>
            <w:vMerge/>
          </w:tcPr>
          <w:p w14:paraId="45B13740" w14:textId="77777777" w:rsidR="00864D0B" w:rsidRPr="008E4132" w:rsidRDefault="00864D0B" w:rsidP="001C7F9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2" w:type="pct"/>
          </w:tcPr>
          <w:p w14:paraId="383AD31A" w14:textId="5F187697" w:rsidR="00FC5D07" w:rsidRPr="008E4132" w:rsidRDefault="00493A33" w:rsidP="001C7F9C">
            <w:pPr>
              <w:spacing w:before="120" w:after="120"/>
              <w:textAlignment w:val="top"/>
            </w:pPr>
            <w:bookmarkStart w:id="8" w:name="OLE_LINK7"/>
            <w:r>
              <w:t>Was m</w:t>
            </w:r>
            <w:r w:rsidR="00864D0B" w:rsidRPr="008E4132">
              <w:t xml:space="preserve">ailed, called in, faxed in </w:t>
            </w:r>
          </w:p>
          <w:p w14:paraId="21F96CAC" w14:textId="0912FB2E" w:rsidR="00FC5D07" w:rsidRPr="008E4132" w:rsidRDefault="00864D0B" w:rsidP="001C7F9C">
            <w:pPr>
              <w:spacing w:before="120" w:after="120"/>
              <w:textAlignment w:val="top"/>
            </w:pPr>
            <w:r w:rsidRPr="008E4132">
              <w:t xml:space="preserve">or </w:t>
            </w:r>
          </w:p>
          <w:p w14:paraId="3AA17C6D" w14:textId="02C6E54C" w:rsidR="00864D0B" w:rsidRPr="008E4132" w:rsidRDefault="00C67AF6" w:rsidP="001C7F9C">
            <w:pPr>
              <w:spacing w:before="120" w:after="120"/>
              <w:textAlignment w:val="top"/>
              <w:rPr>
                <w:color w:val="000000"/>
              </w:rPr>
            </w:pPr>
            <w:proofErr w:type="gramStart"/>
            <w:r w:rsidRPr="008E4132">
              <w:t>e</w:t>
            </w:r>
            <w:r w:rsidR="00FC5D07" w:rsidRPr="008E4132">
              <w:t>-</w:t>
            </w:r>
            <w:r w:rsidRPr="008E4132">
              <w:t>scribed</w:t>
            </w:r>
            <w:proofErr w:type="gramEnd"/>
            <w:r w:rsidR="00864D0B" w:rsidRPr="008E4132">
              <w:t xml:space="preserve"> </w:t>
            </w:r>
            <w:bookmarkEnd w:id="8"/>
            <w:r w:rsidR="00864D0B" w:rsidRPr="008E4132">
              <w:rPr>
                <w:b/>
              </w:rPr>
              <w:t xml:space="preserve">LESS than four </w:t>
            </w:r>
            <w:r w:rsidR="008D6C33">
              <w:rPr>
                <w:b/>
              </w:rPr>
              <w:t xml:space="preserve"> (4) </w:t>
            </w:r>
            <w:r w:rsidR="00864D0B" w:rsidRPr="008E4132">
              <w:rPr>
                <w:b/>
              </w:rPr>
              <w:t>business days</w:t>
            </w:r>
            <w:r w:rsidR="00864D0B" w:rsidRPr="008E4132">
              <w:t xml:space="preserve"> prior to call</w:t>
            </w:r>
          </w:p>
        </w:tc>
        <w:tc>
          <w:tcPr>
            <w:tcW w:w="4197" w:type="pct"/>
            <w:gridSpan w:val="3"/>
          </w:tcPr>
          <w:p w14:paraId="31AB4D47" w14:textId="42410AEB" w:rsidR="00864D0B" w:rsidRPr="008E4132" w:rsidRDefault="008D6C33" w:rsidP="001C7F9C">
            <w:pPr>
              <w:spacing w:before="120" w:after="120"/>
            </w:pPr>
            <w:bookmarkStart w:id="9" w:name="OLE_LINK8"/>
            <w:bookmarkStart w:id="10" w:name="OLE_LINK9"/>
            <w:bookmarkStart w:id="11" w:name="OLE_LINK1"/>
            <w:r>
              <w:t>P</w:t>
            </w:r>
            <w:r w:rsidR="001D625C" w:rsidRPr="008E4132">
              <w:t xml:space="preserve">rescriptions received by </w:t>
            </w:r>
            <w:bookmarkEnd w:id="9"/>
            <w:bookmarkEnd w:id="10"/>
            <w:r w:rsidR="001D625C" w:rsidRPr="008E4132">
              <w:t>phone, fax</w:t>
            </w:r>
            <w:r>
              <w:t>,</w:t>
            </w:r>
            <w:r w:rsidR="001D625C" w:rsidRPr="008E4132">
              <w:t xml:space="preserve"> or eScribe should appear in </w:t>
            </w:r>
            <w:r w:rsidR="007455B0">
              <w:t>Compass</w:t>
            </w:r>
            <w:r w:rsidR="007455B0" w:rsidRPr="008E4132">
              <w:t xml:space="preserve"> </w:t>
            </w:r>
            <w:r w:rsidR="001D625C" w:rsidRPr="008E4132">
              <w:t xml:space="preserve">within </w:t>
            </w:r>
            <w:r w:rsidR="00900734">
              <w:t xml:space="preserve">48 </w:t>
            </w:r>
            <w:r w:rsidR="00900734" w:rsidRPr="008E4132">
              <w:t>hours</w:t>
            </w:r>
            <w:r w:rsidR="001D625C" w:rsidRPr="008E4132">
              <w:t xml:space="preserve">. </w:t>
            </w:r>
            <w:r>
              <w:t xml:space="preserve"> </w:t>
            </w:r>
            <w:r w:rsidR="001D625C" w:rsidRPr="008E4132">
              <w:t>Rx Translation can take up to four</w:t>
            </w:r>
            <w:r>
              <w:t xml:space="preserve"> (4)</w:t>
            </w:r>
            <w:r w:rsidR="001D625C" w:rsidRPr="008E4132">
              <w:t xml:space="preserve"> business days</w:t>
            </w:r>
            <w:r w:rsidR="005C73C5">
              <w:t xml:space="preserve"> to process</w:t>
            </w:r>
            <w:r w:rsidR="001D625C" w:rsidRPr="008E4132">
              <w:t>.</w:t>
            </w:r>
            <w:r>
              <w:t xml:space="preserve"> </w:t>
            </w:r>
            <w:r w:rsidR="001D625C" w:rsidRPr="008E4132">
              <w:t xml:space="preserve"> </w:t>
            </w:r>
            <w:r w:rsidR="00864D0B" w:rsidRPr="008E4132">
              <w:t xml:space="preserve">Educate the member on the </w:t>
            </w:r>
            <w:r w:rsidR="00900734">
              <w:t>5</w:t>
            </w:r>
            <w:r w:rsidR="00864D0B" w:rsidRPr="008E4132">
              <w:t>-day turnaround time, then offer the following options:</w:t>
            </w:r>
          </w:p>
          <w:bookmarkEnd w:id="11"/>
          <w:p w14:paraId="558EF053" w14:textId="55D62E74" w:rsidR="00864D0B" w:rsidRPr="008E4132" w:rsidRDefault="00700129" w:rsidP="000E6EFD">
            <w:pPr>
              <w:pStyle w:val="ListParagraph"/>
              <w:numPr>
                <w:ilvl w:val="0"/>
                <w:numId w:val="15"/>
              </w:numPr>
              <w:spacing w:before="120" w:after="120"/>
            </w:pPr>
            <w:r w:rsidRPr="008E4132">
              <w:t>The m</w:t>
            </w:r>
            <w:r w:rsidR="00864D0B" w:rsidRPr="008E4132">
              <w:t xml:space="preserve">ember can sign up for </w:t>
            </w:r>
            <w:r w:rsidRPr="008E4132">
              <w:t>Messaging Platform (MP)</w:t>
            </w:r>
            <w:r w:rsidR="00864D0B" w:rsidRPr="008E4132">
              <w:t xml:space="preserve"> alerts to receive automated calls, text messages, or emails concerning their order.</w:t>
            </w:r>
            <w:r w:rsidR="008D6C33">
              <w:t xml:space="preserve"> </w:t>
            </w:r>
            <w:r w:rsidR="00864D0B" w:rsidRPr="008E4132">
              <w:t xml:space="preserve"> Refer to </w:t>
            </w:r>
            <w:hyperlink r:id="rId17" w:anchor="!/view?docid=a7684ce9-c2bc-4cbc-ab37-c1ffb7789706" w:history="1">
              <w:r w:rsidR="00E42A02">
                <w:rPr>
                  <w:rStyle w:val="Hyperlink"/>
                </w:rPr>
                <w:t>Compass - Obtaining an Email Address and Managing Messaging Platform (MP) Notifications (054195)</w:t>
              </w:r>
            </w:hyperlink>
            <w:r w:rsidR="00644D6E" w:rsidRPr="00644D6E">
              <w:t>.</w:t>
            </w:r>
          </w:p>
          <w:p w14:paraId="77A4726D" w14:textId="0F8BEB5F" w:rsidR="00864D0B" w:rsidRPr="008E4132" w:rsidRDefault="00700129" w:rsidP="000E6EFD">
            <w:pPr>
              <w:pStyle w:val="ListParagraph"/>
              <w:numPr>
                <w:ilvl w:val="0"/>
                <w:numId w:val="15"/>
              </w:numPr>
              <w:spacing w:before="120" w:after="120"/>
            </w:pPr>
            <w:r w:rsidRPr="008E4132">
              <w:t>The m</w:t>
            </w:r>
            <w:r w:rsidR="00864D0B" w:rsidRPr="008E4132">
              <w:t>ember can check</w:t>
            </w:r>
            <w:r w:rsidRPr="008E4132">
              <w:t xml:space="preserve"> </w:t>
            </w:r>
            <w:r w:rsidR="00864D0B" w:rsidRPr="008E4132">
              <w:t xml:space="preserve">Caremark.com/Member Web Portal for the status of their order. </w:t>
            </w:r>
          </w:p>
          <w:p w14:paraId="7AC6AFE9" w14:textId="77777777" w:rsidR="00864D0B" w:rsidRPr="008E4132" w:rsidRDefault="00864D0B" w:rsidP="001C7F9C">
            <w:pPr>
              <w:spacing w:before="120" w:after="120"/>
            </w:pPr>
          </w:p>
          <w:p w14:paraId="7CFC4E00" w14:textId="2143AFD2" w:rsidR="00C67AF6" w:rsidRPr="008E4132" w:rsidRDefault="00864D0B" w:rsidP="001C7F9C">
            <w:pPr>
              <w:spacing w:before="120" w:after="120"/>
            </w:pPr>
            <w:r w:rsidRPr="008E4132">
              <w:t>Sample member education scripting:</w:t>
            </w:r>
          </w:p>
          <w:p w14:paraId="5907E829" w14:textId="18E3FB40" w:rsidR="00864D0B" w:rsidRPr="00970819" w:rsidRDefault="006D5E62" w:rsidP="001C7F9C">
            <w:pPr>
              <w:pStyle w:val="ListParagraph"/>
              <w:spacing w:before="120" w:after="120"/>
              <w:ind w:left="91"/>
            </w:pPr>
            <w:r>
              <w:rPr>
                <w:noProof/>
                <w:color w:val="000000"/>
              </w:rPr>
              <w:pict w14:anchorId="602395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6.5pt;visibility:visible" o:bullet="t">
                  <v:imagedata r:id="rId18" o:title=""/>
                </v:shape>
              </w:pict>
            </w:r>
            <w:r w:rsidR="00C67AF6" w:rsidRPr="008E4132">
              <w:t xml:space="preserve"> </w:t>
            </w:r>
            <w:r w:rsidR="00864D0B" w:rsidRPr="008E4132">
              <w:t>I do not yet show your order in the system.  It normally takes approximately 3 days for mail to arrive at our facility</w:t>
            </w:r>
            <w:r w:rsidR="00BB6AB9">
              <w:t>,</w:t>
            </w:r>
            <w:r w:rsidR="00864D0B" w:rsidRPr="008E4132">
              <w:t xml:space="preserve"> and it takes an additional day for the information to appear in our system. Signing up for </w:t>
            </w:r>
            <w:r w:rsidR="00700129" w:rsidRPr="008E4132">
              <w:t>Messaging Platform</w:t>
            </w:r>
            <w:r w:rsidR="00864D0B" w:rsidRPr="008E4132">
              <w:t xml:space="preserve"> alerts allows you to be notified by the communication preference of your choice when your order has been entered into our system for processing. </w:t>
            </w:r>
          </w:p>
        </w:tc>
      </w:tr>
      <w:tr w:rsidR="000F66EF" w:rsidRPr="008E4132" w14:paraId="233EEB9A" w14:textId="77777777" w:rsidTr="000B69A1">
        <w:trPr>
          <w:cantSplit/>
        </w:trPr>
        <w:tc>
          <w:tcPr>
            <w:tcW w:w="311" w:type="pct"/>
            <w:vMerge/>
          </w:tcPr>
          <w:p w14:paraId="1CDDD6D1" w14:textId="77777777" w:rsidR="00864D0B" w:rsidRPr="008E4132" w:rsidRDefault="00864D0B" w:rsidP="001C7F9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2" w:type="pct"/>
          </w:tcPr>
          <w:p w14:paraId="0586E38D" w14:textId="2315C17A" w:rsidR="00864D0B" w:rsidRPr="008E4132" w:rsidRDefault="00493A33" w:rsidP="001C7F9C">
            <w:pPr>
              <w:spacing w:before="120" w:after="120"/>
              <w:textAlignment w:val="top"/>
              <w:rPr>
                <w:color w:val="000000"/>
              </w:rPr>
            </w:pPr>
            <w:r>
              <w:t>Was m</w:t>
            </w:r>
            <w:r w:rsidR="00C67AF6" w:rsidRPr="008E4132">
              <w:t>ailed, called in, faxed in or e-scribed</w:t>
            </w:r>
            <w:r w:rsidR="001D625C" w:rsidRPr="008E4132">
              <w:t xml:space="preserve"> </w:t>
            </w:r>
            <w:r w:rsidR="001D625C" w:rsidRPr="008E4132">
              <w:rPr>
                <w:b/>
                <w:bCs/>
              </w:rPr>
              <w:t xml:space="preserve">four </w:t>
            </w:r>
            <w:r w:rsidR="008D6C33">
              <w:rPr>
                <w:b/>
                <w:bCs/>
              </w:rPr>
              <w:t xml:space="preserve">(4) </w:t>
            </w:r>
            <w:r w:rsidR="001D625C" w:rsidRPr="008E4132">
              <w:rPr>
                <w:b/>
                <w:bCs/>
              </w:rPr>
              <w:t>business days or</w:t>
            </w:r>
            <w:r w:rsidR="00C67AF6" w:rsidRPr="008E4132">
              <w:rPr>
                <w:b/>
                <w:bCs/>
              </w:rPr>
              <w:t xml:space="preserve"> </w:t>
            </w:r>
            <w:r w:rsidR="001D625C" w:rsidRPr="008E4132">
              <w:rPr>
                <w:b/>
                <w:bCs/>
              </w:rPr>
              <w:t xml:space="preserve">more </w:t>
            </w:r>
            <w:r w:rsidR="00C67AF6" w:rsidRPr="008E4132">
              <w:t>prior to call</w:t>
            </w:r>
          </w:p>
        </w:tc>
        <w:tc>
          <w:tcPr>
            <w:tcW w:w="4197" w:type="pct"/>
            <w:gridSpan w:val="3"/>
          </w:tcPr>
          <w:p w14:paraId="11B8B515" w14:textId="732FED85" w:rsidR="00831B0C" w:rsidRPr="008E4132" w:rsidRDefault="00831B0C" w:rsidP="001C7F9C">
            <w:pPr>
              <w:spacing w:before="120" w:after="120"/>
            </w:pPr>
            <w:r w:rsidRPr="008E4132">
              <w:rPr>
                <w:b/>
              </w:rPr>
              <w:t>For refills:</w:t>
            </w:r>
            <w:r w:rsidRPr="008E4132">
              <w:t xml:space="preserve"> </w:t>
            </w:r>
          </w:p>
          <w:p w14:paraId="77BB91AC" w14:textId="7607A1AB" w:rsidR="00831B0C" w:rsidRPr="008E4132" w:rsidRDefault="00831B0C" w:rsidP="001C7F9C">
            <w:pPr>
              <w:numPr>
                <w:ilvl w:val="0"/>
                <w:numId w:val="5"/>
              </w:numPr>
              <w:spacing w:before="120" w:after="120"/>
              <w:ind w:left="361"/>
            </w:pPr>
            <w:r w:rsidRPr="008E4132">
              <w:t xml:space="preserve">Place the refill order in the system, </w:t>
            </w:r>
            <w:proofErr w:type="gramStart"/>
            <w:r w:rsidRPr="008E4132">
              <w:t>as long as</w:t>
            </w:r>
            <w:proofErr w:type="gramEnd"/>
            <w:r w:rsidRPr="008E4132">
              <w:t xml:space="preserve"> the prescription has not expired and there are refills remaining.</w:t>
            </w:r>
          </w:p>
          <w:p w14:paraId="71D06BAB" w14:textId="0AEF1837" w:rsidR="00831B0C" w:rsidRPr="008E4132" w:rsidRDefault="00831B0C" w:rsidP="001C7F9C">
            <w:pPr>
              <w:numPr>
                <w:ilvl w:val="0"/>
                <w:numId w:val="5"/>
              </w:numPr>
              <w:spacing w:before="120" w:after="120"/>
              <w:ind w:left="361"/>
            </w:pPr>
            <w:r w:rsidRPr="008E4132">
              <w:t>Verify days</w:t>
            </w:r>
            <w:r w:rsidR="00331978">
              <w:t>’</w:t>
            </w:r>
            <w:r w:rsidRPr="008E4132">
              <w:t xml:space="preserve"> supply of medication on hand. </w:t>
            </w:r>
            <w:r w:rsidR="008D6C33">
              <w:t xml:space="preserve"> </w:t>
            </w:r>
            <w:r w:rsidRPr="008E4132">
              <w:t xml:space="preserve">If insufficient to allow receipt of order, offer short-term supply at retail when appropriate and within plan limits.  </w:t>
            </w:r>
            <w:r w:rsidRPr="008E4132">
              <w:rPr>
                <w:color w:val="000000"/>
              </w:rPr>
              <w:t xml:space="preserve">Refer to </w:t>
            </w:r>
            <w:hyperlink r:id="rId19" w:anchor="!/view?docid=5ecd7b05-8aed-4dbd-b4ef-8cb4912a543b" w:history="1">
              <w:r w:rsidR="00A84A4F" w:rsidRPr="00A84A4F">
                <w:rPr>
                  <w:rStyle w:val="Hyperlink"/>
                </w:rPr>
                <w:t>Compass - Bridge Supply (056367)</w:t>
              </w:r>
            </w:hyperlink>
            <w:r w:rsidR="00700129" w:rsidRPr="0071241E">
              <w:rPr>
                <w:rStyle w:val="Hyperlink"/>
                <w:color w:val="auto"/>
                <w:u w:val="none"/>
              </w:rPr>
              <w:t>.</w:t>
            </w:r>
            <w:r w:rsidRPr="0071241E">
              <w:t xml:space="preserve"> </w:t>
            </w:r>
          </w:p>
          <w:p w14:paraId="63BF6672" w14:textId="77777777" w:rsidR="00831B0C" w:rsidRPr="008E4132" w:rsidRDefault="00831B0C" w:rsidP="001C7F9C">
            <w:pPr>
              <w:spacing w:before="120" w:after="120"/>
              <w:rPr>
                <w:b/>
                <w:color w:val="000000"/>
              </w:rPr>
            </w:pPr>
          </w:p>
          <w:p w14:paraId="40CA0FD6" w14:textId="568D2F70" w:rsidR="00831B0C" w:rsidRPr="008E4132" w:rsidRDefault="00831B0C" w:rsidP="001C7F9C">
            <w:pPr>
              <w:spacing w:before="120" w:after="120"/>
            </w:pPr>
            <w:r w:rsidRPr="008E4132">
              <w:rPr>
                <w:b/>
                <w:color w:val="000000"/>
              </w:rPr>
              <w:t>For new prescriptions or prescriptions that are expired/out of refills:</w:t>
            </w:r>
            <w:r w:rsidRPr="008E4132">
              <w:rPr>
                <w:color w:val="000000"/>
              </w:rPr>
              <w:t xml:space="preserve">  Initiate a new Rx request.  Refer to </w:t>
            </w:r>
            <w:hyperlink r:id="rId20" w:anchor="!/view?docid=a7684ce9-c2bc-4cbc-ab37-c1ffb7789706" w:history="1">
              <w:r w:rsidR="008D0B4F">
                <w:rPr>
                  <w:rStyle w:val="Hyperlink"/>
                </w:rPr>
                <w:t>Compass - Obtaining a New Prescription (Rx) for the Member (New Rx Request) (054208)</w:t>
              </w:r>
            </w:hyperlink>
            <w:r w:rsidR="00700129" w:rsidRPr="00504BF0">
              <w:rPr>
                <w:rStyle w:val="Hyperlink"/>
                <w:color w:val="auto"/>
                <w:u w:val="none"/>
              </w:rPr>
              <w:t>.</w:t>
            </w:r>
            <w:r w:rsidRPr="00504BF0">
              <w:t xml:space="preserve"> </w:t>
            </w:r>
          </w:p>
          <w:p w14:paraId="22CE5837" w14:textId="77777777" w:rsidR="00831B0C" w:rsidRPr="008E4132" w:rsidRDefault="00831B0C" w:rsidP="001C7F9C">
            <w:pPr>
              <w:spacing w:before="120" w:after="120"/>
              <w:textAlignment w:val="top"/>
              <w:rPr>
                <w:b/>
                <w:bCs/>
                <w:color w:val="000000"/>
              </w:rPr>
            </w:pPr>
          </w:p>
          <w:p w14:paraId="0E514473" w14:textId="35B2EB62" w:rsidR="00831B0C" w:rsidRPr="008D6C33" w:rsidRDefault="00831B0C" w:rsidP="001C7F9C">
            <w:pPr>
              <w:spacing w:before="120" w:after="120"/>
              <w:textAlignment w:val="top"/>
              <w:rPr>
                <w:color w:val="000000"/>
              </w:rPr>
            </w:pPr>
            <w:r w:rsidRPr="008E4132">
              <w:rPr>
                <w:b/>
                <w:bCs/>
                <w:color w:val="000000"/>
              </w:rPr>
              <w:t xml:space="preserve">Controlled Substances:  </w:t>
            </w:r>
            <w:r w:rsidRPr="00D82B41">
              <w:t>DE</w:t>
            </w:r>
            <w:r w:rsidRPr="008E4132">
              <w:rPr>
                <w:color w:val="000000"/>
              </w:rPr>
              <w:t>A requires pharmacies to complete a complex approval process before they are allowed to receive electronic prescriptions for controlled substances.</w:t>
            </w:r>
          </w:p>
          <w:p w14:paraId="627AA827" w14:textId="3E47FAB4" w:rsidR="00831B0C" w:rsidRPr="009B1EFD" w:rsidRDefault="00831B0C" w:rsidP="009B1EFD">
            <w:pPr>
              <w:pStyle w:val="ListParagraph"/>
              <w:numPr>
                <w:ilvl w:val="0"/>
                <w:numId w:val="16"/>
              </w:numPr>
              <w:spacing w:before="120" w:after="120"/>
              <w:textAlignment w:val="top"/>
              <w:rPr>
                <w:b/>
                <w:bCs/>
                <w:color w:val="000000"/>
              </w:rPr>
            </w:pPr>
            <w:r w:rsidRPr="009B1EFD">
              <w:rPr>
                <w:color w:val="000000"/>
              </w:rPr>
              <w:t xml:space="preserve">Any new prescriptions mailed in may take up to 5 business days to process before they ship out. </w:t>
            </w:r>
            <w:r w:rsidR="008D6C33" w:rsidRPr="009B1EFD">
              <w:rPr>
                <w:color w:val="000000"/>
              </w:rPr>
              <w:t xml:space="preserve"> </w:t>
            </w:r>
            <w:r w:rsidRPr="009B1EFD">
              <w:rPr>
                <w:color w:val="000000"/>
              </w:rPr>
              <w:t xml:space="preserve">Controlled medications, especially Schedule 2, may take longer to process here as they have more restrictions than other controlled substances. </w:t>
            </w:r>
            <w:r w:rsidR="00B91335" w:rsidRPr="009B1EFD">
              <w:rPr>
                <w:color w:val="000000"/>
              </w:rPr>
              <w:t xml:space="preserve">Refer to </w:t>
            </w:r>
            <w:hyperlink r:id="rId21" w:anchor="!/view?docid=52472a65-b1b1-4026-b85e-816a2c329d9e" w:history="1">
              <w:r w:rsidR="00D328C7">
                <w:rPr>
                  <w:rStyle w:val="Hyperlink"/>
                </w:rPr>
                <w:t>Compass - Identifying Controlled Substances (057979)</w:t>
              </w:r>
            </w:hyperlink>
            <w:r w:rsidR="00B91335" w:rsidRPr="009B1EFD">
              <w:rPr>
                <w:color w:val="000000"/>
              </w:rPr>
              <w:t xml:space="preserve"> as needed.</w:t>
            </w:r>
          </w:p>
          <w:p w14:paraId="43BF76D7" w14:textId="0CC2ABE4" w:rsidR="00864D0B" w:rsidRPr="009B1EFD" w:rsidRDefault="00831B0C" w:rsidP="009B1EFD">
            <w:pPr>
              <w:pStyle w:val="ListParagraph"/>
              <w:numPr>
                <w:ilvl w:val="0"/>
                <w:numId w:val="16"/>
              </w:numPr>
              <w:spacing w:before="120" w:after="120"/>
              <w:textAlignment w:val="top"/>
              <w:rPr>
                <w:b/>
                <w:bCs/>
                <w:color w:val="000000"/>
              </w:rPr>
            </w:pPr>
            <w:r w:rsidRPr="009B1EFD">
              <w:rPr>
                <w:color w:val="000000"/>
              </w:rPr>
              <w:t>For additional information about orders involving C2-C5 controlled medications, refer to </w:t>
            </w:r>
            <w:hyperlink r:id="rId22" w:anchor="!/view?docid=43924b4f-9576-4024-93db-2b594c89bb00" w:history="1">
              <w:r w:rsidR="00383E49">
                <w:rPr>
                  <w:rStyle w:val="Hyperlink"/>
                </w:rPr>
                <w:t>Controlled Substance Information (</w:t>
              </w:r>
              <w:proofErr w:type="spellStart"/>
              <w:r w:rsidR="00383E49">
                <w:rPr>
                  <w:rStyle w:val="Hyperlink"/>
                </w:rPr>
                <w:t>C2-C5</w:t>
              </w:r>
              <w:proofErr w:type="spellEnd"/>
              <w:r w:rsidR="00383E49">
                <w:rPr>
                  <w:rStyle w:val="Hyperlink"/>
                </w:rPr>
                <w:t>) (062851)</w:t>
              </w:r>
            </w:hyperlink>
            <w:r w:rsidRPr="006E11C6">
              <w:t>.</w:t>
            </w:r>
            <w:r w:rsidRPr="009B1EFD">
              <w:rPr>
                <w:b/>
                <w:bCs/>
              </w:rPr>
              <w:t xml:space="preserve">  </w:t>
            </w:r>
            <w:r w:rsidRPr="009B1EFD">
              <w:rPr>
                <w:rStyle w:val="content-id"/>
                <w:rFonts w:cs="Helvetica"/>
                <w:color w:val="000000"/>
                <w:shd w:val="clear" w:color="auto" w:fill="FFFFFF"/>
              </w:rPr>
              <w:t xml:space="preserve"> </w:t>
            </w:r>
            <w:r w:rsidRPr="008E4132">
              <w:rPr>
                <w:rStyle w:val="content-id"/>
              </w:rPr>
              <w:t xml:space="preserve"> </w:t>
            </w:r>
          </w:p>
        </w:tc>
      </w:tr>
      <w:tr w:rsidR="006A73A9" w:rsidRPr="008E4132" w14:paraId="600FC5DD" w14:textId="77777777" w:rsidTr="000B69A1">
        <w:tc>
          <w:tcPr>
            <w:tcW w:w="311" w:type="pct"/>
          </w:tcPr>
          <w:p w14:paraId="3FE13016" w14:textId="3E7B1011" w:rsidR="00864D0B" w:rsidRPr="008E4132" w:rsidRDefault="00A53157" w:rsidP="001C7F9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89" w:type="pct"/>
            <w:gridSpan w:val="4"/>
          </w:tcPr>
          <w:p w14:paraId="4C23AA03" w14:textId="1932375D" w:rsidR="008D6C33" w:rsidRPr="008E4132" w:rsidRDefault="003F6151" w:rsidP="001C7F9C">
            <w:pPr>
              <w:pStyle w:val="ListParagraph"/>
              <w:numPr>
                <w:ilvl w:val="0"/>
                <w:numId w:val="7"/>
              </w:numPr>
              <w:spacing w:before="120" w:after="120"/>
              <w:ind w:left="511"/>
            </w:pPr>
            <w:r w:rsidRPr="008E4132">
              <w:t xml:space="preserve">After determining that the PBM will contact the member's prescriber for a new prescription, run a </w:t>
            </w:r>
            <w:hyperlink r:id="rId23" w:anchor="!/view?docid=60c20ea0-1d07-46e3-809a-b54734b80fbe" w:history="1">
              <w:r w:rsidR="0074077E">
                <w:rPr>
                  <w:rStyle w:val="Hyperlink"/>
                </w:rPr>
                <w:t>Test Claim (050041)</w:t>
              </w:r>
            </w:hyperlink>
            <w:r w:rsidR="00700129" w:rsidRPr="008E4132">
              <w:rPr>
                <w:rStyle w:val="Hyperlink"/>
              </w:rPr>
              <w:t xml:space="preserve"> </w:t>
            </w:r>
            <w:r w:rsidRPr="008E4132">
              <w:t xml:space="preserve">for drug coverage and copay.  </w:t>
            </w:r>
            <w:r w:rsidR="00700129" w:rsidRPr="008E4132">
              <w:t xml:space="preserve"> </w:t>
            </w:r>
          </w:p>
          <w:p w14:paraId="0F08CF92" w14:textId="142D28BD" w:rsidR="008D6C33" w:rsidRPr="008D6C33" w:rsidRDefault="00864D0B" w:rsidP="001C7F9C">
            <w:pPr>
              <w:pStyle w:val="ListParagraph"/>
              <w:numPr>
                <w:ilvl w:val="0"/>
                <w:numId w:val="7"/>
              </w:numPr>
              <w:spacing w:before="120" w:after="120"/>
              <w:ind w:left="511"/>
            </w:pPr>
            <w:r w:rsidRPr="008E4132">
              <w:t xml:space="preserve">Advise the member of </w:t>
            </w:r>
            <w:r w:rsidR="00700129" w:rsidRPr="008E4132">
              <w:t>T</w:t>
            </w:r>
            <w:r w:rsidRPr="008E4132">
              <w:t xml:space="preserve">est </w:t>
            </w:r>
            <w:r w:rsidR="00700129" w:rsidRPr="008E4132">
              <w:t>C</w:t>
            </w:r>
            <w:r w:rsidRPr="008E4132">
              <w:t>laim results, drug coverage</w:t>
            </w:r>
            <w:r w:rsidR="008D6C33">
              <w:t>,</w:t>
            </w:r>
            <w:r w:rsidRPr="008E4132">
              <w:t xml:space="preserve"> and pay amount.</w:t>
            </w:r>
          </w:p>
        </w:tc>
      </w:tr>
      <w:tr w:rsidR="006A73A9" w:rsidRPr="008E4132" w14:paraId="496ADA44" w14:textId="77777777" w:rsidTr="000B69A1">
        <w:trPr>
          <w:trHeight w:val="810"/>
        </w:trPr>
        <w:tc>
          <w:tcPr>
            <w:tcW w:w="311" w:type="pct"/>
          </w:tcPr>
          <w:p w14:paraId="5826A778" w14:textId="112AD549" w:rsidR="00864D0B" w:rsidRPr="008E4132" w:rsidRDefault="00A53157" w:rsidP="001C7F9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89" w:type="pct"/>
            <w:gridSpan w:val="4"/>
            <w:tcBorders>
              <w:bottom w:val="single" w:sz="4" w:space="0" w:color="auto"/>
            </w:tcBorders>
          </w:tcPr>
          <w:p w14:paraId="5DF38DEB" w14:textId="3F7E4D3C" w:rsidR="00864D0B" w:rsidRPr="008E4132" w:rsidRDefault="006D5E62" w:rsidP="001C7F9C">
            <w:pPr>
              <w:spacing w:before="120" w:after="120"/>
              <w:ind w:left="144"/>
              <w:textAlignment w:val="top"/>
              <w:rPr>
                <w:b/>
              </w:rPr>
            </w:pPr>
            <w:r>
              <w:pict w14:anchorId="5E961A5D">
                <v:shape id="_x0000_i1026" type="#_x0000_t75" style="width:18.75pt;height:16.5pt;visibility:visible">
                  <v:imagedata r:id="rId24" o:title=""/>
                </v:shape>
              </w:pict>
            </w:r>
            <w:r w:rsidR="00864D0B" w:rsidRPr="008E4132">
              <w:rPr>
                <w:noProof/>
                <w:color w:val="000000"/>
              </w:rPr>
              <w:t xml:space="preserve"> </w:t>
            </w:r>
            <w:r w:rsidR="00864D0B" w:rsidRPr="008E4132">
              <w:rPr>
                <w:b/>
              </w:rPr>
              <w:t>Inform member of required disclosures.</w:t>
            </w:r>
          </w:p>
          <w:p w14:paraId="54943BC5" w14:textId="2E67C078" w:rsidR="00700129" w:rsidRPr="008E4132" w:rsidRDefault="006D5E62" w:rsidP="001C7F9C">
            <w:pPr>
              <w:spacing w:before="120" w:after="120"/>
              <w:ind w:left="144"/>
              <w:rPr>
                <w:bCs/>
              </w:rPr>
            </w:pPr>
            <w:r>
              <w:pict w14:anchorId="0482F117">
                <v:shape id="_x0000_i1027" type="#_x0000_t75" style="width:18.75pt;height:16.5pt;visibility:visible">
                  <v:imagedata r:id="rId18" o:title=""/>
                </v:shape>
              </w:pict>
            </w:r>
            <w:r w:rsidR="000727D8" w:rsidRPr="008E4132">
              <w:rPr>
                <w:noProof/>
                <w:color w:val="000000"/>
              </w:rPr>
              <w:t xml:space="preserve">  </w:t>
            </w:r>
            <w:r w:rsidR="000727D8" w:rsidRPr="008E4132">
              <w:rPr>
                <w:color w:val="000000"/>
              </w:rPr>
              <w:t xml:space="preserve">Please note the prices quoted are estimates and may not reflect your actual out of pocket costs. </w:t>
            </w:r>
            <w:r w:rsidR="000727D8" w:rsidRPr="008E4132">
              <w:rPr>
                <w:bCs/>
              </w:rPr>
              <w:t xml:space="preserve"> </w:t>
            </w:r>
          </w:p>
          <w:p w14:paraId="16640AE6" w14:textId="77777777" w:rsidR="00700129" w:rsidRPr="008E4132" w:rsidRDefault="00700129" w:rsidP="001C7F9C">
            <w:pPr>
              <w:spacing w:before="120" w:after="120"/>
              <w:ind w:left="144"/>
            </w:pPr>
          </w:p>
          <w:p w14:paraId="6729CB58" w14:textId="3FFCB0E3" w:rsidR="00864D0B" w:rsidRPr="00372134" w:rsidRDefault="00700129" w:rsidP="001C7F9C">
            <w:pPr>
              <w:spacing w:before="120" w:after="120"/>
              <w:ind w:left="144"/>
            </w:pPr>
            <w:r w:rsidRPr="008E4132">
              <w:rPr>
                <w:b/>
                <w:bCs/>
              </w:rPr>
              <w:t>CCR:</w:t>
            </w:r>
            <w:r w:rsidRPr="008E4132">
              <w:t xml:space="preserve">  </w:t>
            </w:r>
            <w:r w:rsidR="000727D8" w:rsidRPr="008E4132">
              <w:t xml:space="preserve">Advise the member of </w:t>
            </w:r>
            <w:r w:rsidRPr="008E4132">
              <w:t>T</w:t>
            </w:r>
            <w:r w:rsidR="000727D8" w:rsidRPr="008E4132">
              <w:t xml:space="preserve">est </w:t>
            </w:r>
            <w:r w:rsidRPr="008E4132">
              <w:t>C</w:t>
            </w:r>
            <w:r w:rsidR="000727D8" w:rsidRPr="008E4132">
              <w:t>laim results, drug coverage</w:t>
            </w:r>
            <w:r w:rsidR="0002113D">
              <w:t>,</w:t>
            </w:r>
            <w:r w:rsidR="000727D8" w:rsidRPr="008E4132">
              <w:t xml:space="preserve"> and pay amount.</w:t>
            </w:r>
          </w:p>
        </w:tc>
      </w:tr>
      <w:tr w:rsidR="006A73A9" w:rsidRPr="008E4132" w14:paraId="2B3FBE5D" w14:textId="77777777" w:rsidTr="000B69A1">
        <w:tc>
          <w:tcPr>
            <w:tcW w:w="311" w:type="pct"/>
          </w:tcPr>
          <w:p w14:paraId="67FBB4B9" w14:textId="7A5BF69D" w:rsidR="00864D0B" w:rsidRPr="008E4132" w:rsidRDefault="00A53157" w:rsidP="001C7F9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89" w:type="pct"/>
            <w:gridSpan w:val="4"/>
          </w:tcPr>
          <w:p w14:paraId="6CB907E1" w14:textId="6BA31354" w:rsidR="000727D8" w:rsidRPr="008E4132" w:rsidRDefault="000727D8" w:rsidP="001C7F9C">
            <w:pPr>
              <w:spacing w:before="120" w:after="120"/>
            </w:pPr>
            <w:r w:rsidRPr="008E4132">
              <w:t xml:space="preserve">Determine </w:t>
            </w:r>
            <w:r w:rsidR="00331978" w:rsidRPr="008E4132">
              <w:t>days’</w:t>
            </w:r>
            <w:r w:rsidRPr="008E4132">
              <w:t xml:space="preserve"> supply on hand with member to determine whether two prescriptions are required </w:t>
            </w:r>
            <w:r w:rsidR="00700129" w:rsidRPr="008E4132">
              <w:t>(1</w:t>
            </w:r>
            <w:r w:rsidRPr="008E4132">
              <w:t xml:space="preserve"> for </w:t>
            </w:r>
            <w:r w:rsidR="00700129" w:rsidRPr="008E4132">
              <w:t>Mail Order</w:t>
            </w:r>
            <w:r w:rsidRPr="008E4132">
              <w:t xml:space="preserve"> and </w:t>
            </w:r>
            <w:r w:rsidR="00700129" w:rsidRPr="008E4132">
              <w:t>1</w:t>
            </w:r>
            <w:r w:rsidRPr="008E4132">
              <w:t xml:space="preserve"> for </w:t>
            </w:r>
            <w:r w:rsidR="00700129" w:rsidRPr="008E4132">
              <w:t>R</w:t>
            </w:r>
            <w:r w:rsidRPr="008E4132">
              <w:t>etail</w:t>
            </w:r>
            <w:r w:rsidR="00700129" w:rsidRPr="008E4132">
              <w:t>)</w:t>
            </w:r>
            <w:r w:rsidRPr="008E4132">
              <w:t xml:space="preserve">. </w:t>
            </w:r>
          </w:p>
          <w:p w14:paraId="4441CC19" w14:textId="6D04317A" w:rsidR="00EF4E6E" w:rsidRPr="00ED6361" w:rsidRDefault="000727D8" w:rsidP="001C7F9C">
            <w:pPr>
              <w:pStyle w:val="ListParagraph"/>
              <w:numPr>
                <w:ilvl w:val="0"/>
                <w:numId w:val="3"/>
              </w:numPr>
              <w:spacing w:before="120" w:after="120"/>
              <w:ind w:left="511"/>
              <w:rPr>
                <w:color w:val="000000"/>
              </w:rPr>
            </w:pPr>
            <w:r w:rsidRPr="008E4132">
              <w:t xml:space="preserve">If short-term supply is needed and eligible at retail per the CIF, obtain name, address, and phone </w:t>
            </w:r>
            <w:proofErr w:type="gramStart"/>
            <w:r w:rsidRPr="008E4132">
              <w:t>number</w:t>
            </w:r>
            <w:proofErr w:type="gramEnd"/>
            <w:r w:rsidRPr="008E4132">
              <w:t xml:space="preserve"> of pharmacy.  Also r</w:t>
            </w:r>
            <w:r w:rsidRPr="008E4132">
              <w:rPr>
                <w:color w:val="000000"/>
              </w:rPr>
              <w:t xml:space="preserve">efer to </w:t>
            </w:r>
            <w:hyperlink r:id="rId25" w:anchor="!/view?docid=5ecd7b05-8aed-4dbd-b4ef-8cb4912a543b" w:history="1">
              <w:r w:rsidR="000B69A1" w:rsidRPr="00A84A4F">
                <w:rPr>
                  <w:rStyle w:val="Hyperlink"/>
                </w:rPr>
                <w:t>Compass - Bridge Supply (056367)</w:t>
              </w:r>
            </w:hyperlink>
            <w:r w:rsidR="00700129" w:rsidRPr="000B69A1">
              <w:rPr>
                <w:rStyle w:val="Hyperlink"/>
                <w:color w:val="auto"/>
                <w:u w:val="none"/>
              </w:rPr>
              <w:t xml:space="preserve">. </w:t>
            </w:r>
            <w:r w:rsidR="00700129" w:rsidRPr="008E4132">
              <w:rPr>
                <w:rStyle w:val="Hyperlink"/>
                <w:u w:val="none"/>
              </w:rPr>
              <w:t xml:space="preserve"> </w:t>
            </w:r>
            <w:r w:rsidRPr="008E4132">
              <w:rPr>
                <w:color w:val="000000"/>
              </w:rPr>
              <w:t xml:space="preserve">If </w:t>
            </w:r>
            <w:r w:rsidR="00700129" w:rsidRPr="008E4132">
              <w:rPr>
                <w:color w:val="000000"/>
              </w:rPr>
              <w:t xml:space="preserve">a </w:t>
            </w:r>
            <w:r w:rsidRPr="008E4132">
              <w:rPr>
                <w:color w:val="000000"/>
              </w:rPr>
              <w:t>Bridge Supply is not an option, refer to</w:t>
            </w:r>
            <w:r w:rsidRPr="008E4132">
              <w:rPr>
                <w:noProof/>
              </w:rPr>
              <w:t xml:space="preserve"> to </w:t>
            </w:r>
            <w:bookmarkStart w:id="12" w:name="OLE_LINK2"/>
            <w:r w:rsidR="00604D7B">
              <w:rPr>
                <w:rFonts w:cs="Helvetica"/>
                <w:shd w:val="clear" w:color="auto" w:fill="FFFFFF"/>
              </w:rPr>
              <w:fldChar w:fldCharType="begin"/>
            </w:r>
            <w:r w:rsidR="001B1318">
              <w:rPr>
                <w:rFonts w:cs="Helvetica"/>
                <w:shd w:val="clear" w:color="auto" w:fill="FFFFFF"/>
              </w:rPr>
              <w:instrText>HYPERLINK "https://thesource.cvshealth.com/nuxeo/thesource/" \l "!/view?docid=91f73b9d-e568-48dd-9ab4-88cb2654d4c9"</w:instrText>
            </w:r>
            <w:r w:rsidR="00604D7B">
              <w:rPr>
                <w:rFonts w:cs="Helvetica"/>
                <w:shd w:val="clear" w:color="auto" w:fill="FFFFFF"/>
              </w:rPr>
            </w:r>
            <w:r w:rsidR="00604D7B">
              <w:rPr>
                <w:rFonts w:cs="Helvetica"/>
                <w:shd w:val="clear" w:color="auto" w:fill="FFFFFF"/>
              </w:rPr>
              <w:fldChar w:fldCharType="separate"/>
            </w:r>
            <w:r w:rsidR="001B1318">
              <w:rPr>
                <w:rStyle w:val="Hyperlink"/>
                <w:rFonts w:cs="Helvetica"/>
                <w:shd w:val="clear" w:color="auto" w:fill="FFFFFF"/>
              </w:rPr>
              <w:t>Compass - Member Low or Out of Medication (063003)</w:t>
            </w:r>
            <w:r w:rsidR="00604D7B">
              <w:rPr>
                <w:rFonts w:cs="Helvetica"/>
                <w:shd w:val="clear" w:color="auto" w:fill="FFFFFF"/>
              </w:rPr>
              <w:fldChar w:fldCharType="end"/>
            </w:r>
            <w:r w:rsidRPr="008E4132">
              <w:rPr>
                <w:rFonts w:cs="Helvetica"/>
                <w:b/>
                <w:bCs/>
                <w:color w:val="000000"/>
                <w:shd w:val="clear" w:color="auto" w:fill="FFFFFF"/>
              </w:rPr>
              <w:t xml:space="preserve"> </w:t>
            </w:r>
            <w:bookmarkEnd w:id="12"/>
            <w:r w:rsidRPr="008E4132">
              <w:rPr>
                <w:rFonts w:cs="Helvetica"/>
                <w:color w:val="000000"/>
                <w:shd w:val="clear" w:color="auto" w:fill="FFFFFF"/>
              </w:rPr>
              <w:t>for additional options</w:t>
            </w:r>
            <w:r w:rsidR="00EF4E6E" w:rsidRPr="008E4132">
              <w:rPr>
                <w:rFonts w:cs="Helvetica"/>
                <w:color w:val="000000"/>
                <w:shd w:val="clear" w:color="auto" w:fill="FFFFFF"/>
              </w:rPr>
              <w:t>.</w:t>
            </w:r>
          </w:p>
        </w:tc>
      </w:tr>
      <w:tr w:rsidR="006A73A9" w:rsidRPr="008E4132" w14:paraId="07CBF7DE" w14:textId="77777777" w:rsidTr="000B69A1">
        <w:tc>
          <w:tcPr>
            <w:tcW w:w="311" w:type="pct"/>
          </w:tcPr>
          <w:p w14:paraId="4776C31C" w14:textId="65B85593" w:rsidR="00864D0B" w:rsidRPr="008E4132" w:rsidRDefault="00A53157" w:rsidP="001C7F9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89" w:type="pct"/>
            <w:gridSpan w:val="4"/>
          </w:tcPr>
          <w:p w14:paraId="4858C7E0" w14:textId="3912712C" w:rsidR="00BD04B3" w:rsidRPr="008E4132" w:rsidRDefault="0068756C" w:rsidP="001C7F9C">
            <w:pPr>
              <w:pStyle w:val="ListParagraph"/>
              <w:numPr>
                <w:ilvl w:val="0"/>
                <w:numId w:val="8"/>
              </w:numPr>
              <w:spacing w:before="120" w:after="120"/>
              <w:ind w:left="511"/>
            </w:pPr>
            <w:r>
              <w:t>Navigate to</w:t>
            </w:r>
            <w:r w:rsidR="0089058C">
              <w:t xml:space="preserve"> the Member Snapshot Landing Page</w:t>
            </w:r>
            <w:r w:rsidR="003D29F3">
              <w:t xml:space="preserve"> and review</w:t>
            </w:r>
            <w:r>
              <w:t xml:space="preserve"> the </w:t>
            </w:r>
            <w:r w:rsidRPr="003D29F3">
              <w:rPr>
                <w:b/>
                <w:bCs/>
              </w:rPr>
              <w:t>Contact Information</w:t>
            </w:r>
            <w:r>
              <w:t xml:space="preserve"> panel</w:t>
            </w:r>
            <w:r w:rsidR="00BD04B3" w:rsidRPr="008E4132">
              <w:t>.</w:t>
            </w:r>
          </w:p>
          <w:p w14:paraId="37D925AD" w14:textId="138C7B14" w:rsidR="00BD04B3" w:rsidRPr="00331978" w:rsidRDefault="00BD04B3" w:rsidP="001C7F9C">
            <w:pPr>
              <w:pStyle w:val="ListParagraph"/>
              <w:numPr>
                <w:ilvl w:val="0"/>
                <w:numId w:val="8"/>
              </w:numPr>
              <w:spacing w:before="120" w:after="120"/>
              <w:ind w:left="511"/>
            </w:pPr>
            <w:r w:rsidRPr="008E4132">
              <w:t xml:space="preserve">Verify address information. </w:t>
            </w:r>
          </w:p>
          <w:p w14:paraId="41D79DC2" w14:textId="2E665F81" w:rsidR="00BD04B3" w:rsidRPr="00ED6361" w:rsidRDefault="00BD04B3" w:rsidP="001C7F9C">
            <w:pPr>
              <w:numPr>
                <w:ilvl w:val="0"/>
                <w:numId w:val="6"/>
              </w:numPr>
              <w:spacing w:before="120" w:after="120"/>
              <w:ind w:left="871"/>
              <w:rPr>
                <w:color w:val="0000FF"/>
                <w:u w:val="single"/>
              </w:rPr>
            </w:pPr>
            <w:r w:rsidRPr="008E4132">
              <w:t xml:space="preserve">If address is incorrect, refer </w:t>
            </w:r>
            <w:hyperlink r:id="rId26" w:anchor="!/view?docid=9cfb4422-7129-4bca-b1ea-f1d6fa964906" w:history="1">
              <w:r w:rsidR="00D073C7">
                <w:rPr>
                  <w:rStyle w:val="Hyperlink"/>
                </w:rPr>
                <w:t>Compass - Add / Edit / Delete Mailing Address (053255)</w:t>
              </w:r>
            </w:hyperlink>
            <w:r w:rsidR="00864D0B" w:rsidRPr="008E4132">
              <w:t>.</w:t>
            </w:r>
          </w:p>
        </w:tc>
      </w:tr>
      <w:tr w:rsidR="006A73A9" w:rsidRPr="008E4132" w14:paraId="42B5F514" w14:textId="77777777" w:rsidTr="000B69A1">
        <w:trPr>
          <w:cantSplit/>
        </w:trPr>
        <w:tc>
          <w:tcPr>
            <w:tcW w:w="311" w:type="pct"/>
            <w:vMerge w:val="restart"/>
          </w:tcPr>
          <w:p w14:paraId="36F0B1B4" w14:textId="1EF9B72F" w:rsidR="00864D0B" w:rsidRPr="008E4132" w:rsidRDefault="00A53157" w:rsidP="001C7F9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89" w:type="pct"/>
            <w:gridSpan w:val="4"/>
            <w:tcBorders>
              <w:bottom w:val="single" w:sz="4" w:space="0" w:color="auto"/>
            </w:tcBorders>
          </w:tcPr>
          <w:p w14:paraId="4ADE06C1" w14:textId="4201E395" w:rsidR="00864D0B" w:rsidRPr="008E4132" w:rsidRDefault="005C3658" w:rsidP="001C7F9C">
            <w:pPr>
              <w:spacing w:before="120" w:after="120"/>
              <w:textAlignment w:val="top"/>
            </w:pPr>
            <w:r>
              <w:t xml:space="preserve">From the Member Snapshot Landing Page, click the </w:t>
            </w:r>
            <w:r w:rsidRPr="003D29F3">
              <w:rPr>
                <w:b/>
                <w:bCs/>
              </w:rPr>
              <w:t>Mail Order Payments</w:t>
            </w:r>
            <w:r>
              <w:t xml:space="preserve"> tab located on the center panel and v</w:t>
            </w:r>
            <w:r w:rsidR="00864D0B" w:rsidRPr="008E4132">
              <w:t>erify payment information.</w:t>
            </w:r>
          </w:p>
        </w:tc>
      </w:tr>
      <w:tr w:rsidR="001613B1" w:rsidRPr="008E4132" w14:paraId="07F44371" w14:textId="77777777" w:rsidTr="00D073C7">
        <w:trPr>
          <w:cantSplit/>
        </w:trPr>
        <w:tc>
          <w:tcPr>
            <w:tcW w:w="311" w:type="pct"/>
            <w:vMerge/>
          </w:tcPr>
          <w:p w14:paraId="5987C75F" w14:textId="77777777" w:rsidR="00864D0B" w:rsidRPr="008E4132" w:rsidRDefault="00864D0B" w:rsidP="001C7F9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33" w:type="pct"/>
            <w:gridSpan w:val="2"/>
            <w:shd w:val="clear" w:color="auto" w:fill="D9D9D9" w:themeFill="background1" w:themeFillShade="D9"/>
          </w:tcPr>
          <w:p w14:paraId="48F86FD0" w14:textId="77777777" w:rsidR="00864D0B" w:rsidRPr="008E4132" w:rsidRDefault="00864D0B" w:rsidP="001C7F9C">
            <w:pPr>
              <w:spacing w:before="120" w:after="120"/>
              <w:jc w:val="center"/>
              <w:rPr>
                <w:b/>
              </w:rPr>
            </w:pPr>
            <w:r w:rsidRPr="008E4132">
              <w:rPr>
                <w:b/>
              </w:rPr>
              <w:t>If member is using…</w:t>
            </w:r>
          </w:p>
        </w:tc>
        <w:tc>
          <w:tcPr>
            <w:tcW w:w="3656" w:type="pct"/>
            <w:gridSpan w:val="2"/>
            <w:shd w:val="clear" w:color="auto" w:fill="D9D9D9" w:themeFill="background1" w:themeFillShade="D9"/>
          </w:tcPr>
          <w:p w14:paraId="7DE65267" w14:textId="77777777" w:rsidR="00864D0B" w:rsidRPr="008E4132" w:rsidRDefault="00864D0B" w:rsidP="001C7F9C">
            <w:pPr>
              <w:spacing w:before="120" w:after="120"/>
              <w:jc w:val="center"/>
              <w:rPr>
                <w:b/>
              </w:rPr>
            </w:pPr>
            <w:r w:rsidRPr="008E4132">
              <w:rPr>
                <w:b/>
              </w:rPr>
              <w:t>Then…</w:t>
            </w:r>
          </w:p>
        </w:tc>
      </w:tr>
      <w:tr w:rsidR="000F66EF" w:rsidRPr="008E4132" w14:paraId="382D2840" w14:textId="77777777" w:rsidTr="000B69A1">
        <w:trPr>
          <w:cantSplit/>
        </w:trPr>
        <w:tc>
          <w:tcPr>
            <w:tcW w:w="311" w:type="pct"/>
            <w:vMerge/>
          </w:tcPr>
          <w:p w14:paraId="40CBE9A4" w14:textId="77777777" w:rsidR="00864D0B" w:rsidRPr="008E4132" w:rsidRDefault="00864D0B" w:rsidP="001C7F9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33" w:type="pct"/>
            <w:gridSpan w:val="2"/>
          </w:tcPr>
          <w:p w14:paraId="69CF1D21" w14:textId="516291A7" w:rsidR="00864D0B" w:rsidRPr="008E4132" w:rsidRDefault="00864D0B" w:rsidP="001C7F9C">
            <w:pPr>
              <w:spacing w:before="120" w:after="120"/>
              <w:textAlignment w:val="top"/>
              <w:rPr>
                <w:color w:val="000000"/>
              </w:rPr>
            </w:pPr>
            <w:r w:rsidRPr="008E4132">
              <w:rPr>
                <w:color w:val="000000"/>
              </w:rPr>
              <w:t>New payment method (credit card, electronic check)</w:t>
            </w:r>
            <w:r w:rsidRPr="008E4132">
              <w:rPr>
                <w:noProof/>
              </w:rPr>
              <w:t xml:space="preserve">  </w:t>
            </w:r>
          </w:p>
        </w:tc>
        <w:tc>
          <w:tcPr>
            <w:tcW w:w="3656" w:type="pct"/>
            <w:gridSpan w:val="2"/>
          </w:tcPr>
          <w:p w14:paraId="499D720D" w14:textId="434FA0C2" w:rsidR="00864D0B" w:rsidRPr="008E4132" w:rsidRDefault="00D63C73" w:rsidP="001C7F9C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sz w:val="17"/>
                <w:szCs w:val="17"/>
              </w:rPr>
            </w:pPr>
            <w:r>
              <w:rPr>
                <w:color w:val="000000"/>
              </w:rPr>
              <w:t>Refer to</w:t>
            </w:r>
            <w:r w:rsidR="006A73A9" w:rsidRPr="008E4132">
              <w:rPr>
                <w:color w:val="000000"/>
              </w:rPr>
              <w:t xml:space="preserve"> </w:t>
            </w:r>
            <w:hyperlink r:id="rId27" w:anchor="!/view?docid=5a1a67eb-a7b1-4ae5-bcfe-e986bbe4aa3d" w:history="1">
              <w:r w:rsidR="0053744C">
                <w:rPr>
                  <w:rStyle w:val="Hyperlink"/>
                </w:rPr>
                <w:t>Compass - Add, Edit, and Delete Mail Order Payment Methods (Credit Card &amp; eCheck) (056289)</w:t>
              </w:r>
            </w:hyperlink>
            <w:r w:rsidR="009D6578" w:rsidRPr="00B96653">
              <w:rPr>
                <w:rStyle w:val="Hyperlink"/>
                <w:u w:val="none"/>
              </w:rPr>
              <w:t>.</w:t>
            </w:r>
            <w:r w:rsidR="006A73A9" w:rsidRPr="00B96653">
              <w:t xml:space="preserve"> </w:t>
            </w:r>
            <w:r w:rsidR="009D6578" w:rsidRPr="00B96653">
              <w:t xml:space="preserve"> </w:t>
            </w:r>
          </w:p>
        </w:tc>
      </w:tr>
      <w:tr w:rsidR="000F66EF" w:rsidRPr="008E4132" w14:paraId="56311AC8" w14:textId="77777777" w:rsidTr="000B69A1">
        <w:trPr>
          <w:cantSplit/>
        </w:trPr>
        <w:tc>
          <w:tcPr>
            <w:tcW w:w="311" w:type="pct"/>
            <w:vMerge/>
          </w:tcPr>
          <w:p w14:paraId="376DFCB0" w14:textId="77777777" w:rsidR="00864D0B" w:rsidRPr="008E4132" w:rsidRDefault="00864D0B" w:rsidP="001C7F9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33" w:type="pct"/>
            <w:gridSpan w:val="2"/>
          </w:tcPr>
          <w:p w14:paraId="1183B2D3" w14:textId="2DD2E43F" w:rsidR="00864D0B" w:rsidRPr="008E4132" w:rsidRDefault="00864D0B" w:rsidP="001C7F9C">
            <w:pPr>
              <w:spacing w:before="120" w:after="120"/>
              <w:textAlignment w:val="top"/>
              <w:rPr>
                <w:color w:val="000000"/>
              </w:rPr>
            </w:pPr>
            <w:r w:rsidRPr="008E4132">
              <w:rPr>
                <w:color w:val="000000"/>
              </w:rPr>
              <w:t>Existing payment method</w:t>
            </w:r>
          </w:p>
        </w:tc>
        <w:tc>
          <w:tcPr>
            <w:tcW w:w="3656" w:type="pct"/>
            <w:gridSpan w:val="2"/>
          </w:tcPr>
          <w:p w14:paraId="046FF5B0" w14:textId="4B719957" w:rsidR="00864D0B" w:rsidRPr="00C853AC" w:rsidRDefault="000F66EF" w:rsidP="001C7F9C">
            <w:pPr>
              <w:spacing w:before="120" w:after="120"/>
              <w:textAlignment w:val="top"/>
              <w:rPr>
                <w:color w:val="000000"/>
              </w:rPr>
            </w:pPr>
            <w:r w:rsidRPr="008E4132">
              <w:rPr>
                <w:color w:val="000000"/>
              </w:rPr>
              <w:t>Verify the last four (4) digits and expiration date for credit cards and the financial institution and account type for electronic checks.</w:t>
            </w:r>
          </w:p>
        </w:tc>
      </w:tr>
      <w:tr w:rsidR="000F66EF" w:rsidRPr="008E4132" w14:paraId="2344219B" w14:textId="77777777" w:rsidTr="000B69A1">
        <w:trPr>
          <w:cantSplit/>
        </w:trPr>
        <w:tc>
          <w:tcPr>
            <w:tcW w:w="311" w:type="pct"/>
            <w:vMerge/>
          </w:tcPr>
          <w:p w14:paraId="34DD4D30" w14:textId="77777777" w:rsidR="00864D0B" w:rsidRPr="008E4132" w:rsidRDefault="00864D0B" w:rsidP="001C7F9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33" w:type="pct"/>
            <w:gridSpan w:val="2"/>
          </w:tcPr>
          <w:p w14:paraId="28E6FECF" w14:textId="77777777" w:rsidR="00864D0B" w:rsidRPr="008E4132" w:rsidRDefault="00864D0B" w:rsidP="001C7F9C">
            <w:pPr>
              <w:spacing w:before="120" w:after="120"/>
              <w:textAlignment w:val="top"/>
            </w:pPr>
            <w:r w:rsidRPr="008E4132">
              <w:t xml:space="preserve">Any other form of payment </w:t>
            </w:r>
          </w:p>
        </w:tc>
        <w:tc>
          <w:tcPr>
            <w:tcW w:w="3656" w:type="pct"/>
            <w:gridSpan w:val="2"/>
          </w:tcPr>
          <w:p w14:paraId="40CA12E8" w14:textId="77777777" w:rsidR="00864D0B" w:rsidRPr="008E4132" w:rsidRDefault="00864D0B" w:rsidP="001C7F9C">
            <w:pPr>
              <w:spacing w:before="120" w:after="120"/>
              <w:textAlignment w:val="top"/>
            </w:pPr>
            <w:r w:rsidRPr="008E4132">
              <w:t>Inform member that they will receive an invoice with the order, and payment should be remitted upon receipt.</w:t>
            </w:r>
          </w:p>
        </w:tc>
      </w:tr>
      <w:tr w:rsidR="006A73A9" w:rsidRPr="008E4132" w14:paraId="3621D5D6" w14:textId="77777777" w:rsidTr="000B69A1">
        <w:tc>
          <w:tcPr>
            <w:tcW w:w="311" w:type="pct"/>
          </w:tcPr>
          <w:p w14:paraId="07C9EA30" w14:textId="17266277" w:rsidR="00864D0B" w:rsidRPr="008E4132" w:rsidRDefault="00A53157" w:rsidP="001C7F9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89" w:type="pct"/>
            <w:gridSpan w:val="4"/>
          </w:tcPr>
          <w:p w14:paraId="6829F3B9" w14:textId="269EAD3C" w:rsidR="00864D0B" w:rsidRPr="008E4132" w:rsidRDefault="005C3658" w:rsidP="001C7F9C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color w:val="000000"/>
              </w:rPr>
            </w:pPr>
            <w:r>
              <w:t xml:space="preserve">Add a </w:t>
            </w:r>
            <w:r w:rsidR="006A1DDF">
              <w:t>Case Comment with the following information:</w:t>
            </w:r>
          </w:p>
          <w:p w14:paraId="67333C94" w14:textId="77777777" w:rsidR="0008054F" w:rsidRPr="0008054F" w:rsidRDefault="00864D0B" w:rsidP="0008054F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 w:line="240" w:lineRule="atLeast"/>
              <w:ind w:left="421"/>
              <w:textAlignment w:val="top"/>
              <w:rPr>
                <w:color w:val="000000"/>
              </w:rPr>
            </w:pPr>
            <w:r w:rsidRPr="008E4132">
              <w:rPr>
                <w:color w:val="000000"/>
              </w:rPr>
              <w:t xml:space="preserve">“CC provided”, “E-check provided”, or “New Rx – Fill &amp; </w:t>
            </w:r>
            <w:proofErr w:type="gramStart"/>
            <w:r w:rsidRPr="008E4132">
              <w:rPr>
                <w:color w:val="000000"/>
              </w:rPr>
              <w:t>Bill</w:t>
            </w:r>
            <w:proofErr w:type="gramEnd"/>
            <w:r w:rsidRPr="008E4132">
              <w:rPr>
                <w:color w:val="000000"/>
              </w:rPr>
              <w:t>”</w:t>
            </w:r>
            <w:r w:rsidRPr="008E4132">
              <w:rPr>
                <w:noProof/>
              </w:rPr>
              <w:t xml:space="preserve">  </w:t>
            </w:r>
          </w:p>
          <w:p w14:paraId="6DE5917D" w14:textId="77777777" w:rsidR="0008054F" w:rsidRDefault="00864D0B" w:rsidP="0008054F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 w:line="240" w:lineRule="atLeast"/>
              <w:ind w:left="421"/>
              <w:textAlignment w:val="top"/>
              <w:rPr>
                <w:color w:val="000000"/>
              </w:rPr>
            </w:pPr>
            <w:r w:rsidRPr="0008054F">
              <w:rPr>
                <w:color w:val="000000"/>
              </w:rPr>
              <w:t>Information verified to identify the payment type, if applicable.</w:t>
            </w:r>
          </w:p>
          <w:p w14:paraId="1A3D20D9" w14:textId="51135660" w:rsidR="00864D0B" w:rsidRPr="0008054F" w:rsidRDefault="00864D0B" w:rsidP="0008054F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 w:line="240" w:lineRule="atLeast"/>
              <w:ind w:left="421"/>
              <w:textAlignment w:val="top"/>
              <w:rPr>
                <w:color w:val="000000"/>
              </w:rPr>
            </w:pPr>
            <w:r w:rsidRPr="0008054F">
              <w:rPr>
                <w:color w:val="000000"/>
              </w:rPr>
              <w:t>Address verified (for appropriate member)</w:t>
            </w:r>
          </w:p>
        </w:tc>
      </w:tr>
      <w:tr w:rsidR="006A73A9" w:rsidRPr="008E4132" w14:paraId="33665F6F" w14:textId="77777777" w:rsidTr="000B69A1">
        <w:tc>
          <w:tcPr>
            <w:tcW w:w="311" w:type="pct"/>
            <w:vMerge w:val="restart"/>
          </w:tcPr>
          <w:p w14:paraId="4B1544A3" w14:textId="1E42C29D" w:rsidR="00864D0B" w:rsidRPr="008E4132" w:rsidRDefault="00A53157" w:rsidP="001C7F9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89" w:type="pct"/>
            <w:gridSpan w:val="4"/>
            <w:tcBorders>
              <w:bottom w:val="single" w:sz="4" w:space="0" w:color="auto"/>
            </w:tcBorders>
          </w:tcPr>
          <w:p w14:paraId="09F70F83" w14:textId="77777777" w:rsidR="00864D0B" w:rsidRPr="008E4132" w:rsidRDefault="00864D0B" w:rsidP="001C7F9C">
            <w:pPr>
              <w:spacing w:before="120" w:after="120"/>
              <w:rPr>
                <w:color w:val="000000"/>
              </w:rPr>
            </w:pPr>
            <w:r w:rsidRPr="008E4132">
              <w:rPr>
                <w:color w:val="000000"/>
              </w:rPr>
              <w:t>Verify with the member that the information on the previous Rx is still valid:</w:t>
            </w:r>
          </w:p>
          <w:p w14:paraId="661AD673" w14:textId="77777777" w:rsidR="00864D0B" w:rsidRPr="008E4132" w:rsidRDefault="00864D0B" w:rsidP="001C7F9C">
            <w:pPr>
              <w:numPr>
                <w:ilvl w:val="0"/>
                <w:numId w:val="2"/>
              </w:numPr>
              <w:spacing w:before="120" w:after="120"/>
              <w:rPr>
                <w:color w:val="000000"/>
              </w:rPr>
            </w:pPr>
            <w:r w:rsidRPr="008E4132">
              <w:rPr>
                <w:color w:val="000000"/>
              </w:rPr>
              <w:t>Drug name</w:t>
            </w:r>
          </w:p>
          <w:p w14:paraId="2EA1ED05" w14:textId="77777777" w:rsidR="00864D0B" w:rsidRPr="008E4132" w:rsidRDefault="00864D0B" w:rsidP="001C7F9C">
            <w:pPr>
              <w:numPr>
                <w:ilvl w:val="0"/>
                <w:numId w:val="2"/>
              </w:numPr>
              <w:spacing w:before="120" w:after="120"/>
            </w:pPr>
            <w:r w:rsidRPr="008E4132">
              <w:t>Drug strength</w:t>
            </w:r>
          </w:p>
          <w:p w14:paraId="150E9A3B" w14:textId="77777777" w:rsidR="00864D0B" w:rsidRPr="008E4132" w:rsidRDefault="00864D0B" w:rsidP="001C7F9C">
            <w:pPr>
              <w:numPr>
                <w:ilvl w:val="0"/>
                <w:numId w:val="2"/>
              </w:numPr>
              <w:spacing w:before="120" w:after="120"/>
            </w:pPr>
            <w:r w:rsidRPr="008E4132">
              <w:t>Drug quantity</w:t>
            </w:r>
          </w:p>
          <w:p w14:paraId="6C3F92DC" w14:textId="77777777" w:rsidR="00864D0B" w:rsidRPr="008E4132" w:rsidRDefault="00864D0B" w:rsidP="001C7F9C">
            <w:pPr>
              <w:numPr>
                <w:ilvl w:val="0"/>
                <w:numId w:val="2"/>
              </w:numPr>
              <w:spacing w:before="120" w:after="120"/>
            </w:pPr>
            <w:r w:rsidRPr="008E4132">
              <w:t>Directions</w:t>
            </w:r>
          </w:p>
          <w:p w14:paraId="5DF2026C" w14:textId="77777777" w:rsidR="00864D0B" w:rsidRPr="008E4132" w:rsidRDefault="00864D0B" w:rsidP="001C7F9C">
            <w:pPr>
              <w:numPr>
                <w:ilvl w:val="0"/>
                <w:numId w:val="2"/>
              </w:numPr>
              <w:spacing w:before="120" w:after="120"/>
            </w:pPr>
            <w:r w:rsidRPr="008E4132">
              <w:t>Prescriber’s name</w:t>
            </w:r>
          </w:p>
          <w:p w14:paraId="2853D6DB" w14:textId="77777777" w:rsidR="00864D0B" w:rsidRPr="008E4132" w:rsidRDefault="00864D0B" w:rsidP="001C7F9C">
            <w:pPr>
              <w:numPr>
                <w:ilvl w:val="0"/>
                <w:numId w:val="2"/>
              </w:numPr>
              <w:spacing w:before="120" w:after="120"/>
            </w:pPr>
            <w:r w:rsidRPr="008E4132">
              <w:t>Prescriber’s office phone number</w:t>
            </w:r>
          </w:p>
        </w:tc>
      </w:tr>
      <w:tr w:rsidR="001613B1" w:rsidRPr="008E4132" w14:paraId="498880E5" w14:textId="77777777" w:rsidTr="00390045">
        <w:trPr>
          <w:trHeight w:val="90"/>
        </w:trPr>
        <w:tc>
          <w:tcPr>
            <w:tcW w:w="311" w:type="pct"/>
            <w:vMerge/>
          </w:tcPr>
          <w:p w14:paraId="7967F0EC" w14:textId="77777777" w:rsidR="00864D0B" w:rsidRPr="008E4132" w:rsidRDefault="00864D0B" w:rsidP="001C7F9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121" w:type="pct"/>
            <w:gridSpan w:val="3"/>
            <w:shd w:val="clear" w:color="auto" w:fill="D9D9D9" w:themeFill="background1" w:themeFillShade="D9"/>
          </w:tcPr>
          <w:p w14:paraId="23929881" w14:textId="77777777" w:rsidR="00864D0B" w:rsidRPr="008E4132" w:rsidDel="00F11A3C" w:rsidRDefault="00864D0B" w:rsidP="001C7F9C">
            <w:pPr>
              <w:spacing w:before="120" w:after="120"/>
              <w:jc w:val="center"/>
              <w:rPr>
                <w:b/>
                <w:color w:val="000000"/>
              </w:rPr>
            </w:pPr>
            <w:r w:rsidRPr="008E4132">
              <w:rPr>
                <w:b/>
                <w:color w:val="000000"/>
              </w:rPr>
              <w:t>If…</w:t>
            </w:r>
          </w:p>
        </w:tc>
        <w:tc>
          <w:tcPr>
            <w:tcW w:w="2568" w:type="pct"/>
            <w:shd w:val="clear" w:color="auto" w:fill="D9D9D9" w:themeFill="background1" w:themeFillShade="D9"/>
          </w:tcPr>
          <w:p w14:paraId="49F14FA0" w14:textId="77777777" w:rsidR="00864D0B" w:rsidRPr="008E4132" w:rsidDel="00F11A3C" w:rsidRDefault="00864D0B" w:rsidP="001C7F9C">
            <w:pPr>
              <w:spacing w:before="120" w:after="120"/>
              <w:jc w:val="center"/>
              <w:rPr>
                <w:b/>
                <w:color w:val="000000"/>
              </w:rPr>
            </w:pPr>
            <w:r w:rsidRPr="008E4132">
              <w:rPr>
                <w:b/>
                <w:color w:val="000000"/>
              </w:rPr>
              <w:t>Then…</w:t>
            </w:r>
          </w:p>
        </w:tc>
      </w:tr>
      <w:tr w:rsidR="000F66EF" w:rsidRPr="008E4132" w14:paraId="0093BA8A" w14:textId="77777777" w:rsidTr="000B69A1">
        <w:trPr>
          <w:trHeight w:val="90"/>
        </w:trPr>
        <w:tc>
          <w:tcPr>
            <w:tcW w:w="311" w:type="pct"/>
            <w:vMerge/>
          </w:tcPr>
          <w:p w14:paraId="14C5ADE1" w14:textId="77777777" w:rsidR="00864D0B" w:rsidRPr="008E4132" w:rsidRDefault="00864D0B" w:rsidP="001C7F9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121" w:type="pct"/>
            <w:gridSpan w:val="3"/>
          </w:tcPr>
          <w:p w14:paraId="7EAC5EA9" w14:textId="77777777" w:rsidR="00864D0B" w:rsidRPr="008E4132" w:rsidDel="00F11A3C" w:rsidRDefault="00864D0B" w:rsidP="001C7F9C">
            <w:pPr>
              <w:spacing w:before="120" w:after="120"/>
              <w:rPr>
                <w:color w:val="000000"/>
              </w:rPr>
            </w:pPr>
            <w:r w:rsidRPr="008E4132">
              <w:rPr>
                <w:color w:val="000000"/>
              </w:rPr>
              <w:t>Prescription and prescriber information is the same as the previous Rx</w:t>
            </w:r>
          </w:p>
        </w:tc>
        <w:tc>
          <w:tcPr>
            <w:tcW w:w="2568" w:type="pct"/>
          </w:tcPr>
          <w:p w14:paraId="35B87600" w14:textId="77777777" w:rsidR="00864D0B" w:rsidRPr="008E4132" w:rsidDel="00F11A3C" w:rsidRDefault="00864D0B" w:rsidP="001C7F9C">
            <w:pPr>
              <w:spacing w:before="120" w:after="120"/>
              <w:rPr>
                <w:color w:val="000000"/>
              </w:rPr>
            </w:pPr>
            <w:r w:rsidRPr="008E4132">
              <w:rPr>
                <w:color w:val="000000"/>
              </w:rPr>
              <w:t>Continue to Step 10.</w:t>
            </w:r>
          </w:p>
        </w:tc>
      </w:tr>
      <w:tr w:rsidR="000F66EF" w:rsidRPr="008E4132" w14:paraId="069AFBBA" w14:textId="77777777" w:rsidTr="000B69A1">
        <w:trPr>
          <w:trHeight w:val="90"/>
        </w:trPr>
        <w:tc>
          <w:tcPr>
            <w:tcW w:w="311" w:type="pct"/>
            <w:vMerge/>
          </w:tcPr>
          <w:p w14:paraId="3E68001F" w14:textId="77777777" w:rsidR="00864D0B" w:rsidRPr="008E4132" w:rsidRDefault="00864D0B" w:rsidP="001C7F9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121" w:type="pct"/>
            <w:gridSpan w:val="3"/>
          </w:tcPr>
          <w:p w14:paraId="36D983C0" w14:textId="34A0AE33" w:rsidR="00864D0B" w:rsidRPr="008E4132" w:rsidDel="00F11A3C" w:rsidRDefault="00864D0B" w:rsidP="001C7F9C">
            <w:pPr>
              <w:spacing w:before="120" w:after="120"/>
              <w:rPr>
                <w:color w:val="000000"/>
              </w:rPr>
            </w:pPr>
            <w:r w:rsidRPr="008E4132">
              <w:rPr>
                <w:color w:val="000000"/>
              </w:rPr>
              <w:t>Prescription or prescriber information is different</w:t>
            </w:r>
          </w:p>
        </w:tc>
        <w:tc>
          <w:tcPr>
            <w:tcW w:w="2568" w:type="pct"/>
          </w:tcPr>
          <w:p w14:paraId="51A01D90" w14:textId="535CCA87" w:rsidR="00864D0B" w:rsidRPr="008E4132" w:rsidDel="00F11A3C" w:rsidRDefault="000F66EF" w:rsidP="001C7F9C">
            <w:pPr>
              <w:spacing w:before="120" w:after="120"/>
              <w:rPr>
                <w:color w:val="FF0000"/>
              </w:rPr>
            </w:pPr>
            <w:r w:rsidRPr="008E4132">
              <w:rPr>
                <w:color w:val="000000"/>
              </w:rPr>
              <w:t xml:space="preserve">Refer to the </w:t>
            </w:r>
            <w:hyperlink r:id="rId28" w:anchor="!/view?docid=a7684ce9-c2bc-4cbc-ab37-c1ffb7789706" w:history="1">
              <w:r w:rsidR="00434671">
                <w:rPr>
                  <w:rStyle w:val="Hyperlink"/>
                </w:rPr>
                <w:t>Compass - Obtaining a New Prescription (Rx) for the Member (New Rx Request) (054208)</w:t>
              </w:r>
            </w:hyperlink>
            <w:r w:rsidR="000074C7" w:rsidRPr="00B96653">
              <w:rPr>
                <w:rStyle w:val="Hyperlink"/>
                <w:u w:val="none"/>
              </w:rPr>
              <w:t>.</w:t>
            </w:r>
          </w:p>
        </w:tc>
      </w:tr>
      <w:tr w:rsidR="006A73A9" w:rsidRPr="008E4132" w14:paraId="6FA5D1B3" w14:textId="77777777" w:rsidTr="000B69A1">
        <w:tc>
          <w:tcPr>
            <w:tcW w:w="311" w:type="pct"/>
          </w:tcPr>
          <w:p w14:paraId="02B7BCF4" w14:textId="7115A19C" w:rsidR="00864D0B" w:rsidRPr="008E4132" w:rsidRDefault="00A53157" w:rsidP="001C7F9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689" w:type="pct"/>
            <w:gridSpan w:val="4"/>
          </w:tcPr>
          <w:p w14:paraId="5DD8A0D3" w14:textId="77777777" w:rsidR="00864D0B" w:rsidRPr="008E4132" w:rsidRDefault="00864D0B" w:rsidP="001C7F9C">
            <w:pPr>
              <w:spacing w:before="120" w:after="120"/>
            </w:pPr>
            <w:r w:rsidRPr="008E4132">
              <w:t xml:space="preserve">Inform the member that a fax will be sent to the physician regarding their prescription.  </w:t>
            </w:r>
          </w:p>
          <w:p w14:paraId="209BFC65" w14:textId="77777777" w:rsidR="005F2E19" w:rsidRPr="008E4132" w:rsidRDefault="005F2E19" w:rsidP="001C7F9C">
            <w:pPr>
              <w:spacing w:before="120" w:after="120"/>
            </w:pPr>
          </w:p>
          <w:p w14:paraId="5E815165" w14:textId="114AB3E7" w:rsidR="005F2E19" w:rsidRPr="008E4132" w:rsidRDefault="005F2E19" w:rsidP="001C7F9C">
            <w:pPr>
              <w:spacing w:before="120" w:after="120"/>
            </w:pPr>
            <w:r w:rsidRPr="008E4132">
              <w:rPr>
                <w:noProof/>
              </w:rPr>
              <w:drawing>
                <wp:inline distT="0" distB="0" distL="0" distR="0" wp14:anchorId="2A46D456" wp14:editId="5FF1089C">
                  <wp:extent cx="241300" cy="20955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4132">
              <w:rPr>
                <w:color w:val="000000"/>
              </w:rPr>
              <w:t xml:space="preserve"> We will reach out to the prescriber twice via fax within the next 5 business days. </w:t>
            </w:r>
            <w:r w:rsidR="000074C7">
              <w:rPr>
                <w:color w:val="000000"/>
              </w:rPr>
              <w:t xml:space="preserve"> </w:t>
            </w:r>
            <w:r w:rsidRPr="008E4132">
              <w:rPr>
                <w:color w:val="000000"/>
              </w:rPr>
              <w:t xml:space="preserve">Faxes are typically received by the prescriber within 24 hours. </w:t>
            </w:r>
            <w:r w:rsidR="000074C7">
              <w:rPr>
                <w:color w:val="000000"/>
              </w:rPr>
              <w:t xml:space="preserve"> </w:t>
            </w:r>
            <w:r w:rsidRPr="008E4132">
              <w:rPr>
                <w:color w:val="000000"/>
              </w:rPr>
              <w:t>We will reach out to you if we don’t get a response from the prescriber. If we receive the prescription from the prescriber, it will process within 5 business days, and will ship from our pharmacy the next business day.</w:t>
            </w:r>
          </w:p>
          <w:p w14:paraId="5A9EA3BB" w14:textId="76062266" w:rsidR="00864D0B" w:rsidRPr="008E4132" w:rsidRDefault="00864D0B" w:rsidP="001C7F9C">
            <w:pPr>
              <w:spacing w:before="120" w:after="120"/>
              <w:rPr>
                <w:noProof/>
              </w:rPr>
            </w:pPr>
            <w:r w:rsidRPr="008E4132">
              <w:br/>
            </w:r>
            <w:r w:rsidR="00700129" w:rsidRPr="008E4132">
              <w:rPr>
                <w:b/>
                <w:bCs/>
              </w:rPr>
              <w:t>CCR:</w:t>
            </w:r>
            <w:r w:rsidR="00700129" w:rsidRPr="008E4132">
              <w:t xml:space="preserve">  </w:t>
            </w:r>
            <w:r w:rsidRPr="008E4132">
              <w:t xml:space="preserve">Advise member that we will request a prescription for 90-day supply/3 refills, and if appropriate, a prescription for a short-term supply to be obtained at a retail pharmacy (if member is in short supply of medication).  </w:t>
            </w:r>
            <w:r w:rsidRPr="008E4132">
              <w:rPr>
                <w:noProof/>
              </w:rPr>
              <w:t xml:space="preserve"> </w:t>
            </w:r>
          </w:p>
          <w:p w14:paraId="7993F709" w14:textId="3C7916A5" w:rsidR="005F2E19" w:rsidRPr="008E4132" w:rsidRDefault="005F2E19" w:rsidP="001C7F9C">
            <w:pPr>
              <w:spacing w:before="120" w:after="120"/>
              <w:rPr>
                <w:noProof/>
              </w:rPr>
            </w:pPr>
          </w:p>
          <w:p w14:paraId="41DF311F" w14:textId="7861216B" w:rsidR="005F2E19" w:rsidRPr="008E4132" w:rsidRDefault="005F2E19" w:rsidP="001C7F9C">
            <w:pPr>
              <w:spacing w:before="120" w:after="120"/>
              <w:rPr>
                <w:b/>
                <w:bCs/>
              </w:rPr>
            </w:pPr>
            <w:r w:rsidRPr="008E4132">
              <w:rPr>
                <w:noProof/>
              </w:rPr>
              <w:t xml:space="preserve">Refer to </w:t>
            </w:r>
            <w:hyperlink r:id="rId30" w:anchor="!/view?docid=91f73b9d-e568-48dd-9ab4-88cb2654d4c9" w:history="1">
              <w:r w:rsidR="00CC6BA7">
                <w:rPr>
                  <w:rStyle w:val="Hyperlink"/>
                  <w:rFonts w:cs="Helvetica"/>
                  <w:shd w:val="clear" w:color="auto" w:fill="FFFFFF"/>
                </w:rPr>
                <w:t>Compass - Member Low or Out of Medication (063003)</w:t>
              </w:r>
            </w:hyperlink>
            <w:r w:rsidRPr="00D63C73">
              <w:rPr>
                <w:rFonts w:cs="Helvetica"/>
                <w:color w:val="000000"/>
                <w:shd w:val="clear" w:color="auto" w:fill="FFFFFF"/>
              </w:rPr>
              <w:t>.</w:t>
            </w:r>
          </w:p>
          <w:p w14:paraId="07E93FD9" w14:textId="77777777" w:rsidR="005F2E19" w:rsidRPr="008E4132" w:rsidRDefault="005F2E19" w:rsidP="001C7F9C">
            <w:pPr>
              <w:spacing w:before="120" w:after="120"/>
            </w:pPr>
          </w:p>
          <w:p w14:paraId="12FC2F0D" w14:textId="137EB6EE" w:rsidR="005F2E19" w:rsidRPr="008E4132" w:rsidRDefault="00864D0B" w:rsidP="001C7F9C">
            <w:pPr>
              <w:spacing w:before="120" w:after="120"/>
              <w:rPr>
                <w:color w:val="000000"/>
              </w:rPr>
            </w:pPr>
            <w:r w:rsidRPr="008E4132">
              <w:rPr>
                <w:b/>
              </w:rPr>
              <w:t>Note:</w:t>
            </w:r>
            <w:r w:rsidRPr="008E4132">
              <w:t xml:space="preserve">  If this is a </w:t>
            </w:r>
            <w:r w:rsidR="00700129" w:rsidRPr="008E4132">
              <w:t>C</w:t>
            </w:r>
            <w:r w:rsidRPr="008E4132">
              <w:t xml:space="preserve">ontrolled drug, review </w:t>
            </w:r>
            <w:hyperlink r:id="rId31" w:anchor="!/view?docid=76fe19d9-b159-43a4-9db5-077ba1f6a958" w:history="1">
              <w:r w:rsidR="00D81BA0">
                <w:rPr>
                  <w:rStyle w:val="Hyperlink"/>
                </w:rPr>
                <w:t>Compass - Controlled Substance State Laws (058033)</w:t>
              </w:r>
            </w:hyperlink>
            <w:r w:rsidRPr="00B96653">
              <w:rPr>
                <w:color w:val="0000FF"/>
              </w:rPr>
              <w:t>.</w:t>
            </w:r>
          </w:p>
        </w:tc>
      </w:tr>
      <w:tr w:rsidR="006A73A9" w:rsidRPr="008E4132" w14:paraId="3CA003C6" w14:textId="77777777" w:rsidTr="000B69A1">
        <w:tc>
          <w:tcPr>
            <w:tcW w:w="311" w:type="pct"/>
          </w:tcPr>
          <w:p w14:paraId="476AA0E9" w14:textId="3B6FCF4D" w:rsidR="00864D0B" w:rsidRPr="008E4132" w:rsidRDefault="00864D0B" w:rsidP="001C7F9C">
            <w:pPr>
              <w:spacing w:before="120" w:after="120"/>
              <w:jc w:val="center"/>
              <w:rPr>
                <w:b/>
              </w:rPr>
            </w:pPr>
            <w:r w:rsidRPr="008E4132">
              <w:rPr>
                <w:b/>
              </w:rPr>
              <w:t>1</w:t>
            </w:r>
            <w:r w:rsidR="00A53157">
              <w:rPr>
                <w:b/>
              </w:rPr>
              <w:t>1</w:t>
            </w:r>
          </w:p>
        </w:tc>
        <w:tc>
          <w:tcPr>
            <w:tcW w:w="4689" w:type="pct"/>
            <w:gridSpan w:val="4"/>
          </w:tcPr>
          <w:p w14:paraId="60ABDF3D" w14:textId="79E45518" w:rsidR="00864D0B" w:rsidRPr="008E4132" w:rsidRDefault="004F10F6" w:rsidP="001C7F9C">
            <w:pPr>
              <w:spacing w:before="120" w:after="120"/>
              <w:rPr>
                <w:color w:val="000000"/>
              </w:rPr>
            </w:pPr>
            <w:r w:rsidRPr="008E4132">
              <w:rPr>
                <w:bCs/>
              </w:rPr>
              <w:t xml:space="preserve">Advise the member they can check the status of their order and information on shipping at Caremark.com. </w:t>
            </w:r>
          </w:p>
        </w:tc>
      </w:tr>
    </w:tbl>
    <w:p w14:paraId="61BD89E3" w14:textId="52F8FC79" w:rsidR="003B63C7" w:rsidRPr="008E4132" w:rsidRDefault="004B5AF6" w:rsidP="001C7F9C">
      <w:pPr>
        <w:spacing w:before="120" w:after="120"/>
        <w:jc w:val="right"/>
      </w:pPr>
      <w:bookmarkStart w:id="13" w:name="_Log_Activity:"/>
      <w:bookmarkStart w:id="14" w:name="_Resolution_Time:"/>
      <w:bookmarkEnd w:id="13"/>
      <w:bookmarkEnd w:id="14"/>
      <w:r w:rsidRPr="008E4132">
        <w:t xml:space="preserve"> </w:t>
      </w:r>
    </w:p>
    <w:p w14:paraId="7D3DA739" w14:textId="1819AF1F" w:rsidR="004F10F6" w:rsidRPr="008E4132" w:rsidRDefault="006D5E62" w:rsidP="001C7F9C">
      <w:pPr>
        <w:spacing w:before="120" w:after="120"/>
        <w:jc w:val="right"/>
      </w:pPr>
      <w:hyperlink w:anchor="_top" w:history="1">
        <w:r w:rsidR="004F10F6" w:rsidRPr="009D7DA4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F10F6" w:rsidRPr="008E4132" w14:paraId="18F54904" w14:textId="77777777" w:rsidTr="00C814C4">
        <w:tc>
          <w:tcPr>
            <w:tcW w:w="5000" w:type="pct"/>
            <w:shd w:val="clear" w:color="auto" w:fill="BFBFBF" w:themeFill="background1" w:themeFillShade="BF"/>
          </w:tcPr>
          <w:p w14:paraId="414541AC" w14:textId="4DD1C820" w:rsidR="004F10F6" w:rsidRPr="008E4132" w:rsidRDefault="004F10F6" w:rsidP="001C7F9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Toc37321294"/>
            <w:bookmarkStart w:id="16" w:name="_Toc160092839"/>
            <w:r w:rsidRPr="008E4132">
              <w:rPr>
                <w:rFonts w:ascii="Verdana" w:hAnsi="Verdana"/>
                <w:i w:val="0"/>
                <w:iCs w:val="0"/>
              </w:rPr>
              <w:t>Resolution Time</w:t>
            </w:r>
            <w:bookmarkEnd w:id="15"/>
            <w:bookmarkEnd w:id="16"/>
          </w:p>
        </w:tc>
      </w:tr>
    </w:tbl>
    <w:p w14:paraId="6417003B" w14:textId="13C88E8F" w:rsidR="004F10F6" w:rsidRPr="008E4132" w:rsidRDefault="004F10F6" w:rsidP="001C7F9C">
      <w:pPr>
        <w:spacing w:before="120" w:after="120"/>
      </w:pPr>
      <w:r w:rsidRPr="008E4132">
        <w:rPr>
          <w:color w:val="000000"/>
        </w:rPr>
        <w:t xml:space="preserve">Refer to </w:t>
      </w:r>
      <w:hyperlink r:id="rId32" w:anchor="!/view?docid=31ee69db-e3d5-4717-b336-23ca51f1191e" w:history="1">
        <w:r w:rsidR="009D7DA4">
          <w:rPr>
            <w:rStyle w:val="Hyperlink"/>
          </w:rPr>
          <w:t>Compass - Order Shipping Turn Around Time (TAT) (062824)</w:t>
        </w:r>
      </w:hyperlink>
      <w:r w:rsidRPr="008E4132">
        <w:t xml:space="preserve">. </w:t>
      </w:r>
    </w:p>
    <w:p w14:paraId="409A5F0F" w14:textId="77777777" w:rsidR="004F10F6" w:rsidRPr="008E4132" w:rsidRDefault="004F10F6" w:rsidP="001C7F9C">
      <w:pPr>
        <w:spacing w:before="120" w:after="120"/>
      </w:pPr>
    </w:p>
    <w:p w14:paraId="3F5FA3D4" w14:textId="3381D744" w:rsidR="003B63C7" w:rsidRPr="008E4132" w:rsidRDefault="006D5E62" w:rsidP="001C7F9C">
      <w:pPr>
        <w:spacing w:before="120" w:after="120"/>
        <w:jc w:val="right"/>
        <w:rPr>
          <w:rStyle w:val="Hyperlink"/>
        </w:rPr>
      </w:pPr>
      <w:hyperlink w:anchor="_top" w:history="1">
        <w:r w:rsidR="003B63C7" w:rsidRPr="009D7DA4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023D4" w:rsidRPr="008E4132" w14:paraId="149B405B" w14:textId="77777777" w:rsidTr="00C814C4">
        <w:tc>
          <w:tcPr>
            <w:tcW w:w="5000" w:type="pct"/>
            <w:shd w:val="clear" w:color="auto" w:fill="BFBFBF" w:themeFill="background1" w:themeFillShade="BF"/>
          </w:tcPr>
          <w:p w14:paraId="531CD81A" w14:textId="51AEC172" w:rsidR="007023D4" w:rsidRPr="008E4132" w:rsidRDefault="007023D4" w:rsidP="001C7F9C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7" w:name="_Toc8897245"/>
            <w:bookmarkStart w:id="18" w:name="_Toc160092840"/>
            <w:r w:rsidRPr="008E4132">
              <w:rPr>
                <w:rFonts w:ascii="Verdana" w:hAnsi="Verdana"/>
                <w:i w:val="0"/>
              </w:rPr>
              <w:t>Related Documents</w:t>
            </w:r>
            <w:bookmarkEnd w:id="17"/>
            <w:bookmarkEnd w:id="18"/>
          </w:p>
        </w:tc>
      </w:tr>
    </w:tbl>
    <w:p w14:paraId="23A4B780" w14:textId="42254096" w:rsidR="00700129" w:rsidRPr="008E4132" w:rsidRDefault="006D5E62" w:rsidP="001C7F9C">
      <w:pPr>
        <w:spacing w:before="120" w:after="120"/>
        <w:rPr>
          <w:b/>
        </w:rPr>
      </w:pPr>
      <w:hyperlink r:id="rId33" w:anchor="!/view?docid=c1f1028b-e42c-4b4f-a4cf-cc0b42c91606" w:history="1">
        <w:r w:rsidR="009D7DA4">
          <w:rPr>
            <w:rStyle w:val="Hyperlink"/>
            <w:bCs/>
          </w:rPr>
          <w:t>Customer Care Abbreviations, Definitions, and Terms (017428)</w:t>
        </w:r>
      </w:hyperlink>
    </w:p>
    <w:p w14:paraId="72F5746D" w14:textId="232AD4FC" w:rsidR="004F10F6" w:rsidRPr="008E4132" w:rsidRDefault="007023D4" w:rsidP="001C7F9C">
      <w:pPr>
        <w:spacing w:before="120" w:after="120"/>
        <w:rPr>
          <w:b/>
        </w:rPr>
      </w:pPr>
      <w:r w:rsidRPr="008E4132">
        <w:rPr>
          <w:b/>
        </w:rPr>
        <w:t xml:space="preserve">Parent </w:t>
      </w:r>
      <w:r w:rsidR="00B503BA" w:rsidRPr="008E4132">
        <w:rPr>
          <w:b/>
        </w:rPr>
        <w:t>Documents</w:t>
      </w:r>
      <w:r w:rsidRPr="008E4132">
        <w:rPr>
          <w:b/>
        </w:rPr>
        <w:t xml:space="preserve">: </w:t>
      </w:r>
      <w:r w:rsidR="006E16E6">
        <w:rPr>
          <w:b/>
        </w:rPr>
        <w:t xml:space="preserve"> </w:t>
      </w:r>
      <w:hyperlink r:id="rId34" w:history="1">
        <w:r w:rsidRPr="0025185A">
          <w:rPr>
            <w:rStyle w:val="Hyperlink"/>
          </w:rPr>
          <w:t>Customer Care Internal and External Call Handling (CALL-0049</w:t>
        </w:r>
      </w:hyperlink>
      <w:r w:rsidRPr="0025185A">
        <w:t>)</w:t>
      </w:r>
      <w:r w:rsidR="006B1558" w:rsidRPr="008E4132">
        <w:rPr>
          <w:rFonts w:cs="Calibri"/>
          <w:color w:val="0563C1"/>
          <w:u w:val="single"/>
        </w:rPr>
        <w:t xml:space="preserve"> </w:t>
      </w:r>
    </w:p>
    <w:p w14:paraId="429B5F44" w14:textId="77777777" w:rsidR="007023D4" w:rsidRPr="008E4132" w:rsidRDefault="007023D4" w:rsidP="00E73D7A">
      <w:pPr>
        <w:jc w:val="right"/>
      </w:pPr>
    </w:p>
    <w:p w14:paraId="40A6D8F6" w14:textId="386C357C" w:rsidR="003B63C7" w:rsidRPr="008E4132" w:rsidRDefault="006D5E62" w:rsidP="00700129">
      <w:pPr>
        <w:jc w:val="right"/>
        <w:rPr>
          <w:sz w:val="16"/>
          <w:szCs w:val="16"/>
        </w:rPr>
      </w:pPr>
      <w:hyperlink w:anchor="_top" w:history="1">
        <w:r w:rsidR="007023D4" w:rsidRPr="009D7DA4">
          <w:rPr>
            <w:rStyle w:val="Hyperlink"/>
          </w:rPr>
          <w:t>Top of the Document</w:t>
        </w:r>
      </w:hyperlink>
    </w:p>
    <w:p w14:paraId="5BDE28C3" w14:textId="77777777" w:rsidR="003B63C7" w:rsidRDefault="003B63C7" w:rsidP="003B63C7">
      <w:pPr>
        <w:jc w:val="center"/>
        <w:rPr>
          <w:sz w:val="16"/>
          <w:szCs w:val="16"/>
        </w:rPr>
      </w:pPr>
    </w:p>
    <w:p w14:paraId="74CEA10B" w14:textId="77777777" w:rsidR="003B63C7" w:rsidRPr="00C247CB" w:rsidRDefault="003B63C7" w:rsidP="003B63C7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36052BE4" w14:textId="77777777" w:rsidR="003B63C7" w:rsidRPr="00C247CB" w:rsidRDefault="003B63C7" w:rsidP="003B63C7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7F719E45" w14:textId="77777777" w:rsidR="003B63C7" w:rsidRPr="00C247CB" w:rsidRDefault="003B63C7" w:rsidP="003B63C7">
      <w:pPr>
        <w:jc w:val="center"/>
        <w:rPr>
          <w:sz w:val="16"/>
          <w:szCs w:val="16"/>
        </w:rPr>
      </w:pPr>
    </w:p>
    <w:p w14:paraId="44D1B21B" w14:textId="77777777" w:rsidR="00663F82" w:rsidRPr="00C247CB" w:rsidRDefault="00663F82" w:rsidP="003B63C7">
      <w:pPr>
        <w:rPr>
          <w:b/>
          <w:color w:val="000000"/>
          <w:sz w:val="16"/>
          <w:szCs w:val="16"/>
        </w:rPr>
      </w:pPr>
    </w:p>
    <w:sectPr w:rsidR="00663F82" w:rsidRPr="00C247C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68163" w14:textId="77777777" w:rsidR="003924AA" w:rsidRDefault="003924AA">
      <w:r>
        <w:separator/>
      </w:r>
    </w:p>
  </w:endnote>
  <w:endnote w:type="continuationSeparator" w:id="0">
    <w:p w14:paraId="401F70C8" w14:textId="77777777" w:rsidR="003924AA" w:rsidRDefault="003924AA">
      <w:r>
        <w:continuationSeparator/>
      </w:r>
    </w:p>
  </w:endnote>
  <w:endnote w:type="continuationNotice" w:id="1">
    <w:p w14:paraId="7102CD48" w14:textId="77777777" w:rsidR="003924AA" w:rsidRDefault="003924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B5E2D" w14:textId="77777777" w:rsidR="003924AA" w:rsidRDefault="003924AA">
      <w:r>
        <w:separator/>
      </w:r>
    </w:p>
  </w:footnote>
  <w:footnote w:type="continuationSeparator" w:id="0">
    <w:p w14:paraId="6EAD72CE" w14:textId="77777777" w:rsidR="003924AA" w:rsidRDefault="003924AA">
      <w:r>
        <w:continuationSeparator/>
      </w:r>
    </w:p>
  </w:footnote>
  <w:footnote w:type="continuationNotice" w:id="1">
    <w:p w14:paraId="7EB2F37A" w14:textId="77777777" w:rsidR="003924AA" w:rsidRDefault="003924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816"/>
    <w:multiLevelType w:val="hybridMultilevel"/>
    <w:tmpl w:val="6914A758"/>
    <w:lvl w:ilvl="0" w:tplc="E0E40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3B7E"/>
    <w:multiLevelType w:val="hybridMultilevel"/>
    <w:tmpl w:val="15EED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665EF"/>
    <w:multiLevelType w:val="hybridMultilevel"/>
    <w:tmpl w:val="E4BA7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35C09"/>
    <w:multiLevelType w:val="hybridMultilevel"/>
    <w:tmpl w:val="C276B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2DE3"/>
    <w:multiLevelType w:val="hybridMultilevel"/>
    <w:tmpl w:val="27B8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9D19F8"/>
    <w:multiLevelType w:val="hybridMultilevel"/>
    <w:tmpl w:val="06461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FD5FD0"/>
    <w:multiLevelType w:val="hybridMultilevel"/>
    <w:tmpl w:val="8CAE6F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0125D"/>
    <w:multiLevelType w:val="hybridMultilevel"/>
    <w:tmpl w:val="11FA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721ED"/>
    <w:multiLevelType w:val="hybridMultilevel"/>
    <w:tmpl w:val="1A3E0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C7358"/>
    <w:multiLevelType w:val="hybridMultilevel"/>
    <w:tmpl w:val="97F897CE"/>
    <w:lvl w:ilvl="0" w:tplc="602AC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01914"/>
    <w:multiLevelType w:val="multilevel"/>
    <w:tmpl w:val="ABC4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583E5C"/>
    <w:multiLevelType w:val="hybridMultilevel"/>
    <w:tmpl w:val="FCC24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E2431E"/>
    <w:multiLevelType w:val="hybridMultilevel"/>
    <w:tmpl w:val="F4B8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E228D"/>
    <w:multiLevelType w:val="hybridMultilevel"/>
    <w:tmpl w:val="1550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37D73"/>
    <w:multiLevelType w:val="multilevel"/>
    <w:tmpl w:val="DADA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450EBD"/>
    <w:multiLevelType w:val="hybridMultilevel"/>
    <w:tmpl w:val="460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22C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503781">
    <w:abstractNumId w:val="4"/>
  </w:num>
  <w:num w:numId="2" w16cid:durableId="1733041010">
    <w:abstractNumId w:val="5"/>
  </w:num>
  <w:num w:numId="3" w16cid:durableId="681707342">
    <w:abstractNumId w:val="0"/>
  </w:num>
  <w:num w:numId="4" w16cid:durableId="839541498">
    <w:abstractNumId w:val="15"/>
  </w:num>
  <w:num w:numId="5" w16cid:durableId="281115948">
    <w:abstractNumId w:val="6"/>
  </w:num>
  <w:num w:numId="6" w16cid:durableId="958954012">
    <w:abstractNumId w:val="11"/>
  </w:num>
  <w:num w:numId="7" w16cid:durableId="1252130818">
    <w:abstractNumId w:val="8"/>
  </w:num>
  <w:num w:numId="8" w16cid:durableId="1117218685">
    <w:abstractNumId w:val="3"/>
  </w:num>
  <w:num w:numId="9" w16cid:durableId="1076782011">
    <w:abstractNumId w:val="9"/>
  </w:num>
  <w:num w:numId="10" w16cid:durableId="304504388">
    <w:abstractNumId w:val="2"/>
  </w:num>
  <w:num w:numId="11" w16cid:durableId="1967851021">
    <w:abstractNumId w:val="12"/>
  </w:num>
  <w:num w:numId="12" w16cid:durableId="40524075">
    <w:abstractNumId w:val="1"/>
  </w:num>
  <w:num w:numId="13" w16cid:durableId="1581061110">
    <w:abstractNumId w:val="14"/>
  </w:num>
  <w:num w:numId="14" w16cid:durableId="1823422234">
    <w:abstractNumId w:val="10"/>
  </w:num>
  <w:num w:numId="15" w16cid:durableId="467014570">
    <w:abstractNumId w:val="7"/>
  </w:num>
  <w:num w:numId="16" w16cid:durableId="86386145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C8"/>
    <w:rsid w:val="000038FA"/>
    <w:rsid w:val="00004822"/>
    <w:rsid w:val="00005AA5"/>
    <w:rsid w:val="000074C7"/>
    <w:rsid w:val="00007797"/>
    <w:rsid w:val="00007FC2"/>
    <w:rsid w:val="00013985"/>
    <w:rsid w:val="000173FD"/>
    <w:rsid w:val="0002113D"/>
    <w:rsid w:val="00032D9F"/>
    <w:rsid w:val="00034842"/>
    <w:rsid w:val="00046E8E"/>
    <w:rsid w:val="000647EE"/>
    <w:rsid w:val="000727D8"/>
    <w:rsid w:val="0008054F"/>
    <w:rsid w:val="00083DC7"/>
    <w:rsid w:val="000A4EE1"/>
    <w:rsid w:val="000B69A1"/>
    <w:rsid w:val="000B73A1"/>
    <w:rsid w:val="000C410C"/>
    <w:rsid w:val="000D3DEB"/>
    <w:rsid w:val="000E0242"/>
    <w:rsid w:val="000E6EFD"/>
    <w:rsid w:val="000F66EF"/>
    <w:rsid w:val="00107BBE"/>
    <w:rsid w:val="00107EAD"/>
    <w:rsid w:val="00123BA6"/>
    <w:rsid w:val="00126C70"/>
    <w:rsid w:val="0013408C"/>
    <w:rsid w:val="001613B1"/>
    <w:rsid w:val="00162D95"/>
    <w:rsid w:val="0017032D"/>
    <w:rsid w:val="00170A51"/>
    <w:rsid w:val="00174D6C"/>
    <w:rsid w:val="00197FE7"/>
    <w:rsid w:val="001B1318"/>
    <w:rsid w:val="001C66AE"/>
    <w:rsid w:val="001C7F9C"/>
    <w:rsid w:val="001D119C"/>
    <w:rsid w:val="001D625C"/>
    <w:rsid w:val="001D7F89"/>
    <w:rsid w:val="001E02F0"/>
    <w:rsid w:val="001E69CC"/>
    <w:rsid w:val="001F0FFB"/>
    <w:rsid w:val="001F4059"/>
    <w:rsid w:val="0021125A"/>
    <w:rsid w:val="00212355"/>
    <w:rsid w:val="002136D6"/>
    <w:rsid w:val="00221183"/>
    <w:rsid w:val="00223C51"/>
    <w:rsid w:val="002306E1"/>
    <w:rsid w:val="00236BC6"/>
    <w:rsid w:val="00247A7B"/>
    <w:rsid w:val="0025185A"/>
    <w:rsid w:val="00253CFF"/>
    <w:rsid w:val="0027716E"/>
    <w:rsid w:val="00277CE0"/>
    <w:rsid w:val="00284224"/>
    <w:rsid w:val="00287848"/>
    <w:rsid w:val="00295EF3"/>
    <w:rsid w:val="002A50D3"/>
    <w:rsid w:val="002B4D39"/>
    <w:rsid w:val="002E1248"/>
    <w:rsid w:val="002E1BE5"/>
    <w:rsid w:val="002E3B2F"/>
    <w:rsid w:val="002F6D3F"/>
    <w:rsid w:val="003204D4"/>
    <w:rsid w:val="00325A7A"/>
    <w:rsid w:val="00330C58"/>
    <w:rsid w:val="003317F7"/>
    <w:rsid w:val="00331978"/>
    <w:rsid w:val="0033569B"/>
    <w:rsid w:val="003371D3"/>
    <w:rsid w:val="00347CDC"/>
    <w:rsid w:val="00372134"/>
    <w:rsid w:val="00377222"/>
    <w:rsid w:val="00383E49"/>
    <w:rsid w:val="00385935"/>
    <w:rsid w:val="00390045"/>
    <w:rsid w:val="003924AA"/>
    <w:rsid w:val="00393AE8"/>
    <w:rsid w:val="00397539"/>
    <w:rsid w:val="003A37C3"/>
    <w:rsid w:val="003B63C7"/>
    <w:rsid w:val="003C1039"/>
    <w:rsid w:val="003C4412"/>
    <w:rsid w:val="003C6293"/>
    <w:rsid w:val="003C79A0"/>
    <w:rsid w:val="003D29F3"/>
    <w:rsid w:val="003E0273"/>
    <w:rsid w:val="003E6A14"/>
    <w:rsid w:val="003E7CEC"/>
    <w:rsid w:val="003F6151"/>
    <w:rsid w:val="004033C1"/>
    <w:rsid w:val="00413435"/>
    <w:rsid w:val="00434671"/>
    <w:rsid w:val="00444471"/>
    <w:rsid w:val="004502E8"/>
    <w:rsid w:val="00463E8F"/>
    <w:rsid w:val="00466041"/>
    <w:rsid w:val="0048418F"/>
    <w:rsid w:val="00485BA8"/>
    <w:rsid w:val="004904E7"/>
    <w:rsid w:val="00493A33"/>
    <w:rsid w:val="004A7828"/>
    <w:rsid w:val="004B3C61"/>
    <w:rsid w:val="004B5AF6"/>
    <w:rsid w:val="004C43D3"/>
    <w:rsid w:val="004D0269"/>
    <w:rsid w:val="004D238C"/>
    <w:rsid w:val="004E2C48"/>
    <w:rsid w:val="004F10F6"/>
    <w:rsid w:val="00504BF0"/>
    <w:rsid w:val="00517980"/>
    <w:rsid w:val="0053244A"/>
    <w:rsid w:val="0053744C"/>
    <w:rsid w:val="005423B0"/>
    <w:rsid w:val="00542FC5"/>
    <w:rsid w:val="00556174"/>
    <w:rsid w:val="0056205B"/>
    <w:rsid w:val="0056592A"/>
    <w:rsid w:val="00567917"/>
    <w:rsid w:val="0057184A"/>
    <w:rsid w:val="00573EC8"/>
    <w:rsid w:val="00580E84"/>
    <w:rsid w:val="00583A63"/>
    <w:rsid w:val="005A311D"/>
    <w:rsid w:val="005C17E3"/>
    <w:rsid w:val="005C3658"/>
    <w:rsid w:val="005C73C5"/>
    <w:rsid w:val="005C75B7"/>
    <w:rsid w:val="005D14B9"/>
    <w:rsid w:val="005E1E02"/>
    <w:rsid w:val="005F2E19"/>
    <w:rsid w:val="005F677D"/>
    <w:rsid w:val="00604D7B"/>
    <w:rsid w:val="00630847"/>
    <w:rsid w:val="00642EE3"/>
    <w:rsid w:val="00644D6E"/>
    <w:rsid w:val="00663F82"/>
    <w:rsid w:val="006820D5"/>
    <w:rsid w:val="0068756C"/>
    <w:rsid w:val="006A1DDF"/>
    <w:rsid w:val="006A535A"/>
    <w:rsid w:val="006A73A9"/>
    <w:rsid w:val="006A75FF"/>
    <w:rsid w:val="006B1558"/>
    <w:rsid w:val="006C0657"/>
    <w:rsid w:val="006C1700"/>
    <w:rsid w:val="006C3D38"/>
    <w:rsid w:val="006C7BD0"/>
    <w:rsid w:val="006D5E62"/>
    <w:rsid w:val="006E11C6"/>
    <w:rsid w:val="006E16E6"/>
    <w:rsid w:val="006E7DC6"/>
    <w:rsid w:val="006F5B10"/>
    <w:rsid w:val="006F74F3"/>
    <w:rsid w:val="00700129"/>
    <w:rsid w:val="007023D4"/>
    <w:rsid w:val="00706612"/>
    <w:rsid w:val="0071241E"/>
    <w:rsid w:val="00714B3C"/>
    <w:rsid w:val="007236B5"/>
    <w:rsid w:val="0074077E"/>
    <w:rsid w:val="007455B0"/>
    <w:rsid w:val="00776FDE"/>
    <w:rsid w:val="00794950"/>
    <w:rsid w:val="007B20DD"/>
    <w:rsid w:val="007C33BB"/>
    <w:rsid w:val="007C40D9"/>
    <w:rsid w:val="007D187D"/>
    <w:rsid w:val="007D6162"/>
    <w:rsid w:val="007E2AE5"/>
    <w:rsid w:val="0080342D"/>
    <w:rsid w:val="00831B0C"/>
    <w:rsid w:val="00831B5D"/>
    <w:rsid w:val="00832679"/>
    <w:rsid w:val="00836D9A"/>
    <w:rsid w:val="00864D0B"/>
    <w:rsid w:val="0088271D"/>
    <w:rsid w:val="00883B2A"/>
    <w:rsid w:val="0089058C"/>
    <w:rsid w:val="00890F77"/>
    <w:rsid w:val="00893DA7"/>
    <w:rsid w:val="00894C49"/>
    <w:rsid w:val="0089691B"/>
    <w:rsid w:val="008D0B4F"/>
    <w:rsid w:val="008D6C33"/>
    <w:rsid w:val="008E1141"/>
    <w:rsid w:val="008E23D0"/>
    <w:rsid w:val="008E4132"/>
    <w:rsid w:val="00900734"/>
    <w:rsid w:val="00913995"/>
    <w:rsid w:val="009237A4"/>
    <w:rsid w:val="00926684"/>
    <w:rsid w:val="00936B40"/>
    <w:rsid w:val="009431C4"/>
    <w:rsid w:val="00953568"/>
    <w:rsid w:val="00970819"/>
    <w:rsid w:val="00972290"/>
    <w:rsid w:val="00997E3F"/>
    <w:rsid w:val="009B1EFD"/>
    <w:rsid w:val="009D6578"/>
    <w:rsid w:val="009D7DA4"/>
    <w:rsid w:val="009E4150"/>
    <w:rsid w:val="009F4010"/>
    <w:rsid w:val="00A17C21"/>
    <w:rsid w:val="00A26861"/>
    <w:rsid w:val="00A4165F"/>
    <w:rsid w:val="00A41F02"/>
    <w:rsid w:val="00A4221A"/>
    <w:rsid w:val="00A47C4F"/>
    <w:rsid w:val="00A53157"/>
    <w:rsid w:val="00A6322D"/>
    <w:rsid w:val="00A65A53"/>
    <w:rsid w:val="00A65FD9"/>
    <w:rsid w:val="00A73AC7"/>
    <w:rsid w:val="00A84A4F"/>
    <w:rsid w:val="00A84E88"/>
    <w:rsid w:val="00A87891"/>
    <w:rsid w:val="00A93475"/>
    <w:rsid w:val="00AA2374"/>
    <w:rsid w:val="00AC1688"/>
    <w:rsid w:val="00AE15D8"/>
    <w:rsid w:val="00AE5A18"/>
    <w:rsid w:val="00AE737A"/>
    <w:rsid w:val="00B01AAC"/>
    <w:rsid w:val="00B12B99"/>
    <w:rsid w:val="00B30AAE"/>
    <w:rsid w:val="00B42948"/>
    <w:rsid w:val="00B503BA"/>
    <w:rsid w:val="00B548A8"/>
    <w:rsid w:val="00B76A46"/>
    <w:rsid w:val="00B84633"/>
    <w:rsid w:val="00B91335"/>
    <w:rsid w:val="00B96653"/>
    <w:rsid w:val="00BA6866"/>
    <w:rsid w:val="00BB575D"/>
    <w:rsid w:val="00BB599E"/>
    <w:rsid w:val="00BB6AB9"/>
    <w:rsid w:val="00BD04B3"/>
    <w:rsid w:val="00C002FE"/>
    <w:rsid w:val="00C06BF6"/>
    <w:rsid w:val="00C230DD"/>
    <w:rsid w:val="00C421AE"/>
    <w:rsid w:val="00C67A48"/>
    <w:rsid w:val="00C67AF6"/>
    <w:rsid w:val="00C76916"/>
    <w:rsid w:val="00C814C4"/>
    <w:rsid w:val="00C853AC"/>
    <w:rsid w:val="00C95A13"/>
    <w:rsid w:val="00CC6BA7"/>
    <w:rsid w:val="00CD3DF9"/>
    <w:rsid w:val="00CD43F0"/>
    <w:rsid w:val="00CD7150"/>
    <w:rsid w:val="00CE44E3"/>
    <w:rsid w:val="00CF004F"/>
    <w:rsid w:val="00CF6837"/>
    <w:rsid w:val="00D073C7"/>
    <w:rsid w:val="00D314E7"/>
    <w:rsid w:val="00D328C7"/>
    <w:rsid w:val="00D3344D"/>
    <w:rsid w:val="00D433A5"/>
    <w:rsid w:val="00D50F04"/>
    <w:rsid w:val="00D63C73"/>
    <w:rsid w:val="00D74217"/>
    <w:rsid w:val="00D81BA0"/>
    <w:rsid w:val="00D82B41"/>
    <w:rsid w:val="00D938F8"/>
    <w:rsid w:val="00DC2074"/>
    <w:rsid w:val="00DD1843"/>
    <w:rsid w:val="00DE2E5B"/>
    <w:rsid w:val="00E0274B"/>
    <w:rsid w:val="00E233F2"/>
    <w:rsid w:val="00E3230C"/>
    <w:rsid w:val="00E42A02"/>
    <w:rsid w:val="00E47635"/>
    <w:rsid w:val="00E556FC"/>
    <w:rsid w:val="00E73D7A"/>
    <w:rsid w:val="00E90928"/>
    <w:rsid w:val="00EA3932"/>
    <w:rsid w:val="00EA6016"/>
    <w:rsid w:val="00EB140D"/>
    <w:rsid w:val="00EC5915"/>
    <w:rsid w:val="00ED6361"/>
    <w:rsid w:val="00EF4E6E"/>
    <w:rsid w:val="00EF5DAA"/>
    <w:rsid w:val="00F11A3C"/>
    <w:rsid w:val="00F276D9"/>
    <w:rsid w:val="00F30BFD"/>
    <w:rsid w:val="00F53211"/>
    <w:rsid w:val="00F55FEF"/>
    <w:rsid w:val="00F624B7"/>
    <w:rsid w:val="00F63300"/>
    <w:rsid w:val="00F7780F"/>
    <w:rsid w:val="00F8199A"/>
    <w:rsid w:val="00F85342"/>
    <w:rsid w:val="00F86391"/>
    <w:rsid w:val="00FA2AAB"/>
    <w:rsid w:val="00FB31F3"/>
    <w:rsid w:val="00FC25E2"/>
    <w:rsid w:val="00FC5D07"/>
    <w:rsid w:val="00FE359F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5E387AE4"/>
  <w15:chartTrackingRefBased/>
  <w15:docId w15:val="{4CE3EA9D-3F54-44A8-977D-F904B143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3B2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5561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63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F85342"/>
  </w:style>
  <w:style w:type="character" w:styleId="Strong">
    <w:name w:val="Strong"/>
    <w:uiPriority w:val="22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E1248"/>
    <w:pPr>
      <w:tabs>
        <w:tab w:val="right" w:leader="dot" w:pos="12950"/>
      </w:tabs>
    </w:pPr>
  </w:style>
  <w:style w:type="character" w:customStyle="1" w:styleId="Heading2Char">
    <w:name w:val="Heading 2 Char"/>
    <w:link w:val="Heading2"/>
    <w:rsid w:val="003B63C7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uiPriority w:val="99"/>
    <w:semiHidden/>
    <w:unhideWhenUsed/>
    <w:rsid w:val="00F778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7AF6"/>
    <w:pPr>
      <w:ind w:left="720"/>
      <w:contextualSpacing/>
    </w:pPr>
  </w:style>
  <w:style w:type="character" w:customStyle="1" w:styleId="content-id">
    <w:name w:val="content-id"/>
    <w:rsid w:val="00831B0C"/>
  </w:style>
  <w:style w:type="paragraph" w:styleId="Revision">
    <w:name w:val="Revision"/>
    <w:hidden/>
    <w:uiPriority w:val="99"/>
    <w:semiHidden/>
    <w:rsid w:val="00972290"/>
    <w:rPr>
      <w:sz w:val="24"/>
      <w:szCs w:val="24"/>
    </w:rPr>
  </w:style>
  <w:style w:type="character" w:styleId="CommentReference">
    <w:name w:val="annotation reference"/>
    <w:basedOn w:val="DefaultParagraphFont"/>
    <w:rsid w:val="00F633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633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63300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F63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63300"/>
    <w:rPr>
      <w:rFonts w:ascii="Verdana" w:hAnsi="Verdana"/>
      <w:b/>
      <w:bCs/>
    </w:rPr>
  </w:style>
  <w:style w:type="paragraph" w:customStyle="1" w:styleId="style-scope">
    <w:name w:val="style-scope"/>
    <w:basedOn w:val="Normal"/>
    <w:rsid w:val="00083DC7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ui-provider">
    <w:name w:val="ui-provider"/>
    <w:basedOn w:val="DefaultParagraphFont"/>
    <w:rsid w:val="00004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5621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77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policy.corp.cvscaremark.com/pnp/faces/DocRenderer?documentId=CALL-0049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117F1F-FB87-4EB0-AE86-DFA8E0D59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986612-13B9-40C1-996B-58BF2E2018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95ABBC-009E-41A9-8EAE-E26041C36C01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80520CB7-022E-4209-81FE-453CB60E3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109</TotalTime>
  <Pages>1</Pages>
  <Words>1337</Words>
  <Characters>9650</Characters>
  <Application>Microsoft Office Word</Application>
  <DocSecurity>0</DocSecurity>
  <Lines>80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10966</CharactersWithSpaces>
  <SharedDoc>false</SharedDoc>
  <HLinks>
    <vt:vector size="162" baseType="variant"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78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75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1572932</vt:i4>
      </vt:variant>
      <vt:variant>
        <vt:i4>69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!/view?docid=31ee69db-e3d5-4717-b336-23ca51f1191e</vt:lpwstr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4456515</vt:i4>
      </vt:variant>
      <vt:variant>
        <vt:i4>63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!/view?docid=76fe19d9-b159-43a4-9db5-077ba1f6a958</vt:lpwstr>
      </vt:variant>
      <vt:variant>
        <vt:i4>1966152</vt:i4>
      </vt:variant>
      <vt:variant>
        <vt:i4>60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!/view?docid=91f73b9d-e568-48dd-9ab4-88cb2654d4c9</vt:lpwstr>
      </vt:variant>
      <vt:variant>
        <vt:i4>1376281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!/view?docid=a7684ce9-c2bc-4cbc-ab37-c1ffb7789706</vt:lpwstr>
      </vt:variant>
      <vt:variant>
        <vt:i4>1441870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!/view?docid=5a1a67eb-a7b1-4ae5-bcfe-e986bbe4aa3d</vt:lpwstr>
      </vt:variant>
      <vt:variant>
        <vt:i4>1507359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!/view?docid=9cfb4422-7129-4bca-b1ea-f1d6fa964906</vt:lpwstr>
      </vt:variant>
      <vt:variant>
        <vt:i4>1966152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!/view?docid=91f73b9d-e568-48dd-9ab4-88cb2654d4c9</vt:lpwstr>
      </vt:variant>
      <vt:variant>
        <vt:i4>2031695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!/view?docid=5ecd7b05-8aed-4dbd-b4ef-8cb4912a543b</vt:lpwstr>
      </vt:variant>
      <vt:variant>
        <vt:i4>1704010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!/view?docid=60c20ea0-1d07-46e3-809a-b54734b80fbe</vt:lpwstr>
      </vt:variant>
      <vt:variant>
        <vt:i4>1572929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!/view?docid=43924b4f-9576-4024-93db-2b594c89bb00</vt:lpwstr>
      </vt:variant>
      <vt:variant>
        <vt:i4>4784149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!/view?docid=52472a65-b1b1-4026-b85e-816a2c329d9e</vt:lpwstr>
      </vt:variant>
      <vt:variant>
        <vt:i4>1376281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!/view?docid=a7684ce9-c2bc-4cbc-ab37-c1ffb7789706</vt:lpwstr>
      </vt:variant>
      <vt:variant>
        <vt:i4>2031695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!/view?docid=5ecd7b05-8aed-4dbd-b4ef-8cb4912a543b</vt:lpwstr>
      </vt:variant>
      <vt:variant>
        <vt:i4>1376281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!/view?docid=a7684ce9-c2bc-4cbc-ab37-c1ffb7789706</vt:lpwstr>
      </vt:variant>
      <vt:variant>
        <vt:i4>4325448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!/view?docid=0b2c83da-f6be-4d4a-83cd-ce3d6a537bd3</vt:lpwstr>
      </vt:variant>
      <vt:variant>
        <vt:i4>5111887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!/view?docid=d2dab105-056c-45be-b28b-bfad61c60a2f</vt:lpwstr>
      </vt:variant>
      <vt:variant>
        <vt:i4>5177419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!/view?docid=bf4c270a-9562-4abf-9cea-dd6ee5f1293c</vt:lpwstr>
      </vt:variant>
      <vt:variant>
        <vt:i4>1507396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!/view?docid=ab5a6f09-8f08-424b-bff7-b1aa5cfc4d6a</vt:lpwstr>
      </vt:variant>
      <vt:variant>
        <vt:i4>1310787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!/view?docid=36c941d2-25a6-4075-993d-f12deb31be18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_Toc160092840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_Toc160092839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_Toc160092838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Dugdale, Brienna</cp:lastModifiedBy>
  <cp:revision>79</cp:revision>
  <dcterms:created xsi:type="dcterms:W3CDTF">2024-01-11T22:11:00Z</dcterms:created>
  <dcterms:modified xsi:type="dcterms:W3CDTF">2024-02-29T15:57:00Z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2021-09-14T20:57:29Z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bc2a3381-a784-4b7e-9cf1-75259549b48e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