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F895" w14:textId="34EDA6A8" w:rsidR="0056723A" w:rsidRDefault="00A77450" w:rsidP="0043298B">
      <w:pPr>
        <w:pStyle w:val="Heading1"/>
        <w:spacing w:before="120" w:after="120"/>
        <w:rPr>
          <w:rFonts w:ascii="Verdana" w:hAnsi="Verdana"/>
          <w:bCs/>
          <w:color w:val="auto"/>
          <w:sz w:val="36"/>
        </w:rPr>
      </w:pPr>
      <w:bookmarkStart w:id="0" w:name="_top"/>
      <w:bookmarkEnd w:id="0"/>
      <w:proofErr w:type="spellStart"/>
      <w:r>
        <w:rPr>
          <w:rFonts w:ascii="Verdana" w:hAnsi="Verdana"/>
          <w:bCs/>
          <w:color w:val="auto"/>
          <w:sz w:val="36"/>
        </w:rPr>
        <w:t>PeopleSafe</w:t>
      </w:r>
      <w:proofErr w:type="spellEnd"/>
      <w:r>
        <w:rPr>
          <w:rFonts w:ascii="Verdana" w:hAnsi="Verdana"/>
          <w:bCs/>
          <w:color w:val="auto"/>
          <w:sz w:val="36"/>
        </w:rPr>
        <w:t xml:space="preserve"> - </w:t>
      </w:r>
      <w:r w:rsidR="00234A45">
        <w:rPr>
          <w:rFonts w:ascii="Verdana" w:hAnsi="Verdana"/>
          <w:bCs/>
          <w:color w:val="auto"/>
          <w:sz w:val="36"/>
        </w:rPr>
        <w:t xml:space="preserve">Proactive </w:t>
      </w:r>
      <w:r w:rsidR="00313725">
        <w:rPr>
          <w:rFonts w:ascii="Verdana" w:hAnsi="Verdana"/>
          <w:bCs/>
          <w:color w:val="auto"/>
          <w:sz w:val="36"/>
        </w:rPr>
        <w:t xml:space="preserve">Mail </w:t>
      </w:r>
      <w:r w:rsidR="00234A45">
        <w:rPr>
          <w:rFonts w:ascii="Verdana" w:hAnsi="Verdana"/>
          <w:bCs/>
          <w:color w:val="auto"/>
          <w:sz w:val="36"/>
        </w:rPr>
        <w:t xml:space="preserve">Renewal </w:t>
      </w:r>
      <w:r w:rsidR="00B44792">
        <w:rPr>
          <w:rFonts w:ascii="Verdana" w:hAnsi="Verdana"/>
          <w:bCs/>
          <w:color w:val="auto"/>
          <w:sz w:val="36"/>
        </w:rPr>
        <w:t xml:space="preserve"> </w:t>
      </w:r>
      <w:r w:rsidR="000608F1">
        <w:rPr>
          <w:rFonts w:ascii="Verdana" w:hAnsi="Verdana"/>
          <w:bCs/>
          <w:color w:val="auto"/>
          <w:sz w:val="36"/>
        </w:rPr>
        <w:t xml:space="preserve"> </w:t>
      </w:r>
      <w:r w:rsidR="005B1A62">
        <w:rPr>
          <w:rFonts w:ascii="Verdana" w:hAnsi="Verdana"/>
          <w:bCs/>
          <w:color w:val="auto"/>
          <w:sz w:val="36"/>
        </w:rPr>
        <w:t xml:space="preserve"> </w:t>
      </w:r>
    </w:p>
    <w:p w14:paraId="2607B5F7" w14:textId="77777777" w:rsidR="001D33F8" w:rsidRPr="001D33F8" w:rsidRDefault="001D33F8" w:rsidP="001D33F8"/>
    <w:p w14:paraId="6AE2EF86" w14:textId="4B44D35E" w:rsidR="001666FF" w:rsidRDefault="003730B6" w:rsidP="001D33F8">
      <w:pPr>
        <w:pStyle w:val="TOC2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C5803">
        <w:instrText xml:space="preserve"> TOC \o "2-2" \n \p " " \h \z \u </w:instrText>
      </w:r>
      <w:r>
        <w:fldChar w:fldCharType="separate"/>
      </w:r>
      <w:hyperlink w:anchor="_Toc124508202" w:history="1">
        <w:r w:rsidR="001666FF" w:rsidRPr="004F1FE2">
          <w:rPr>
            <w:rStyle w:val="Hyperlink"/>
            <w:rFonts w:ascii="Verdana" w:hAnsi="Verdana"/>
            <w:noProof/>
          </w:rPr>
          <w:t>Proactive Mail Renewal HEE Opportunity Available</w:t>
        </w:r>
      </w:hyperlink>
    </w:p>
    <w:p w14:paraId="1F0BCA5D" w14:textId="5707D51F" w:rsidR="001666FF" w:rsidRDefault="00000000" w:rsidP="001D33F8">
      <w:pPr>
        <w:pStyle w:val="TOC2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08203" w:history="1">
        <w:r w:rsidR="0043298B">
          <w:rPr>
            <w:rStyle w:val="Hyperlink"/>
            <w:rFonts w:ascii="Verdana" w:hAnsi="Verdana"/>
            <w:noProof/>
          </w:rPr>
          <w:t>Explaining the Opportunity to the Member</w:t>
        </w:r>
      </w:hyperlink>
    </w:p>
    <w:p w14:paraId="225F0DCE" w14:textId="70A5BC96" w:rsidR="001666FF" w:rsidRDefault="00000000" w:rsidP="001D33F8">
      <w:pPr>
        <w:pStyle w:val="TOC2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08204" w:history="1">
        <w:r w:rsidR="001666FF" w:rsidRPr="004F1FE2">
          <w:rPr>
            <w:rStyle w:val="Hyperlink"/>
            <w:rFonts w:ascii="Verdana" w:hAnsi="Verdana"/>
            <w:noProof/>
          </w:rPr>
          <w:t>Entering a Disposition for HEE</w:t>
        </w:r>
      </w:hyperlink>
    </w:p>
    <w:p w14:paraId="33A15E45" w14:textId="49872C35" w:rsidR="001666FF" w:rsidRDefault="00000000" w:rsidP="001D33F8">
      <w:pPr>
        <w:pStyle w:val="TOC2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08205" w:history="1">
        <w:r w:rsidR="001666FF" w:rsidRPr="004F1FE2">
          <w:rPr>
            <w:rStyle w:val="Hyperlink"/>
            <w:rFonts w:ascii="Verdana" w:hAnsi="Verdana"/>
            <w:noProof/>
          </w:rPr>
          <w:t>Frequently Asked Questions</w:t>
        </w:r>
      </w:hyperlink>
    </w:p>
    <w:p w14:paraId="50AA4D04" w14:textId="60A0296F" w:rsidR="001666FF" w:rsidRDefault="00000000" w:rsidP="001D33F8">
      <w:pPr>
        <w:pStyle w:val="TOC2"/>
        <w:contextualSpacing/>
        <w:rPr>
          <w:rStyle w:val="Hyperlink"/>
          <w:rFonts w:ascii="Verdana" w:hAnsi="Verdana"/>
          <w:noProof/>
        </w:rPr>
      </w:pPr>
      <w:hyperlink w:anchor="_Toc124508206" w:history="1">
        <w:r w:rsidR="001666FF" w:rsidRPr="004F1FE2">
          <w:rPr>
            <w:rStyle w:val="Hyperlink"/>
            <w:rFonts w:ascii="Verdana" w:hAnsi="Verdana"/>
            <w:noProof/>
          </w:rPr>
          <w:t>Related Documents</w:t>
        </w:r>
      </w:hyperlink>
    </w:p>
    <w:p w14:paraId="3ED06404" w14:textId="77777777" w:rsidR="00646519" w:rsidRPr="00646519" w:rsidRDefault="00646519" w:rsidP="00646519">
      <w:pPr>
        <w:rPr>
          <w:rFonts w:eastAsiaTheme="minorEastAsia"/>
        </w:rPr>
      </w:pPr>
    </w:p>
    <w:p w14:paraId="30F0AB88" w14:textId="2D377258" w:rsidR="00AF4989" w:rsidRDefault="003730B6" w:rsidP="001D33F8">
      <w:pPr>
        <w:spacing w:before="120" w:after="120"/>
        <w:contextualSpacing/>
        <w:rPr>
          <w:rFonts w:ascii="Verdana" w:hAnsi="Verdana"/>
          <w:color w:val="000000"/>
        </w:rPr>
      </w:pPr>
      <w:r>
        <w:rPr>
          <w:rFonts w:ascii="Verdana" w:hAnsi="Verdana"/>
        </w:rPr>
        <w:fldChar w:fldCharType="end"/>
      </w:r>
      <w:bookmarkStart w:id="1" w:name="_Overview"/>
      <w:bookmarkEnd w:id="1"/>
    </w:p>
    <w:p w14:paraId="1BF1426C" w14:textId="77777777" w:rsidR="002F1A19" w:rsidRDefault="00EB16E6" w:rsidP="000C0055">
      <w:pPr>
        <w:autoSpaceDE w:val="0"/>
        <w:autoSpaceDN w:val="0"/>
        <w:adjustRightInd w:val="0"/>
        <w:spacing w:before="120" w:after="120"/>
        <w:rPr>
          <w:rFonts w:ascii="Verdana" w:hAnsi="Verdana" w:cs="Arial"/>
        </w:rPr>
      </w:pPr>
      <w:r w:rsidRPr="00902C6C">
        <w:rPr>
          <w:rFonts w:ascii="Verdana" w:hAnsi="Verdana" w:cs="Arial"/>
          <w:b/>
          <w:bCs/>
        </w:rPr>
        <w:t>Description:</w:t>
      </w:r>
      <w:r>
        <w:rPr>
          <w:rFonts w:ascii="Verdana" w:hAnsi="Verdana" w:cs="Arial"/>
        </w:rPr>
        <w:t xml:space="preserve">  </w:t>
      </w:r>
      <w:r w:rsidR="00234A45">
        <w:rPr>
          <w:rFonts w:ascii="Verdana" w:hAnsi="Verdana" w:cs="Arial"/>
        </w:rPr>
        <w:t>HEE opportunity</w:t>
      </w:r>
      <w:r w:rsidR="00037AF9">
        <w:rPr>
          <w:rFonts w:ascii="Verdana" w:hAnsi="Verdana" w:cs="Arial"/>
        </w:rPr>
        <w:t xml:space="preserve">, </w:t>
      </w:r>
      <w:r w:rsidR="00037AF9" w:rsidRPr="00346025">
        <w:rPr>
          <w:rFonts w:ascii="Verdana" w:hAnsi="Verdana" w:cs="Arial"/>
          <w:bCs/>
        </w:rPr>
        <w:t>Proactive Mail Renewal</w:t>
      </w:r>
      <w:r w:rsidR="00037AF9">
        <w:rPr>
          <w:rFonts w:ascii="Verdana" w:hAnsi="Verdana" w:cs="Arial"/>
        </w:rPr>
        <w:t>,</w:t>
      </w:r>
      <w:r w:rsidR="00234A45">
        <w:rPr>
          <w:rFonts w:ascii="Verdana" w:hAnsi="Verdana" w:cs="Arial"/>
        </w:rPr>
        <w:t xml:space="preserve"> </w:t>
      </w:r>
      <w:r w:rsidR="00346025">
        <w:rPr>
          <w:rFonts w:ascii="Verdana" w:hAnsi="Verdana" w:cs="Arial"/>
        </w:rPr>
        <w:t>was</w:t>
      </w:r>
      <w:r w:rsidR="00234A45">
        <w:rPr>
          <w:rFonts w:ascii="Verdana" w:hAnsi="Verdana" w:cs="Arial"/>
        </w:rPr>
        <w:t xml:space="preserve"> developed for Commercial Members who have an existing mail prescription but have </w:t>
      </w:r>
      <w:r w:rsidR="00B44792">
        <w:rPr>
          <w:rFonts w:ascii="Verdana" w:hAnsi="Verdana" w:cs="Arial"/>
        </w:rPr>
        <w:t>no</w:t>
      </w:r>
      <w:r w:rsidR="00234A45">
        <w:rPr>
          <w:rFonts w:ascii="Verdana" w:hAnsi="Verdana" w:cs="Arial"/>
        </w:rPr>
        <w:t xml:space="preserve"> refills remaining. </w:t>
      </w:r>
    </w:p>
    <w:p w14:paraId="5D45A949" w14:textId="77777777" w:rsidR="000C0055" w:rsidRDefault="000C0055" w:rsidP="001D33F8">
      <w:pPr>
        <w:autoSpaceDE w:val="0"/>
        <w:autoSpaceDN w:val="0"/>
        <w:adjustRightInd w:val="0"/>
        <w:spacing w:before="120" w:after="120"/>
        <w:contextualSpacing/>
        <w:rPr>
          <w:rFonts w:ascii="Verdana" w:hAnsi="Verdana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A6834" w:rsidRPr="00B01260" w14:paraId="0A7E621D" w14:textId="77777777" w:rsidTr="00A4403A">
        <w:tc>
          <w:tcPr>
            <w:tcW w:w="5000" w:type="pct"/>
            <w:shd w:val="clear" w:color="auto" w:fill="C0C0C0"/>
          </w:tcPr>
          <w:p w14:paraId="118DDDB0" w14:textId="77777777" w:rsidR="00BA6834" w:rsidRPr="00A4403A" w:rsidRDefault="00313725" w:rsidP="000C005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468087091"/>
            <w:bookmarkStart w:id="3" w:name="_Toc124508202"/>
            <w:r w:rsidRPr="00A4403A">
              <w:rPr>
                <w:rFonts w:ascii="Verdana" w:hAnsi="Verdana"/>
                <w:i w:val="0"/>
              </w:rPr>
              <w:t>Proactive Mail Renewal</w:t>
            </w:r>
            <w:r w:rsidR="00BA6834" w:rsidRPr="00A4403A">
              <w:rPr>
                <w:rFonts w:ascii="Verdana" w:hAnsi="Verdana"/>
                <w:i w:val="0"/>
              </w:rPr>
              <w:t xml:space="preserve"> HEE Opportunity Available</w:t>
            </w:r>
            <w:bookmarkEnd w:id="2"/>
            <w:bookmarkEnd w:id="3"/>
          </w:p>
        </w:tc>
      </w:tr>
    </w:tbl>
    <w:p w14:paraId="60B7E357" w14:textId="77777777" w:rsidR="00646519" w:rsidRDefault="00646519" w:rsidP="000C0055">
      <w:pPr>
        <w:pStyle w:val="CommentText"/>
        <w:spacing w:before="120" w:after="120"/>
        <w:contextualSpacing/>
        <w:rPr>
          <w:rFonts w:ascii="Verdana" w:hAnsi="Verdana"/>
          <w:sz w:val="24"/>
          <w:szCs w:val="22"/>
        </w:rPr>
      </w:pPr>
    </w:p>
    <w:p w14:paraId="2D86965A" w14:textId="51642681" w:rsidR="00BA6834" w:rsidRPr="00C4062C" w:rsidRDefault="000017C8" w:rsidP="000C0055">
      <w:pPr>
        <w:pStyle w:val="CommentText"/>
        <w:spacing w:before="120" w:after="120"/>
        <w:rPr>
          <w:rFonts w:ascii="Verdana" w:hAnsi="Verdana"/>
          <w:sz w:val="24"/>
          <w:szCs w:val="22"/>
        </w:rPr>
      </w:pPr>
      <w:r w:rsidRPr="00C4062C">
        <w:rPr>
          <w:rFonts w:ascii="Verdana" w:hAnsi="Verdana"/>
          <w:sz w:val="24"/>
          <w:szCs w:val="22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9837"/>
      </w:tblGrid>
      <w:tr w:rsidR="00BA6834" w:rsidRPr="00B01260" w14:paraId="32AC5748" w14:textId="77777777" w:rsidTr="0043298B">
        <w:tc>
          <w:tcPr>
            <w:tcW w:w="1202" w:type="pct"/>
            <w:shd w:val="clear" w:color="auto" w:fill="D9D9D9" w:themeFill="background1" w:themeFillShade="D9"/>
          </w:tcPr>
          <w:p w14:paraId="1F42CDCB" w14:textId="77777777" w:rsidR="00BA6834" w:rsidRPr="00B01260" w:rsidRDefault="00BA6834" w:rsidP="000C0055">
            <w:pPr>
              <w:spacing w:before="120" w:after="120"/>
              <w:jc w:val="center"/>
              <w:rPr>
                <w:rFonts w:ascii="Verdana" w:eastAsia="Calibri" w:hAnsi="Verdana"/>
                <w:b/>
              </w:rPr>
            </w:pPr>
            <w:r w:rsidRPr="00B01260">
              <w:rPr>
                <w:rFonts w:ascii="Verdana" w:eastAsia="Calibri" w:hAnsi="Verdana"/>
                <w:b/>
              </w:rPr>
              <w:t>Topic</w:t>
            </w:r>
          </w:p>
        </w:tc>
        <w:tc>
          <w:tcPr>
            <w:tcW w:w="3798" w:type="pct"/>
            <w:shd w:val="clear" w:color="auto" w:fill="D9D9D9" w:themeFill="background1" w:themeFillShade="D9"/>
          </w:tcPr>
          <w:p w14:paraId="60DDA914" w14:textId="77777777" w:rsidR="00BA6834" w:rsidRPr="00B01260" w:rsidRDefault="00BA6834" w:rsidP="000C00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260">
              <w:rPr>
                <w:rFonts w:ascii="Verdana" w:hAnsi="Verdana"/>
                <w:b/>
              </w:rPr>
              <w:t>Description of Change</w:t>
            </w:r>
          </w:p>
        </w:tc>
      </w:tr>
      <w:tr w:rsidR="00BA6834" w:rsidRPr="00104BDB" w14:paraId="645E3CC7" w14:textId="77777777" w:rsidTr="0043298B">
        <w:tc>
          <w:tcPr>
            <w:tcW w:w="1202" w:type="pct"/>
          </w:tcPr>
          <w:p w14:paraId="189D3808" w14:textId="77777777" w:rsidR="00BA6834" w:rsidRPr="00B01260" w:rsidRDefault="00BA6834" w:rsidP="000C005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eastAsia="Calibri" w:hAnsi="Verdana"/>
                <w:b/>
              </w:rPr>
              <w:t>H</w:t>
            </w:r>
            <w:r w:rsidRPr="00B01260">
              <w:rPr>
                <w:rFonts w:ascii="Verdana" w:eastAsia="Calibri" w:hAnsi="Verdana"/>
                <w:b/>
              </w:rPr>
              <w:t xml:space="preserve">EE Opportunity </w:t>
            </w:r>
          </w:p>
        </w:tc>
        <w:tc>
          <w:tcPr>
            <w:tcW w:w="3798" w:type="pct"/>
          </w:tcPr>
          <w:p w14:paraId="627B3A56" w14:textId="017AE0AD" w:rsidR="00BA6834" w:rsidRPr="00B01260" w:rsidRDefault="00BA6834" w:rsidP="000C0055">
            <w:pPr>
              <w:spacing w:before="120" w:after="120"/>
              <w:rPr>
                <w:rFonts w:ascii="Verdana" w:eastAsia="Calibri" w:hAnsi="Verdana"/>
              </w:rPr>
            </w:pPr>
            <w:r w:rsidRPr="00B01260">
              <w:rPr>
                <w:rFonts w:ascii="Verdana" w:eastAsia="Calibri" w:hAnsi="Verdana"/>
              </w:rPr>
              <w:t xml:space="preserve">When the </w:t>
            </w:r>
            <w:r w:rsidRPr="002F1A19">
              <w:rPr>
                <w:rFonts w:ascii="Verdana" w:eastAsia="Calibri" w:hAnsi="Verdana"/>
              </w:rPr>
              <w:t>PeopleSafe</w:t>
            </w:r>
            <w:r w:rsidRPr="00B01260">
              <w:rPr>
                <w:rFonts w:ascii="Verdana" w:eastAsia="Calibri" w:hAnsi="Verdana"/>
                <w:b/>
              </w:rPr>
              <w:t xml:space="preserve"> View Opportunities</w:t>
            </w:r>
            <w:r w:rsidRPr="00B01260">
              <w:rPr>
                <w:rFonts w:ascii="Verdana" w:eastAsia="Calibri" w:hAnsi="Verdana"/>
              </w:rPr>
              <w:t xml:space="preserve"> button is blinking</w:t>
            </w:r>
            <w:r w:rsidRPr="00B01260">
              <w:rPr>
                <w:rFonts w:ascii="Verdana" w:hAnsi="Verdana"/>
              </w:rPr>
              <w:t xml:space="preserve">, </w:t>
            </w:r>
            <w:r w:rsidR="001F20E5">
              <w:rPr>
                <w:rFonts w:ascii="Verdana" w:hAnsi="Verdana"/>
              </w:rPr>
              <w:t>Customer Care Representatives (</w:t>
            </w:r>
            <w:r w:rsidRPr="00B01260">
              <w:rPr>
                <w:rFonts w:ascii="Verdana" w:eastAsia="Calibri" w:hAnsi="Verdana"/>
              </w:rPr>
              <w:t>CCRs</w:t>
            </w:r>
            <w:r w:rsidR="001F20E5">
              <w:rPr>
                <w:rFonts w:ascii="Verdana" w:eastAsia="Calibri" w:hAnsi="Verdana"/>
              </w:rPr>
              <w:t>)</w:t>
            </w:r>
            <w:r w:rsidRPr="00B01260">
              <w:rPr>
                <w:rFonts w:ascii="Verdana" w:eastAsia="Calibri" w:hAnsi="Verdana"/>
              </w:rPr>
              <w:t xml:space="preserve"> are expected to:</w:t>
            </w:r>
          </w:p>
          <w:p w14:paraId="2C79CE42" w14:textId="77777777" w:rsidR="00BA6834" w:rsidRDefault="00BA6834" w:rsidP="000C0055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E133D8">
              <w:rPr>
                <w:rFonts w:ascii="Verdana" w:hAnsi="Verdana"/>
                <w:noProof/>
                <w:sz w:val="24"/>
                <w:szCs w:val="24"/>
              </w:rPr>
              <w:t xml:space="preserve">See the opportunity named </w:t>
            </w:r>
            <w:r w:rsidR="00313725" w:rsidRPr="00037AF9">
              <w:rPr>
                <w:rFonts w:ascii="Verdana" w:hAnsi="Verdana"/>
                <w:b/>
                <w:noProof/>
                <w:sz w:val="24"/>
                <w:szCs w:val="24"/>
              </w:rPr>
              <w:t>Proactive Mail Renewal</w:t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</w:p>
          <w:p w14:paraId="57EA8BB9" w14:textId="6287FD79" w:rsidR="00BA6834" w:rsidRPr="00E133D8" w:rsidRDefault="00BA6834" w:rsidP="000C0055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 w:rsidRPr="00E133D8">
              <w:rPr>
                <w:rFonts w:ascii="Verdana" w:hAnsi="Verdana"/>
                <w:sz w:val="24"/>
                <w:szCs w:val="24"/>
              </w:rPr>
              <w:t xml:space="preserve">Present this HEE Opportunity to a </w:t>
            </w:r>
            <w:r w:rsidR="00EA26CA">
              <w:rPr>
                <w:rFonts w:ascii="Verdana" w:hAnsi="Verdana"/>
                <w:sz w:val="24"/>
                <w:szCs w:val="24"/>
              </w:rPr>
              <w:t>member</w:t>
            </w:r>
            <w:r w:rsidRPr="00E133D8">
              <w:rPr>
                <w:rFonts w:ascii="Verdana" w:hAnsi="Verdana"/>
                <w:sz w:val="24"/>
                <w:szCs w:val="24"/>
              </w:rPr>
              <w:t xml:space="preserve">, and </w:t>
            </w:r>
          </w:p>
          <w:p w14:paraId="5BFF1890" w14:textId="043E5F66" w:rsidR="00A4403A" w:rsidRPr="00CA12A5" w:rsidRDefault="00BA6834" w:rsidP="000C0055">
            <w:pPr>
              <w:pStyle w:val="ListParagraph"/>
              <w:numPr>
                <w:ilvl w:val="0"/>
                <w:numId w:val="38"/>
              </w:numPr>
              <w:spacing w:before="120" w:after="120"/>
            </w:pPr>
            <w:r w:rsidRPr="10B6F7EC">
              <w:rPr>
                <w:rFonts w:ascii="Verdana" w:hAnsi="Verdana"/>
                <w:sz w:val="24"/>
                <w:szCs w:val="24"/>
              </w:rPr>
              <w:t xml:space="preserve">Properly disposition the HEE Opportunity based upon the </w:t>
            </w:r>
            <w:r w:rsidR="00EA26CA">
              <w:rPr>
                <w:rFonts w:ascii="Verdana" w:hAnsi="Verdana"/>
                <w:sz w:val="24"/>
                <w:szCs w:val="24"/>
              </w:rPr>
              <w:t>member</w:t>
            </w:r>
            <w:r w:rsidRPr="10B6F7EC">
              <w:rPr>
                <w:rFonts w:ascii="Verdana" w:hAnsi="Verdana"/>
                <w:sz w:val="24"/>
                <w:szCs w:val="24"/>
              </w:rPr>
              <w:t>’s response</w:t>
            </w:r>
            <w:r w:rsidR="001F20E5">
              <w:rPr>
                <w:rFonts w:ascii="Verdana" w:hAnsi="Verdana"/>
                <w:sz w:val="24"/>
                <w:szCs w:val="24"/>
              </w:rPr>
              <w:t>.</w:t>
            </w:r>
            <w:r w:rsidR="00EB16E6" w:rsidRPr="10B6F7E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CA12A5" w:rsidRPr="10B6F7EC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11" w:anchor="!/view?docid=c2732a43-0453-4dab-a245-537dbe97d1e0">
              <w:r w:rsidR="001F20E5">
                <w:rPr>
                  <w:rStyle w:val="Hyperlink"/>
                  <w:rFonts w:ascii="Verdana" w:hAnsi="Verdana"/>
                  <w:sz w:val="24"/>
                  <w:szCs w:val="24"/>
                </w:rPr>
                <w:t>Health Engagement Engine (HEE) – View Opportunities (022708)</w:t>
              </w:r>
            </w:hyperlink>
            <w:r w:rsidR="001F20E5">
              <w:rPr>
                <w:rStyle w:val="Hyperlink"/>
                <w:rFonts w:ascii="Verdana" w:hAnsi="Verdana"/>
                <w:sz w:val="24"/>
                <w:szCs w:val="24"/>
              </w:rPr>
              <w:t>.</w:t>
            </w:r>
          </w:p>
        </w:tc>
      </w:tr>
      <w:tr w:rsidR="00BA6834" w:rsidRPr="00104BDB" w14:paraId="44A93720" w14:textId="77777777" w:rsidTr="0043298B">
        <w:tc>
          <w:tcPr>
            <w:tcW w:w="1202" w:type="pct"/>
          </w:tcPr>
          <w:p w14:paraId="0E4E90C9" w14:textId="77777777" w:rsidR="00BA6834" w:rsidRPr="00305E5E" w:rsidRDefault="00313725" w:rsidP="000C0055">
            <w:pPr>
              <w:spacing w:before="120" w:after="120"/>
              <w:rPr>
                <w:rFonts w:ascii="Verdana" w:eastAsia="Calibri" w:hAnsi="Verdana"/>
                <w:b/>
              </w:rPr>
            </w:pPr>
            <w:r>
              <w:rPr>
                <w:rFonts w:ascii="Verdana" w:hAnsi="Verdana"/>
                <w:b/>
              </w:rPr>
              <w:t>Proactive Mail Renewal</w:t>
            </w:r>
          </w:p>
        </w:tc>
        <w:tc>
          <w:tcPr>
            <w:tcW w:w="3798" w:type="pct"/>
          </w:tcPr>
          <w:p w14:paraId="77153779" w14:textId="67DE8586" w:rsidR="00BA6834" w:rsidRPr="00104BDB" w:rsidRDefault="00BA6834" w:rsidP="000C0055">
            <w:pPr>
              <w:tabs>
                <w:tab w:val="left" w:pos="3690"/>
              </w:tabs>
              <w:spacing w:before="120" w:after="120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 xml:space="preserve">The opportunity educates the </w:t>
            </w:r>
            <w:r w:rsidR="00EA26CA">
              <w:rPr>
                <w:rFonts w:ascii="Verdana" w:eastAsia="Calibri" w:hAnsi="Verdana"/>
              </w:rPr>
              <w:t>member</w:t>
            </w:r>
            <w:r w:rsidRPr="00323270">
              <w:rPr>
                <w:rFonts w:ascii="Verdana" w:eastAsia="Calibri" w:hAnsi="Verdana"/>
              </w:rPr>
              <w:t xml:space="preserve"> </w:t>
            </w:r>
            <w:r>
              <w:rPr>
                <w:rFonts w:ascii="Verdana" w:eastAsia="Calibri" w:hAnsi="Verdana"/>
              </w:rPr>
              <w:t xml:space="preserve">about </w:t>
            </w:r>
            <w:r w:rsidRPr="00323270">
              <w:rPr>
                <w:rFonts w:ascii="Verdana" w:eastAsia="Calibri" w:hAnsi="Verdana"/>
              </w:rPr>
              <w:t>the option</w:t>
            </w:r>
            <w:r>
              <w:rPr>
                <w:rFonts w:ascii="Verdana" w:eastAsia="Calibri" w:hAnsi="Verdana"/>
              </w:rPr>
              <w:t xml:space="preserve"> for </w:t>
            </w:r>
            <w:r w:rsidR="00A4740F">
              <w:rPr>
                <w:rFonts w:ascii="Verdana" w:eastAsia="Calibri" w:hAnsi="Verdana"/>
              </w:rPr>
              <w:t xml:space="preserve">the </w:t>
            </w:r>
            <w:r w:rsidR="0043298B">
              <w:rPr>
                <w:rFonts w:ascii="Verdana" w:hAnsi="Verdana"/>
                <w:color w:val="000000"/>
              </w:rPr>
              <w:t>Pharmacy Benefits Manager</w:t>
            </w:r>
            <w:r w:rsidR="0043298B">
              <w:rPr>
                <w:rFonts w:ascii="Verdana" w:eastAsia="Calibri" w:hAnsi="Verdana"/>
              </w:rPr>
              <w:t xml:space="preserve"> (</w:t>
            </w:r>
            <w:r w:rsidR="00A4740F">
              <w:rPr>
                <w:rFonts w:ascii="Verdana" w:eastAsia="Calibri" w:hAnsi="Verdana"/>
              </w:rPr>
              <w:t>PBM</w:t>
            </w:r>
            <w:r w:rsidR="0043298B">
              <w:rPr>
                <w:rFonts w:ascii="Verdana" w:eastAsia="Calibri" w:hAnsi="Verdana"/>
              </w:rPr>
              <w:t>)</w:t>
            </w:r>
            <w:r w:rsidR="002F1A19">
              <w:rPr>
                <w:rFonts w:ascii="Verdana" w:eastAsia="Calibri" w:hAnsi="Verdana"/>
              </w:rPr>
              <w:t xml:space="preserve"> </w:t>
            </w:r>
            <w:r>
              <w:rPr>
                <w:rFonts w:ascii="Verdana" w:eastAsia="Calibri" w:hAnsi="Verdana"/>
              </w:rPr>
              <w:t>to reach out to their prescriber for a new prescription</w:t>
            </w:r>
            <w:r w:rsidR="00C4062C">
              <w:rPr>
                <w:rFonts w:ascii="Verdana" w:eastAsia="Calibri" w:hAnsi="Verdana"/>
              </w:rPr>
              <w:t>.</w:t>
            </w:r>
            <w:r w:rsidRPr="00323270">
              <w:rPr>
                <w:rFonts w:ascii="Verdana" w:eastAsia="Calibri" w:hAnsi="Verdana"/>
              </w:rPr>
              <w:t xml:space="preserve"> </w:t>
            </w:r>
          </w:p>
          <w:p w14:paraId="03FE0F9A" w14:textId="77777777" w:rsidR="00BA6834" w:rsidRPr="00104BDB" w:rsidRDefault="00BA6834" w:rsidP="000C0055">
            <w:pPr>
              <w:tabs>
                <w:tab w:val="left" w:pos="3690"/>
              </w:tabs>
              <w:spacing w:before="120" w:after="120"/>
              <w:rPr>
                <w:rFonts w:ascii="Verdana" w:eastAsia="Calibri" w:hAnsi="Verdana"/>
              </w:rPr>
            </w:pPr>
          </w:p>
        </w:tc>
      </w:tr>
    </w:tbl>
    <w:p w14:paraId="2AB49899" w14:textId="77777777" w:rsidR="00A4403A" w:rsidRDefault="00A4403A" w:rsidP="0043298B">
      <w:pPr>
        <w:spacing w:before="120" w:after="120"/>
        <w:rPr>
          <w:rFonts w:ascii="Verdana" w:hAnsi="Verdana"/>
          <w:color w:val="000000"/>
        </w:rPr>
      </w:pPr>
    </w:p>
    <w:p w14:paraId="6D4EF47B" w14:textId="487C2C4E" w:rsidR="00A4403A" w:rsidRDefault="00000000" w:rsidP="0043298B">
      <w:pPr>
        <w:spacing w:before="120" w:after="120"/>
        <w:jc w:val="right"/>
        <w:rPr>
          <w:rFonts w:ascii="Verdana" w:hAnsi="Verdana"/>
        </w:rPr>
      </w:pPr>
      <w:hyperlink w:anchor="_top" w:history="1">
        <w:r w:rsidR="00A4403A" w:rsidRPr="00C4062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4403A" w14:paraId="44D970A2" w14:textId="77777777" w:rsidTr="00C711EF">
        <w:tc>
          <w:tcPr>
            <w:tcW w:w="5000" w:type="pct"/>
            <w:shd w:val="clear" w:color="auto" w:fill="C0C0C0"/>
          </w:tcPr>
          <w:p w14:paraId="0905F6CB" w14:textId="5EB54BBB" w:rsidR="00A4403A" w:rsidRPr="00A4403A" w:rsidRDefault="00A4403A" w:rsidP="000C005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" w:name="_Toc124508203"/>
            <w:r w:rsidRPr="00A4403A">
              <w:rPr>
                <w:rFonts w:ascii="Verdana" w:hAnsi="Verdana"/>
                <w:i w:val="0"/>
              </w:rPr>
              <w:t xml:space="preserve">Explaining the Opportunity to the </w:t>
            </w:r>
            <w:r w:rsidR="0043298B">
              <w:rPr>
                <w:rFonts w:ascii="Verdana" w:hAnsi="Verdana"/>
                <w:i w:val="0"/>
              </w:rPr>
              <w:t>Member</w:t>
            </w:r>
            <w:bookmarkEnd w:id="4"/>
          </w:p>
        </w:tc>
      </w:tr>
    </w:tbl>
    <w:p w14:paraId="64C2DB1B" w14:textId="44705C90" w:rsidR="00EB16E6" w:rsidRDefault="00EB16E6" w:rsidP="000C0055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  <w:r w:rsidRPr="00A3398B">
        <w:rPr>
          <w:rFonts w:ascii="Verdana" w:hAnsi="Verdana"/>
          <w:sz w:val="24"/>
          <w:szCs w:val="24"/>
        </w:rPr>
        <w:t>resent th</w:t>
      </w:r>
      <w:r>
        <w:rPr>
          <w:rFonts w:ascii="Verdana" w:hAnsi="Verdana"/>
          <w:sz w:val="24"/>
          <w:szCs w:val="24"/>
        </w:rPr>
        <w:t>i</w:t>
      </w:r>
      <w:r w:rsidRPr="00A3398B">
        <w:rPr>
          <w:rFonts w:ascii="Verdana" w:hAnsi="Verdana"/>
          <w:sz w:val="24"/>
          <w:szCs w:val="24"/>
        </w:rPr>
        <w:t xml:space="preserve">s </w:t>
      </w:r>
      <w:r>
        <w:rPr>
          <w:rFonts w:ascii="Verdana" w:hAnsi="Verdana"/>
          <w:sz w:val="24"/>
          <w:szCs w:val="24"/>
        </w:rPr>
        <w:t>H</w:t>
      </w:r>
      <w:r w:rsidRPr="00A3398B">
        <w:rPr>
          <w:rFonts w:ascii="Verdana" w:hAnsi="Verdana"/>
          <w:sz w:val="24"/>
          <w:szCs w:val="24"/>
        </w:rPr>
        <w:t>EE Opportunit</w:t>
      </w:r>
      <w:r>
        <w:rPr>
          <w:rFonts w:ascii="Verdana" w:hAnsi="Verdana"/>
          <w:sz w:val="24"/>
          <w:szCs w:val="24"/>
        </w:rPr>
        <w:t>y</w:t>
      </w:r>
      <w:r w:rsidRPr="00A3398B">
        <w:rPr>
          <w:rFonts w:ascii="Verdana" w:hAnsi="Verdana"/>
          <w:sz w:val="24"/>
          <w:szCs w:val="24"/>
        </w:rPr>
        <w:t xml:space="preserve"> to </w:t>
      </w:r>
      <w:r w:rsidR="00EA26CA">
        <w:rPr>
          <w:rFonts w:ascii="Verdana" w:hAnsi="Verdana"/>
          <w:sz w:val="24"/>
          <w:szCs w:val="24"/>
        </w:rPr>
        <w:t>the member</w:t>
      </w:r>
      <w:r w:rsidRPr="00A3398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who calls in and has this program available for them.</w:t>
      </w:r>
      <w:r w:rsidRPr="00A3398B">
        <w:rPr>
          <w:rFonts w:ascii="Verdana" w:hAnsi="Verdana"/>
          <w:sz w:val="24"/>
          <w:szCs w:val="24"/>
        </w:rPr>
        <w:t xml:space="preserve"> </w:t>
      </w:r>
    </w:p>
    <w:p w14:paraId="225C7600" w14:textId="259BE086" w:rsidR="00346025" w:rsidRPr="00346025" w:rsidRDefault="00346025" w:rsidP="000C0055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4"/>
          <w:szCs w:val="24"/>
        </w:rPr>
      </w:pPr>
      <w:r w:rsidRPr="00346025">
        <w:rPr>
          <w:rFonts w:ascii="Verdana" w:hAnsi="Verdana" w:cs="Arial"/>
          <w:sz w:val="24"/>
          <w:szCs w:val="24"/>
        </w:rPr>
        <w:t>Present this opportunity, follow the talk track that display in the view opportunities section of PeopleSafe and disposition the opportunity as you would do for any other HEE opportunity.</w:t>
      </w:r>
    </w:p>
    <w:p w14:paraId="502793A6" w14:textId="680130D8" w:rsidR="00EB16E6" w:rsidRPr="00A3398B" w:rsidRDefault="00EB16E6" w:rsidP="000C0055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  <w:r w:rsidRPr="00A3398B">
        <w:rPr>
          <w:rFonts w:ascii="Verdana" w:hAnsi="Verdana"/>
          <w:sz w:val="24"/>
          <w:szCs w:val="24"/>
        </w:rPr>
        <w:t xml:space="preserve">roperly disposition the </w:t>
      </w:r>
      <w:r>
        <w:rPr>
          <w:rFonts w:ascii="Verdana" w:hAnsi="Verdana"/>
          <w:sz w:val="24"/>
          <w:szCs w:val="24"/>
        </w:rPr>
        <w:t>H</w:t>
      </w:r>
      <w:r w:rsidRPr="00A3398B">
        <w:rPr>
          <w:rFonts w:ascii="Verdana" w:hAnsi="Verdana"/>
          <w:sz w:val="24"/>
          <w:szCs w:val="24"/>
        </w:rPr>
        <w:t xml:space="preserve">EE Opportunity based upon the </w:t>
      </w:r>
      <w:r w:rsidR="00EA26CA">
        <w:rPr>
          <w:rFonts w:ascii="Verdana" w:hAnsi="Verdana"/>
          <w:sz w:val="24"/>
          <w:szCs w:val="24"/>
        </w:rPr>
        <w:t>member</w:t>
      </w:r>
      <w:r w:rsidRPr="00A3398B">
        <w:rPr>
          <w:rFonts w:ascii="Verdana" w:hAnsi="Verdana"/>
          <w:sz w:val="24"/>
          <w:szCs w:val="24"/>
        </w:rPr>
        <w:t xml:space="preserve">’s response to the </w:t>
      </w:r>
      <w:r>
        <w:rPr>
          <w:rFonts w:ascii="Verdana" w:hAnsi="Verdana"/>
          <w:sz w:val="24"/>
          <w:szCs w:val="24"/>
        </w:rPr>
        <w:t>HEE Opportunity.</w:t>
      </w:r>
      <w:r w:rsidRPr="00A3398B">
        <w:rPr>
          <w:rFonts w:ascii="Verdana" w:hAnsi="Verdana"/>
          <w:sz w:val="24"/>
          <w:szCs w:val="24"/>
        </w:rPr>
        <w:t xml:space="preserve"> </w:t>
      </w:r>
    </w:p>
    <w:p w14:paraId="3D0E301D" w14:textId="77777777" w:rsidR="00C4062C" w:rsidRDefault="00C4062C" w:rsidP="000C0055">
      <w:pPr>
        <w:spacing w:before="120" w:after="120"/>
        <w:rPr>
          <w:rFonts w:ascii="Verdana" w:hAnsi="Verdana" w:cs="Arial"/>
        </w:rPr>
      </w:pPr>
    </w:p>
    <w:p w14:paraId="1958233F" w14:textId="1D6EC1D1" w:rsidR="00A4403A" w:rsidRPr="00CA12A5" w:rsidRDefault="00EB16E6" w:rsidP="000C0055">
      <w:pPr>
        <w:spacing w:before="120" w:after="120"/>
        <w:rPr>
          <w:rFonts w:ascii="Verdana" w:hAnsi="Verdana" w:cs="Arial"/>
        </w:rPr>
      </w:pPr>
      <w:r>
        <w:rPr>
          <w:rFonts w:ascii="Verdana" w:hAnsi="Verdana" w:cs="Arial"/>
        </w:rPr>
        <w:t>Perform the following steps</w:t>
      </w:r>
      <w:r w:rsidR="000017C8">
        <w:rPr>
          <w:rFonts w:ascii="Verdana" w:hAnsi="Verdana" w:cs="Arial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"/>
        <w:gridCol w:w="11953"/>
      </w:tblGrid>
      <w:tr w:rsidR="00902C6C" w:rsidRPr="00D13AD7" w14:paraId="18A28F01" w14:textId="77777777" w:rsidTr="001F20E5">
        <w:tc>
          <w:tcPr>
            <w:tcW w:w="385" w:type="pct"/>
            <w:shd w:val="clear" w:color="auto" w:fill="D9D9D9"/>
          </w:tcPr>
          <w:p w14:paraId="654CD67D" w14:textId="77777777" w:rsidR="00BA6834" w:rsidRPr="00D66908" w:rsidRDefault="00BA6834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D66908">
              <w:rPr>
                <w:rFonts w:ascii="Verdana" w:hAnsi="Verdana" w:cs="Arial"/>
                <w:b/>
              </w:rPr>
              <w:t>Step</w:t>
            </w:r>
          </w:p>
        </w:tc>
        <w:tc>
          <w:tcPr>
            <w:tcW w:w="4615" w:type="pct"/>
            <w:shd w:val="clear" w:color="auto" w:fill="D9D9D9"/>
          </w:tcPr>
          <w:p w14:paraId="4FCD78DD" w14:textId="77777777" w:rsidR="00BA6834" w:rsidRPr="00D13AD7" w:rsidRDefault="00BA6834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D13AD7">
              <w:rPr>
                <w:rFonts w:ascii="Verdana" w:hAnsi="Verdana" w:cs="Arial"/>
                <w:b/>
              </w:rPr>
              <w:t>Action</w:t>
            </w:r>
          </w:p>
        </w:tc>
      </w:tr>
      <w:tr w:rsidR="00902C6C" w:rsidRPr="00D13AD7" w14:paraId="5335D90E" w14:textId="77777777" w:rsidTr="0043298B">
        <w:trPr>
          <w:trHeight w:val="4247"/>
        </w:trPr>
        <w:tc>
          <w:tcPr>
            <w:tcW w:w="385" w:type="pct"/>
          </w:tcPr>
          <w:p w14:paraId="2F54CF3D" w14:textId="77777777" w:rsidR="00902C6C" w:rsidRPr="00D66908" w:rsidRDefault="00902C6C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D66908"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4615" w:type="pct"/>
          </w:tcPr>
          <w:p w14:paraId="639F21A3" w14:textId="3D1E9BE7" w:rsidR="00902C6C" w:rsidRPr="00D13AD7" w:rsidRDefault="00902C6C" w:rsidP="000C0055">
            <w:pPr>
              <w:spacing w:before="120" w:after="120"/>
              <w:rPr>
                <w:rFonts w:ascii="Verdana" w:hAnsi="Verdana" w:cs="Arial"/>
              </w:rPr>
            </w:pPr>
            <w:r w:rsidRPr="00D13AD7">
              <w:rPr>
                <w:rFonts w:ascii="Verdana" w:hAnsi="Verdana" w:cs="Arial"/>
              </w:rPr>
              <w:t xml:space="preserve">Click the </w:t>
            </w:r>
            <w:r w:rsidRPr="00D13AD7">
              <w:rPr>
                <w:rFonts w:ascii="Verdana" w:hAnsi="Verdana" w:cs="Arial"/>
                <w:b/>
              </w:rPr>
              <w:t>View Opportunities</w:t>
            </w:r>
            <w:r w:rsidRPr="00D13AD7">
              <w:rPr>
                <w:rFonts w:ascii="Verdana" w:hAnsi="Verdana" w:cs="Arial"/>
              </w:rPr>
              <w:t xml:space="preserve"> button on the </w:t>
            </w:r>
            <w:r w:rsidR="00EA26CA">
              <w:rPr>
                <w:rFonts w:ascii="Verdana" w:hAnsi="Verdana" w:cs="Arial"/>
              </w:rPr>
              <w:t>member’s</w:t>
            </w:r>
            <w:r w:rsidRPr="00D13AD7">
              <w:rPr>
                <w:rFonts w:ascii="Verdana" w:hAnsi="Verdana" w:cs="Arial"/>
              </w:rPr>
              <w:t xml:space="preserve"> profile</w:t>
            </w:r>
            <w:r>
              <w:rPr>
                <w:rFonts w:ascii="Verdana" w:hAnsi="Verdana" w:cs="Arial"/>
              </w:rPr>
              <w:t xml:space="preserve"> and s</w:t>
            </w:r>
            <w:r w:rsidRPr="00D13AD7">
              <w:rPr>
                <w:rFonts w:ascii="Verdana" w:hAnsi="Verdana" w:cs="Arial"/>
              </w:rPr>
              <w:t xml:space="preserve">elect the appropriate </w:t>
            </w:r>
            <w:r w:rsidR="00EA26CA">
              <w:rPr>
                <w:rFonts w:ascii="Verdana" w:hAnsi="Verdana" w:cs="Arial"/>
              </w:rPr>
              <w:t>member</w:t>
            </w:r>
            <w:r w:rsidRPr="00D13AD7">
              <w:rPr>
                <w:rFonts w:ascii="Verdana" w:hAnsi="Verdana" w:cs="Arial"/>
              </w:rPr>
              <w:t xml:space="preserve"> from the drop-down list</w:t>
            </w:r>
            <w:r>
              <w:rPr>
                <w:rFonts w:ascii="Verdana" w:hAnsi="Verdana" w:cs="Arial"/>
              </w:rPr>
              <w:t>.</w:t>
            </w:r>
          </w:p>
          <w:p w14:paraId="6ADA592E" w14:textId="5A4FC628" w:rsidR="00902C6C" w:rsidRDefault="00902C6C" w:rsidP="000C0055">
            <w:pPr>
              <w:spacing w:before="120" w:after="120"/>
              <w:rPr>
                <w:rFonts w:ascii="Verdana" w:hAnsi="Verdana" w:cs="Arial"/>
              </w:rPr>
            </w:pPr>
            <w:r w:rsidRPr="00D13AD7">
              <w:rPr>
                <w:rFonts w:ascii="Verdana" w:hAnsi="Verdana" w:cs="Arial"/>
                <w:b/>
              </w:rPr>
              <w:t>Note:</w:t>
            </w:r>
            <w:r w:rsidR="00C4062C">
              <w:rPr>
                <w:rFonts w:ascii="Verdana" w:hAnsi="Verdana" w:cs="Arial"/>
                <w:b/>
              </w:rPr>
              <w:t xml:space="preserve"> </w:t>
            </w:r>
            <w:r w:rsidRPr="00D13AD7">
              <w:rPr>
                <w:rFonts w:ascii="Verdana" w:hAnsi="Verdana" w:cs="Arial"/>
                <w:b/>
              </w:rPr>
              <w:t xml:space="preserve"> </w:t>
            </w:r>
            <w:r w:rsidR="00EA26CA" w:rsidRPr="0043298B">
              <w:rPr>
                <w:rFonts w:ascii="Verdana" w:hAnsi="Verdana" w:cs="Arial"/>
                <w:bCs/>
              </w:rPr>
              <w:t>Mem</w:t>
            </w:r>
            <w:r w:rsidR="00EA26CA">
              <w:rPr>
                <w:rFonts w:ascii="Verdana" w:hAnsi="Verdana" w:cs="Arial"/>
                <w:bCs/>
              </w:rPr>
              <w:t>ber</w:t>
            </w:r>
            <w:r w:rsidRPr="00D13AD7">
              <w:rPr>
                <w:rFonts w:ascii="Verdana" w:hAnsi="Verdana" w:cs="Arial"/>
              </w:rPr>
              <w:t xml:space="preserve">’s with available opportunities will have a checkmark next to their name. </w:t>
            </w:r>
          </w:p>
          <w:p w14:paraId="559C3A49" w14:textId="77777777" w:rsidR="00902C6C" w:rsidRPr="00D13AD7" w:rsidRDefault="00902C6C" w:rsidP="000C0055">
            <w:pPr>
              <w:spacing w:before="120" w:after="120"/>
              <w:rPr>
                <w:rFonts w:ascii="Verdana" w:hAnsi="Verdana" w:cs="Arial"/>
              </w:rPr>
            </w:pPr>
          </w:p>
          <w:p w14:paraId="6574F708" w14:textId="4171D32F" w:rsidR="00902C6C" w:rsidRPr="00D13AD7" w:rsidRDefault="000C0055" w:rsidP="000C0055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7127E210" wp14:editId="596603BA">
                  <wp:extent cx="4019048" cy="1447619"/>
                  <wp:effectExtent l="38100" t="38100" r="38735" b="387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14476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34" w:rsidRPr="00D13AD7" w14:paraId="7BEE8437" w14:textId="77777777" w:rsidTr="001F20E5">
        <w:tc>
          <w:tcPr>
            <w:tcW w:w="385" w:type="pct"/>
          </w:tcPr>
          <w:p w14:paraId="53D4BE2F" w14:textId="77777777" w:rsidR="00BA6834" w:rsidRPr="00D66908" w:rsidRDefault="00902C6C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4615" w:type="pct"/>
          </w:tcPr>
          <w:p w14:paraId="2390F195" w14:textId="46BF8612" w:rsidR="00BA6834" w:rsidRDefault="00BA6834" w:rsidP="000C0055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1410DD">
              <w:rPr>
                <w:rFonts w:ascii="Verdana" w:hAnsi="Verdana" w:cs="Arial"/>
              </w:rPr>
              <w:t xml:space="preserve">Select </w:t>
            </w:r>
            <w:r>
              <w:rPr>
                <w:rFonts w:ascii="Verdana" w:hAnsi="Verdana" w:cs="Arial"/>
              </w:rPr>
              <w:t xml:space="preserve">one of the </w:t>
            </w:r>
            <w:r>
              <w:rPr>
                <w:rFonts w:ascii="Verdana" w:hAnsi="Verdana" w:cs="Arial"/>
                <w:color w:val="000000"/>
              </w:rPr>
              <w:t xml:space="preserve">opportunities listed for the </w:t>
            </w:r>
            <w:r w:rsidR="00EA26CA">
              <w:rPr>
                <w:rFonts w:ascii="Verdana" w:hAnsi="Verdana" w:cs="Arial"/>
                <w:color w:val="000000"/>
              </w:rPr>
              <w:t>member</w:t>
            </w:r>
            <w:r>
              <w:rPr>
                <w:rFonts w:ascii="Verdana" w:hAnsi="Verdana" w:cs="Arial"/>
                <w:color w:val="000000"/>
              </w:rPr>
              <w:t xml:space="preserve"> that is on the phone.</w:t>
            </w:r>
          </w:p>
          <w:p w14:paraId="0F9968D5" w14:textId="77777777" w:rsidR="000C0055" w:rsidRDefault="000C0055" w:rsidP="000C0055">
            <w:pPr>
              <w:spacing w:before="120" w:after="120"/>
              <w:rPr>
                <w:rFonts w:ascii="Verdana" w:hAnsi="Verdana" w:cs="Arial"/>
                <w:color w:val="000000"/>
              </w:rPr>
            </w:pPr>
          </w:p>
          <w:p w14:paraId="39CE61B6" w14:textId="35BC9951" w:rsidR="000C0055" w:rsidRDefault="000C0055" w:rsidP="0043298B">
            <w:pPr>
              <w:spacing w:before="120" w:after="120"/>
              <w:jc w:val="center"/>
              <w:rPr>
                <w:rFonts w:ascii="Verdana" w:hAnsi="Verdana" w:cs="Arial"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5298B6" wp14:editId="5890AB8D">
                  <wp:extent cx="3952381" cy="1885714"/>
                  <wp:effectExtent l="38100" t="38100" r="29210" b="387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188571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D1C90DE" w14:textId="77777777" w:rsidR="00BA6834" w:rsidRPr="001410DD" w:rsidRDefault="00BA6834" w:rsidP="000C0055">
            <w:pPr>
              <w:spacing w:before="120" w:after="120"/>
              <w:jc w:val="center"/>
              <w:rPr>
                <w:rFonts w:ascii="Verdana" w:hAnsi="Verdana" w:cs="Arial"/>
                <w:highlight w:val="yellow"/>
              </w:rPr>
            </w:pPr>
          </w:p>
        </w:tc>
      </w:tr>
      <w:tr w:rsidR="00902C6C" w:rsidRPr="00D13AD7" w14:paraId="3E4654B5" w14:textId="77777777" w:rsidTr="001F20E5">
        <w:trPr>
          <w:trHeight w:val="980"/>
        </w:trPr>
        <w:tc>
          <w:tcPr>
            <w:tcW w:w="385" w:type="pct"/>
          </w:tcPr>
          <w:p w14:paraId="08531DA8" w14:textId="77777777" w:rsidR="00902C6C" w:rsidRPr="00D66908" w:rsidRDefault="00902C6C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4615" w:type="pct"/>
          </w:tcPr>
          <w:p w14:paraId="77A56A41" w14:textId="77777777" w:rsidR="00902C6C" w:rsidRDefault="00902C6C" w:rsidP="000C0055">
            <w:pPr>
              <w:spacing w:before="120" w:after="120"/>
              <w:rPr>
                <w:rFonts w:ascii="Verdana" w:hAnsi="Verdana" w:cs="Arial"/>
              </w:rPr>
            </w:pPr>
            <w:r w:rsidRPr="00D13AD7">
              <w:rPr>
                <w:rFonts w:ascii="Verdana" w:hAnsi="Verdana" w:cs="Arial"/>
              </w:rPr>
              <w:t xml:space="preserve">Click the </w:t>
            </w:r>
            <w:r w:rsidRPr="00D13AD7">
              <w:rPr>
                <w:rFonts w:ascii="Verdana" w:hAnsi="Verdana" w:cs="Arial"/>
                <w:b/>
              </w:rPr>
              <w:t>Present Opportunity</w:t>
            </w:r>
            <w:r w:rsidRPr="00D13AD7">
              <w:rPr>
                <w:rFonts w:ascii="Verdana" w:hAnsi="Verdana" w:cs="Arial"/>
              </w:rPr>
              <w:t xml:space="preserve"> button.</w:t>
            </w:r>
          </w:p>
          <w:p w14:paraId="1FEA309C" w14:textId="0294B2BF" w:rsidR="00902C6C" w:rsidRPr="007D1917" w:rsidRDefault="00902C6C" w:rsidP="000C0055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7D1917">
              <w:rPr>
                <w:rFonts w:ascii="Verdana" w:hAnsi="Verdana" w:cs="Arial"/>
                <w:sz w:val="24"/>
                <w:szCs w:val="24"/>
              </w:rPr>
              <w:t xml:space="preserve">Use the displayed information to educate the </w:t>
            </w:r>
            <w:r w:rsidR="00EA26CA">
              <w:rPr>
                <w:rFonts w:ascii="Verdana" w:hAnsi="Verdana" w:cs="Arial"/>
                <w:sz w:val="24"/>
                <w:szCs w:val="24"/>
              </w:rPr>
              <w:t>member</w:t>
            </w:r>
            <w:r w:rsidRPr="007D1917">
              <w:rPr>
                <w:rFonts w:ascii="Verdana" w:hAnsi="Verdana" w:cs="Arial"/>
                <w:sz w:val="24"/>
                <w:szCs w:val="24"/>
              </w:rPr>
              <w:t xml:space="preserve"> about their program benefit.</w:t>
            </w:r>
          </w:p>
          <w:p w14:paraId="765780D9" w14:textId="1D99FD8A" w:rsidR="00902C6C" w:rsidRDefault="00902C6C" w:rsidP="000C0055">
            <w:pPr>
              <w:pStyle w:val="ListParagraph"/>
              <w:numPr>
                <w:ilvl w:val="0"/>
                <w:numId w:val="38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Refer to</w:t>
            </w:r>
            <w:r w:rsidRPr="007D1917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Pr="007D1917">
              <w:rPr>
                <w:rFonts w:ascii="Verdana" w:hAnsi="Verdana" w:cs="Arial"/>
                <w:sz w:val="24"/>
                <w:szCs w:val="24"/>
              </w:rPr>
              <w:t xml:space="preserve">sample talk track message </w:t>
            </w:r>
            <w:r>
              <w:rPr>
                <w:rFonts w:ascii="Verdana" w:hAnsi="Verdana" w:cs="Arial"/>
                <w:sz w:val="24"/>
                <w:szCs w:val="24"/>
              </w:rPr>
              <w:t>displaying</w:t>
            </w:r>
            <w:r w:rsidRPr="007D1917">
              <w:rPr>
                <w:rFonts w:ascii="Verdana" w:hAnsi="Verdana" w:cs="Arial"/>
                <w:sz w:val="24"/>
                <w:szCs w:val="24"/>
              </w:rPr>
              <w:t xml:space="preserve"> on the screen.</w:t>
            </w:r>
          </w:p>
          <w:p w14:paraId="15F6FD2B" w14:textId="77777777" w:rsidR="00902C6C" w:rsidRPr="007D1917" w:rsidRDefault="00902C6C" w:rsidP="000C0055">
            <w:pPr>
              <w:pStyle w:val="ListParagraph"/>
              <w:spacing w:before="120" w:after="120"/>
              <w:ind w:left="0"/>
              <w:rPr>
                <w:rFonts w:ascii="Verdana" w:hAnsi="Verdana" w:cs="Arial"/>
                <w:sz w:val="24"/>
                <w:szCs w:val="24"/>
              </w:rPr>
            </w:pPr>
          </w:p>
          <w:p w14:paraId="3F5B29AC" w14:textId="7C0138E0" w:rsidR="00902C6C" w:rsidRDefault="001F20E5" w:rsidP="000C0055">
            <w:pPr>
              <w:pStyle w:val="ListParagraph"/>
              <w:spacing w:before="120" w:after="120"/>
              <w:ind w:left="0"/>
              <w:jc w:val="center"/>
              <w:rPr>
                <w:rFonts w:ascii="Verdana" w:hAnsi="Verdana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69F151F" wp14:editId="3CCCD9B0">
                  <wp:extent cx="4572000" cy="4560425"/>
                  <wp:effectExtent l="38100" t="38100" r="38100" b="311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604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75A772A" w14:textId="77777777" w:rsidR="00902C6C" w:rsidRPr="00D13AD7" w:rsidRDefault="00902C6C" w:rsidP="000C0055">
            <w:pPr>
              <w:pStyle w:val="ListParagraph"/>
              <w:spacing w:before="120" w:after="120"/>
              <w:ind w:left="0"/>
              <w:jc w:val="center"/>
              <w:rPr>
                <w:rFonts w:ascii="Verdana" w:hAnsi="Verdana" w:cs="Arial"/>
              </w:rPr>
            </w:pPr>
          </w:p>
          <w:p w14:paraId="549A4B44" w14:textId="77777777" w:rsidR="00902C6C" w:rsidRPr="00D13AD7" w:rsidRDefault="00902C6C" w:rsidP="000C0055">
            <w:pPr>
              <w:numPr>
                <w:ilvl w:val="0"/>
                <w:numId w:val="42"/>
              </w:numPr>
              <w:spacing w:before="120" w:after="120"/>
              <w:ind w:left="421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If the member is interested in prescription renewal, follow instructions for new Rx request. </w:t>
            </w:r>
          </w:p>
        </w:tc>
      </w:tr>
    </w:tbl>
    <w:p w14:paraId="2465FF42" w14:textId="77777777" w:rsidR="000C0055" w:rsidRDefault="000C0055" w:rsidP="0043298B">
      <w:pPr>
        <w:spacing w:before="120" w:after="120"/>
        <w:rPr>
          <w:rFonts w:ascii="Verdana" w:hAnsi="Verdana"/>
          <w:color w:val="000000"/>
        </w:rPr>
      </w:pPr>
    </w:p>
    <w:p w14:paraId="64008BB8" w14:textId="7F5DB7B5" w:rsidR="00A4403A" w:rsidRDefault="00000000" w:rsidP="0043298B">
      <w:pPr>
        <w:spacing w:before="120" w:after="120"/>
        <w:jc w:val="right"/>
        <w:rPr>
          <w:rFonts w:ascii="Verdana" w:hAnsi="Verdana"/>
        </w:rPr>
      </w:pPr>
      <w:hyperlink w:anchor="_top" w:history="1">
        <w:r w:rsidR="00A4403A" w:rsidRPr="00C4062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4403A" w14:paraId="19CAA029" w14:textId="77777777" w:rsidTr="00C711EF">
        <w:tc>
          <w:tcPr>
            <w:tcW w:w="5000" w:type="pct"/>
            <w:shd w:val="clear" w:color="auto" w:fill="C0C0C0"/>
          </w:tcPr>
          <w:p w14:paraId="03FCF188" w14:textId="77777777" w:rsidR="00A4403A" w:rsidRPr="00D75EA0" w:rsidRDefault="00A4403A" w:rsidP="000C005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124508204"/>
            <w:r w:rsidRPr="00D75EA0">
              <w:rPr>
                <w:rFonts w:ascii="Verdana" w:hAnsi="Verdana"/>
                <w:i w:val="0"/>
              </w:rPr>
              <w:t>Entering a Disposition for HEE</w:t>
            </w:r>
            <w:bookmarkEnd w:id="5"/>
          </w:p>
        </w:tc>
      </w:tr>
    </w:tbl>
    <w:p w14:paraId="45C2F0CE" w14:textId="77777777" w:rsidR="000C0055" w:rsidRDefault="000C0055" w:rsidP="0043298B">
      <w:pPr>
        <w:spacing w:before="120" w:after="120"/>
        <w:contextualSpacing/>
        <w:rPr>
          <w:rFonts w:ascii="Verdana" w:hAnsi="Verdana"/>
        </w:rPr>
      </w:pPr>
    </w:p>
    <w:p w14:paraId="0D6F0FC0" w14:textId="307BCC24" w:rsidR="00A4403A" w:rsidRDefault="00902C6C" w:rsidP="000C005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This is t</w:t>
      </w:r>
      <w:r w:rsidR="00BA6834">
        <w:rPr>
          <w:rFonts w:ascii="Verdana" w:hAnsi="Verdana"/>
        </w:rPr>
        <w:t>he outcome of the call.</w:t>
      </w:r>
      <w:r w:rsidR="00EA26CA">
        <w:rPr>
          <w:rFonts w:ascii="Verdana" w:hAnsi="Verdana"/>
        </w:rPr>
        <w:t xml:space="preserve"> </w:t>
      </w:r>
      <w:r w:rsidR="00EB16E6">
        <w:rPr>
          <w:rFonts w:ascii="Verdana" w:hAnsi="Verdana"/>
        </w:rPr>
        <w:t>Perform</w:t>
      </w:r>
      <w:r w:rsidR="00BA6834">
        <w:rPr>
          <w:rFonts w:ascii="Verdana" w:hAnsi="Verdana"/>
        </w:rPr>
        <w:t xml:space="preserve"> the following steps: </w:t>
      </w:r>
    </w:p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1944"/>
        <w:gridCol w:w="44"/>
      </w:tblGrid>
      <w:tr w:rsidR="00BA6834" w:rsidRPr="00104BDB" w14:paraId="7AB10CCA" w14:textId="77777777" w:rsidTr="0043298B">
        <w:tc>
          <w:tcPr>
            <w:tcW w:w="387" w:type="pct"/>
            <w:shd w:val="clear" w:color="auto" w:fill="D9D9D9" w:themeFill="background1" w:themeFillShade="D9"/>
          </w:tcPr>
          <w:p w14:paraId="78BBFDD5" w14:textId="77777777" w:rsidR="00BA6834" w:rsidRPr="00104BDB" w:rsidRDefault="00BA6834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104BDB">
              <w:rPr>
                <w:rFonts w:ascii="Verdana" w:hAnsi="Verdana" w:cs="Arial"/>
                <w:b/>
              </w:rPr>
              <w:t>Step</w:t>
            </w:r>
          </w:p>
        </w:tc>
        <w:tc>
          <w:tcPr>
            <w:tcW w:w="4613" w:type="pct"/>
            <w:gridSpan w:val="2"/>
            <w:shd w:val="clear" w:color="auto" w:fill="D9D9D9" w:themeFill="background1" w:themeFillShade="D9"/>
          </w:tcPr>
          <w:p w14:paraId="5F05C059" w14:textId="77777777" w:rsidR="00BA6834" w:rsidRPr="00104BDB" w:rsidRDefault="00BA6834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104BDB">
              <w:rPr>
                <w:rFonts w:ascii="Verdana" w:hAnsi="Verdana" w:cs="Arial"/>
                <w:b/>
              </w:rPr>
              <w:t>Action</w:t>
            </w:r>
          </w:p>
        </w:tc>
      </w:tr>
      <w:tr w:rsidR="00BA6834" w:rsidRPr="00104BDB" w14:paraId="6767F9FD" w14:textId="77777777" w:rsidTr="0043298B">
        <w:trPr>
          <w:gridAfter w:val="1"/>
          <w:wAfter w:w="17" w:type="pct"/>
        </w:trPr>
        <w:tc>
          <w:tcPr>
            <w:tcW w:w="387" w:type="pct"/>
          </w:tcPr>
          <w:p w14:paraId="7544A840" w14:textId="77777777" w:rsidR="00BA6834" w:rsidRPr="00433FB3" w:rsidRDefault="00433FB3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433FB3"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4596" w:type="pct"/>
          </w:tcPr>
          <w:p w14:paraId="65F79DA7" w14:textId="7860DFFB" w:rsidR="00D75EA0" w:rsidRPr="00104BDB" w:rsidRDefault="00BA6834" w:rsidP="000C0055">
            <w:pPr>
              <w:spacing w:before="120" w:after="120"/>
              <w:rPr>
                <w:rFonts w:ascii="Verdana" w:hAnsi="Verdana" w:cs="Arial"/>
              </w:rPr>
            </w:pPr>
            <w:r w:rsidRPr="10B6F7EC">
              <w:rPr>
                <w:rFonts w:ascii="Verdana" w:hAnsi="Verdana" w:cs="Arial"/>
              </w:rPr>
              <w:t xml:space="preserve">Select the appropriate radio button as to whether you were able to present the information to the caller (Yes, No, or Later). Refer to </w:t>
            </w:r>
            <w:hyperlink r:id="rId15" w:anchor="!/view?docid=c2732a43-0453-4dab-a245-537dbe97d1e0">
              <w:r w:rsidR="000C0055">
                <w:rPr>
                  <w:rStyle w:val="Hyperlink"/>
                  <w:rFonts w:ascii="Verdana" w:hAnsi="Verdana" w:cs="Arial"/>
                </w:rPr>
                <w:t>Health Engagement Engine (HEE) – View Opportunities (022708)</w:t>
              </w:r>
            </w:hyperlink>
            <w:r w:rsidR="000C0055">
              <w:t xml:space="preserve"> </w:t>
            </w:r>
            <w:r w:rsidRPr="10B6F7EC">
              <w:rPr>
                <w:rFonts w:ascii="Verdana" w:hAnsi="Verdana" w:cs="Arial"/>
              </w:rPr>
              <w:t>for more information.</w:t>
            </w:r>
          </w:p>
        </w:tc>
      </w:tr>
      <w:tr w:rsidR="00BA6834" w:rsidRPr="00104BDB" w14:paraId="611EE1B8" w14:textId="77777777" w:rsidTr="0043298B">
        <w:trPr>
          <w:gridAfter w:val="1"/>
          <w:wAfter w:w="17" w:type="pct"/>
        </w:trPr>
        <w:tc>
          <w:tcPr>
            <w:tcW w:w="387" w:type="pct"/>
          </w:tcPr>
          <w:p w14:paraId="1AEE5573" w14:textId="77777777" w:rsidR="00BA6834" w:rsidRPr="00433FB3" w:rsidRDefault="00433FB3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433FB3"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4596" w:type="pct"/>
          </w:tcPr>
          <w:p w14:paraId="4450DDE4" w14:textId="77777777" w:rsidR="00BA6834" w:rsidRDefault="00BA6834" w:rsidP="000C0055">
            <w:pPr>
              <w:spacing w:before="120" w:after="120"/>
              <w:rPr>
                <w:rFonts w:ascii="Verdana" w:hAnsi="Verdana" w:cs="Arial"/>
              </w:rPr>
            </w:pPr>
            <w:r w:rsidRPr="00104BDB">
              <w:rPr>
                <w:rFonts w:ascii="Verdana" w:hAnsi="Verdana" w:cs="Arial"/>
              </w:rPr>
              <w:t xml:space="preserve">Select the appropriate disposition from the drop-down menu: </w:t>
            </w:r>
          </w:p>
          <w:p w14:paraId="74EB7CF6" w14:textId="77777777" w:rsidR="001F20E5" w:rsidRDefault="001F20E5" w:rsidP="000C0055">
            <w:pPr>
              <w:spacing w:before="120" w:after="120"/>
              <w:rPr>
                <w:rFonts w:ascii="Verdana" w:hAnsi="Verdana" w:cs="Arial"/>
              </w:rPr>
            </w:pPr>
          </w:p>
          <w:p w14:paraId="6D5D47BF" w14:textId="149F2BBF" w:rsidR="00902C6C" w:rsidRDefault="007B7C00" w:rsidP="000C0055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36869">
              <w:rPr>
                <w:rFonts w:ascii="Verdana" w:hAnsi="Verdana"/>
                <w:noProof/>
              </w:rPr>
              <w:drawing>
                <wp:inline distT="0" distB="0" distL="0" distR="0" wp14:anchorId="5FEED467" wp14:editId="58822A47">
                  <wp:extent cx="5560695" cy="1584325"/>
                  <wp:effectExtent l="38100" t="38100" r="40005" b="3492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15843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C9BCC8F" w14:textId="77777777" w:rsidR="001F20E5" w:rsidRPr="00104BDB" w:rsidRDefault="001F20E5" w:rsidP="000C0055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  <w:p w14:paraId="2E965503" w14:textId="77777777" w:rsidR="00BA6834" w:rsidRDefault="00BA6834" w:rsidP="0043298B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2A2348">
              <w:rPr>
                <w:rFonts w:ascii="Verdana" w:hAnsi="Verdana" w:cs="Arial"/>
                <w:b/>
                <w:sz w:val="24"/>
                <w:szCs w:val="24"/>
              </w:rPr>
              <w:t>Positive response with action</w:t>
            </w:r>
          </w:p>
          <w:p w14:paraId="584819D9" w14:textId="3C6BB6AB" w:rsidR="00BA6834" w:rsidRDefault="00BA6834" w:rsidP="0043298B">
            <w:pPr>
              <w:pStyle w:val="ListParagraph"/>
              <w:numPr>
                <w:ilvl w:val="1"/>
                <w:numId w:val="41"/>
              </w:numPr>
              <w:spacing w:before="120" w:after="120"/>
              <w:ind w:left="706"/>
              <w:rPr>
                <w:rFonts w:ascii="Verdana" w:hAnsi="Verdana" w:cs="Arial"/>
                <w:sz w:val="24"/>
                <w:szCs w:val="24"/>
              </w:rPr>
            </w:pPr>
            <w:r w:rsidRPr="002A2348">
              <w:rPr>
                <w:rFonts w:ascii="Verdana" w:hAnsi="Verdana" w:cs="Arial"/>
                <w:sz w:val="24"/>
                <w:szCs w:val="24"/>
              </w:rPr>
              <w:t xml:space="preserve">Member is interested </w:t>
            </w:r>
            <w:r>
              <w:rPr>
                <w:rFonts w:ascii="Verdana" w:hAnsi="Verdana" w:cs="Arial"/>
                <w:sz w:val="24"/>
                <w:szCs w:val="24"/>
              </w:rPr>
              <w:t xml:space="preserve">in </w:t>
            </w:r>
            <w:r w:rsidR="00971CA5">
              <w:rPr>
                <w:rFonts w:ascii="Verdana" w:hAnsi="Verdana" w:cs="Arial"/>
                <w:sz w:val="24"/>
                <w:szCs w:val="24"/>
              </w:rPr>
              <w:t>the PBM</w:t>
            </w:r>
            <w:r>
              <w:rPr>
                <w:rFonts w:ascii="Verdana" w:hAnsi="Verdana" w:cs="Arial"/>
                <w:sz w:val="24"/>
                <w:szCs w:val="24"/>
              </w:rPr>
              <w:t xml:space="preserve"> getting </w:t>
            </w:r>
            <w:r w:rsidR="007B3957">
              <w:rPr>
                <w:rFonts w:ascii="Verdana" w:hAnsi="Verdana" w:cs="Arial"/>
                <w:sz w:val="24"/>
                <w:szCs w:val="24"/>
              </w:rPr>
              <w:t xml:space="preserve">a </w:t>
            </w:r>
            <w:r>
              <w:rPr>
                <w:rFonts w:ascii="Verdana" w:hAnsi="Verdana" w:cs="Arial"/>
                <w:sz w:val="24"/>
                <w:szCs w:val="24"/>
              </w:rPr>
              <w:t>new prescription from the prescriber.</w:t>
            </w:r>
          </w:p>
          <w:p w14:paraId="611477CA" w14:textId="77777777" w:rsidR="00BA6834" w:rsidRDefault="00BA6834" w:rsidP="0043298B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2A2348">
              <w:rPr>
                <w:rFonts w:ascii="Verdana" w:hAnsi="Verdana" w:cs="Arial"/>
                <w:b/>
                <w:sz w:val="24"/>
                <w:szCs w:val="24"/>
              </w:rPr>
              <w:t xml:space="preserve">Positive response </w:t>
            </w:r>
          </w:p>
          <w:p w14:paraId="6944780B" w14:textId="77777777" w:rsidR="00BA6834" w:rsidRDefault="00BA6834" w:rsidP="0043298B">
            <w:pPr>
              <w:pStyle w:val="ListParagraph"/>
              <w:numPr>
                <w:ilvl w:val="1"/>
                <w:numId w:val="41"/>
              </w:numPr>
              <w:spacing w:before="120" w:after="120"/>
              <w:ind w:left="706"/>
              <w:rPr>
                <w:rFonts w:ascii="Verdana" w:hAnsi="Verdana" w:cs="Arial"/>
                <w:sz w:val="24"/>
                <w:szCs w:val="24"/>
              </w:rPr>
            </w:pPr>
            <w:r w:rsidRPr="002A2348">
              <w:rPr>
                <w:rFonts w:ascii="Verdana" w:hAnsi="Verdana" w:cs="Arial"/>
                <w:sz w:val="24"/>
                <w:szCs w:val="24"/>
              </w:rPr>
              <w:t xml:space="preserve">Member is interested in </w:t>
            </w:r>
            <w:r>
              <w:rPr>
                <w:rFonts w:ascii="Verdana" w:hAnsi="Verdana" w:cs="Arial"/>
                <w:sz w:val="24"/>
                <w:szCs w:val="24"/>
              </w:rPr>
              <w:t>getting</w:t>
            </w:r>
            <w:r w:rsidR="007B3957">
              <w:rPr>
                <w:rFonts w:ascii="Verdana" w:hAnsi="Verdana" w:cs="Arial"/>
                <w:sz w:val="24"/>
                <w:szCs w:val="24"/>
              </w:rPr>
              <w:t xml:space="preserve"> a</w:t>
            </w:r>
            <w:r>
              <w:rPr>
                <w:rFonts w:ascii="Verdana" w:hAnsi="Verdana" w:cs="Arial"/>
                <w:sz w:val="24"/>
                <w:szCs w:val="24"/>
              </w:rPr>
              <w:t xml:space="preserve"> new prescription from the prescriber on their own and </w:t>
            </w:r>
            <w:r w:rsidRPr="00DB26A7">
              <w:rPr>
                <w:rFonts w:ascii="Verdana" w:hAnsi="Verdana" w:cs="Arial"/>
                <w:sz w:val="24"/>
                <w:szCs w:val="24"/>
              </w:rPr>
              <w:t>no additional action was taken</w:t>
            </w:r>
            <w:r>
              <w:rPr>
                <w:rFonts w:ascii="Verdana" w:hAnsi="Verdana" w:cs="Arial"/>
                <w:sz w:val="24"/>
                <w:szCs w:val="24"/>
              </w:rPr>
              <w:t xml:space="preserve"> during the call.</w:t>
            </w:r>
          </w:p>
          <w:p w14:paraId="02BE1AE9" w14:textId="77777777" w:rsidR="00BA6834" w:rsidRDefault="00BA6834" w:rsidP="0043298B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2A2348">
              <w:rPr>
                <w:rFonts w:ascii="Verdana" w:hAnsi="Verdana" w:cs="Arial"/>
                <w:b/>
                <w:sz w:val="24"/>
                <w:szCs w:val="24"/>
              </w:rPr>
              <w:t>Inappropriate</w:t>
            </w:r>
          </w:p>
          <w:p w14:paraId="521B191C" w14:textId="77777777" w:rsidR="00BA6834" w:rsidRPr="001139FB" w:rsidRDefault="00BA6834" w:rsidP="0043298B">
            <w:pPr>
              <w:pStyle w:val="ListParagraph"/>
              <w:numPr>
                <w:ilvl w:val="1"/>
                <w:numId w:val="40"/>
              </w:numPr>
              <w:spacing w:before="120" w:after="120" w:line="276" w:lineRule="auto"/>
              <w:ind w:left="706"/>
              <w:rPr>
                <w:rFonts w:ascii="Verdana" w:hAnsi="Verdana" w:cs="Arial"/>
                <w:sz w:val="24"/>
                <w:szCs w:val="24"/>
              </w:rPr>
            </w:pPr>
            <w:r w:rsidRPr="00DB26A7">
              <w:rPr>
                <w:rFonts w:ascii="Verdana" w:hAnsi="Verdana" w:cs="Arial"/>
                <w:sz w:val="24"/>
                <w:szCs w:val="24"/>
              </w:rPr>
              <w:t xml:space="preserve">Member is </w:t>
            </w:r>
            <w:r>
              <w:rPr>
                <w:rFonts w:ascii="Verdana" w:hAnsi="Verdana" w:cs="Arial"/>
                <w:sz w:val="24"/>
                <w:szCs w:val="24"/>
              </w:rPr>
              <w:t>not taking the medication any longer</w:t>
            </w:r>
            <w:r w:rsidR="00B8520A">
              <w:rPr>
                <w:rFonts w:ascii="Verdana" w:hAnsi="Verdana" w:cs="Arial"/>
                <w:sz w:val="24"/>
                <w:szCs w:val="24"/>
              </w:rPr>
              <w:t>.</w:t>
            </w:r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14:paraId="749F376A" w14:textId="77777777" w:rsidR="00BA6834" w:rsidRDefault="00BA6834" w:rsidP="0043298B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Not I</w:t>
            </w:r>
            <w:r w:rsidRPr="002A2348">
              <w:rPr>
                <w:rFonts w:ascii="Verdana" w:hAnsi="Verdana" w:cs="Arial"/>
                <w:b/>
                <w:sz w:val="24"/>
                <w:szCs w:val="24"/>
              </w:rPr>
              <w:t>nterested</w:t>
            </w:r>
          </w:p>
          <w:p w14:paraId="1B1DD219" w14:textId="77777777" w:rsidR="00BA6834" w:rsidRDefault="00BA6834" w:rsidP="0043298B">
            <w:pPr>
              <w:pStyle w:val="ListParagraph"/>
              <w:numPr>
                <w:ilvl w:val="1"/>
                <w:numId w:val="41"/>
              </w:numPr>
              <w:spacing w:before="120" w:after="120"/>
              <w:ind w:left="706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</w:t>
            </w:r>
            <w:r w:rsidRPr="002A2348">
              <w:rPr>
                <w:rFonts w:ascii="Verdana" w:hAnsi="Verdana" w:cs="Arial"/>
                <w:sz w:val="24"/>
                <w:szCs w:val="24"/>
              </w:rPr>
              <w:t xml:space="preserve">ember says “No” or </w:t>
            </w:r>
            <w:r>
              <w:rPr>
                <w:rFonts w:ascii="Verdana" w:hAnsi="Verdana" w:cs="Arial"/>
                <w:sz w:val="24"/>
                <w:szCs w:val="24"/>
              </w:rPr>
              <w:t xml:space="preserve">is </w:t>
            </w:r>
            <w:r w:rsidRPr="002A2348">
              <w:rPr>
                <w:rFonts w:ascii="Verdana" w:hAnsi="Verdana" w:cs="Arial"/>
                <w:sz w:val="24"/>
                <w:szCs w:val="24"/>
              </w:rPr>
              <w:t xml:space="preserve">not interested in </w:t>
            </w:r>
            <w:r>
              <w:rPr>
                <w:rFonts w:ascii="Verdana" w:hAnsi="Verdana" w:cs="Arial"/>
                <w:sz w:val="24"/>
                <w:szCs w:val="24"/>
              </w:rPr>
              <w:t>getting a new prescription</w:t>
            </w:r>
            <w:r w:rsidR="00B8520A">
              <w:rPr>
                <w:rFonts w:ascii="Verdana" w:hAnsi="Verdana" w:cs="Arial"/>
                <w:sz w:val="24"/>
                <w:szCs w:val="24"/>
              </w:rPr>
              <w:t>.</w:t>
            </w:r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14:paraId="6211D4D5" w14:textId="5FD4F74A" w:rsidR="00D75EA0" w:rsidRPr="00104BDB" w:rsidRDefault="005B1A62" w:rsidP="000C0055">
            <w:pPr>
              <w:spacing w:before="120" w:after="120"/>
              <w:rPr>
                <w:rFonts w:ascii="Verdana" w:hAnsi="Verdana" w:cs="Arial"/>
              </w:rPr>
            </w:pPr>
            <w:r w:rsidRPr="10B6F7EC">
              <w:rPr>
                <w:rFonts w:ascii="Verdana" w:hAnsi="Verdana" w:cs="Arial"/>
                <w:b/>
                <w:bCs/>
              </w:rPr>
              <w:t>Note:</w:t>
            </w:r>
            <w:r w:rsidRPr="10B6F7EC">
              <w:rPr>
                <w:rFonts w:ascii="Verdana" w:hAnsi="Verdana" w:cs="Arial"/>
              </w:rPr>
              <w:t xml:space="preserve">  </w:t>
            </w:r>
            <w:r w:rsidR="00BA6834" w:rsidRPr="10B6F7EC">
              <w:rPr>
                <w:rFonts w:ascii="Verdana" w:hAnsi="Verdana" w:cs="Arial"/>
              </w:rPr>
              <w:t xml:space="preserve">Refer to </w:t>
            </w:r>
            <w:hyperlink r:id="rId17" w:anchor="!/view?docid=c2732a43-0453-4dab-a245-537dbe97d1e0">
              <w:r w:rsidR="000C0055">
                <w:rPr>
                  <w:rStyle w:val="Hyperlink"/>
                  <w:rFonts w:ascii="Verdana" w:hAnsi="Verdana" w:cs="Arial"/>
                </w:rPr>
                <w:t>Health Engagement Engine (HEE) – View Opportunities (022708)</w:t>
              </w:r>
            </w:hyperlink>
            <w:r w:rsidR="00BA6834" w:rsidRPr="10B6F7EC">
              <w:rPr>
                <w:rFonts w:ascii="Verdana" w:hAnsi="Verdana" w:cs="Arial"/>
                <w:b/>
                <w:bCs/>
              </w:rPr>
              <w:t xml:space="preserve"> </w:t>
            </w:r>
            <w:r w:rsidR="00BA6834" w:rsidRPr="10B6F7EC">
              <w:rPr>
                <w:rFonts w:ascii="Verdana" w:hAnsi="Verdana" w:cs="Arial"/>
              </w:rPr>
              <w:t>for more information.</w:t>
            </w:r>
          </w:p>
        </w:tc>
      </w:tr>
      <w:tr w:rsidR="00BA6834" w:rsidRPr="00104BDB" w14:paraId="789D5BFF" w14:textId="77777777" w:rsidTr="0043298B">
        <w:trPr>
          <w:gridAfter w:val="1"/>
          <w:wAfter w:w="17" w:type="pct"/>
        </w:trPr>
        <w:tc>
          <w:tcPr>
            <w:tcW w:w="387" w:type="pct"/>
          </w:tcPr>
          <w:p w14:paraId="78C630B9" w14:textId="77777777" w:rsidR="00BA6834" w:rsidRPr="00433FB3" w:rsidRDefault="00433FB3" w:rsidP="000C0055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433FB3"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4596" w:type="pct"/>
          </w:tcPr>
          <w:p w14:paraId="66482416" w14:textId="77777777" w:rsidR="00D75EA0" w:rsidRPr="00104BDB" w:rsidRDefault="00BA6834" w:rsidP="000C0055">
            <w:pPr>
              <w:spacing w:before="120" w:after="120"/>
              <w:rPr>
                <w:rFonts w:ascii="Verdana" w:hAnsi="Verdana" w:cs="Arial"/>
              </w:rPr>
            </w:pPr>
            <w:r w:rsidRPr="00104BDB">
              <w:rPr>
                <w:rFonts w:ascii="Verdana" w:hAnsi="Verdana" w:cs="Arial"/>
              </w:rPr>
              <w:t xml:space="preserve">Leave </w:t>
            </w:r>
            <w:r w:rsidRPr="00104BDB">
              <w:rPr>
                <w:rFonts w:ascii="Verdana" w:hAnsi="Verdana" w:cs="Arial"/>
                <w:b/>
              </w:rPr>
              <w:t>Comments</w:t>
            </w:r>
            <w:r w:rsidRPr="00104BDB">
              <w:rPr>
                <w:rFonts w:ascii="Verdana" w:hAnsi="Verdana" w:cs="Arial"/>
              </w:rPr>
              <w:t xml:space="preserve"> section blank. No information is required.</w:t>
            </w:r>
          </w:p>
        </w:tc>
      </w:tr>
    </w:tbl>
    <w:p w14:paraId="47DF3714" w14:textId="77777777" w:rsidR="00AA3FD7" w:rsidRPr="004161BE" w:rsidRDefault="00AA3FD7" w:rsidP="0043298B">
      <w:pPr>
        <w:spacing w:before="120" w:after="120"/>
        <w:jc w:val="right"/>
        <w:rPr>
          <w:rFonts w:ascii="Verdana" w:hAnsi="Verdana" w:cs="Arial"/>
        </w:rPr>
      </w:pPr>
      <w:bookmarkStart w:id="6" w:name="_Updates_to_Client"/>
      <w:bookmarkStart w:id="7" w:name="_Make_a_One-Time"/>
      <w:bookmarkStart w:id="8" w:name="_Available_Task_Types"/>
      <w:bookmarkStart w:id="9" w:name="_Various_Work_Instructions_2"/>
      <w:bookmarkStart w:id="10" w:name="_Working_“Immediate_Need”"/>
      <w:bookmarkStart w:id="11" w:name="_Log_Activity:"/>
      <w:bookmarkStart w:id="12" w:name="_Resolution_Time:"/>
      <w:bookmarkEnd w:id="6"/>
      <w:bookmarkEnd w:id="7"/>
      <w:bookmarkEnd w:id="8"/>
      <w:bookmarkEnd w:id="9"/>
      <w:bookmarkEnd w:id="10"/>
      <w:bookmarkEnd w:id="11"/>
      <w:bookmarkEnd w:id="12"/>
    </w:p>
    <w:p w14:paraId="5950D467" w14:textId="791BA79A" w:rsidR="000017C8" w:rsidRDefault="00000000" w:rsidP="0043298B">
      <w:pPr>
        <w:autoSpaceDE w:val="0"/>
        <w:autoSpaceDN w:val="0"/>
        <w:adjustRightInd w:val="0"/>
        <w:spacing w:before="120" w:after="120"/>
        <w:jc w:val="right"/>
        <w:rPr>
          <w:rFonts w:ascii="Verdana" w:hAnsi="Verdana" w:cs="Arial"/>
        </w:rPr>
      </w:pPr>
      <w:hyperlink w:anchor="_top" w:history="1">
        <w:r w:rsidR="000017C8" w:rsidRPr="00C4062C">
          <w:rPr>
            <w:rStyle w:val="Hyperlink"/>
            <w:rFonts w:ascii="Verdana" w:hAnsi="Verdana" w:cs="Arial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77276" w:rsidRPr="004161BE" w14:paraId="2321ACA3" w14:textId="77777777" w:rsidTr="00A4403A">
        <w:tc>
          <w:tcPr>
            <w:tcW w:w="5000" w:type="pct"/>
            <w:shd w:val="clear" w:color="auto" w:fill="C0C0C0"/>
          </w:tcPr>
          <w:p w14:paraId="0CF160F7" w14:textId="77777777" w:rsidR="00177276" w:rsidRPr="00D75EA0" w:rsidRDefault="005B1A62" w:rsidP="000C005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3" w:name="_Alternatives"/>
            <w:bookmarkStart w:id="14" w:name="_Toc124508205"/>
            <w:bookmarkEnd w:id="13"/>
            <w:r w:rsidRPr="00D75EA0">
              <w:rPr>
                <w:rFonts w:ascii="Verdana" w:hAnsi="Verdana"/>
                <w:i w:val="0"/>
              </w:rPr>
              <w:t>Frequently Asked Questions</w:t>
            </w:r>
            <w:bookmarkEnd w:id="14"/>
          </w:p>
        </w:tc>
      </w:tr>
    </w:tbl>
    <w:p w14:paraId="5C16E6DE" w14:textId="77777777" w:rsidR="000C0055" w:rsidRDefault="000C0055" w:rsidP="0043298B">
      <w:pPr>
        <w:spacing w:before="120" w:after="120"/>
        <w:contextualSpacing/>
        <w:rPr>
          <w:rFonts w:ascii="Verdana" w:hAnsi="Verdana"/>
          <w:bCs/>
          <w:color w:val="000000"/>
        </w:rPr>
      </w:pPr>
    </w:p>
    <w:p w14:paraId="5DE8B8F0" w14:textId="3E68F8A0" w:rsidR="00D75EA0" w:rsidRDefault="00434A53" w:rsidP="000C0055">
      <w:pPr>
        <w:spacing w:before="120" w:after="120"/>
        <w:rPr>
          <w:rFonts w:ascii="Verdana" w:hAnsi="Verdana"/>
          <w:bCs/>
          <w:color w:val="000000"/>
        </w:rPr>
      </w:pPr>
      <w:r w:rsidRPr="004161BE">
        <w:rPr>
          <w:rFonts w:ascii="Verdana" w:hAnsi="Verdana"/>
          <w:bCs/>
          <w:color w:val="000000"/>
        </w:rPr>
        <w:t>Use as needed: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8"/>
        <w:gridCol w:w="3214"/>
        <w:gridCol w:w="9166"/>
      </w:tblGrid>
      <w:tr w:rsidR="00234A45" w:rsidRPr="004161BE" w14:paraId="2BC49C51" w14:textId="77777777" w:rsidTr="00CF52A9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0BB338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161BE">
              <w:rPr>
                <w:rFonts w:ascii="Verdana" w:hAnsi="Verdana"/>
                <w:b/>
                <w:bCs/>
                <w:color w:val="000000"/>
              </w:rPr>
              <w:t>#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E731A1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161BE">
              <w:rPr>
                <w:rFonts w:ascii="Verdana" w:hAnsi="Verdana"/>
                <w:b/>
                <w:bCs/>
                <w:color w:val="000000"/>
              </w:rPr>
              <w:t>Question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67AF80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161BE">
              <w:rPr>
                <w:rFonts w:ascii="Verdana" w:hAnsi="Verdana"/>
                <w:b/>
                <w:bCs/>
                <w:color w:val="000000"/>
              </w:rPr>
              <w:t>Answer</w:t>
            </w:r>
          </w:p>
        </w:tc>
      </w:tr>
      <w:tr w:rsidR="00234A45" w:rsidRPr="004161BE" w14:paraId="787DA5BF" w14:textId="77777777" w:rsidTr="00A4403A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8899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161BE">
              <w:rPr>
                <w:rFonts w:ascii="Verdana" w:hAnsi="Verdana"/>
                <w:b/>
                <w:bCs/>
                <w:color w:val="000000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E1FC4" w14:textId="77777777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>Who is eligible for the Proactive Refill Reminder at Mail program?</w:t>
            </w:r>
          </w:p>
          <w:p w14:paraId="11F54EF0" w14:textId="77777777" w:rsidR="00234A45" w:rsidRPr="005B1A62" w:rsidRDefault="00234A45" w:rsidP="000C0055">
            <w:pPr>
              <w:spacing w:before="120" w:after="120"/>
              <w:jc w:val="center"/>
              <w:rPr>
                <w:rFonts w:ascii="Verdana" w:hAnsi="Verdana"/>
                <w:bCs/>
                <w:color w:val="000000"/>
              </w:rPr>
            </w:pP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21187" w14:textId="37FB790E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The Proactive Refill Reminder program is available to the members of Commercial Employer and Commercial Health Plan clients. The members are targeted because they have </w:t>
            </w:r>
            <w:r w:rsidR="007D19D1">
              <w:rPr>
                <w:rFonts w:ascii="Verdana" w:hAnsi="Verdana"/>
                <w:bCs/>
                <w:color w:val="000000"/>
              </w:rPr>
              <w:t>zero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refill</w:t>
            </w:r>
            <w:r w:rsidR="007B3957">
              <w:rPr>
                <w:rFonts w:ascii="Verdana" w:hAnsi="Verdana"/>
                <w:bCs/>
                <w:color w:val="000000"/>
              </w:rPr>
              <w:t>s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left on an eligible maintenance medication. </w:t>
            </w:r>
          </w:p>
          <w:p w14:paraId="1DC70E55" w14:textId="01208DB7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</w:t>
            </w:r>
            <w:r w:rsidR="00C4062C">
              <w:rPr>
                <w:rFonts w:ascii="Verdana" w:hAnsi="Verdana"/>
                <w:bCs/>
                <w:color w:val="000000"/>
              </w:rPr>
              <w:t xml:space="preserve"> </w:t>
            </w:r>
            <w:r w:rsidRPr="005B1A62">
              <w:rPr>
                <w:rFonts w:ascii="Verdana" w:hAnsi="Verdana"/>
                <w:bCs/>
                <w:color w:val="000000"/>
              </w:rPr>
              <w:t>A Medicare and Medicaid offering is not available at this time</w:t>
            </w:r>
            <w:r w:rsidR="00EB16E6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234A45" w:rsidRPr="004161BE" w14:paraId="07C1FD42" w14:textId="77777777" w:rsidTr="00A4403A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C8C8C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161BE">
              <w:rPr>
                <w:rFonts w:ascii="Verdana" w:hAnsi="Verdana"/>
                <w:b/>
                <w:bCs/>
                <w:color w:val="000000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88997" w14:textId="455FD50B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>How does the Proactive Refill Reminder at Mail program work</w:t>
            </w:r>
            <w:r w:rsidR="0043298B" w:rsidRPr="005B1A62">
              <w:rPr>
                <w:rFonts w:ascii="Verdana" w:hAnsi="Verdana"/>
                <w:bCs/>
                <w:color w:val="000000"/>
              </w:rPr>
              <w:t xml:space="preserve">? 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1836" w14:textId="77777777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The members are targeted because they have </w:t>
            </w:r>
            <w:r w:rsidR="007D19D1">
              <w:rPr>
                <w:rFonts w:ascii="Verdana" w:hAnsi="Verdana"/>
                <w:bCs/>
                <w:color w:val="000000"/>
              </w:rPr>
              <w:t>zero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refill</w:t>
            </w:r>
            <w:r w:rsidR="007B3957">
              <w:rPr>
                <w:rFonts w:ascii="Verdana" w:hAnsi="Verdana"/>
                <w:bCs/>
                <w:color w:val="000000"/>
              </w:rPr>
              <w:t>s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left on an eligible maintenance medication filled through </w:t>
            </w:r>
            <w:r w:rsidR="00971CA5">
              <w:rPr>
                <w:rFonts w:ascii="Verdana" w:hAnsi="Verdana"/>
                <w:bCs/>
                <w:color w:val="000000"/>
              </w:rPr>
              <w:t xml:space="preserve">the 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Mail. </w:t>
            </w:r>
          </w:p>
          <w:p w14:paraId="4844857E" w14:textId="77777777" w:rsidR="00D75EA0" w:rsidRPr="005B1A62" w:rsidRDefault="00234A45" w:rsidP="000C0055">
            <w:pPr>
              <w:numPr>
                <w:ilvl w:val="0"/>
                <w:numId w:val="42"/>
              </w:numPr>
              <w:spacing w:before="120" w:after="120"/>
              <w:ind w:left="466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If a member calls into Customer Care, the </w:t>
            </w:r>
            <w:r w:rsidR="007B3957">
              <w:rPr>
                <w:rFonts w:ascii="Verdana" w:hAnsi="Verdana"/>
                <w:bCs/>
                <w:color w:val="000000"/>
              </w:rPr>
              <w:t>C</w:t>
            </w:r>
            <w:r w:rsidR="007B3957" w:rsidRPr="005B1A62">
              <w:rPr>
                <w:rFonts w:ascii="Verdana" w:hAnsi="Verdana"/>
                <w:bCs/>
                <w:color w:val="000000"/>
              </w:rPr>
              <w:t xml:space="preserve">ustomer </w:t>
            </w:r>
            <w:r w:rsidR="007B3957">
              <w:rPr>
                <w:rFonts w:ascii="Verdana" w:hAnsi="Verdana"/>
                <w:bCs/>
                <w:color w:val="000000"/>
              </w:rPr>
              <w:t>C</w:t>
            </w:r>
            <w:r w:rsidR="007B3957" w:rsidRPr="005B1A62">
              <w:rPr>
                <w:rFonts w:ascii="Verdana" w:hAnsi="Verdana"/>
                <w:bCs/>
                <w:color w:val="000000"/>
              </w:rPr>
              <w:t xml:space="preserve">are </w:t>
            </w:r>
            <w:r w:rsidR="007B3957">
              <w:rPr>
                <w:rFonts w:ascii="Verdana" w:hAnsi="Verdana"/>
                <w:bCs/>
                <w:color w:val="000000"/>
              </w:rPr>
              <w:t>R</w:t>
            </w:r>
            <w:r w:rsidR="007B3957" w:rsidRPr="005B1A62">
              <w:rPr>
                <w:rFonts w:ascii="Verdana" w:hAnsi="Verdana"/>
                <w:bCs/>
                <w:color w:val="000000"/>
              </w:rPr>
              <w:t xml:space="preserve">epresentative </w:t>
            </w:r>
            <w:r w:rsidRPr="005B1A62">
              <w:rPr>
                <w:rFonts w:ascii="Verdana" w:hAnsi="Verdana"/>
                <w:bCs/>
                <w:color w:val="000000"/>
              </w:rPr>
              <w:t>will be alerted to medication</w:t>
            </w:r>
            <w:r w:rsidR="007B3957">
              <w:rPr>
                <w:rFonts w:ascii="Verdana" w:hAnsi="Verdana"/>
                <w:bCs/>
                <w:color w:val="000000"/>
              </w:rPr>
              <w:t>s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with </w:t>
            </w:r>
            <w:r w:rsidR="00EB16E6">
              <w:rPr>
                <w:rFonts w:ascii="Verdana" w:hAnsi="Verdana"/>
                <w:bCs/>
                <w:color w:val="000000"/>
              </w:rPr>
              <w:t>zero</w:t>
            </w:r>
            <w:r w:rsidR="00EB16E6" w:rsidRPr="005B1A62">
              <w:rPr>
                <w:rFonts w:ascii="Verdana" w:hAnsi="Verdana"/>
                <w:bCs/>
                <w:color w:val="000000"/>
              </w:rPr>
              <w:t xml:space="preserve"> </w:t>
            </w:r>
            <w:r w:rsidRPr="005B1A62">
              <w:rPr>
                <w:rFonts w:ascii="Verdana" w:hAnsi="Verdana"/>
                <w:bCs/>
                <w:color w:val="000000"/>
              </w:rPr>
              <w:t>refills and offer the member the chance to renew the prescription for the member.</w:t>
            </w:r>
          </w:p>
        </w:tc>
      </w:tr>
      <w:tr w:rsidR="00234A45" w:rsidRPr="004161BE" w14:paraId="54274F3B" w14:textId="77777777" w:rsidTr="00A4403A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D6F38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4161BE">
              <w:rPr>
                <w:rFonts w:ascii="Verdana" w:hAnsi="Verdana"/>
                <w:b/>
                <w:bCs/>
                <w:color w:val="000000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0918E" w14:textId="77777777" w:rsidR="00971CA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>How will members know about the Proactive Refill Reminder at Mail program?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CE91A" w14:textId="77777777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There are no outbound communications as part of this program. A member will </w:t>
            </w:r>
            <w:r w:rsidR="007B3957" w:rsidRPr="005B1A62">
              <w:rPr>
                <w:rFonts w:ascii="Verdana" w:hAnsi="Verdana"/>
                <w:bCs/>
                <w:color w:val="000000"/>
              </w:rPr>
              <w:t>be informed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of this opportunity to renew a prescription if they call into Customer Care. </w:t>
            </w:r>
          </w:p>
        </w:tc>
      </w:tr>
      <w:tr w:rsidR="00234A45" w:rsidRPr="004161BE" w14:paraId="6CEA3D9C" w14:textId="77777777" w:rsidTr="00A4403A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75A89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8F3EA" w14:textId="77777777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>How should an opportunity be closed out after speaking to the member</w:t>
            </w:r>
            <w:r w:rsidR="007B3957">
              <w:rPr>
                <w:rFonts w:ascii="Verdana" w:hAnsi="Verdana"/>
                <w:bCs/>
                <w:color w:val="000000"/>
              </w:rPr>
              <w:t>?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300D" w14:textId="77777777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>Refer to the work instructions on the valid dispositions for this opportunity</w:t>
            </w:r>
            <w:r w:rsidR="007B3957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234A45" w:rsidRPr="004161BE" w14:paraId="00BC574D" w14:textId="77777777" w:rsidTr="00A4403A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A702C" w14:textId="77777777" w:rsidR="00234A45" w:rsidRPr="004161BE" w:rsidRDefault="00234A45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5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E3468" w14:textId="0BA976E4" w:rsidR="00234A45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How can a member avoid this </w:t>
            </w:r>
            <w:r w:rsidR="001666FF" w:rsidRPr="005B1A62">
              <w:rPr>
                <w:rFonts w:ascii="Verdana" w:hAnsi="Verdana"/>
                <w:bCs/>
                <w:color w:val="000000"/>
              </w:rPr>
              <w:t>zero-refill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situation for other medications?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4D53" w14:textId="77777777" w:rsidR="00D75EA0" w:rsidRPr="005B1A62" w:rsidRDefault="00234A45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The representative should check and see if there are other valid medications that are eligible for the </w:t>
            </w:r>
            <w:r w:rsidR="000E7470">
              <w:rPr>
                <w:rFonts w:ascii="Verdana" w:hAnsi="Verdana"/>
                <w:bCs/>
                <w:color w:val="000000"/>
              </w:rPr>
              <w:t>Auto Refill and Renewal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service and instruct the member on enrolling those medication </w:t>
            </w:r>
            <w:r w:rsidR="007B3957">
              <w:rPr>
                <w:rFonts w:ascii="Verdana" w:hAnsi="Verdana"/>
                <w:bCs/>
                <w:color w:val="000000"/>
              </w:rPr>
              <w:t>in</w:t>
            </w:r>
            <w:r w:rsidRPr="005B1A62">
              <w:rPr>
                <w:rFonts w:ascii="Verdana" w:hAnsi="Verdana"/>
                <w:bCs/>
                <w:color w:val="000000"/>
              </w:rPr>
              <w:t>to auto-renewal and auto-refill.</w:t>
            </w:r>
          </w:p>
        </w:tc>
      </w:tr>
      <w:tr w:rsidR="00BA6834" w14:paraId="58BA7610" w14:textId="77777777" w:rsidTr="00A4403A"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DD8E6" w14:textId="77777777" w:rsidR="00BA6834" w:rsidRDefault="00BA6834" w:rsidP="000C005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6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6C4AD" w14:textId="77777777" w:rsidR="00BA6834" w:rsidRPr="005B1A62" w:rsidRDefault="00BA6834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What is the difference between Proactive Mail Renewal and </w:t>
            </w:r>
            <w:r w:rsidR="000E7470">
              <w:rPr>
                <w:rFonts w:ascii="Verdana" w:hAnsi="Verdana"/>
                <w:bCs/>
                <w:color w:val="000000"/>
              </w:rPr>
              <w:t>Auto Refill and Renewal</w:t>
            </w:r>
            <w:r w:rsidRPr="005B1A62">
              <w:rPr>
                <w:rFonts w:ascii="Verdana" w:hAnsi="Verdana"/>
                <w:bCs/>
                <w:color w:val="000000"/>
              </w:rPr>
              <w:t>?</w:t>
            </w:r>
          </w:p>
        </w:tc>
        <w:tc>
          <w:tcPr>
            <w:tcW w:w="3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ECFA" w14:textId="77777777" w:rsidR="00BA6834" w:rsidRPr="005B1A62" w:rsidRDefault="000E7470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Auto Refill and Renewal</w:t>
            </w:r>
            <w:r w:rsidR="00BA6834" w:rsidRPr="005B1A62">
              <w:rPr>
                <w:rFonts w:ascii="Verdana" w:hAnsi="Verdana"/>
                <w:bCs/>
                <w:color w:val="000000"/>
              </w:rPr>
              <w:t xml:space="preserve"> is an automatic refill and renewal program. Once a member’s prescription is enrolled in </w:t>
            </w:r>
            <w:r>
              <w:rPr>
                <w:rFonts w:ascii="Verdana" w:hAnsi="Verdana"/>
                <w:bCs/>
                <w:color w:val="000000"/>
              </w:rPr>
              <w:t>Auto Refill and Renewal</w:t>
            </w:r>
            <w:r w:rsidR="00BA6834" w:rsidRPr="005B1A62">
              <w:rPr>
                <w:rFonts w:ascii="Verdana" w:hAnsi="Verdana"/>
                <w:bCs/>
                <w:color w:val="000000"/>
              </w:rPr>
              <w:t xml:space="preserve">, refills on medication are automatically mailed to customers and when 0 refills remain, </w:t>
            </w:r>
            <w:r w:rsidR="00971CA5">
              <w:rPr>
                <w:rFonts w:ascii="Verdana" w:hAnsi="Verdana"/>
                <w:bCs/>
                <w:color w:val="000000"/>
              </w:rPr>
              <w:t>the PBM</w:t>
            </w:r>
            <w:r w:rsidR="00BA6834" w:rsidRPr="005B1A62">
              <w:rPr>
                <w:rFonts w:ascii="Verdana" w:hAnsi="Verdana"/>
                <w:bCs/>
                <w:color w:val="000000"/>
              </w:rPr>
              <w:t xml:space="preserve"> will outreach to the doctor for a new prescription so the member will not have to schedule a separate appointment or remember to call the doctor. </w:t>
            </w:r>
          </w:p>
          <w:p w14:paraId="2DB6FB47" w14:textId="77777777" w:rsidR="00BA6834" w:rsidRPr="005B1A62" w:rsidRDefault="00BA6834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5FD29F11" w14:textId="3F66E0B0" w:rsidR="00BA6834" w:rsidRPr="005B1A62" w:rsidRDefault="00BA6834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Proactive Mail Renewal will only target members’ prescriptions not enrolled in </w:t>
            </w:r>
            <w:r w:rsidR="000E7470">
              <w:rPr>
                <w:rFonts w:ascii="Verdana" w:hAnsi="Verdana"/>
                <w:bCs/>
                <w:color w:val="000000"/>
              </w:rPr>
              <w:t>Auto Refill and Renewal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with 0 refills remaining. The program will contact the doctor to provide a single </w:t>
            </w:r>
            <w:r w:rsidR="001666FF" w:rsidRPr="005B1A62">
              <w:rPr>
                <w:rFonts w:ascii="Verdana" w:hAnsi="Verdana"/>
                <w:bCs/>
                <w:color w:val="000000"/>
              </w:rPr>
              <w:t>90-day</w:t>
            </w:r>
            <w:r w:rsidRPr="005B1A62">
              <w:rPr>
                <w:rFonts w:ascii="Verdana" w:hAnsi="Verdana"/>
                <w:bCs/>
                <w:color w:val="000000"/>
              </w:rPr>
              <w:t xml:space="preserve"> supply at mail, so the member will not run out of medication while waiting for another prescription.</w:t>
            </w:r>
          </w:p>
          <w:p w14:paraId="2E2D4BEF" w14:textId="77777777" w:rsidR="00BA6834" w:rsidRPr="005B1A62" w:rsidRDefault="00BA6834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1AC6D3DD" w14:textId="77777777" w:rsidR="00D75EA0" w:rsidRPr="005B1A62" w:rsidRDefault="00BA6834" w:rsidP="000C0055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5B1A62">
              <w:rPr>
                <w:rFonts w:ascii="Verdana" w:hAnsi="Verdana"/>
                <w:bCs/>
                <w:color w:val="000000"/>
              </w:rPr>
              <w:t xml:space="preserve">The representative should remind the member that similar situations can be avoided by enrolling their new and existing prescriptions in </w:t>
            </w:r>
            <w:r w:rsidR="000E7470">
              <w:rPr>
                <w:rFonts w:ascii="Verdana" w:hAnsi="Verdana"/>
                <w:bCs/>
                <w:color w:val="000000"/>
              </w:rPr>
              <w:t>Auto Refill and Renewal</w:t>
            </w:r>
            <w:r w:rsidRPr="005B1A62">
              <w:rPr>
                <w:rFonts w:ascii="Verdana" w:hAnsi="Verdana"/>
                <w:bCs/>
                <w:color w:val="000000"/>
              </w:rPr>
              <w:t>.</w:t>
            </w:r>
          </w:p>
        </w:tc>
      </w:tr>
    </w:tbl>
    <w:p w14:paraId="0450272C" w14:textId="77777777" w:rsidR="000017C8" w:rsidRDefault="000017C8" w:rsidP="0043298B">
      <w:pPr>
        <w:autoSpaceDE w:val="0"/>
        <w:autoSpaceDN w:val="0"/>
        <w:adjustRightInd w:val="0"/>
        <w:spacing w:before="120" w:after="120"/>
        <w:jc w:val="right"/>
        <w:rPr>
          <w:rFonts w:ascii="Verdana" w:hAnsi="Verdana" w:cs="Arial"/>
        </w:rPr>
      </w:pPr>
    </w:p>
    <w:p w14:paraId="11FB70EB" w14:textId="04FE427E" w:rsidR="00A12E8D" w:rsidRDefault="00000000" w:rsidP="0043298B">
      <w:pPr>
        <w:autoSpaceDE w:val="0"/>
        <w:autoSpaceDN w:val="0"/>
        <w:adjustRightInd w:val="0"/>
        <w:spacing w:before="120" w:after="120"/>
        <w:jc w:val="right"/>
        <w:rPr>
          <w:rFonts w:ascii="Verdana" w:hAnsi="Verdana" w:cs="Arial"/>
        </w:rPr>
      </w:pPr>
      <w:hyperlink w:anchor="_top" w:history="1">
        <w:r w:rsidR="000017C8" w:rsidRPr="00C4062C">
          <w:rPr>
            <w:rStyle w:val="Hyperlink"/>
            <w:rFonts w:ascii="Verdana" w:hAnsi="Verdana" w:cs="Arial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12E8D" w14:paraId="6A69119C" w14:textId="77777777" w:rsidTr="004B576E">
        <w:tc>
          <w:tcPr>
            <w:tcW w:w="5000" w:type="pct"/>
            <w:shd w:val="clear" w:color="auto" w:fill="C0C0C0"/>
          </w:tcPr>
          <w:p w14:paraId="7627A81B" w14:textId="77777777" w:rsidR="00A12E8D" w:rsidRPr="00A4403A" w:rsidRDefault="00A12E8D" w:rsidP="000C005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5" w:name="_Toc124508206"/>
            <w:r>
              <w:rPr>
                <w:rFonts w:ascii="Verdana" w:hAnsi="Verdana"/>
                <w:i w:val="0"/>
              </w:rPr>
              <w:t>Related Documents</w:t>
            </w:r>
            <w:bookmarkEnd w:id="15"/>
          </w:p>
        </w:tc>
      </w:tr>
    </w:tbl>
    <w:p w14:paraId="121ED636" w14:textId="77777777" w:rsidR="001F20E5" w:rsidRDefault="001F20E5" w:rsidP="0043298B">
      <w:pPr>
        <w:autoSpaceDE w:val="0"/>
        <w:autoSpaceDN w:val="0"/>
        <w:adjustRightInd w:val="0"/>
        <w:spacing w:before="120" w:after="120"/>
        <w:contextualSpacing/>
      </w:pPr>
    </w:p>
    <w:p w14:paraId="5BD58CF9" w14:textId="2B77DDF8" w:rsidR="00EB16E6" w:rsidRDefault="00000000" w:rsidP="000C0055">
      <w:pPr>
        <w:autoSpaceDE w:val="0"/>
        <w:autoSpaceDN w:val="0"/>
        <w:adjustRightInd w:val="0"/>
        <w:spacing w:before="120" w:after="120"/>
        <w:rPr>
          <w:rFonts w:ascii="Verdana" w:eastAsia="Verdana" w:hAnsi="Verdana" w:cs="Verdana"/>
        </w:rPr>
      </w:pPr>
      <w:hyperlink r:id="rId18" w:anchor="!/view?docid=c1f1028b-e42c-4b4f-a4cf-cc0b42c91606">
        <w:r w:rsidR="001F20E5">
          <w:rPr>
            <w:rStyle w:val="Hyperlink"/>
            <w:rFonts w:ascii="Verdana" w:hAnsi="Verdana"/>
          </w:rPr>
          <w:t>Customer Care Abbreviations, Definitions, and Terms Index (017428)</w:t>
        </w:r>
      </w:hyperlink>
      <w:r w:rsidR="270FDF6C" w:rsidRPr="10B6F7EC">
        <w:rPr>
          <w:rFonts w:ascii="Verdana" w:hAnsi="Verdana"/>
        </w:rPr>
        <w:t xml:space="preserve"> </w:t>
      </w:r>
    </w:p>
    <w:p w14:paraId="2A8E1D9A" w14:textId="58E95309" w:rsidR="00A12E8D" w:rsidRDefault="00A12E8D" w:rsidP="000C0055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A12E8D">
        <w:rPr>
          <w:rFonts w:ascii="Verdana" w:hAnsi="Verdana" w:cs="Arial"/>
          <w:b/>
        </w:rPr>
        <w:t xml:space="preserve">Parent </w:t>
      </w:r>
      <w:r w:rsidR="00EB16E6">
        <w:rPr>
          <w:rFonts w:ascii="Verdana" w:hAnsi="Verdana" w:cs="Arial"/>
          <w:b/>
        </w:rPr>
        <w:t>Document</w:t>
      </w:r>
      <w:r w:rsidRPr="00A12E8D">
        <w:rPr>
          <w:rFonts w:ascii="Verdana" w:hAnsi="Verdana" w:cs="Arial"/>
          <w:b/>
        </w:rPr>
        <w:t>:</w:t>
      </w:r>
      <w:r w:rsidR="00C4062C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 xml:space="preserve"> </w:t>
      </w:r>
      <w:hyperlink r:id="rId19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29125B10" w14:textId="72377AD9" w:rsidR="00A12E8D" w:rsidRDefault="00000000" w:rsidP="0043298B">
      <w:pPr>
        <w:autoSpaceDE w:val="0"/>
        <w:autoSpaceDN w:val="0"/>
        <w:adjustRightInd w:val="0"/>
        <w:spacing w:before="120" w:after="120"/>
        <w:jc w:val="right"/>
        <w:rPr>
          <w:rFonts w:ascii="Verdana" w:hAnsi="Verdana"/>
          <w:b/>
        </w:rPr>
      </w:pPr>
      <w:hyperlink w:anchor="_top" w:history="1">
        <w:r w:rsidR="00A12E8D" w:rsidRPr="00C4062C">
          <w:rPr>
            <w:rStyle w:val="Hyperlink"/>
            <w:rFonts w:ascii="Verdana" w:hAnsi="Verdana" w:cs="Arial"/>
          </w:rPr>
          <w:t>Top of the Document</w:t>
        </w:r>
      </w:hyperlink>
    </w:p>
    <w:p w14:paraId="403C3E8B" w14:textId="77777777" w:rsidR="00A12E8D" w:rsidRPr="00A12E8D" w:rsidRDefault="00A12E8D" w:rsidP="0043298B">
      <w:pPr>
        <w:autoSpaceDE w:val="0"/>
        <w:autoSpaceDN w:val="0"/>
        <w:adjustRightInd w:val="0"/>
        <w:spacing w:before="120" w:after="120"/>
        <w:rPr>
          <w:rFonts w:ascii="Verdana" w:hAnsi="Verdana" w:cs="Arial"/>
          <w:b/>
        </w:rPr>
      </w:pPr>
    </w:p>
    <w:p w14:paraId="62382A25" w14:textId="77777777" w:rsidR="00FD4AAA" w:rsidRPr="00AA3FD7" w:rsidRDefault="00B4636A" w:rsidP="0043298B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AA3FD7">
        <w:rPr>
          <w:rFonts w:ascii="Verdana" w:hAnsi="Verdana"/>
          <w:sz w:val="16"/>
          <w:szCs w:val="16"/>
        </w:rPr>
        <w:t>Not to be Reproduced o</w:t>
      </w:r>
      <w:r w:rsidR="00FD4AAA" w:rsidRPr="00AA3FD7">
        <w:rPr>
          <w:rFonts w:ascii="Verdana" w:hAnsi="Verdana"/>
          <w:sz w:val="16"/>
          <w:szCs w:val="16"/>
        </w:rPr>
        <w:t xml:space="preserve">r Disclosed to Others </w:t>
      </w:r>
      <w:r w:rsidR="00B86FFE" w:rsidRPr="00AA3FD7">
        <w:rPr>
          <w:rFonts w:ascii="Verdana" w:hAnsi="Verdana"/>
          <w:sz w:val="16"/>
          <w:szCs w:val="16"/>
        </w:rPr>
        <w:t>without</w:t>
      </w:r>
      <w:r w:rsidR="00FD4AAA" w:rsidRPr="00AA3FD7">
        <w:rPr>
          <w:rFonts w:ascii="Verdana" w:hAnsi="Verdana"/>
          <w:sz w:val="16"/>
          <w:szCs w:val="16"/>
        </w:rPr>
        <w:t xml:space="preserve"> Prior Written Approval</w:t>
      </w:r>
    </w:p>
    <w:p w14:paraId="1FB5AA81" w14:textId="77777777" w:rsidR="00FD4AAA" w:rsidRPr="00AA3FD7" w:rsidRDefault="00FD4AAA" w:rsidP="0043298B">
      <w:pPr>
        <w:spacing w:before="120" w:after="120"/>
        <w:jc w:val="center"/>
        <w:rPr>
          <w:rFonts w:ascii="Verdana" w:hAnsi="Verdana"/>
          <w:b/>
          <w:sz w:val="16"/>
          <w:szCs w:val="16"/>
        </w:rPr>
      </w:pPr>
      <w:r w:rsidRPr="00AA3FD7">
        <w:rPr>
          <w:rFonts w:ascii="Verdana" w:hAnsi="Verdana"/>
          <w:b/>
          <w:sz w:val="16"/>
          <w:szCs w:val="16"/>
        </w:rPr>
        <w:t>ELEC</w:t>
      </w:r>
      <w:r w:rsidR="001A28CB" w:rsidRPr="00AA3FD7">
        <w:rPr>
          <w:rFonts w:ascii="Verdana" w:hAnsi="Verdana"/>
          <w:b/>
          <w:sz w:val="16"/>
          <w:szCs w:val="16"/>
        </w:rPr>
        <w:t>TRONIC DATA = OFFICIAL VERSION / PAPER COPY =</w:t>
      </w:r>
      <w:r w:rsidRPr="00AA3FD7">
        <w:rPr>
          <w:rFonts w:ascii="Verdana" w:hAnsi="Verdana"/>
          <w:b/>
          <w:sz w:val="16"/>
          <w:szCs w:val="16"/>
        </w:rPr>
        <w:t xml:space="preserve"> INFORMATIONAL ONLY</w:t>
      </w:r>
    </w:p>
    <w:p w14:paraId="175AE145" w14:textId="77777777" w:rsidR="0002766B" w:rsidRPr="00AA3FD7" w:rsidRDefault="0002766B" w:rsidP="0043298B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02766B" w:rsidRPr="00AA3FD7" w:rsidSect="004161BE">
      <w:footerReference w:type="even" r:id="rId20"/>
      <w:footerReference w:type="defaul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642A" w14:textId="77777777" w:rsidR="00155688" w:rsidRDefault="00155688">
      <w:r>
        <w:separator/>
      </w:r>
    </w:p>
  </w:endnote>
  <w:endnote w:type="continuationSeparator" w:id="0">
    <w:p w14:paraId="78557830" w14:textId="77777777" w:rsidR="00155688" w:rsidRDefault="00155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32A2" w14:textId="77777777" w:rsidR="00173668" w:rsidRDefault="003730B6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736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F94166" w14:textId="77777777" w:rsidR="00173668" w:rsidRDefault="0017366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9468" w14:textId="77777777" w:rsidR="00173668" w:rsidRDefault="003730B6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73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01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1FEA" w14:textId="77777777" w:rsidR="00173668" w:rsidRDefault="0017366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EEC4" w14:textId="77777777" w:rsidR="00155688" w:rsidRDefault="00155688">
      <w:r>
        <w:separator/>
      </w:r>
    </w:p>
  </w:footnote>
  <w:footnote w:type="continuationSeparator" w:id="0">
    <w:p w14:paraId="2B931E71" w14:textId="77777777" w:rsidR="00155688" w:rsidRDefault="00155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2302"/>
    <w:multiLevelType w:val="hybridMultilevel"/>
    <w:tmpl w:val="BFEEC588"/>
    <w:lvl w:ilvl="0" w:tplc="92600A7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6A79B5"/>
    <w:multiLevelType w:val="hybridMultilevel"/>
    <w:tmpl w:val="D4F6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6B92206"/>
    <w:multiLevelType w:val="hybridMultilevel"/>
    <w:tmpl w:val="A8C058FA"/>
    <w:lvl w:ilvl="0" w:tplc="E94819D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7C1A13"/>
    <w:multiLevelType w:val="hybridMultilevel"/>
    <w:tmpl w:val="BD9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26D52"/>
    <w:multiLevelType w:val="hybridMultilevel"/>
    <w:tmpl w:val="E144A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836112"/>
    <w:multiLevelType w:val="hybridMultilevel"/>
    <w:tmpl w:val="3760C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9E641B"/>
    <w:multiLevelType w:val="hybridMultilevel"/>
    <w:tmpl w:val="7A163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6A633E"/>
    <w:multiLevelType w:val="hybridMultilevel"/>
    <w:tmpl w:val="2848A13A"/>
    <w:lvl w:ilvl="0" w:tplc="B1301C0C">
      <w:start w:val="1"/>
      <w:numFmt w:val="decimal"/>
      <w:lvlText w:val="%1"/>
      <w:lvlJc w:val="left"/>
      <w:pPr>
        <w:ind w:left="696" w:hanging="360"/>
      </w:pPr>
      <w:rPr>
        <w:rFonts w:ascii="Verdana" w:hAnsi="Verdana"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4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D510A7"/>
    <w:multiLevelType w:val="hybridMultilevel"/>
    <w:tmpl w:val="38A2F55A"/>
    <w:lvl w:ilvl="0" w:tplc="FEFA656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CD3919"/>
    <w:multiLevelType w:val="hybridMultilevel"/>
    <w:tmpl w:val="2D4C0C6C"/>
    <w:lvl w:ilvl="0" w:tplc="CD48D43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692221129">
    <w:abstractNumId w:val="22"/>
  </w:num>
  <w:num w:numId="2" w16cid:durableId="2114396765">
    <w:abstractNumId w:val="15"/>
  </w:num>
  <w:num w:numId="3" w16cid:durableId="1467890615">
    <w:abstractNumId w:val="25"/>
  </w:num>
  <w:num w:numId="4" w16cid:durableId="1544323020">
    <w:abstractNumId w:val="0"/>
  </w:num>
  <w:num w:numId="5" w16cid:durableId="1243295990">
    <w:abstractNumId w:val="3"/>
  </w:num>
  <w:num w:numId="6" w16cid:durableId="674765858">
    <w:abstractNumId w:val="28"/>
  </w:num>
  <w:num w:numId="7" w16cid:durableId="713426167">
    <w:abstractNumId w:val="31"/>
  </w:num>
  <w:num w:numId="8" w16cid:durableId="1486773317">
    <w:abstractNumId w:val="2"/>
  </w:num>
  <w:num w:numId="9" w16cid:durableId="1844467102">
    <w:abstractNumId w:val="40"/>
  </w:num>
  <w:num w:numId="10" w16cid:durableId="1575167723">
    <w:abstractNumId w:val="4"/>
  </w:num>
  <w:num w:numId="11" w16cid:durableId="953294060">
    <w:abstractNumId w:val="38"/>
  </w:num>
  <w:num w:numId="12" w16cid:durableId="1761828160">
    <w:abstractNumId w:val="8"/>
  </w:num>
  <w:num w:numId="13" w16cid:durableId="1039358130">
    <w:abstractNumId w:val="23"/>
  </w:num>
  <w:num w:numId="14" w16cid:durableId="190917455">
    <w:abstractNumId w:val="12"/>
  </w:num>
  <w:num w:numId="15" w16cid:durableId="938102988">
    <w:abstractNumId w:val="36"/>
  </w:num>
  <w:num w:numId="16" w16cid:durableId="913205887">
    <w:abstractNumId w:val="19"/>
  </w:num>
  <w:num w:numId="17" w16cid:durableId="479545366">
    <w:abstractNumId w:val="30"/>
  </w:num>
  <w:num w:numId="18" w16cid:durableId="571811544">
    <w:abstractNumId w:val="37"/>
  </w:num>
  <w:num w:numId="19" w16cid:durableId="358092041">
    <w:abstractNumId w:val="27"/>
  </w:num>
  <w:num w:numId="20" w16cid:durableId="2057049153">
    <w:abstractNumId w:val="18"/>
  </w:num>
  <w:num w:numId="21" w16cid:durableId="1880625811">
    <w:abstractNumId w:val="24"/>
  </w:num>
  <w:num w:numId="22" w16cid:durableId="1380200812">
    <w:abstractNumId w:val="6"/>
  </w:num>
  <w:num w:numId="23" w16cid:durableId="206333421">
    <w:abstractNumId w:val="13"/>
  </w:num>
  <w:num w:numId="24" w16cid:durableId="1584951044">
    <w:abstractNumId w:val="34"/>
  </w:num>
  <w:num w:numId="25" w16cid:durableId="81032680">
    <w:abstractNumId w:val="21"/>
  </w:num>
  <w:num w:numId="26" w16cid:durableId="455107019">
    <w:abstractNumId w:val="20"/>
  </w:num>
  <w:num w:numId="27" w16cid:durableId="1833598141">
    <w:abstractNumId w:val="11"/>
  </w:num>
  <w:num w:numId="28" w16cid:durableId="133529253">
    <w:abstractNumId w:val="10"/>
  </w:num>
  <w:num w:numId="29" w16cid:durableId="1209611862">
    <w:abstractNumId w:val="7"/>
  </w:num>
  <w:num w:numId="30" w16cid:durableId="846671771">
    <w:abstractNumId w:val="26"/>
  </w:num>
  <w:num w:numId="31" w16cid:durableId="992178091">
    <w:abstractNumId w:val="35"/>
  </w:num>
  <w:num w:numId="32" w16cid:durableId="2002931542">
    <w:abstractNumId w:val="9"/>
  </w:num>
  <w:num w:numId="33" w16cid:durableId="1301229552">
    <w:abstractNumId w:val="32"/>
  </w:num>
  <w:num w:numId="34" w16cid:durableId="932007751">
    <w:abstractNumId w:val="16"/>
  </w:num>
  <w:num w:numId="35" w16cid:durableId="1816724015">
    <w:abstractNumId w:val="5"/>
  </w:num>
  <w:num w:numId="36" w16cid:durableId="1428499695">
    <w:abstractNumId w:val="39"/>
  </w:num>
  <w:num w:numId="37" w16cid:durableId="200095170">
    <w:abstractNumId w:val="33"/>
  </w:num>
  <w:num w:numId="38" w16cid:durableId="980771872">
    <w:abstractNumId w:val="14"/>
  </w:num>
  <w:num w:numId="39" w16cid:durableId="919171665">
    <w:abstractNumId w:val="29"/>
  </w:num>
  <w:num w:numId="40" w16cid:durableId="382021912">
    <w:abstractNumId w:val="17"/>
  </w:num>
  <w:num w:numId="41" w16cid:durableId="2021929919">
    <w:abstractNumId w:val="1"/>
  </w:num>
  <w:num w:numId="42" w16cid:durableId="2471606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17C8"/>
    <w:rsid w:val="00006FE1"/>
    <w:rsid w:val="0001014B"/>
    <w:rsid w:val="000128F4"/>
    <w:rsid w:val="000163BD"/>
    <w:rsid w:val="00026765"/>
    <w:rsid w:val="0002766B"/>
    <w:rsid w:val="00030B68"/>
    <w:rsid w:val="00036F50"/>
    <w:rsid w:val="00037AF9"/>
    <w:rsid w:val="00040C5B"/>
    <w:rsid w:val="00046717"/>
    <w:rsid w:val="00046D7D"/>
    <w:rsid w:val="000555E6"/>
    <w:rsid w:val="000608F1"/>
    <w:rsid w:val="00061F15"/>
    <w:rsid w:val="00063161"/>
    <w:rsid w:val="00064378"/>
    <w:rsid w:val="00072248"/>
    <w:rsid w:val="00092E73"/>
    <w:rsid w:val="000974BD"/>
    <w:rsid w:val="00097F84"/>
    <w:rsid w:val="000A7311"/>
    <w:rsid w:val="000A7958"/>
    <w:rsid w:val="000B100F"/>
    <w:rsid w:val="000C0055"/>
    <w:rsid w:val="000C0C01"/>
    <w:rsid w:val="000C52C5"/>
    <w:rsid w:val="000C5803"/>
    <w:rsid w:val="000C608D"/>
    <w:rsid w:val="000D2381"/>
    <w:rsid w:val="000D6154"/>
    <w:rsid w:val="000D6275"/>
    <w:rsid w:val="000E2030"/>
    <w:rsid w:val="000E20DA"/>
    <w:rsid w:val="000E3953"/>
    <w:rsid w:val="000E59E2"/>
    <w:rsid w:val="000E7470"/>
    <w:rsid w:val="000F552F"/>
    <w:rsid w:val="001110D7"/>
    <w:rsid w:val="00116E14"/>
    <w:rsid w:val="00123CE4"/>
    <w:rsid w:val="00130ABD"/>
    <w:rsid w:val="00130EF7"/>
    <w:rsid w:val="00136869"/>
    <w:rsid w:val="00146437"/>
    <w:rsid w:val="001534C7"/>
    <w:rsid w:val="00155688"/>
    <w:rsid w:val="00161CA7"/>
    <w:rsid w:val="0016642E"/>
    <w:rsid w:val="001666FF"/>
    <w:rsid w:val="0016673C"/>
    <w:rsid w:val="00173668"/>
    <w:rsid w:val="00177276"/>
    <w:rsid w:val="00177857"/>
    <w:rsid w:val="00180C2A"/>
    <w:rsid w:val="00185593"/>
    <w:rsid w:val="00187D44"/>
    <w:rsid w:val="00195596"/>
    <w:rsid w:val="001A28CB"/>
    <w:rsid w:val="001A2963"/>
    <w:rsid w:val="001B0373"/>
    <w:rsid w:val="001B53B0"/>
    <w:rsid w:val="001B5A37"/>
    <w:rsid w:val="001B6289"/>
    <w:rsid w:val="001C230F"/>
    <w:rsid w:val="001D085C"/>
    <w:rsid w:val="001D33F8"/>
    <w:rsid w:val="001E1ED0"/>
    <w:rsid w:val="001F0775"/>
    <w:rsid w:val="001F0E95"/>
    <w:rsid w:val="001F20E5"/>
    <w:rsid w:val="001F5535"/>
    <w:rsid w:val="00204EAD"/>
    <w:rsid w:val="00217D07"/>
    <w:rsid w:val="002207D9"/>
    <w:rsid w:val="002224B6"/>
    <w:rsid w:val="00230483"/>
    <w:rsid w:val="00234A45"/>
    <w:rsid w:val="00235B24"/>
    <w:rsid w:val="002368A7"/>
    <w:rsid w:val="00236B0D"/>
    <w:rsid w:val="00240773"/>
    <w:rsid w:val="00246831"/>
    <w:rsid w:val="00246ACF"/>
    <w:rsid w:val="0025658F"/>
    <w:rsid w:val="0026019A"/>
    <w:rsid w:val="00271080"/>
    <w:rsid w:val="002808BE"/>
    <w:rsid w:val="00284354"/>
    <w:rsid w:val="00295076"/>
    <w:rsid w:val="00297D15"/>
    <w:rsid w:val="002C4634"/>
    <w:rsid w:val="002C4D68"/>
    <w:rsid w:val="002C5810"/>
    <w:rsid w:val="002D0276"/>
    <w:rsid w:val="002D4E21"/>
    <w:rsid w:val="002F08B6"/>
    <w:rsid w:val="002F1A19"/>
    <w:rsid w:val="002F1D71"/>
    <w:rsid w:val="002F4ADE"/>
    <w:rsid w:val="00301347"/>
    <w:rsid w:val="0030141E"/>
    <w:rsid w:val="00310568"/>
    <w:rsid w:val="00313725"/>
    <w:rsid w:val="00316DCD"/>
    <w:rsid w:val="00317C44"/>
    <w:rsid w:val="0032010E"/>
    <w:rsid w:val="003261AA"/>
    <w:rsid w:val="00346025"/>
    <w:rsid w:val="003521EA"/>
    <w:rsid w:val="003730B6"/>
    <w:rsid w:val="003855A5"/>
    <w:rsid w:val="00396AFD"/>
    <w:rsid w:val="003A7D6C"/>
    <w:rsid w:val="003C0ECA"/>
    <w:rsid w:val="003C1A19"/>
    <w:rsid w:val="003C30B0"/>
    <w:rsid w:val="003C5B1A"/>
    <w:rsid w:val="003C7A09"/>
    <w:rsid w:val="003D0429"/>
    <w:rsid w:val="003D22B7"/>
    <w:rsid w:val="003D24C7"/>
    <w:rsid w:val="003D5CA2"/>
    <w:rsid w:val="003E12FE"/>
    <w:rsid w:val="003E3CB4"/>
    <w:rsid w:val="004161BE"/>
    <w:rsid w:val="004204CB"/>
    <w:rsid w:val="0042239B"/>
    <w:rsid w:val="00427387"/>
    <w:rsid w:val="0043298B"/>
    <w:rsid w:val="00433EE7"/>
    <w:rsid w:val="00433FB3"/>
    <w:rsid w:val="00434A53"/>
    <w:rsid w:val="00434F08"/>
    <w:rsid w:val="00435270"/>
    <w:rsid w:val="00453D6F"/>
    <w:rsid w:val="00463A2C"/>
    <w:rsid w:val="00474987"/>
    <w:rsid w:val="00485408"/>
    <w:rsid w:val="0048648D"/>
    <w:rsid w:val="0048776A"/>
    <w:rsid w:val="004A0E36"/>
    <w:rsid w:val="004A19E0"/>
    <w:rsid w:val="004A2123"/>
    <w:rsid w:val="004B576E"/>
    <w:rsid w:val="004C020C"/>
    <w:rsid w:val="004C0979"/>
    <w:rsid w:val="004C5B09"/>
    <w:rsid w:val="004C6EA9"/>
    <w:rsid w:val="004F1457"/>
    <w:rsid w:val="004F358B"/>
    <w:rsid w:val="004F4530"/>
    <w:rsid w:val="004F5A23"/>
    <w:rsid w:val="004F5CC3"/>
    <w:rsid w:val="00500BE1"/>
    <w:rsid w:val="00511F92"/>
    <w:rsid w:val="005200DD"/>
    <w:rsid w:val="00520AFF"/>
    <w:rsid w:val="00526286"/>
    <w:rsid w:val="0055522F"/>
    <w:rsid w:val="0056723A"/>
    <w:rsid w:val="00583CA8"/>
    <w:rsid w:val="0058579D"/>
    <w:rsid w:val="0059514E"/>
    <w:rsid w:val="005B1A62"/>
    <w:rsid w:val="005B60B7"/>
    <w:rsid w:val="005B6A35"/>
    <w:rsid w:val="005C14B8"/>
    <w:rsid w:val="005C1ADC"/>
    <w:rsid w:val="005C6FA6"/>
    <w:rsid w:val="005C7C3B"/>
    <w:rsid w:val="005D5A7E"/>
    <w:rsid w:val="005E1AD8"/>
    <w:rsid w:val="005E231A"/>
    <w:rsid w:val="005E41E8"/>
    <w:rsid w:val="005E5253"/>
    <w:rsid w:val="005F6841"/>
    <w:rsid w:val="0060025F"/>
    <w:rsid w:val="00600955"/>
    <w:rsid w:val="00611464"/>
    <w:rsid w:val="00614745"/>
    <w:rsid w:val="00615EA2"/>
    <w:rsid w:val="00621AE4"/>
    <w:rsid w:val="0062441A"/>
    <w:rsid w:val="00626EA6"/>
    <w:rsid w:val="00627D37"/>
    <w:rsid w:val="00633663"/>
    <w:rsid w:val="0063722B"/>
    <w:rsid w:val="00645C99"/>
    <w:rsid w:val="00646519"/>
    <w:rsid w:val="00647D1B"/>
    <w:rsid w:val="006627EE"/>
    <w:rsid w:val="00662808"/>
    <w:rsid w:val="006710F0"/>
    <w:rsid w:val="006738AA"/>
    <w:rsid w:val="00675695"/>
    <w:rsid w:val="006A78B5"/>
    <w:rsid w:val="006F1C7E"/>
    <w:rsid w:val="007007FE"/>
    <w:rsid w:val="00701D29"/>
    <w:rsid w:val="00702E69"/>
    <w:rsid w:val="00702EB8"/>
    <w:rsid w:val="00703AA9"/>
    <w:rsid w:val="00705048"/>
    <w:rsid w:val="00710A32"/>
    <w:rsid w:val="0072021D"/>
    <w:rsid w:val="00724B8A"/>
    <w:rsid w:val="0072785D"/>
    <w:rsid w:val="0073016A"/>
    <w:rsid w:val="00737EC6"/>
    <w:rsid w:val="00742A7E"/>
    <w:rsid w:val="00743EA8"/>
    <w:rsid w:val="00751075"/>
    <w:rsid w:val="00756E6F"/>
    <w:rsid w:val="00761D4F"/>
    <w:rsid w:val="0078045D"/>
    <w:rsid w:val="007815CA"/>
    <w:rsid w:val="00783475"/>
    <w:rsid w:val="00791F88"/>
    <w:rsid w:val="00793F1E"/>
    <w:rsid w:val="007B042C"/>
    <w:rsid w:val="007B3957"/>
    <w:rsid w:val="007B5296"/>
    <w:rsid w:val="007B7C00"/>
    <w:rsid w:val="007C7AF2"/>
    <w:rsid w:val="007D04B0"/>
    <w:rsid w:val="007D19D1"/>
    <w:rsid w:val="007F42FD"/>
    <w:rsid w:val="0080332C"/>
    <w:rsid w:val="00814DB7"/>
    <w:rsid w:val="0082396F"/>
    <w:rsid w:val="008244B5"/>
    <w:rsid w:val="00843688"/>
    <w:rsid w:val="00845B5A"/>
    <w:rsid w:val="00847868"/>
    <w:rsid w:val="00851FD8"/>
    <w:rsid w:val="00852DF8"/>
    <w:rsid w:val="0086349C"/>
    <w:rsid w:val="00887D28"/>
    <w:rsid w:val="00892B73"/>
    <w:rsid w:val="008A0BE5"/>
    <w:rsid w:val="008A77FF"/>
    <w:rsid w:val="008B6FD3"/>
    <w:rsid w:val="008B7971"/>
    <w:rsid w:val="008C5459"/>
    <w:rsid w:val="008D1657"/>
    <w:rsid w:val="008F17A3"/>
    <w:rsid w:val="008F3A3E"/>
    <w:rsid w:val="00902C6C"/>
    <w:rsid w:val="0091123D"/>
    <w:rsid w:val="00924ECB"/>
    <w:rsid w:val="009261DF"/>
    <w:rsid w:val="00947B2E"/>
    <w:rsid w:val="00951180"/>
    <w:rsid w:val="00971CA5"/>
    <w:rsid w:val="0097678A"/>
    <w:rsid w:val="00993EF5"/>
    <w:rsid w:val="009A0ED3"/>
    <w:rsid w:val="009C6A19"/>
    <w:rsid w:val="009D1594"/>
    <w:rsid w:val="009D1D14"/>
    <w:rsid w:val="009E5268"/>
    <w:rsid w:val="009F1910"/>
    <w:rsid w:val="009F19F1"/>
    <w:rsid w:val="009F2984"/>
    <w:rsid w:val="00A12E8D"/>
    <w:rsid w:val="00A20D38"/>
    <w:rsid w:val="00A21D15"/>
    <w:rsid w:val="00A26A5A"/>
    <w:rsid w:val="00A34F76"/>
    <w:rsid w:val="00A4403A"/>
    <w:rsid w:val="00A4740F"/>
    <w:rsid w:val="00A509A9"/>
    <w:rsid w:val="00A54AAB"/>
    <w:rsid w:val="00A77450"/>
    <w:rsid w:val="00A86B94"/>
    <w:rsid w:val="00A91843"/>
    <w:rsid w:val="00A94136"/>
    <w:rsid w:val="00AA0DA5"/>
    <w:rsid w:val="00AA3A5C"/>
    <w:rsid w:val="00AA3FD7"/>
    <w:rsid w:val="00AA54D5"/>
    <w:rsid w:val="00AA6643"/>
    <w:rsid w:val="00AB4EB9"/>
    <w:rsid w:val="00AB7396"/>
    <w:rsid w:val="00AB7959"/>
    <w:rsid w:val="00AD3F8D"/>
    <w:rsid w:val="00AD4C22"/>
    <w:rsid w:val="00AE0A87"/>
    <w:rsid w:val="00AE2080"/>
    <w:rsid w:val="00AF4989"/>
    <w:rsid w:val="00B05A5F"/>
    <w:rsid w:val="00B11414"/>
    <w:rsid w:val="00B37D6F"/>
    <w:rsid w:val="00B424E0"/>
    <w:rsid w:val="00B44792"/>
    <w:rsid w:val="00B4636A"/>
    <w:rsid w:val="00B52E7B"/>
    <w:rsid w:val="00B53CA2"/>
    <w:rsid w:val="00B638D3"/>
    <w:rsid w:val="00B70942"/>
    <w:rsid w:val="00B70C50"/>
    <w:rsid w:val="00B8520A"/>
    <w:rsid w:val="00B86FFE"/>
    <w:rsid w:val="00B917F1"/>
    <w:rsid w:val="00B978A9"/>
    <w:rsid w:val="00BA1D26"/>
    <w:rsid w:val="00BA653D"/>
    <w:rsid w:val="00BA6834"/>
    <w:rsid w:val="00BB281D"/>
    <w:rsid w:val="00BB59A0"/>
    <w:rsid w:val="00BB75C8"/>
    <w:rsid w:val="00BD1D0C"/>
    <w:rsid w:val="00BD22D5"/>
    <w:rsid w:val="00BD2BC9"/>
    <w:rsid w:val="00BD68D4"/>
    <w:rsid w:val="00BF5C84"/>
    <w:rsid w:val="00BF72BB"/>
    <w:rsid w:val="00C116E6"/>
    <w:rsid w:val="00C13DC8"/>
    <w:rsid w:val="00C26CFE"/>
    <w:rsid w:val="00C32FEF"/>
    <w:rsid w:val="00C4062C"/>
    <w:rsid w:val="00C45947"/>
    <w:rsid w:val="00C50C38"/>
    <w:rsid w:val="00C51563"/>
    <w:rsid w:val="00C52EF6"/>
    <w:rsid w:val="00C561BA"/>
    <w:rsid w:val="00C66197"/>
    <w:rsid w:val="00C711EF"/>
    <w:rsid w:val="00C80280"/>
    <w:rsid w:val="00C83A8F"/>
    <w:rsid w:val="00C949F8"/>
    <w:rsid w:val="00CA12A5"/>
    <w:rsid w:val="00CA4EEB"/>
    <w:rsid w:val="00CA745C"/>
    <w:rsid w:val="00CB47E4"/>
    <w:rsid w:val="00CC681C"/>
    <w:rsid w:val="00CE023F"/>
    <w:rsid w:val="00CE4811"/>
    <w:rsid w:val="00CF52A9"/>
    <w:rsid w:val="00D000E3"/>
    <w:rsid w:val="00D034D8"/>
    <w:rsid w:val="00D22783"/>
    <w:rsid w:val="00D2420B"/>
    <w:rsid w:val="00D43E88"/>
    <w:rsid w:val="00D4584B"/>
    <w:rsid w:val="00D54D00"/>
    <w:rsid w:val="00D57362"/>
    <w:rsid w:val="00D71113"/>
    <w:rsid w:val="00D7249C"/>
    <w:rsid w:val="00D75EA0"/>
    <w:rsid w:val="00D76F9D"/>
    <w:rsid w:val="00D97D19"/>
    <w:rsid w:val="00DA0673"/>
    <w:rsid w:val="00DC0DC3"/>
    <w:rsid w:val="00DC10C7"/>
    <w:rsid w:val="00DC1671"/>
    <w:rsid w:val="00DD065F"/>
    <w:rsid w:val="00DD284C"/>
    <w:rsid w:val="00DD4BEF"/>
    <w:rsid w:val="00DD53A2"/>
    <w:rsid w:val="00DD77A2"/>
    <w:rsid w:val="00DE68FA"/>
    <w:rsid w:val="00E1101A"/>
    <w:rsid w:val="00E149E3"/>
    <w:rsid w:val="00E26A80"/>
    <w:rsid w:val="00E352EB"/>
    <w:rsid w:val="00E434DB"/>
    <w:rsid w:val="00E45ED0"/>
    <w:rsid w:val="00E4745B"/>
    <w:rsid w:val="00E53444"/>
    <w:rsid w:val="00E54835"/>
    <w:rsid w:val="00E54E39"/>
    <w:rsid w:val="00E60FCE"/>
    <w:rsid w:val="00E64527"/>
    <w:rsid w:val="00E6591A"/>
    <w:rsid w:val="00E66167"/>
    <w:rsid w:val="00E919C4"/>
    <w:rsid w:val="00E93822"/>
    <w:rsid w:val="00E93FAF"/>
    <w:rsid w:val="00EA26CA"/>
    <w:rsid w:val="00EA2DD0"/>
    <w:rsid w:val="00EB16E6"/>
    <w:rsid w:val="00EB5363"/>
    <w:rsid w:val="00EC0BDC"/>
    <w:rsid w:val="00EC1C8C"/>
    <w:rsid w:val="00EC3B3A"/>
    <w:rsid w:val="00ED5215"/>
    <w:rsid w:val="00EE0E62"/>
    <w:rsid w:val="00EE1A15"/>
    <w:rsid w:val="00EE6A28"/>
    <w:rsid w:val="00EE7782"/>
    <w:rsid w:val="00EF5531"/>
    <w:rsid w:val="00F027B8"/>
    <w:rsid w:val="00F1589F"/>
    <w:rsid w:val="00F50407"/>
    <w:rsid w:val="00F63FB1"/>
    <w:rsid w:val="00F65453"/>
    <w:rsid w:val="00F773BF"/>
    <w:rsid w:val="00F91B40"/>
    <w:rsid w:val="00F95C42"/>
    <w:rsid w:val="00FA1393"/>
    <w:rsid w:val="00FA43FA"/>
    <w:rsid w:val="00FB6DF9"/>
    <w:rsid w:val="00FC5594"/>
    <w:rsid w:val="00FD1489"/>
    <w:rsid w:val="00FD178F"/>
    <w:rsid w:val="00FD4AAA"/>
    <w:rsid w:val="00FE29F4"/>
    <w:rsid w:val="00FE666F"/>
    <w:rsid w:val="00FF1EFC"/>
    <w:rsid w:val="00FF7098"/>
    <w:rsid w:val="014252E7"/>
    <w:rsid w:val="0FD88CDD"/>
    <w:rsid w:val="10B6F7EC"/>
    <w:rsid w:val="270FDF6C"/>
    <w:rsid w:val="2DA61855"/>
    <w:rsid w:val="399A163A"/>
    <w:rsid w:val="3F8EF92C"/>
    <w:rsid w:val="53C6A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5DEA34"/>
  <w15:chartTrackingRefBased/>
  <w15:docId w15:val="{06EB320F-746F-4854-AD1B-4F4F81D3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30F"/>
    <w:rPr>
      <w:sz w:val="24"/>
      <w:szCs w:val="24"/>
    </w:rPr>
  </w:style>
  <w:style w:type="paragraph" w:styleId="Heading1">
    <w:name w:val="heading 1"/>
    <w:basedOn w:val="Normal"/>
    <w:next w:val="Heading4"/>
    <w:qFormat/>
    <w:rsid w:val="001C230F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C23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C23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C230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C230F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sid w:val="001C230F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sid w:val="001C230F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1C230F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sid w:val="001C230F"/>
    <w:rPr>
      <w:b/>
      <w:bCs/>
    </w:rPr>
  </w:style>
  <w:style w:type="paragraph" w:styleId="Header">
    <w:name w:val="header"/>
    <w:basedOn w:val="Normal"/>
    <w:link w:val="HeaderChar"/>
    <w:uiPriority w:val="99"/>
    <w:rsid w:val="001C230F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1C230F"/>
    <w:pPr>
      <w:tabs>
        <w:tab w:val="center" w:pos="4320"/>
        <w:tab w:val="right" w:pos="8640"/>
      </w:tabs>
    </w:pPr>
    <w:rPr>
      <w:lang w:val="x-none" w:eastAsia="x-none"/>
    </w:rPr>
  </w:style>
  <w:style w:type="paragraph" w:styleId="DocumentMap">
    <w:name w:val="Document Map"/>
    <w:basedOn w:val="Normal"/>
    <w:semiHidden/>
    <w:rsid w:val="001C230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rsid w:val="001C230F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43298B"/>
    <w:pPr>
      <w:tabs>
        <w:tab w:val="right" w:leader="dot" w:pos="12950"/>
      </w:tabs>
      <w:spacing w:before="120" w:after="120"/>
    </w:pPr>
  </w:style>
  <w:style w:type="paragraph" w:styleId="NoSpacing">
    <w:name w:val="No Spacing"/>
    <w:uiPriority w:val="99"/>
    <w:qFormat/>
    <w:rsid w:val="004161BE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rsid w:val="004161BE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4161BE"/>
    <w:rPr>
      <w:sz w:val="24"/>
      <w:szCs w:val="24"/>
    </w:rPr>
  </w:style>
  <w:style w:type="character" w:styleId="CommentReference">
    <w:name w:val="annotation reference"/>
    <w:rsid w:val="00FD17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17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178F"/>
  </w:style>
  <w:style w:type="paragraph" w:styleId="CommentSubject">
    <w:name w:val="annotation subject"/>
    <w:basedOn w:val="CommentText"/>
    <w:next w:val="CommentText"/>
    <w:link w:val="CommentSubjectChar"/>
    <w:rsid w:val="00FD178F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FD178F"/>
    <w:rPr>
      <w:b/>
      <w:bCs/>
    </w:rPr>
  </w:style>
  <w:style w:type="paragraph" w:styleId="Revision">
    <w:name w:val="Revision"/>
    <w:hidden/>
    <w:uiPriority w:val="99"/>
    <w:semiHidden/>
    <w:rsid w:val="00FD178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A6834"/>
    <w:pPr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4062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62441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04F8C-DF17-4865-B09E-550E17BE3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71887-7F35-4E83-8A92-43D07D33F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1FB55B-F529-42FE-B8AB-135DF3E1A1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FFC724-93EB-47FD-A930-151085B9C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16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Brown, Heather K</cp:lastModifiedBy>
  <cp:revision>4</cp:revision>
  <cp:lastPrinted>2017-02-21T21:40:00Z</cp:lastPrinted>
  <dcterms:created xsi:type="dcterms:W3CDTF">2024-08-02T17:22:00Z</dcterms:created>
  <dcterms:modified xsi:type="dcterms:W3CDTF">2024-08-02T17:34:00Z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2023-01-09T17:28:37Z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d1da6ba7-466d-44fa-b54b-dbf254c9fe56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