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7479" w14:textId="3AA9EA4F" w:rsidR="00255C6B" w:rsidRPr="002064CD" w:rsidRDefault="005C436C" w:rsidP="0084124A">
      <w:pPr>
        <w:pStyle w:val="Heading1"/>
        <w:spacing w:after="120" w:line="480" w:lineRule="auto"/>
      </w:pPr>
      <w:bookmarkStart w:id="0" w:name="_top"/>
      <w:bookmarkEnd w:id="0"/>
      <w:r w:rsidRPr="000F2B6B">
        <w:t xml:space="preserve">PeopleSafe - </w:t>
      </w:r>
      <w:r w:rsidR="00402D3A" w:rsidRPr="002064CD">
        <w:t>Requests for 30 Day Supplies for Maintenance Choice Medications</w:t>
      </w:r>
    </w:p>
    <w:p w14:paraId="64722A90" w14:textId="109F13B0" w:rsidR="00C222A3" w:rsidRDefault="00B13B31" w:rsidP="002064CD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163825937" w:history="1">
        <w:r w:rsidR="79AA5005" w:rsidRPr="2041A6BE">
          <w:rPr>
            <w:rStyle w:val="Hyperlink"/>
            <w:noProof/>
          </w:rPr>
          <w:t>Process</w:t>
        </w:r>
      </w:hyperlink>
    </w:p>
    <w:p w14:paraId="0AD7C270" w14:textId="4FBFDFBA" w:rsidR="00C222A3" w:rsidRDefault="00000000" w:rsidP="002064CD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825938" w:history="1">
        <w:r w:rsidR="00C222A3" w:rsidRPr="00215F9C">
          <w:rPr>
            <w:rStyle w:val="Hyperlink"/>
            <w:noProof/>
          </w:rPr>
          <w:t>Anti-Psychotic and Anti-Depressants</w:t>
        </w:r>
      </w:hyperlink>
    </w:p>
    <w:p w14:paraId="124AFA4A" w14:textId="2AC39886" w:rsidR="00C222A3" w:rsidRDefault="00000000" w:rsidP="002064CD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825939" w:history="1">
        <w:r w:rsidR="00C222A3" w:rsidRPr="00215F9C">
          <w:rPr>
            <w:rStyle w:val="Hyperlink"/>
            <w:noProof/>
          </w:rPr>
          <w:t>Related Documents</w:t>
        </w:r>
      </w:hyperlink>
    </w:p>
    <w:p w14:paraId="5C2DD99F" w14:textId="617093D1" w:rsidR="001B6A61" w:rsidRPr="001B6A61" w:rsidRDefault="00B13B31" w:rsidP="002064CD">
      <w:pPr>
        <w:pStyle w:val="TOC2"/>
        <w:rPr>
          <w:b/>
          <w:bCs/>
        </w:rPr>
      </w:pPr>
      <w:r>
        <w:fldChar w:fldCharType="end"/>
      </w:r>
    </w:p>
    <w:p w14:paraId="5E75FB7B" w14:textId="1C785C52" w:rsidR="00176400" w:rsidRPr="0014193C" w:rsidRDefault="00F345E6" w:rsidP="0084124A">
      <w:pPr>
        <w:spacing w:before="240"/>
      </w:pPr>
      <w:bookmarkStart w:id="1" w:name="_Overview"/>
      <w:bookmarkEnd w:id="1"/>
      <w:r w:rsidRPr="00843B4C">
        <w:rPr>
          <w:b/>
          <w:bCs/>
        </w:rPr>
        <w:t>Description:</w:t>
      </w:r>
      <w:r>
        <w:t xml:space="preserve">  </w:t>
      </w:r>
      <w:r w:rsidR="003256F6">
        <w:t>O</w:t>
      </w:r>
      <w:r w:rsidR="00546963">
        <w:t xml:space="preserve">utlines what to do </w:t>
      </w:r>
      <w:r w:rsidR="00323055">
        <w:t>if</w:t>
      </w:r>
      <w:r w:rsidR="00546963">
        <w:t xml:space="preserve"> a member does not </w:t>
      </w:r>
      <w:r w:rsidR="0043244C">
        <w:t>want,</w:t>
      </w:r>
      <w:r w:rsidR="00546963">
        <w:t xml:space="preserve"> or doctor's office advises they will not write</w:t>
      </w:r>
      <w:r w:rsidR="000F1F8A">
        <w:t>,</w:t>
      </w:r>
      <w:r w:rsidR="00546963">
        <w:t xml:space="preserve"> a prescription for a </w:t>
      </w:r>
      <w:r w:rsidR="002064CD">
        <w:t>90-day</w:t>
      </w:r>
      <w:r w:rsidR="00546963">
        <w:t xml:space="preserve"> supply.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1E0" w:firstRow="1" w:lastRow="1" w:firstColumn="1" w:lastColumn="1" w:noHBand="0" w:noVBand="0"/>
      </w:tblPr>
      <w:tblGrid>
        <w:gridCol w:w="12950"/>
      </w:tblGrid>
      <w:tr w:rsidR="005A64DA" w:rsidRPr="0014193C" w14:paraId="28F8E97C" w14:textId="77777777" w:rsidTr="0084124A">
        <w:tc>
          <w:tcPr>
            <w:tcW w:w="5000" w:type="pct"/>
            <w:shd w:val="pct25" w:color="auto" w:fill="auto"/>
          </w:tcPr>
          <w:p w14:paraId="6F3D97E4" w14:textId="03DA3F3B" w:rsidR="005A64DA" w:rsidRPr="0014193C" w:rsidRDefault="00402D3A" w:rsidP="0084124A">
            <w:pPr>
              <w:pStyle w:val="Heading2"/>
              <w:spacing w:after="120"/>
            </w:pPr>
            <w:bookmarkStart w:id="2" w:name="_Rationale"/>
            <w:bookmarkStart w:id="3" w:name="_Definitions"/>
            <w:bookmarkStart w:id="4" w:name="_Definitions/Abbreviations"/>
            <w:bookmarkStart w:id="5" w:name="_Various_Work_Instructions"/>
            <w:bookmarkStart w:id="6" w:name="_PAR_Process_after_a_FRX_/_FRC_confl"/>
            <w:bookmarkStart w:id="7" w:name="_Next_Day_and"/>
            <w:bookmarkStart w:id="8" w:name="_Scanning_the_Targets"/>
            <w:bookmarkStart w:id="9" w:name="_LAN_Log_In"/>
            <w:bookmarkStart w:id="10" w:name="_AMOS_Log_In"/>
            <w:bookmarkStart w:id="11" w:name="_Search_by_Order#"/>
            <w:bookmarkStart w:id="12" w:name="_Check_Look_Up"/>
            <w:bookmarkStart w:id="13" w:name="_Process_for_Handling"/>
            <w:bookmarkStart w:id="14" w:name="_Toc163825937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>
              <w:t>Process</w:t>
            </w:r>
            <w:bookmarkEnd w:id="14"/>
          </w:p>
        </w:tc>
      </w:tr>
    </w:tbl>
    <w:p w14:paraId="52936F5A" w14:textId="77777777" w:rsidR="004926FE" w:rsidRDefault="004926FE" w:rsidP="0084124A">
      <w:pPr>
        <w:contextualSpacing/>
      </w:pPr>
    </w:p>
    <w:p w14:paraId="70220400" w14:textId="275A69A4" w:rsidR="005A64DA" w:rsidRPr="0014193C" w:rsidRDefault="00176400" w:rsidP="002064CD">
      <w:r w:rsidRPr="0014193C"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4736"/>
        <w:gridCol w:w="7390"/>
      </w:tblGrid>
      <w:tr w:rsidR="005A64DA" w:rsidRPr="0014193C" w14:paraId="776159B9" w14:textId="77777777" w:rsidTr="0084124A">
        <w:tc>
          <w:tcPr>
            <w:tcW w:w="261" w:type="pct"/>
            <w:shd w:val="pct12" w:color="auto" w:fill="auto"/>
          </w:tcPr>
          <w:p w14:paraId="7C52106E" w14:textId="77777777" w:rsidR="005A64DA" w:rsidRPr="0014193C" w:rsidRDefault="005A64DA" w:rsidP="002064CD">
            <w:pPr>
              <w:jc w:val="center"/>
              <w:rPr>
                <w:b/>
              </w:rPr>
            </w:pPr>
            <w:r w:rsidRPr="0014193C">
              <w:rPr>
                <w:b/>
              </w:rPr>
              <w:t>Step</w:t>
            </w:r>
          </w:p>
        </w:tc>
        <w:tc>
          <w:tcPr>
            <w:tcW w:w="4739" w:type="pct"/>
            <w:gridSpan w:val="2"/>
            <w:shd w:val="pct12" w:color="auto" w:fill="auto"/>
          </w:tcPr>
          <w:p w14:paraId="734D4BC9" w14:textId="77777777" w:rsidR="005A64DA" w:rsidRPr="0014193C" w:rsidRDefault="005A64DA" w:rsidP="002064CD">
            <w:pPr>
              <w:jc w:val="center"/>
              <w:rPr>
                <w:b/>
              </w:rPr>
            </w:pPr>
            <w:r w:rsidRPr="0014193C">
              <w:rPr>
                <w:b/>
              </w:rPr>
              <w:t xml:space="preserve">Action </w:t>
            </w:r>
          </w:p>
        </w:tc>
      </w:tr>
      <w:tr w:rsidR="0028215B" w:rsidRPr="0014193C" w14:paraId="3A121862" w14:textId="77777777" w:rsidTr="0084124A">
        <w:tc>
          <w:tcPr>
            <w:tcW w:w="261" w:type="pct"/>
          </w:tcPr>
          <w:p w14:paraId="6CBC0A36" w14:textId="77777777" w:rsidR="0028215B" w:rsidRPr="0014193C" w:rsidRDefault="00B13B31" w:rsidP="002064CD">
            <w:pPr>
              <w:jc w:val="center"/>
              <w:rPr>
                <w:b/>
              </w:rPr>
            </w:pPr>
            <w:r w:rsidRPr="0014193C">
              <w:rPr>
                <w:b/>
              </w:rPr>
              <w:t>1</w:t>
            </w:r>
          </w:p>
        </w:tc>
        <w:tc>
          <w:tcPr>
            <w:tcW w:w="4739" w:type="pct"/>
            <w:gridSpan w:val="2"/>
          </w:tcPr>
          <w:p w14:paraId="04E0AB23" w14:textId="655FD010" w:rsidR="00DF640B" w:rsidRPr="0014193C" w:rsidRDefault="00DF640B" w:rsidP="002064CD">
            <w:r>
              <w:t>Advise the caller of the plan design</w:t>
            </w:r>
            <w:r w:rsidR="00323055">
              <w:t xml:space="preserve">. </w:t>
            </w:r>
            <w:r>
              <w:t xml:space="preserve">Refer to </w:t>
            </w:r>
            <w:hyperlink r:id="rId11" w:anchor="!/view?docid=e0d014db-0726-40a1-bf1b-c48f9fbdabb3" w:history="1">
              <w:r w:rsidR="000258E4">
                <w:rPr>
                  <w:rStyle w:val="Hyperlink"/>
                </w:rPr>
                <w:t>Handling Maintenance Choice Calls (021863)</w:t>
              </w:r>
            </w:hyperlink>
            <w:r>
              <w:t>.</w:t>
            </w:r>
          </w:p>
        </w:tc>
      </w:tr>
      <w:tr w:rsidR="00DF640B" w:rsidRPr="0014193C" w14:paraId="49F6ED06" w14:textId="77777777" w:rsidTr="0084124A">
        <w:tc>
          <w:tcPr>
            <w:tcW w:w="261" w:type="pct"/>
            <w:vMerge w:val="restart"/>
          </w:tcPr>
          <w:p w14:paraId="633E4A0E" w14:textId="77777777" w:rsidR="00DF640B" w:rsidRPr="0014193C" w:rsidRDefault="00DF640B" w:rsidP="002064CD">
            <w:pPr>
              <w:jc w:val="center"/>
              <w:rPr>
                <w:b/>
              </w:rPr>
            </w:pPr>
            <w:r w:rsidRPr="0014193C">
              <w:rPr>
                <w:b/>
              </w:rPr>
              <w:t>2</w:t>
            </w:r>
          </w:p>
        </w:tc>
        <w:tc>
          <w:tcPr>
            <w:tcW w:w="4739" w:type="pct"/>
            <w:gridSpan w:val="2"/>
            <w:tcBorders>
              <w:bottom w:val="single" w:sz="4" w:space="0" w:color="auto"/>
            </w:tcBorders>
          </w:tcPr>
          <w:p w14:paraId="67ABEED9" w14:textId="77777777" w:rsidR="00DF640B" w:rsidRPr="0014193C" w:rsidRDefault="0040165D" w:rsidP="002064CD">
            <w:r>
              <w:t>Refer to</w:t>
            </w:r>
            <w:r w:rsidR="00DF640B">
              <w:t xml:space="preserve"> the chart below for the caller’s response</w:t>
            </w:r>
            <w:r w:rsidR="00C63405">
              <w:t>.</w:t>
            </w:r>
          </w:p>
        </w:tc>
      </w:tr>
      <w:tr w:rsidR="00487ED9" w:rsidRPr="0014193C" w14:paraId="481A8E0B" w14:textId="77777777" w:rsidTr="0084124A">
        <w:tc>
          <w:tcPr>
            <w:tcW w:w="261" w:type="pct"/>
            <w:vMerge/>
          </w:tcPr>
          <w:p w14:paraId="20EFD221" w14:textId="77777777" w:rsidR="00DF640B" w:rsidRPr="0014193C" w:rsidRDefault="00DF640B" w:rsidP="002064CD">
            <w:pPr>
              <w:jc w:val="center"/>
              <w:rPr>
                <w:b/>
              </w:rPr>
            </w:pPr>
          </w:p>
        </w:tc>
        <w:tc>
          <w:tcPr>
            <w:tcW w:w="1857" w:type="pct"/>
            <w:shd w:val="pct12" w:color="auto" w:fill="auto"/>
          </w:tcPr>
          <w:p w14:paraId="2B5CF263" w14:textId="77777777" w:rsidR="00DF640B" w:rsidRPr="00DF640B" w:rsidRDefault="00DF640B" w:rsidP="002064CD">
            <w:pPr>
              <w:jc w:val="center"/>
              <w:rPr>
                <w:b/>
              </w:rPr>
            </w:pPr>
            <w:r w:rsidRPr="00DF640B">
              <w:rPr>
                <w:b/>
              </w:rPr>
              <w:t>If</w:t>
            </w:r>
            <w:r>
              <w:rPr>
                <w:b/>
              </w:rPr>
              <w:t xml:space="preserve"> the caller</w:t>
            </w:r>
            <w:r w:rsidRPr="00DF640B">
              <w:rPr>
                <w:b/>
              </w:rPr>
              <w:t>...</w:t>
            </w:r>
          </w:p>
        </w:tc>
        <w:tc>
          <w:tcPr>
            <w:tcW w:w="2882" w:type="pct"/>
            <w:shd w:val="pct12" w:color="auto" w:fill="auto"/>
          </w:tcPr>
          <w:p w14:paraId="27CB94DC" w14:textId="77777777" w:rsidR="00DF640B" w:rsidRPr="00DF640B" w:rsidRDefault="00DF640B" w:rsidP="002064CD">
            <w:pPr>
              <w:jc w:val="center"/>
              <w:rPr>
                <w:b/>
              </w:rPr>
            </w:pPr>
            <w:r w:rsidRPr="00DF640B">
              <w:rPr>
                <w:b/>
              </w:rPr>
              <w:t>Then...</w:t>
            </w:r>
          </w:p>
        </w:tc>
      </w:tr>
      <w:tr w:rsidR="00487ED9" w:rsidRPr="0014193C" w14:paraId="677360E3" w14:textId="77777777" w:rsidTr="0084124A">
        <w:tc>
          <w:tcPr>
            <w:tcW w:w="261" w:type="pct"/>
            <w:vMerge/>
          </w:tcPr>
          <w:p w14:paraId="3DC818D5" w14:textId="77777777" w:rsidR="00DF640B" w:rsidRPr="0014193C" w:rsidRDefault="00DF640B" w:rsidP="002064CD">
            <w:pPr>
              <w:jc w:val="center"/>
              <w:rPr>
                <w:b/>
              </w:rPr>
            </w:pPr>
          </w:p>
        </w:tc>
        <w:tc>
          <w:tcPr>
            <w:tcW w:w="1857" w:type="pct"/>
          </w:tcPr>
          <w:p w14:paraId="406D7F3E" w14:textId="6FAAE67F" w:rsidR="00DF640B" w:rsidRDefault="00DF640B" w:rsidP="002064CD">
            <w:r>
              <w:t xml:space="preserve">Agrees to have the prescription changed to a </w:t>
            </w:r>
            <w:r w:rsidR="003256F6">
              <w:t>90-day</w:t>
            </w:r>
            <w:r>
              <w:t xml:space="preserve"> supply</w:t>
            </w:r>
          </w:p>
        </w:tc>
        <w:tc>
          <w:tcPr>
            <w:tcW w:w="2882" w:type="pct"/>
          </w:tcPr>
          <w:p w14:paraId="43B73B86" w14:textId="27BDD99E" w:rsidR="00DF640B" w:rsidRDefault="00DF640B" w:rsidP="002064CD">
            <w:r>
              <w:t>Continue the call as normal</w:t>
            </w:r>
            <w:r w:rsidR="00323055">
              <w:t xml:space="preserve">. </w:t>
            </w:r>
          </w:p>
        </w:tc>
      </w:tr>
      <w:tr w:rsidR="00487ED9" w:rsidRPr="0014193C" w14:paraId="158A06F6" w14:textId="77777777" w:rsidTr="0084124A">
        <w:tc>
          <w:tcPr>
            <w:tcW w:w="261" w:type="pct"/>
            <w:vMerge/>
          </w:tcPr>
          <w:p w14:paraId="5058E32B" w14:textId="77777777" w:rsidR="00DF640B" w:rsidRPr="0014193C" w:rsidRDefault="00DF640B" w:rsidP="002064CD">
            <w:pPr>
              <w:jc w:val="center"/>
              <w:rPr>
                <w:b/>
              </w:rPr>
            </w:pPr>
          </w:p>
        </w:tc>
        <w:tc>
          <w:tcPr>
            <w:tcW w:w="1857" w:type="pct"/>
          </w:tcPr>
          <w:p w14:paraId="7D0FC860" w14:textId="2796540D" w:rsidR="0040165D" w:rsidRDefault="00C077A0" w:rsidP="002064CD">
            <w:r>
              <w:t xml:space="preserve">Refuses to have the prescription changed to a </w:t>
            </w:r>
            <w:r w:rsidR="003256F6">
              <w:t>90-day</w:t>
            </w:r>
            <w:r>
              <w:t xml:space="preserve"> supply</w:t>
            </w:r>
          </w:p>
        </w:tc>
        <w:tc>
          <w:tcPr>
            <w:tcW w:w="2882" w:type="pct"/>
          </w:tcPr>
          <w:p w14:paraId="61871052" w14:textId="39525A24" w:rsidR="00DF640B" w:rsidRPr="006C0C03" w:rsidRDefault="002064CD" w:rsidP="002064CD">
            <w:r>
              <w:t>Proceed</w:t>
            </w:r>
            <w:r w:rsidR="006C0C03">
              <w:t xml:space="preserve"> to the next step. </w:t>
            </w:r>
          </w:p>
        </w:tc>
      </w:tr>
      <w:tr w:rsidR="00487ED9" w:rsidRPr="0014193C" w14:paraId="41B5E936" w14:textId="77777777" w:rsidTr="0084124A">
        <w:tc>
          <w:tcPr>
            <w:tcW w:w="261" w:type="pct"/>
            <w:vMerge/>
          </w:tcPr>
          <w:p w14:paraId="6B39D7CB" w14:textId="77777777" w:rsidR="00DF640B" w:rsidRPr="0014193C" w:rsidRDefault="00DF640B" w:rsidP="002064CD">
            <w:pPr>
              <w:jc w:val="center"/>
              <w:rPr>
                <w:b/>
              </w:rPr>
            </w:pPr>
          </w:p>
        </w:tc>
        <w:tc>
          <w:tcPr>
            <w:tcW w:w="1857" w:type="pct"/>
          </w:tcPr>
          <w:p w14:paraId="25186B14" w14:textId="5A614953" w:rsidR="0040165D" w:rsidRPr="00C077A0" w:rsidRDefault="00C077A0" w:rsidP="002064CD">
            <w:r>
              <w:t xml:space="preserve">Refuses to have the prescription changed to a </w:t>
            </w:r>
            <w:r w:rsidR="003256F6">
              <w:t>90-day</w:t>
            </w:r>
            <w:r>
              <w:t xml:space="preserve"> supply </w:t>
            </w:r>
            <w:r>
              <w:rPr>
                <w:b/>
              </w:rPr>
              <w:t>AND</w:t>
            </w:r>
            <w:r>
              <w:t xml:space="preserve"> the medication is an anti-psychotic or anti-depressant</w:t>
            </w:r>
          </w:p>
        </w:tc>
        <w:tc>
          <w:tcPr>
            <w:tcW w:w="2882" w:type="pct"/>
          </w:tcPr>
          <w:p w14:paraId="34D09A22" w14:textId="18676CD5" w:rsidR="00DF640B" w:rsidRDefault="002064CD" w:rsidP="002064CD">
            <w:r>
              <w:t>Proceed</w:t>
            </w:r>
            <w:r w:rsidR="00C077A0">
              <w:t xml:space="preserve"> to </w:t>
            </w:r>
            <w:hyperlink w:anchor="_Anti-Psychotic_and_Anti-Depressants" w:history="1">
              <w:r w:rsidR="00C077A0" w:rsidRPr="00C077A0">
                <w:rPr>
                  <w:rStyle w:val="Hyperlink"/>
                </w:rPr>
                <w:t>Anti-Psychotic and Anti-Depressants</w:t>
              </w:r>
            </w:hyperlink>
            <w:r>
              <w:t xml:space="preserve"> section.</w:t>
            </w:r>
          </w:p>
        </w:tc>
      </w:tr>
      <w:tr w:rsidR="002E5669" w:rsidRPr="0014193C" w14:paraId="765CF624" w14:textId="77777777" w:rsidTr="0084124A">
        <w:tc>
          <w:tcPr>
            <w:tcW w:w="261" w:type="pct"/>
            <w:vMerge w:val="restart"/>
          </w:tcPr>
          <w:p w14:paraId="7AC094CE" w14:textId="01A439D0" w:rsidR="002E5669" w:rsidRPr="0014193C" w:rsidRDefault="002E5669" w:rsidP="002064CD">
            <w:pPr>
              <w:jc w:val="center"/>
              <w:rPr>
                <w:b/>
              </w:rPr>
            </w:pPr>
            <w:r w:rsidRPr="0014193C">
              <w:rPr>
                <w:b/>
              </w:rPr>
              <w:t>3</w:t>
            </w:r>
            <w:r w:rsidR="007C0F7C">
              <w:rPr>
                <w:b/>
              </w:rPr>
              <w:t xml:space="preserve"> </w:t>
            </w:r>
          </w:p>
        </w:tc>
        <w:tc>
          <w:tcPr>
            <w:tcW w:w="4739" w:type="pct"/>
            <w:gridSpan w:val="2"/>
            <w:tcBorders>
              <w:bottom w:val="single" w:sz="4" w:space="0" w:color="auto"/>
            </w:tcBorders>
          </w:tcPr>
          <w:p w14:paraId="49199B05" w14:textId="52C6EB1D" w:rsidR="002E5669" w:rsidRPr="003E1F6D" w:rsidRDefault="002E5669" w:rsidP="002064CD">
            <w:r>
              <w:t>Depending on the member</w:t>
            </w:r>
            <w:r w:rsidR="000F1F8A">
              <w:t>’</w:t>
            </w:r>
            <w:r>
              <w:t xml:space="preserve">s plan they may be allowed to continue filling at a </w:t>
            </w:r>
            <w:r w:rsidR="00C63405">
              <w:t>30-day</w:t>
            </w:r>
            <w:r>
              <w:t xml:space="preserve"> supply</w:t>
            </w:r>
            <w:r w:rsidR="00323055">
              <w:t xml:space="preserve">. </w:t>
            </w:r>
            <w:r>
              <w:t>Review the Client Program Offerings below:</w:t>
            </w:r>
          </w:p>
        </w:tc>
      </w:tr>
      <w:tr w:rsidR="00487ED9" w:rsidRPr="0014193C" w14:paraId="526E1A0E" w14:textId="77777777" w:rsidTr="0084124A">
        <w:tc>
          <w:tcPr>
            <w:tcW w:w="261" w:type="pct"/>
            <w:vMerge/>
          </w:tcPr>
          <w:p w14:paraId="675BAF6C" w14:textId="77777777" w:rsidR="002E5669" w:rsidRPr="0014193C" w:rsidRDefault="002E5669" w:rsidP="002064CD">
            <w:pPr>
              <w:jc w:val="center"/>
              <w:rPr>
                <w:b/>
              </w:rPr>
            </w:pPr>
          </w:p>
        </w:tc>
        <w:tc>
          <w:tcPr>
            <w:tcW w:w="1857" w:type="pct"/>
            <w:shd w:val="pct12" w:color="auto" w:fill="auto"/>
          </w:tcPr>
          <w:p w14:paraId="4365B540" w14:textId="77777777" w:rsidR="002E5669" w:rsidRPr="002E5669" w:rsidRDefault="002E5669" w:rsidP="002064CD">
            <w:pPr>
              <w:jc w:val="center"/>
              <w:rPr>
                <w:b/>
              </w:rPr>
            </w:pPr>
            <w:r w:rsidRPr="002E5669">
              <w:rPr>
                <w:b/>
              </w:rPr>
              <w:t>Program Offering</w:t>
            </w:r>
          </w:p>
        </w:tc>
        <w:tc>
          <w:tcPr>
            <w:tcW w:w="2882" w:type="pct"/>
            <w:shd w:val="pct12" w:color="auto" w:fill="auto"/>
          </w:tcPr>
          <w:p w14:paraId="2FE72B1F" w14:textId="77777777" w:rsidR="002E5669" w:rsidRPr="002E5669" w:rsidRDefault="002E5669" w:rsidP="002064CD">
            <w:pPr>
              <w:jc w:val="center"/>
              <w:rPr>
                <w:b/>
              </w:rPr>
            </w:pPr>
            <w:r w:rsidRPr="002E5669">
              <w:rPr>
                <w:b/>
              </w:rPr>
              <w:t>Description</w:t>
            </w:r>
          </w:p>
        </w:tc>
      </w:tr>
      <w:tr w:rsidR="00487ED9" w:rsidRPr="0014193C" w14:paraId="14A9EA00" w14:textId="77777777" w:rsidTr="0084124A">
        <w:tc>
          <w:tcPr>
            <w:tcW w:w="261" w:type="pct"/>
            <w:vMerge/>
          </w:tcPr>
          <w:p w14:paraId="64EA6419" w14:textId="77777777" w:rsidR="002E5669" w:rsidRPr="0014193C" w:rsidRDefault="002E5669" w:rsidP="002064CD">
            <w:pPr>
              <w:jc w:val="center"/>
              <w:rPr>
                <w:b/>
              </w:rPr>
            </w:pPr>
          </w:p>
        </w:tc>
        <w:tc>
          <w:tcPr>
            <w:tcW w:w="1857" w:type="pct"/>
          </w:tcPr>
          <w:p w14:paraId="0F0F0B32" w14:textId="77777777" w:rsidR="002E5669" w:rsidRPr="002E5669" w:rsidRDefault="002E5669" w:rsidP="002064CD">
            <w:bookmarkStart w:id="15" w:name="OLE_LINK1"/>
            <w:r>
              <w:t>Maintenance Choice Incentiv</w:t>
            </w:r>
            <w:r w:rsidR="0061520D">
              <w:t>iz</w:t>
            </w:r>
            <w:r>
              <w:t>ed</w:t>
            </w:r>
            <w:bookmarkEnd w:id="15"/>
          </w:p>
        </w:tc>
        <w:tc>
          <w:tcPr>
            <w:tcW w:w="2882" w:type="pct"/>
          </w:tcPr>
          <w:p w14:paraId="54120C98" w14:textId="77777777" w:rsidR="004926FE" w:rsidRDefault="002E5669" w:rsidP="002064CD">
            <w:pPr>
              <w:ind w:left="76"/>
              <w:rPr>
                <w:b/>
                <w:bCs/>
                <w:color w:val="000000"/>
              </w:rPr>
            </w:pPr>
            <w:r w:rsidRPr="003E2441">
              <w:t>Copays are increased after a certain number of 30-day supply fills at a retail pharmacy</w:t>
            </w:r>
            <w:r w:rsidR="003E2441" w:rsidRPr="003256F6">
              <w:rPr>
                <w:color w:val="000000"/>
              </w:rPr>
              <w:t>.</w:t>
            </w:r>
            <w:r w:rsidR="003E2441" w:rsidRPr="00843B4C">
              <w:rPr>
                <w:b/>
                <w:bCs/>
                <w:color w:val="000000"/>
              </w:rPr>
              <w:t xml:space="preserve"> </w:t>
            </w:r>
          </w:p>
          <w:p w14:paraId="4F2D3728" w14:textId="4CC1801B" w:rsidR="0040165D" w:rsidRPr="000258E4" w:rsidRDefault="004926FE" w:rsidP="002064CD">
            <w:pPr>
              <w:ind w:left="76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</w:rPr>
              <w:t xml:space="preserve">Note:  </w:t>
            </w:r>
            <w:r w:rsidR="003E2441" w:rsidRPr="0084124A">
              <w:rPr>
                <w:color w:val="000000"/>
              </w:rPr>
              <w:t xml:space="preserve">This program does not block 30 Day refills, but rather </w:t>
            </w:r>
            <w:r w:rsidR="003E2441" w:rsidRPr="004926FE">
              <w:rPr>
                <w:b/>
                <w:bCs/>
                <w:color w:val="000000"/>
              </w:rPr>
              <w:t>increases</w:t>
            </w:r>
            <w:r w:rsidR="003E2441" w:rsidRPr="0084124A">
              <w:rPr>
                <w:color w:val="000000"/>
              </w:rPr>
              <w:t xml:space="preserve"> the </w:t>
            </w:r>
            <w:r w:rsidR="00E42A18" w:rsidRPr="0084124A">
              <w:rPr>
                <w:color w:val="000000"/>
              </w:rPr>
              <w:t>copays.</w:t>
            </w:r>
            <w:r w:rsidR="003E2441" w:rsidRPr="00843B4C">
              <w:rPr>
                <w:b/>
                <w:bCs/>
                <w:color w:val="000000"/>
              </w:rPr>
              <w:t> </w:t>
            </w:r>
          </w:p>
        </w:tc>
      </w:tr>
      <w:tr w:rsidR="00487ED9" w:rsidRPr="0014193C" w14:paraId="282329B2" w14:textId="77777777" w:rsidTr="0084124A">
        <w:tc>
          <w:tcPr>
            <w:tcW w:w="261" w:type="pct"/>
            <w:vMerge/>
          </w:tcPr>
          <w:p w14:paraId="5582CE20" w14:textId="77777777" w:rsidR="002E5669" w:rsidRPr="0014193C" w:rsidRDefault="002E5669" w:rsidP="002064CD">
            <w:pPr>
              <w:jc w:val="center"/>
              <w:rPr>
                <w:b/>
              </w:rPr>
            </w:pPr>
            <w:bookmarkStart w:id="16" w:name="_Hlk100141712"/>
          </w:p>
        </w:tc>
        <w:tc>
          <w:tcPr>
            <w:tcW w:w="1857" w:type="pct"/>
          </w:tcPr>
          <w:p w14:paraId="162A9072" w14:textId="77777777" w:rsidR="002E5669" w:rsidRDefault="002E5669" w:rsidP="002064CD">
            <w:r>
              <w:t>Maintenance Choice Mandatory</w:t>
            </w:r>
          </w:p>
        </w:tc>
        <w:tc>
          <w:tcPr>
            <w:tcW w:w="2882" w:type="pct"/>
          </w:tcPr>
          <w:p w14:paraId="79F431B0" w14:textId="2D9ED419" w:rsidR="002E5669" w:rsidRDefault="002E5669" w:rsidP="0084124A">
            <w:pPr>
              <w:rPr>
                <w:color w:val="FF0000"/>
              </w:rPr>
            </w:pPr>
            <w:r>
              <w:t>If the member continues to fill 30-day supplies</w:t>
            </w:r>
            <w:r w:rsidR="0045352E">
              <w:t>,</w:t>
            </w:r>
            <w:r w:rsidR="00487ED9">
              <w:t xml:space="preserve"> </w:t>
            </w:r>
            <w:r>
              <w:t>they will not be covered by the plan</w:t>
            </w:r>
            <w:r w:rsidR="004D615E">
              <w:t>.</w:t>
            </w:r>
            <w:r w:rsidR="00D75053">
              <w:t xml:space="preserve"> </w:t>
            </w:r>
          </w:p>
        </w:tc>
      </w:tr>
      <w:bookmarkEnd w:id="16"/>
      <w:tr w:rsidR="00487ED9" w:rsidRPr="0014193C" w14:paraId="54078AEC" w14:textId="77777777" w:rsidTr="0084124A">
        <w:tc>
          <w:tcPr>
            <w:tcW w:w="261" w:type="pct"/>
            <w:vMerge/>
          </w:tcPr>
          <w:p w14:paraId="680355C6" w14:textId="77777777" w:rsidR="002E5669" w:rsidRPr="0014193C" w:rsidRDefault="002E5669" w:rsidP="002064CD">
            <w:pPr>
              <w:jc w:val="center"/>
              <w:rPr>
                <w:b/>
              </w:rPr>
            </w:pPr>
          </w:p>
        </w:tc>
        <w:tc>
          <w:tcPr>
            <w:tcW w:w="1857" w:type="pct"/>
          </w:tcPr>
          <w:p w14:paraId="62FE6B0A" w14:textId="77777777" w:rsidR="002E5669" w:rsidRDefault="002E5669" w:rsidP="002064CD">
            <w:r>
              <w:t>Maintenance Choice Opt Out</w:t>
            </w:r>
          </w:p>
        </w:tc>
        <w:tc>
          <w:tcPr>
            <w:tcW w:w="2882" w:type="pct"/>
          </w:tcPr>
          <w:p w14:paraId="66D03D81" w14:textId="42B61C73" w:rsidR="00323055" w:rsidRDefault="002E5669" w:rsidP="002064CD">
            <w:r w:rsidRPr="0084124A">
              <w:rPr>
                <w:b/>
                <w:bCs/>
              </w:rPr>
              <w:t>Opt Out</w:t>
            </w:r>
            <w:r>
              <w:t xml:space="preserve"> allows the member to continue filling prescriptions at other retail pharmacies at the plan’s designated retail copay and day </w:t>
            </w:r>
            <w:r w:rsidR="009A543C">
              <w:t>supply.</w:t>
            </w:r>
            <w:r w:rsidR="00323055">
              <w:t xml:space="preserve"> </w:t>
            </w:r>
          </w:p>
          <w:p w14:paraId="039B42D5" w14:textId="22934AB0" w:rsidR="00A33A98" w:rsidRDefault="00323055" w:rsidP="002064CD">
            <w:r>
              <w:t>If the member requests to Opt Out, n</w:t>
            </w:r>
            <w:r w:rsidR="002E5669">
              <w:t xml:space="preserve">avigate to the </w:t>
            </w:r>
            <w:r w:rsidR="002E5669" w:rsidRPr="00C63405">
              <w:rPr>
                <w:bCs/>
              </w:rPr>
              <w:t>Prescription Details</w:t>
            </w:r>
            <w:r w:rsidR="002E5669">
              <w:t xml:space="preserve"> screen by clicking the </w:t>
            </w:r>
            <w:r w:rsidR="002E5669" w:rsidRPr="0084124A">
              <w:rPr>
                <w:b/>
                <w:bCs/>
              </w:rPr>
              <w:t>Prescription Number</w:t>
            </w:r>
            <w:r w:rsidR="002E5669">
              <w:t xml:space="preserve"> from the </w:t>
            </w:r>
            <w:r w:rsidR="002E5669" w:rsidRPr="00C63405">
              <w:rPr>
                <w:bCs/>
              </w:rPr>
              <w:t>Main</w:t>
            </w:r>
            <w:r w:rsidR="00C63405">
              <w:t xml:space="preserve"> Screen then click the </w:t>
            </w:r>
            <w:r w:rsidR="00C63405" w:rsidRPr="002E5669">
              <w:rPr>
                <w:b/>
                <w:bCs/>
              </w:rPr>
              <w:t>Add Drug Opt Out</w:t>
            </w:r>
            <w:r w:rsidR="00C63405">
              <w:t xml:space="preserve"> button.</w:t>
            </w:r>
          </w:p>
          <w:p w14:paraId="31CC0102" w14:textId="5F228CC6" w:rsidR="002E5669" w:rsidRPr="004774D9" w:rsidRDefault="00FE6781" w:rsidP="002064CD">
            <w:pPr>
              <w:rPr>
                <w:bCs/>
              </w:rPr>
            </w:pPr>
            <w:r>
              <w:t xml:space="preserve">Refer to </w:t>
            </w:r>
            <w:hyperlink r:id="rId12" w:anchor="!/view?docid=20791340-d563-44f1-a4ef-e7d39a495112" w:history="1">
              <w:r w:rsidR="004774D9" w:rsidRPr="007178AA">
                <w:rPr>
                  <w:rStyle w:val="Hyperlink"/>
                  <w:bCs/>
                </w:rPr>
                <w:t>Maintenance Choice Opt Out (058982)</w:t>
              </w:r>
            </w:hyperlink>
            <w:r w:rsidR="004774D9">
              <w:t>.</w:t>
            </w:r>
          </w:p>
          <w:p w14:paraId="7A4F6CA2" w14:textId="70DF33D9" w:rsidR="002E5669" w:rsidRDefault="002E5669" w:rsidP="0084124A">
            <w:pPr>
              <w:rPr>
                <w:color w:val="FF0000"/>
              </w:rPr>
            </w:pPr>
            <w:r>
              <w:rPr>
                <w:b/>
                <w:bCs/>
              </w:rPr>
              <w:t>Note:</w:t>
            </w:r>
            <w:r>
              <w:t xml:space="preserve">  Must be in </w:t>
            </w:r>
            <w:r w:rsidRPr="0084124A">
              <w:rPr>
                <w:b/>
                <w:bCs/>
              </w:rPr>
              <w:t>All</w:t>
            </w:r>
            <w:r>
              <w:t xml:space="preserve"> claims mode for Rx</w:t>
            </w:r>
            <w:r w:rsidR="00C63405">
              <w:t>Claim</w:t>
            </w:r>
            <w:r>
              <w:t>.</w:t>
            </w:r>
          </w:p>
        </w:tc>
      </w:tr>
      <w:tr w:rsidR="00487ED9" w:rsidRPr="0014193C" w14:paraId="00040225" w14:textId="77777777" w:rsidTr="0084124A">
        <w:trPr>
          <w:trHeight w:val="1250"/>
        </w:trPr>
        <w:tc>
          <w:tcPr>
            <w:tcW w:w="261" w:type="pct"/>
            <w:vMerge/>
          </w:tcPr>
          <w:p w14:paraId="4069542E" w14:textId="77777777" w:rsidR="002E5669" w:rsidRPr="0014193C" w:rsidRDefault="002E5669" w:rsidP="002064CD">
            <w:pPr>
              <w:jc w:val="center"/>
              <w:rPr>
                <w:b/>
              </w:rPr>
            </w:pPr>
          </w:p>
        </w:tc>
        <w:tc>
          <w:tcPr>
            <w:tcW w:w="1857" w:type="pct"/>
          </w:tcPr>
          <w:p w14:paraId="23CF3763" w14:textId="77777777" w:rsidR="002E5669" w:rsidRDefault="002E5669" w:rsidP="002064CD">
            <w:r>
              <w:t xml:space="preserve">Plan Benefit Override and Exceptions </w:t>
            </w:r>
          </w:p>
        </w:tc>
        <w:tc>
          <w:tcPr>
            <w:tcW w:w="2882" w:type="pct"/>
          </w:tcPr>
          <w:p w14:paraId="5F8CA02A" w14:textId="2AABE9A3" w:rsidR="002E5669" w:rsidRPr="003670EC" w:rsidRDefault="002D3EAC" w:rsidP="002064CD">
            <w:pPr>
              <w:rPr>
                <w:color w:val="FF0000"/>
              </w:rPr>
            </w:pPr>
            <w:r>
              <w:rPr>
                <w:bCs/>
                <w:lang w:val="en"/>
              </w:rPr>
              <w:t xml:space="preserve">Verify </w:t>
            </w:r>
            <w:r w:rsidR="005B7141">
              <w:rPr>
                <w:bCs/>
                <w:lang w:val="en"/>
              </w:rPr>
              <w:t xml:space="preserve">Override allowed Per CIF: </w:t>
            </w:r>
            <w:r w:rsidR="004D615E">
              <w:rPr>
                <w:bCs/>
                <w:lang w:val="en"/>
              </w:rPr>
              <w:t xml:space="preserve"> </w:t>
            </w:r>
            <w:r w:rsidR="002E5669" w:rsidRPr="003670EC">
              <w:rPr>
                <w:bCs/>
                <w:lang w:val="en"/>
              </w:rPr>
              <w:t>Retail Fill Limit/Allowed Fill/Annual Fill Limit (AFL)</w:t>
            </w:r>
            <w:r w:rsidR="003670EC" w:rsidRPr="003670EC">
              <w:rPr>
                <w:bCs/>
                <w:lang w:val="en"/>
              </w:rPr>
              <w:t xml:space="preserve"> </w:t>
            </w:r>
            <w:r w:rsidR="002E5669" w:rsidRPr="003670EC">
              <w:rPr>
                <w:bCs/>
                <w:lang w:val="en"/>
              </w:rPr>
              <w:t>Transition Plan 1x 30DS</w:t>
            </w:r>
            <w:r w:rsidR="004D615E">
              <w:rPr>
                <w:bCs/>
                <w:lang w:val="en"/>
              </w:rPr>
              <w:t>.</w:t>
            </w:r>
          </w:p>
          <w:p w14:paraId="30E944E0" w14:textId="2DE82108" w:rsidR="002E5669" w:rsidRPr="002E5669" w:rsidRDefault="002E5669" w:rsidP="002064C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3A115BF2" wp14:editId="4701299B">
                  <wp:extent cx="238095" cy="209524"/>
                  <wp:effectExtent l="0" t="0" r="0" b="63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0000"/>
              </w:rPr>
              <w:t xml:space="preserve"> </w:t>
            </w:r>
            <w:r w:rsidR="00BD46F0">
              <w:t>Revie</w:t>
            </w:r>
            <w:r w:rsidR="00AF1609">
              <w:t xml:space="preserve">w </w:t>
            </w:r>
            <w:r w:rsidR="00027162">
              <w:t>CIF</w:t>
            </w:r>
            <w:r w:rsidR="00AF1609">
              <w:t xml:space="preserve"> for Exceptions</w:t>
            </w:r>
            <w:r w:rsidR="00C95FC2">
              <w:t xml:space="preserve">, if not mentioned, </w:t>
            </w:r>
            <w:r w:rsidR="00AA7CEC">
              <w:t xml:space="preserve">advise the caller to </w:t>
            </w:r>
            <w:r w:rsidR="003C4785">
              <w:t xml:space="preserve">file an </w:t>
            </w:r>
            <w:hyperlink r:id="rId14" w:anchor="!/view?docid=cd7126d2-19b7-4743-913c-8e9dd7329c08" w:history="1">
              <w:r w:rsidR="00EE3019">
                <w:rPr>
                  <w:rStyle w:val="Hyperlink"/>
                </w:rPr>
                <w:t>appeal (007339)</w:t>
              </w:r>
            </w:hyperlink>
            <w:r w:rsidR="003C4785">
              <w:t xml:space="preserve">. </w:t>
            </w:r>
          </w:p>
        </w:tc>
      </w:tr>
    </w:tbl>
    <w:p w14:paraId="34D304D5" w14:textId="77777777" w:rsidR="00312690" w:rsidRPr="0014193C" w:rsidRDefault="00312690" w:rsidP="002064CD">
      <w:pPr>
        <w:jc w:val="right"/>
      </w:pPr>
    </w:p>
    <w:bookmarkStart w:id="17" w:name="_Log_Activity"/>
    <w:bookmarkEnd w:id="17"/>
    <w:p w14:paraId="1E6D2C7C" w14:textId="73F3331D" w:rsidR="00176400" w:rsidRPr="0014193C" w:rsidRDefault="00C222A3" w:rsidP="002064CD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CA45C1" w:rsidRPr="00C222A3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D6CD0" w:rsidRPr="0014193C" w14:paraId="6CECD891" w14:textId="77777777" w:rsidTr="000258E4">
        <w:tc>
          <w:tcPr>
            <w:tcW w:w="5000" w:type="pct"/>
            <w:shd w:val="clear" w:color="auto" w:fill="C0C0C0"/>
          </w:tcPr>
          <w:p w14:paraId="5D504ED3" w14:textId="674585F1" w:rsidR="004D6CD0" w:rsidRPr="0014193C" w:rsidRDefault="00402D3A" w:rsidP="0084124A">
            <w:pPr>
              <w:pStyle w:val="Heading2"/>
              <w:spacing w:after="120"/>
            </w:pPr>
            <w:bookmarkStart w:id="18" w:name="_Parent_SOP"/>
            <w:bookmarkStart w:id="19" w:name="_Anti-Psychotic_and_Anti-Depressants"/>
            <w:bookmarkStart w:id="20" w:name="_Toc163825938"/>
            <w:bookmarkEnd w:id="18"/>
            <w:bookmarkEnd w:id="19"/>
            <w:r>
              <w:t>Anti-Psychotic and Anti-</w:t>
            </w:r>
            <w:r w:rsidR="00DF640B">
              <w:t>Depressants</w:t>
            </w:r>
            <w:bookmarkEnd w:id="20"/>
          </w:p>
        </w:tc>
      </w:tr>
    </w:tbl>
    <w:p w14:paraId="3578A050" w14:textId="77777777" w:rsidR="004926FE" w:rsidRDefault="004926FE" w:rsidP="0084124A">
      <w:pPr>
        <w:contextualSpacing/>
      </w:pPr>
    </w:p>
    <w:p w14:paraId="553D2803" w14:textId="434AE4F3" w:rsidR="004D6CD0" w:rsidRPr="0014193C" w:rsidRDefault="00402D3A" w:rsidP="002064CD">
      <w:r>
        <w:t xml:space="preserve">If the GPI starts with </w:t>
      </w:r>
      <w:r w:rsidRPr="0084124A">
        <w:rPr>
          <w:b/>
          <w:bCs/>
        </w:rPr>
        <w:t>GPI</w:t>
      </w:r>
      <w:r w:rsidR="0040165D" w:rsidRPr="0084124A">
        <w:rPr>
          <w:b/>
          <w:bCs/>
        </w:rPr>
        <w:t xml:space="preserve"> 58</w:t>
      </w:r>
      <w:r w:rsidRPr="0084124A">
        <w:rPr>
          <w:b/>
          <w:bCs/>
        </w:rPr>
        <w:t xml:space="preserve"> </w:t>
      </w:r>
      <w:r w:rsidR="00AB7C96">
        <w:t>or</w:t>
      </w:r>
      <w:r w:rsidRPr="00402D3A">
        <w:t xml:space="preserve"> </w:t>
      </w:r>
      <w:r w:rsidRPr="0084124A">
        <w:rPr>
          <w:b/>
          <w:bCs/>
        </w:rPr>
        <w:t>GPI 59</w:t>
      </w:r>
      <w:r>
        <w:t xml:space="preserve">, and the member or doctor's office has indicated that they do not wish the member to have a full 90 </w:t>
      </w:r>
      <w:r w:rsidR="00853584">
        <w:t>days’</w:t>
      </w:r>
      <w:r>
        <w:t xml:space="preserve"> supply due to safety reasons</w:t>
      </w:r>
      <w:r w:rsidR="00DF640B">
        <w:t xml:space="preserve">, </w:t>
      </w:r>
      <w:r w:rsidR="00DF640B" w:rsidRPr="0014193C">
        <w:t xml:space="preserve">perform </w:t>
      </w:r>
      <w:r w:rsidR="004D6CD0" w:rsidRPr="0014193C">
        <w:t>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310"/>
        <w:gridCol w:w="824"/>
        <w:gridCol w:w="8992"/>
      </w:tblGrid>
      <w:tr w:rsidR="004D6CD0" w:rsidRPr="0014193C" w14:paraId="00E2034B" w14:textId="77777777" w:rsidTr="005C78D2">
        <w:tc>
          <w:tcPr>
            <w:tcW w:w="270" w:type="pct"/>
            <w:shd w:val="pct12" w:color="auto" w:fill="auto"/>
          </w:tcPr>
          <w:p w14:paraId="56746221" w14:textId="77777777" w:rsidR="004D6CD0" w:rsidRPr="0014193C" w:rsidRDefault="004D6CD0" w:rsidP="002064CD">
            <w:pPr>
              <w:jc w:val="center"/>
              <w:rPr>
                <w:b/>
              </w:rPr>
            </w:pPr>
            <w:r w:rsidRPr="0014193C">
              <w:rPr>
                <w:b/>
              </w:rPr>
              <w:t>Step</w:t>
            </w:r>
          </w:p>
        </w:tc>
        <w:tc>
          <w:tcPr>
            <w:tcW w:w="4730" w:type="pct"/>
            <w:gridSpan w:val="3"/>
            <w:shd w:val="pct12" w:color="auto" w:fill="auto"/>
          </w:tcPr>
          <w:p w14:paraId="49E56860" w14:textId="77777777" w:rsidR="004D6CD0" w:rsidRPr="0014193C" w:rsidRDefault="004D6CD0" w:rsidP="002064CD">
            <w:pPr>
              <w:jc w:val="center"/>
              <w:rPr>
                <w:b/>
              </w:rPr>
            </w:pPr>
            <w:r w:rsidRPr="0014193C">
              <w:rPr>
                <w:b/>
              </w:rPr>
              <w:t xml:space="preserve">Action </w:t>
            </w:r>
          </w:p>
        </w:tc>
      </w:tr>
      <w:tr w:rsidR="004D6CD0" w:rsidRPr="0014193C" w14:paraId="66EA792C" w14:textId="77777777" w:rsidTr="005C78D2">
        <w:tc>
          <w:tcPr>
            <w:tcW w:w="270" w:type="pct"/>
          </w:tcPr>
          <w:p w14:paraId="79A5149B" w14:textId="77C931A1" w:rsidR="004D6CD0" w:rsidRPr="0014193C" w:rsidRDefault="004D6CD0" w:rsidP="002064CD">
            <w:pPr>
              <w:jc w:val="center"/>
              <w:rPr>
                <w:b/>
              </w:rPr>
            </w:pPr>
            <w:r w:rsidRPr="0014193C">
              <w:rPr>
                <w:b/>
              </w:rPr>
              <w:t>1</w:t>
            </w:r>
          </w:p>
        </w:tc>
        <w:tc>
          <w:tcPr>
            <w:tcW w:w="4730" w:type="pct"/>
            <w:gridSpan w:val="3"/>
          </w:tcPr>
          <w:p w14:paraId="4D147FA3" w14:textId="05392AB7" w:rsidR="002E5669" w:rsidRDefault="003670EC" w:rsidP="002064CD">
            <w:r>
              <w:t xml:space="preserve">Click the </w:t>
            </w:r>
            <w:r w:rsidRPr="003670EC">
              <w:rPr>
                <w:b/>
              </w:rPr>
              <w:t>name of the medication</w:t>
            </w:r>
            <w:r>
              <w:t xml:space="preserve"> and view the Drug Details screen to v</w:t>
            </w:r>
            <w:r w:rsidR="006C0C03">
              <w:t>erify the medication in question</w:t>
            </w:r>
            <w:r>
              <w:t xml:space="preserve"> (</w:t>
            </w:r>
            <w:r w:rsidR="006C0C03">
              <w:t>GPI starts with a</w:t>
            </w:r>
            <w:r w:rsidR="00817C89" w:rsidRPr="00843B4C">
              <w:rPr>
                <w:color w:val="FF0000"/>
              </w:rPr>
              <w:t xml:space="preserve"> </w:t>
            </w:r>
            <w:r w:rsidR="00817C89">
              <w:t>58</w:t>
            </w:r>
            <w:r w:rsidR="006C0C03">
              <w:t xml:space="preserve"> or 59</w:t>
            </w:r>
            <w:r>
              <w:t>)</w:t>
            </w:r>
            <w:r w:rsidR="00323055">
              <w:t xml:space="preserve">. </w:t>
            </w:r>
          </w:p>
          <w:p w14:paraId="46C709CC" w14:textId="77777777" w:rsidR="004774D9" w:rsidRDefault="004774D9" w:rsidP="002064CD"/>
          <w:p w14:paraId="76C15E2B" w14:textId="556FEF53" w:rsidR="00F14B51" w:rsidRDefault="0084124A" w:rsidP="002064CD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E29AECD" wp14:editId="2A4D6B4A">
                  <wp:extent cx="2654553" cy="100301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265" cy="100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78D2">
              <w:rPr>
                <w:color w:val="FF0000"/>
              </w:rPr>
              <w:t xml:space="preserve"> </w:t>
            </w:r>
            <w:r w:rsidR="005C78D2">
              <w:rPr>
                <w:noProof/>
              </w:rPr>
              <w:drawing>
                <wp:inline distT="0" distB="0" distL="0" distR="0" wp14:anchorId="3F90D0F7" wp14:editId="0729C78B">
                  <wp:extent cx="2960359" cy="100901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279" cy="101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162DD" w14:textId="246E46DA" w:rsidR="004774D9" w:rsidRPr="00AC4329" w:rsidRDefault="004774D9" w:rsidP="002064CD">
            <w:pPr>
              <w:jc w:val="center"/>
              <w:rPr>
                <w:color w:val="FF0000"/>
              </w:rPr>
            </w:pPr>
          </w:p>
        </w:tc>
      </w:tr>
      <w:tr w:rsidR="004141D2" w:rsidRPr="0014193C" w14:paraId="4106C2B4" w14:textId="77777777" w:rsidTr="005C78D2">
        <w:tc>
          <w:tcPr>
            <w:tcW w:w="270" w:type="pct"/>
            <w:vMerge w:val="restart"/>
          </w:tcPr>
          <w:p w14:paraId="4C37725D" w14:textId="7C81DEDA" w:rsidR="004141D2" w:rsidRPr="0014193C" w:rsidRDefault="004141D2" w:rsidP="002064CD">
            <w:pPr>
              <w:jc w:val="center"/>
              <w:rPr>
                <w:b/>
              </w:rPr>
            </w:pPr>
            <w:r w:rsidRPr="0014193C">
              <w:rPr>
                <w:b/>
              </w:rPr>
              <w:t>2</w:t>
            </w:r>
          </w:p>
        </w:tc>
        <w:tc>
          <w:tcPr>
            <w:tcW w:w="4730" w:type="pct"/>
            <w:gridSpan w:val="3"/>
            <w:tcBorders>
              <w:bottom w:val="single" w:sz="4" w:space="0" w:color="auto"/>
            </w:tcBorders>
          </w:tcPr>
          <w:p w14:paraId="062B2A69" w14:textId="13426EA9" w:rsidR="004141D2" w:rsidRPr="0014193C" w:rsidRDefault="004141D2" w:rsidP="002064CD">
            <w:r>
              <w:t xml:space="preserve">Ask the caller why the medication cannot be prescribed as a </w:t>
            </w:r>
            <w:r w:rsidR="003670EC">
              <w:t>90-day</w:t>
            </w:r>
            <w:r>
              <w:t xml:space="preserve"> supply</w:t>
            </w:r>
            <w:r w:rsidR="00323055">
              <w:t xml:space="preserve">. </w:t>
            </w:r>
          </w:p>
        </w:tc>
      </w:tr>
      <w:tr w:rsidR="004141D2" w:rsidRPr="0014193C" w14:paraId="3AE21AA3" w14:textId="77777777" w:rsidTr="005C78D2">
        <w:tc>
          <w:tcPr>
            <w:tcW w:w="270" w:type="pct"/>
            <w:vMerge/>
          </w:tcPr>
          <w:p w14:paraId="3B6854F3" w14:textId="77777777" w:rsidR="004141D2" w:rsidRPr="0014193C" w:rsidRDefault="004141D2" w:rsidP="002064CD">
            <w:pPr>
              <w:jc w:val="center"/>
              <w:rPr>
                <w:b/>
              </w:rPr>
            </w:pPr>
          </w:p>
        </w:tc>
        <w:tc>
          <w:tcPr>
            <w:tcW w:w="995" w:type="pct"/>
            <w:shd w:val="pct12" w:color="auto" w:fill="auto"/>
          </w:tcPr>
          <w:p w14:paraId="2C8FB4C9" w14:textId="77777777" w:rsidR="004141D2" w:rsidRPr="00AC4329" w:rsidRDefault="004141D2" w:rsidP="002064CD">
            <w:pPr>
              <w:jc w:val="center"/>
              <w:rPr>
                <w:b/>
              </w:rPr>
            </w:pPr>
            <w:r w:rsidRPr="00AC4329">
              <w:rPr>
                <w:b/>
              </w:rPr>
              <w:t>If</w:t>
            </w:r>
            <w:r>
              <w:rPr>
                <w:b/>
              </w:rPr>
              <w:t xml:space="preserve"> the caller advises</w:t>
            </w:r>
            <w:r w:rsidRPr="00AC4329">
              <w:rPr>
                <w:b/>
              </w:rPr>
              <w:t>...</w:t>
            </w:r>
          </w:p>
        </w:tc>
        <w:tc>
          <w:tcPr>
            <w:tcW w:w="3735" w:type="pct"/>
            <w:gridSpan w:val="2"/>
            <w:shd w:val="pct12" w:color="auto" w:fill="auto"/>
          </w:tcPr>
          <w:p w14:paraId="201759F0" w14:textId="77777777" w:rsidR="004141D2" w:rsidRPr="00AC4329" w:rsidRDefault="004141D2" w:rsidP="002064CD">
            <w:pPr>
              <w:jc w:val="center"/>
              <w:rPr>
                <w:b/>
              </w:rPr>
            </w:pPr>
            <w:r w:rsidRPr="00AC4329">
              <w:rPr>
                <w:b/>
              </w:rPr>
              <w:t>Then...</w:t>
            </w:r>
          </w:p>
        </w:tc>
      </w:tr>
      <w:tr w:rsidR="004141D2" w:rsidRPr="0014193C" w14:paraId="60A1258E" w14:textId="77777777" w:rsidTr="005C78D2">
        <w:tc>
          <w:tcPr>
            <w:tcW w:w="270" w:type="pct"/>
            <w:vMerge/>
          </w:tcPr>
          <w:p w14:paraId="0F24BFE0" w14:textId="77777777" w:rsidR="004141D2" w:rsidRPr="0014193C" w:rsidRDefault="004141D2" w:rsidP="002064CD">
            <w:pPr>
              <w:jc w:val="center"/>
              <w:rPr>
                <w:b/>
              </w:rPr>
            </w:pPr>
          </w:p>
        </w:tc>
        <w:tc>
          <w:tcPr>
            <w:tcW w:w="995" w:type="pct"/>
            <w:vMerge w:val="restart"/>
          </w:tcPr>
          <w:p w14:paraId="0FE1B3FE" w14:textId="77777777" w:rsidR="004141D2" w:rsidRDefault="004141D2" w:rsidP="002064CD">
            <w:r>
              <w:t>One of the following reasons:</w:t>
            </w:r>
          </w:p>
          <w:p w14:paraId="60C2D2EA" w14:textId="769BF7C6" w:rsidR="004141D2" w:rsidRDefault="003670EC" w:rsidP="002064CD">
            <w:pPr>
              <w:numPr>
                <w:ilvl w:val="0"/>
                <w:numId w:val="4"/>
              </w:numPr>
            </w:pPr>
            <w:r>
              <w:t>M</w:t>
            </w:r>
            <w:r w:rsidR="004141D2">
              <w:t xml:space="preserve">ember is in a nursing home or skilled residence </w:t>
            </w:r>
            <w:r w:rsidR="00323055">
              <w:t>facility.</w:t>
            </w:r>
          </w:p>
          <w:p w14:paraId="2D224B54" w14:textId="587D517A" w:rsidR="004141D2" w:rsidRDefault="003670EC" w:rsidP="002064CD">
            <w:pPr>
              <w:numPr>
                <w:ilvl w:val="0"/>
                <w:numId w:val="4"/>
              </w:numPr>
            </w:pPr>
            <w:r>
              <w:t>D</w:t>
            </w:r>
            <w:r w:rsidR="004141D2">
              <w:t xml:space="preserve">osing is constantly being </w:t>
            </w:r>
            <w:r w:rsidR="00323055">
              <w:t>changed.</w:t>
            </w:r>
          </w:p>
          <w:p w14:paraId="17B093B5" w14:textId="5AAB9A8C" w:rsidR="004141D2" w:rsidRDefault="003670EC" w:rsidP="002064CD">
            <w:pPr>
              <w:numPr>
                <w:ilvl w:val="0"/>
                <w:numId w:val="4"/>
              </w:numPr>
            </w:pPr>
            <w:r>
              <w:t>S</w:t>
            </w:r>
            <w:r w:rsidR="004141D2">
              <w:t xml:space="preserve">afety concern for the member to have a high quantity of medication on </w:t>
            </w:r>
            <w:r w:rsidR="00323055">
              <w:t>hand.</w:t>
            </w:r>
          </w:p>
          <w:p w14:paraId="6C1F5773" w14:textId="77777777" w:rsidR="004141D2" w:rsidRDefault="003670EC" w:rsidP="002064CD">
            <w:pPr>
              <w:numPr>
                <w:ilvl w:val="0"/>
                <w:numId w:val="4"/>
              </w:numPr>
            </w:pPr>
            <w:r>
              <w:t>M</w:t>
            </w:r>
            <w:r w:rsidR="004141D2">
              <w:t>edication is being used to treat an acute condition</w:t>
            </w:r>
          </w:p>
        </w:tc>
        <w:tc>
          <w:tcPr>
            <w:tcW w:w="3735" w:type="pct"/>
            <w:gridSpan w:val="2"/>
            <w:tcBorders>
              <w:bottom w:val="single" w:sz="4" w:space="0" w:color="auto"/>
            </w:tcBorders>
          </w:tcPr>
          <w:p w14:paraId="096AC8AC" w14:textId="77777777" w:rsidR="004141D2" w:rsidRDefault="004141D2" w:rsidP="002064CD">
            <w:r>
              <w:t>Follow the steps below</w:t>
            </w:r>
            <w:r w:rsidR="003670EC">
              <w:t>.</w:t>
            </w:r>
          </w:p>
        </w:tc>
      </w:tr>
      <w:tr w:rsidR="004141D2" w:rsidRPr="0014193C" w14:paraId="45D99942" w14:textId="77777777" w:rsidTr="005C78D2">
        <w:tc>
          <w:tcPr>
            <w:tcW w:w="270" w:type="pct"/>
            <w:vMerge/>
          </w:tcPr>
          <w:p w14:paraId="212AA5D5" w14:textId="77777777" w:rsidR="004141D2" w:rsidRPr="0014193C" w:rsidRDefault="004141D2" w:rsidP="002064CD">
            <w:pPr>
              <w:jc w:val="center"/>
              <w:rPr>
                <w:b/>
              </w:rPr>
            </w:pPr>
          </w:p>
        </w:tc>
        <w:tc>
          <w:tcPr>
            <w:tcW w:w="995" w:type="pct"/>
            <w:vMerge/>
          </w:tcPr>
          <w:p w14:paraId="7C28AFC5" w14:textId="77777777" w:rsidR="004141D2" w:rsidRDefault="004141D2" w:rsidP="002064CD"/>
        </w:tc>
        <w:tc>
          <w:tcPr>
            <w:tcW w:w="160" w:type="pct"/>
            <w:shd w:val="pct12" w:color="auto" w:fill="auto"/>
          </w:tcPr>
          <w:p w14:paraId="3FEC1F23" w14:textId="77777777" w:rsidR="004141D2" w:rsidRPr="004141D2" w:rsidRDefault="004141D2" w:rsidP="002064CD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575" w:type="pct"/>
            <w:shd w:val="pct12" w:color="auto" w:fill="auto"/>
          </w:tcPr>
          <w:p w14:paraId="6073643E" w14:textId="77777777" w:rsidR="004141D2" w:rsidRPr="004141D2" w:rsidRDefault="004141D2" w:rsidP="002064CD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4141D2" w:rsidRPr="0014193C" w14:paraId="7F9F5938" w14:textId="77777777" w:rsidTr="005C78D2">
        <w:tc>
          <w:tcPr>
            <w:tcW w:w="270" w:type="pct"/>
            <w:vMerge/>
          </w:tcPr>
          <w:p w14:paraId="47D940AF" w14:textId="77777777" w:rsidR="004141D2" w:rsidRPr="0014193C" w:rsidRDefault="004141D2" w:rsidP="002064CD">
            <w:pPr>
              <w:jc w:val="center"/>
              <w:rPr>
                <w:b/>
              </w:rPr>
            </w:pPr>
          </w:p>
        </w:tc>
        <w:tc>
          <w:tcPr>
            <w:tcW w:w="995" w:type="pct"/>
            <w:vMerge/>
          </w:tcPr>
          <w:p w14:paraId="74934CE4" w14:textId="77777777" w:rsidR="004141D2" w:rsidRDefault="004141D2" w:rsidP="002064CD"/>
        </w:tc>
        <w:tc>
          <w:tcPr>
            <w:tcW w:w="160" w:type="pct"/>
          </w:tcPr>
          <w:p w14:paraId="51F9C66E" w14:textId="5C8F69AB" w:rsidR="004141D2" w:rsidRPr="004141D2" w:rsidRDefault="004141D2" w:rsidP="002064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75" w:type="pct"/>
          </w:tcPr>
          <w:p w14:paraId="5625F294" w14:textId="0454D5EA" w:rsidR="001F793B" w:rsidRDefault="0040165D" w:rsidP="002064CD">
            <w:r>
              <w:t>Review</w:t>
            </w:r>
            <w:r w:rsidR="004141D2">
              <w:t xml:space="preserve"> the CIF to see if the client allows exceptions</w:t>
            </w:r>
            <w:r w:rsidR="00323055">
              <w:t xml:space="preserve">. </w:t>
            </w:r>
          </w:p>
          <w:p w14:paraId="4FAA4AE6" w14:textId="459F1872" w:rsidR="0040165D" w:rsidRDefault="004141D2" w:rsidP="002064CD">
            <w:pPr>
              <w:pStyle w:val="ListParagraph"/>
              <w:numPr>
                <w:ilvl w:val="0"/>
                <w:numId w:val="11"/>
              </w:numPr>
            </w:pPr>
            <w:r>
              <w:t xml:space="preserve">If the client allows exceptions or </w:t>
            </w:r>
            <w:r w:rsidR="000F1F8A">
              <w:t xml:space="preserve">CIF </w:t>
            </w:r>
            <w:r>
              <w:t xml:space="preserve">does not </w:t>
            </w:r>
            <w:r w:rsidR="000F1F8A">
              <w:t>mention</w:t>
            </w:r>
            <w:r>
              <w:t xml:space="preserve"> exceptions, continue to the next step</w:t>
            </w:r>
            <w:r w:rsidR="00323055">
              <w:t xml:space="preserve">. </w:t>
            </w:r>
          </w:p>
          <w:p w14:paraId="5308472D" w14:textId="4A4C6578" w:rsidR="001F793B" w:rsidRPr="006E54D4" w:rsidRDefault="004141D2" w:rsidP="002064CD">
            <w:pPr>
              <w:pStyle w:val="ListParagraph"/>
              <w:numPr>
                <w:ilvl w:val="0"/>
                <w:numId w:val="11"/>
              </w:numPr>
            </w:pPr>
            <w:r>
              <w:t>If they do not</w:t>
            </w:r>
            <w:r w:rsidR="30F31414">
              <w:t xml:space="preserve"> allow exceptions</w:t>
            </w:r>
            <w:r>
              <w:t xml:space="preserve">, advise the caller to file an </w:t>
            </w:r>
            <w:hyperlink r:id="rId17" w:anchor="!/view?docid=cd7126d2-19b7-4743-913c-8e9dd7329c08">
              <w:r w:rsidR="00EE3019" w:rsidRPr="7CD282DC">
                <w:rPr>
                  <w:rStyle w:val="Hyperlink"/>
                </w:rPr>
                <w:t>appeal (007339)</w:t>
              </w:r>
            </w:hyperlink>
            <w:r>
              <w:t xml:space="preserve">.  </w:t>
            </w:r>
          </w:p>
        </w:tc>
      </w:tr>
      <w:tr w:rsidR="004141D2" w:rsidRPr="0014193C" w14:paraId="2806D697" w14:textId="77777777" w:rsidTr="005C78D2">
        <w:tc>
          <w:tcPr>
            <w:tcW w:w="270" w:type="pct"/>
            <w:vMerge/>
          </w:tcPr>
          <w:p w14:paraId="1F2EAB50" w14:textId="77777777" w:rsidR="004141D2" w:rsidRPr="0014193C" w:rsidRDefault="004141D2" w:rsidP="002064CD">
            <w:pPr>
              <w:jc w:val="center"/>
              <w:rPr>
                <w:b/>
              </w:rPr>
            </w:pPr>
          </w:p>
        </w:tc>
        <w:tc>
          <w:tcPr>
            <w:tcW w:w="995" w:type="pct"/>
            <w:vMerge/>
          </w:tcPr>
          <w:p w14:paraId="5C6EDA2D" w14:textId="77777777" w:rsidR="004141D2" w:rsidRDefault="004141D2" w:rsidP="002064CD"/>
        </w:tc>
        <w:tc>
          <w:tcPr>
            <w:tcW w:w="160" w:type="pct"/>
          </w:tcPr>
          <w:p w14:paraId="23B4E071" w14:textId="77777777" w:rsidR="004141D2" w:rsidRPr="004141D2" w:rsidRDefault="00554824" w:rsidP="002064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75" w:type="pct"/>
          </w:tcPr>
          <w:p w14:paraId="6D131EB2" w14:textId="77777777" w:rsidR="004141D2" w:rsidRPr="004141D2" w:rsidRDefault="004141D2" w:rsidP="002064CD">
            <w:r w:rsidRPr="004141D2">
              <w:t>Send an RM Task as follows:</w:t>
            </w:r>
          </w:p>
          <w:p w14:paraId="118D9617" w14:textId="4B75CA4F" w:rsidR="00554824" w:rsidRPr="00554824" w:rsidRDefault="00554824" w:rsidP="002064CD">
            <w:pPr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</w:rPr>
            </w:pPr>
            <w:r w:rsidRPr="00554824">
              <w:rPr>
                <w:b/>
                <w:color w:val="000000"/>
              </w:rPr>
              <w:t>Task Category:</w:t>
            </w:r>
            <w:r w:rsidR="005C6230">
              <w:rPr>
                <w:b/>
                <w:color w:val="000000"/>
              </w:rPr>
              <w:t xml:space="preserve"> </w:t>
            </w:r>
            <w:r w:rsidRPr="00554824">
              <w:rPr>
                <w:color w:val="000000"/>
              </w:rPr>
              <w:t xml:space="preserve"> Fulfillment</w:t>
            </w:r>
          </w:p>
          <w:p w14:paraId="7FC3BAE8" w14:textId="00DF03C8" w:rsidR="00554824" w:rsidRPr="00554824" w:rsidRDefault="00554824" w:rsidP="002064CD">
            <w:pPr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</w:rPr>
            </w:pPr>
            <w:r w:rsidRPr="00554824">
              <w:rPr>
                <w:b/>
                <w:color w:val="000000"/>
              </w:rPr>
              <w:t>Task Type:</w:t>
            </w:r>
            <w:r w:rsidRPr="00554824">
              <w:rPr>
                <w:color w:val="000000"/>
              </w:rPr>
              <w:t xml:space="preserve"> </w:t>
            </w:r>
            <w:r w:rsidR="005C6230">
              <w:rPr>
                <w:color w:val="000000"/>
              </w:rPr>
              <w:t xml:space="preserve"> </w:t>
            </w:r>
            <w:r w:rsidR="00E96539">
              <w:rPr>
                <w:color w:val="000000"/>
              </w:rPr>
              <w:t>Appeals Letter</w:t>
            </w:r>
          </w:p>
          <w:p w14:paraId="12E64C39" w14:textId="36C70668" w:rsidR="004141D2" w:rsidRDefault="00554824" w:rsidP="002064CD">
            <w:pPr>
              <w:numPr>
                <w:ilvl w:val="0"/>
                <w:numId w:val="6"/>
              </w:numPr>
            </w:pPr>
            <w:r w:rsidRPr="7CD282DC">
              <w:rPr>
                <w:b/>
                <w:bCs/>
              </w:rPr>
              <w:t>Notes</w:t>
            </w:r>
            <w:proofErr w:type="gramStart"/>
            <w:r w:rsidRPr="7CD282DC">
              <w:rPr>
                <w:b/>
                <w:bCs/>
              </w:rPr>
              <w:t>:</w:t>
            </w:r>
            <w:r w:rsidR="00E96539" w:rsidRPr="7CD282DC">
              <w:rPr>
                <w:b/>
                <w:bCs/>
              </w:rPr>
              <w:t xml:space="preserve"> </w:t>
            </w:r>
            <w:r w:rsidR="003670EC" w:rsidRPr="7CD282DC">
              <w:rPr>
                <w:b/>
                <w:bCs/>
              </w:rPr>
              <w:t xml:space="preserve"> </w:t>
            </w:r>
            <w:r w:rsidR="5DC2E49B" w:rsidRPr="7CD282DC">
              <w:rPr>
                <w:b/>
                <w:bCs/>
              </w:rPr>
              <w:t>“</w:t>
            </w:r>
            <w:proofErr w:type="gramEnd"/>
            <w:r w:rsidR="00E96539" w:rsidRPr="7CD282DC">
              <w:t>Exception form needed Maintenance Choice Opt Out</w:t>
            </w:r>
            <w:r w:rsidR="00323055" w:rsidRPr="7CD282DC">
              <w:t>.”</w:t>
            </w:r>
            <w:r w:rsidR="00E96539" w:rsidRPr="7CD282DC">
              <w:t> </w:t>
            </w:r>
            <w:r w:rsidR="4CDCE978" w:rsidRPr="7CD282DC">
              <w:t xml:space="preserve"> </w:t>
            </w:r>
            <w:r w:rsidR="04D6723A" w:rsidRPr="7CD282DC">
              <w:t>i</w:t>
            </w:r>
            <w:r w:rsidR="4CDCE978" w:rsidRPr="7CD282DC">
              <w:t xml:space="preserve">nclude </w:t>
            </w:r>
            <w:r w:rsidR="73AD2689" w:rsidRPr="7CD282DC">
              <w:t>in the notes</w:t>
            </w:r>
            <w:r w:rsidR="1188B43F" w:rsidRPr="7CD282DC">
              <w:t>:</w:t>
            </w:r>
            <w:r w:rsidR="73AD2689" w:rsidRPr="7CD282DC">
              <w:t xml:space="preserve"> </w:t>
            </w:r>
            <w:r w:rsidR="00E96539" w:rsidRPr="7CD282DC">
              <w:t>prescriber’s name, prescriber’s fax number, name of the medication, and other information to assist their peers for history and tracking purposes</w:t>
            </w:r>
            <w:r w:rsidR="00323055" w:rsidRPr="7CD282DC">
              <w:t xml:space="preserve">. </w:t>
            </w:r>
            <w:r w:rsidR="00E96539" w:rsidRPr="7CD282DC">
              <w:t>An exception form will be sent to the prescriber if this information is included.</w:t>
            </w:r>
          </w:p>
        </w:tc>
      </w:tr>
      <w:tr w:rsidR="004141D2" w:rsidRPr="0014193C" w14:paraId="16ECF65C" w14:textId="77777777" w:rsidTr="005C78D2">
        <w:tc>
          <w:tcPr>
            <w:tcW w:w="270" w:type="pct"/>
            <w:vMerge/>
          </w:tcPr>
          <w:p w14:paraId="296314F5" w14:textId="77777777" w:rsidR="004141D2" w:rsidRPr="0014193C" w:rsidRDefault="004141D2" w:rsidP="002064CD">
            <w:pPr>
              <w:jc w:val="center"/>
              <w:rPr>
                <w:b/>
              </w:rPr>
            </w:pPr>
          </w:p>
        </w:tc>
        <w:tc>
          <w:tcPr>
            <w:tcW w:w="995" w:type="pct"/>
          </w:tcPr>
          <w:p w14:paraId="5927B406" w14:textId="77777777" w:rsidR="004141D2" w:rsidRDefault="00E96539" w:rsidP="002064CD">
            <w:r>
              <w:t>A reason not listed above</w:t>
            </w:r>
          </w:p>
        </w:tc>
        <w:tc>
          <w:tcPr>
            <w:tcW w:w="3735" w:type="pct"/>
            <w:gridSpan w:val="2"/>
          </w:tcPr>
          <w:p w14:paraId="63322CC9" w14:textId="0C4D8546" w:rsidR="004141D2" w:rsidRDefault="00E96539" w:rsidP="002064CD">
            <w:r>
              <w:t>Advise the caller that they will have to follow the plan design</w:t>
            </w:r>
            <w:r w:rsidR="00323055">
              <w:t xml:space="preserve">. </w:t>
            </w:r>
          </w:p>
        </w:tc>
      </w:tr>
    </w:tbl>
    <w:p w14:paraId="1BB3EB02" w14:textId="77777777" w:rsidR="004D6CD0" w:rsidRDefault="004D6CD0" w:rsidP="002064CD"/>
    <w:p w14:paraId="604B7F6B" w14:textId="68DA0883" w:rsidR="0040165D" w:rsidRPr="0014193C" w:rsidRDefault="00000000" w:rsidP="002064CD">
      <w:pPr>
        <w:jc w:val="right"/>
      </w:pPr>
      <w:hyperlink w:anchor="_top" w:history="1">
        <w:r w:rsidR="0040165D" w:rsidRPr="00C222A3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1E0" w:firstRow="1" w:lastRow="1" w:firstColumn="1" w:lastColumn="1" w:noHBand="0" w:noVBand="0"/>
      </w:tblPr>
      <w:tblGrid>
        <w:gridCol w:w="12950"/>
      </w:tblGrid>
      <w:tr w:rsidR="0040165D" w:rsidRPr="0014193C" w14:paraId="5C5D8DB0" w14:textId="77777777" w:rsidTr="0084124A">
        <w:tc>
          <w:tcPr>
            <w:tcW w:w="5000" w:type="pct"/>
            <w:shd w:val="pct25" w:color="auto" w:fill="auto"/>
          </w:tcPr>
          <w:p w14:paraId="4B6427F4" w14:textId="77777777" w:rsidR="0040165D" w:rsidRPr="0014193C" w:rsidRDefault="0040165D" w:rsidP="0084124A">
            <w:pPr>
              <w:pStyle w:val="Heading2"/>
              <w:spacing w:after="120"/>
            </w:pPr>
            <w:bookmarkStart w:id="21" w:name="_Toc163825939"/>
            <w:r>
              <w:t>Related Documents</w:t>
            </w:r>
            <w:bookmarkEnd w:id="21"/>
          </w:p>
        </w:tc>
      </w:tr>
    </w:tbl>
    <w:p w14:paraId="736F90AA" w14:textId="01ECB9CE" w:rsidR="007178AA" w:rsidRDefault="00000000" w:rsidP="002064CD">
      <w:pPr>
        <w:rPr>
          <w:rStyle w:val="Hyperlink"/>
          <w:bCs/>
          <w:color w:val="000000" w:themeColor="text1"/>
          <w:u w:val="none"/>
        </w:rPr>
      </w:pPr>
      <w:hyperlink r:id="rId18" w:anchor="!/view?docid=bdac0c67-5fee-47ba-a3aa-aab84900cf78" w:history="1">
        <w:r w:rsidR="007178AA" w:rsidRPr="007178AA">
          <w:rPr>
            <w:rStyle w:val="Hyperlink"/>
            <w:bCs/>
          </w:rPr>
          <w:t>Log Activity/Capture Activity Codes (005164)</w:t>
        </w:r>
      </w:hyperlink>
    </w:p>
    <w:p w14:paraId="41024E9D" w14:textId="260C7E1E" w:rsidR="007178AA" w:rsidRDefault="00000000" w:rsidP="002064CD">
      <w:pPr>
        <w:rPr>
          <w:rStyle w:val="Hyperlink"/>
          <w:bCs/>
          <w:color w:val="000000" w:themeColor="text1"/>
          <w:u w:val="none"/>
        </w:rPr>
      </w:pPr>
      <w:hyperlink r:id="rId19" w:anchor="!/view?docid=20791340-d563-44f1-a4ef-e7d39a495112" w:history="1">
        <w:r w:rsidR="007178AA" w:rsidRPr="007178AA">
          <w:rPr>
            <w:rStyle w:val="Hyperlink"/>
            <w:bCs/>
          </w:rPr>
          <w:t>Maintenance Choice Opt Out (058982)</w:t>
        </w:r>
      </w:hyperlink>
    </w:p>
    <w:p w14:paraId="1B8F4A89" w14:textId="1712E8B3" w:rsidR="007178AA" w:rsidRPr="007178AA" w:rsidRDefault="00000000" w:rsidP="002064CD">
      <w:pPr>
        <w:rPr>
          <w:rStyle w:val="Hyperlink"/>
          <w:bCs/>
          <w:color w:val="000000" w:themeColor="text1"/>
          <w:u w:val="none"/>
        </w:rPr>
      </w:pPr>
      <w:hyperlink r:id="rId20" w:anchor="!/view?docid=c1f1028b-e42c-4b4f-a4cf-cc0b42c91606" w:history="1">
        <w:r w:rsidR="005C6230" w:rsidRPr="005C6230">
          <w:rPr>
            <w:rStyle w:val="Hyperlink"/>
            <w:bCs/>
          </w:rPr>
          <w:t>Customer Care Abbreviations, Definitions and Terms Index (017428)</w:t>
        </w:r>
      </w:hyperlink>
    </w:p>
    <w:p w14:paraId="66E38157" w14:textId="3ECA56C5" w:rsidR="0040165D" w:rsidRPr="001B6A61" w:rsidRDefault="00C63405" w:rsidP="002064CD">
      <w:pPr>
        <w:rPr>
          <w:b/>
        </w:rPr>
      </w:pPr>
      <w:r w:rsidRPr="00C63405">
        <w:rPr>
          <w:rStyle w:val="Hyperlink"/>
          <w:b/>
          <w:color w:val="000000" w:themeColor="text1"/>
          <w:u w:val="none"/>
        </w:rPr>
        <w:t xml:space="preserve">Parent Document:  </w:t>
      </w:r>
      <w:hyperlink r:id="rId21" w:history="1">
        <w:r w:rsidR="0040165D" w:rsidRPr="004D6CD0">
          <w:rPr>
            <w:rStyle w:val="Hyperlink"/>
          </w:rPr>
          <w:t>CALL-0049 Customer Care Internal and External Call Handling</w:t>
        </w:r>
      </w:hyperlink>
    </w:p>
    <w:p w14:paraId="40E5E53C" w14:textId="362213E6" w:rsidR="00B13B31" w:rsidRPr="0014193C" w:rsidRDefault="00000000" w:rsidP="00323055">
      <w:pPr>
        <w:jc w:val="right"/>
      </w:pPr>
      <w:hyperlink w:anchor="_top" w:history="1">
        <w:r w:rsidR="00CA45C1" w:rsidRPr="00C222A3">
          <w:rPr>
            <w:rStyle w:val="Hyperlink"/>
          </w:rPr>
          <w:t>Top of the Document</w:t>
        </w:r>
      </w:hyperlink>
    </w:p>
    <w:p w14:paraId="4E980796" w14:textId="77777777" w:rsidR="00710E68" w:rsidRPr="0014193C" w:rsidRDefault="00710E68" w:rsidP="00323055">
      <w:pPr>
        <w:jc w:val="center"/>
        <w:rPr>
          <w:sz w:val="16"/>
          <w:szCs w:val="16"/>
        </w:rPr>
      </w:pPr>
      <w:r w:rsidRPr="0014193C">
        <w:rPr>
          <w:sz w:val="16"/>
          <w:szCs w:val="16"/>
        </w:rPr>
        <w:t xml:space="preserve">Not </w:t>
      </w:r>
      <w:r w:rsidR="00A03BB7" w:rsidRPr="0014193C">
        <w:rPr>
          <w:sz w:val="16"/>
          <w:szCs w:val="16"/>
        </w:rPr>
        <w:t>to Be Reproduced o</w:t>
      </w:r>
      <w:r w:rsidRPr="0014193C">
        <w:rPr>
          <w:sz w:val="16"/>
          <w:szCs w:val="16"/>
        </w:rPr>
        <w:t xml:space="preserve">r Disclosed to Others </w:t>
      </w:r>
      <w:r w:rsidR="0040165D" w:rsidRPr="0014193C">
        <w:rPr>
          <w:sz w:val="16"/>
          <w:szCs w:val="16"/>
        </w:rPr>
        <w:t>without</w:t>
      </w:r>
      <w:r w:rsidRPr="0014193C">
        <w:rPr>
          <w:sz w:val="16"/>
          <w:szCs w:val="16"/>
        </w:rPr>
        <w:t xml:space="preserve"> Prior Written Approval</w:t>
      </w:r>
    </w:p>
    <w:p w14:paraId="3967E8B3" w14:textId="77777777" w:rsidR="00710E68" w:rsidRPr="0014193C" w:rsidRDefault="00710E68" w:rsidP="00323055">
      <w:pPr>
        <w:jc w:val="center"/>
        <w:rPr>
          <w:b/>
          <w:color w:val="000000"/>
          <w:sz w:val="16"/>
          <w:szCs w:val="16"/>
        </w:rPr>
      </w:pPr>
      <w:r w:rsidRPr="0014193C">
        <w:rPr>
          <w:b/>
          <w:color w:val="000000"/>
          <w:sz w:val="16"/>
          <w:szCs w:val="16"/>
        </w:rPr>
        <w:t xml:space="preserve">ELECTRONIC DATA = OFFICIAL VERSION </w:t>
      </w:r>
      <w:r w:rsidR="00B13B31" w:rsidRPr="0014193C">
        <w:rPr>
          <w:b/>
          <w:color w:val="000000"/>
          <w:sz w:val="16"/>
          <w:szCs w:val="16"/>
        </w:rPr>
        <w:t>/</w:t>
      </w:r>
      <w:r w:rsidRPr="0014193C">
        <w:rPr>
          <w:b/>
          <w:color w:val="000000"/>
          <w:sz w:val="16"/>
          <w:szCs w:val="16"/>
        </w:rPr>
        <w:t xml:space="preserve"> PAPER COPY </w:t>
      </w:r>
      <w:r w:rsidR="00B13B31" w:rsidRPr="0014193C">
        <w:rPr>
          <w:b/>
          <w:color w:val="000000"/>
          <w:sz w:val="16"/>
          <w:szCs w:val="16"/>
        </w:rPr>
        <w:t>=</w:t>
      </w:r>
      <w:r w:rsidRPr="0014193C">
        <w:rPr>
          <w:b/>
          <w:color w:val="000000"/>
          <w:sz w:val="16"/>
          <w:szCs w:val="16"/>
        </w:rPr>
        <w:t xml:space="preserve"> INFORMATIONAL ONLY</w:t>
      </w:r>
    </w:p>
    <w:p w14:paraId="6256E162" w14:textId="77777777" w:rsidR="005A64DA" w:rsidRPr="0014193C" w:rsidRDefault="005A64DA" w:rsidP="00323055">
      <w:pPr>
        <w:jc w:val="center"/>
        <w:rPr>
          <w:sz w:val="16"/>
          <w:szCs w:val="16"/>
        </w:rPr>
      </w:pPr>
    </w:p>
    <w:sectPr w:rsidR="005A64DA" w:rsidRPr="0014193C" w:rsidSect="00F1152F">
      <w:footerReference w:type="even" r:id="rId22"/>
      <w:footerReference w:type="default" r:id="rId23"/>
      <w:headerReference w:type="first" r:id="rId24"/>
      <w:footerReference w:type="first" r:id="rId2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2496C" w14:textId="77777777" w:rsidR="000129B8" w:rsidRDefault="000129B8">
      <w:r>
        <w:separator/>
      </w:r>
    </w:p>
  </w:endnote>
  <w:endnote w:type="continuationSeparator" w:id="0">
    <w:p w14:paraId="1C7F5467" w14:textId="77777777" w:rsidR="000129B8" w:rsidRDefault="00012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DB7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A3DA8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3EB7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6963">
      <w:rPr>
        <w:rStyle w:val="PageNumber"/>
        <w:noProof/>
      </w:rPr>
      <w:t>5</w:t>
    </w:r>
    <w:r>
      <w:rPr>
        <w:rStyle w:val="PageNumber"/>
      </w:rPr>
      <w:fldChar w:fldCharType="end"/>
    </w:r>
  </w:p>
  <w:p w14:paraId="671FA953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3A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48A26" w14:textId="77777777" w:rsidR="000129B8" w:rsidRDefault="000129B8">
      <w:r>
        <w:separator/>
      </w:r>
    </w:p>
  </w:footnote>
  <w:footnote w:type="continuationSeparator" w:id="0">
    <w:p w14:paraId="1A3A4DCC" w14:textId="77777777" w:rsidR="000129B8" w:rsidRDefault="00012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F5852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alt="Icon%20Important%20Information" style="width:18.75pt;height:17.25pt;visibility:visible;mso-wrap-style:square" o:bullet="t">
        <v:imagedata r:id="rId1" o:title="Icon%20Important%20Information"/>
      </v:shape>
    </w:pict>
  </w:numPicBullet>
  <w:abstractNum w:abstractNumId="0" w15:restartNumberingAfterBreak="0">
    <w:nsid w:val="030A54B2"/>
    <w:multiLevelType w:val="multilevel"/>
    <w:tmpl w:val="F27A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A4CB4"/>
    <w:multiLevelType w:val="multilevel"/>
    <w:tmpl w:val="9F16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97AF4"/>
    <w:multiLevelType w:val="hybridMultilevel"/>
    <w:tmpl w:val="3DFA208C"/>
    <w:lvl w:ilvl="0" w:tplc="E7B47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B260B"/>
    <w:multiLevelType w:val="hybridMultilevel"/>
    <w:tmpl w:val="119E38B6"/>
    <w:lvl w:ilvl="0" w:tplc="FDCADF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BF4ADF"/>
    <w:multiLevelType w:val="hybridMultilevel"/>
    <w:tmpl w:val="6C1AB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E47C12"/>
    <w:multiLevelType w:val="hybridMultilevel"/>
    <w:tmpl w:val="3FDE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43414"/>
    <w:multiLevelType w:val="multilevel"/>
    <w:tmpl w:val="4E407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6BD22EB8"/>
    <w:multiLevelType w:val="hybridMultilevel"/>
    <w:tmpl w:val="243090BE"/>
    <w:lvl w:ilvl="0" w:tplc="3C1EC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6959A3"/>
    <w:multiLevelType w:val="multilevel"/>
    <w:tmpl w:val="126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AB62F4"/>
    <w:multiLevelType w:val="hybridMultilevel"/>
    <w:tmpl w:val="E4FEA290"/>
    <w:lvl w:ilvl="0" w:tplc="E82462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2498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A4C6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C271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429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1A6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6E7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8031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EA3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54466293">
    <w:abstractNumId w:val="3"/>
  </w:num>
  <w:num w:numId="2" w16cid:durableId="1374966901">
    <w:abstractNumId w:val="4"/>
  </w:num>
  <w:num w:numId="3" w16cid:durableId="463080222">
    <w:abstractNumId w:val="9"/>
  </w:num>
  <w:num w:numId="4" w16cid:durableId="1469785616">
    <w:abstractNumId w:val="5"/>
  </w:num>
  <w:num w:numId="5" w16cid:durableId="853809475">
    <w:abstractNumId w:val="7"/>
  </w:num>
  <w:num w:numId="6" w16cid:durableId="1406102752">
    <w:abstractNumId w:val="2"/>
  </w:num>
  <w:num w:numId="7" w16cid:durableId="1970554237">
    <w:abstractNumId w:val="11"/>
  </w:num>
  <w:num w:numId="8" w16cid:durableId="703597782">
    <w:abstractNumId w:val="1"/>
  </w:num>
  <w:num w:numId="9" w16cid:durableId="495652592">
    <w:abstractNumId w:val="8"/>
  </w:num>
  <w:num w:numId="10" w16cid:durableId="1207642190">
    <w:abstractNumId w:val="12"/>
  </w:num>
  <w:num w:numId="11" w16cid:durableId="1478839123">
    <w:abstractNumId w:val="10"/>
  </w:num>
  <w:num w:numId="12" w16cid:durableId="1713724635">
    <w:abstractNumId w:val="6"/>
  </w:num>
  <w:num w:numId="13" w16cid:durableId="189943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CD0"/>
    <w:rsid w:val="000129B8"/>
    <w:rsid w:val="0001533C"/>
    <w:rsid w:val="00015A2E"/>
    <w:rsid w:val="000258E4"/>
    <w:rsid w:val="000267FE"/>
    <w:rsid w:val="00027162"/>
    <w:rsid w:val="0002723D"/>
    <w:rsid w:val="00035BED"/>
    <w:rsid w:val="00061AD2"/>
    <w:rsid w:val="0008665F"/>
    <w:rsid w:val="00090EA0"/>
    <w:rsid w:val="00095AB5"/>
    <w:rsid w:val="000A3865"/>
    <w:rsid w:val="000A6B88"/>
    <w:rsid w:val="000B1CB1"/>
    <w:rsid w:val="000B3C4C"/>
    <w:rsid w:val="000B656F"/>
    <w:rsid w:val="000B72DF"/>
    <w:rsid w:val="000D1870"/>
    <w:rsid w:val="000D6714"/>
    <w:rsid w:val="000D7D02"/>
    <w:rsid w:val="000F0D1B"/>
    <w:rsid w:val="000F1F8A"/>
    <w:rsid w:val="000F4459"/>
    <w:rsid w:val="000F54BF"/>
    <w:rsid w:val="00115944"/>
    <w:rsid w:val="001164BC"/>
    <w:rsid w:val="0012373E"/>
    <w:rsid w:val="001360A5"/>
    <w:rsid w:val="0014193C"/>
    <w:rsid w:val="001560C4"/>
    <w:rsid w:val="0016273A"/>
    <w:rsid w:val="0016499E"/>
    <w:rsid w:val="00176400"/>
    <w:rsid w:val="001A5EB9"/>
    <w:rsid w:val="001B3879"/>
    <w:rsid w:val="001B56C7"/>
    <w:rsid w:val="001B6A61"/>
    <w:rsid w:val="001E0CFD"/>
    <w:rsid w:val="001F1218"/>
    <w:rsid w:val="001F793B"/>
    <w:rsid w:val="002016B4"/>
    <w:rsid w:val="002055CF"/>
    <w:rsid w:val="002064CD"/>
    <w:rsid w:val="00241F41"/>
    <w:rsid w:val="00243EBB"/>
    <w:rsid w:val="00245D49"/>
    <w:rsid w:val="00255C6B"/>
    <w:rsid w:val="00265D86"/>
    <w:rsid w:val="0028215B"/>
    <w:rsid w:val="00291CE8"/>
    <w:rsid w:val="00296127"/>
    <w:rsid w:val="00296765"/>
    <w:rsid w:val="002B593E"/>
    <w:rsid w:val="002D0494"/>
    <w:rsid w:val="002D3EAC"/>
    <w:rsid w:val="002E5669"/>
    <w:rsid w:val="002E58AD"/>
    <w:rsid w:val="002F1F92"/>
    <w:rsid w:val="00305AE6"/>
    <w:rsid w:val="00312690"/>
    <w:rsid w:val="00323055"/>
    <w:rsid w:val="003256F6"/>
    <w:rsid w:val="0033143E"/>
    <w:rsid w:val="003348B5"/>
    <w:rsid w:val="003670EC"/>
    <w:rsid w:val="003725A1"/>
    <w:rsid w:val="003868A2"/>
    <w:rsid w:val="00392A5B"/>
    <w:rsid w:val="003A6D70"/>
    <w:rsid w:val="003B1F86"/>
    <w:rsid w:val="003B3E1B"/>
    <w:rsid w:val="003C4627"/>
    <w:rsid w:val="003C4785"/>
    <w:rsid w:val="003D05C4"/>
    <w:rsid w:val="003E1F6D"/>
    <w:rsid w:val="003E2441"/>
    <w:rsid w:val="003E5F8B"/>
    <w:rsid w:val="003E6C1A"/>
    <w:rsid w:val="0040165D"/>
    <w:rsid w:val="00402D3A"/>
    <w:rsid w:val="004035E0"/>
    <w:rsid w:val="00404E1A"/>
    <w:rsid w:val="0040640A"/>
    <w:rsid w:val="00406DB5"/>
    <w:rsid w:val="004141D2"/>
    <w:rsid w:val="0042336D"/>
    <w:rsid w:val="00430E7B"/>
    <w:rsid w:val="0043244C"/>
    <w:rsid w:val="00435FF3"/>
    <w:rsid w:val="00443F8C"/>
    <w:rsid w:val="0045352E"/>
    <w:rsid w:val="00457EAE"/>
    <w:rsid w:val="00465CFB"/>
    <w:rsid w:val="00475377"/>
    <w:rsid w:val="004768BE"/>
    <w:rsid w:val="004774D9"/>
    <w:rsid w:val="00477F73"/>
    <w:rsid w:val="0048355A"/>
    <w:rsid w:val="00487ED9"/>
    <w:rsid w:val="004926FE"/>
    <w:rsid w:val="004C24F3"/>
    <w:rsid w:val="004D1FC2"/>
    <w:rsid w:val="004D3C53"/>
    <w:rsid w:val="004D615E"/>
    <w:rsid w:val="004D6CD0"/>
    <w:rsid w:val="00512486"/>
    <w:rsid w:val="0052465B"/>
    <w:rsid w:val="00524A2D"/>
    <w:rsid w:val="00524CDD"/>
    <w:rsid w:val="00546963"/>
    <w:rsid w:val="0055014F"/>
    <w:rsid w:val="00554824"/>
    <w:rsid w:val="00582E85"/>
    <w:rsid w:val="005910B5"/>
    <w:rsid w:val="005A6118"/>
    <w:rsid w:val="005A64DA"/>
    <w:rsid w:val="005B3E0C"/>
    <w:rsid w:val="005B7141"/>
    <w:rsid w:val="005C1D83"/>
    <w:rsid w:val="005C436C"/>
    <w:rsid w:val="005C6230"/>
    <w:rsid w:val="005C78D2"/>
    <w:rsid w:val="005E650E"/>
    <w:rsid w:val="0061520D"/>
    <w:rsid w:val="00622D77"/>
    <w:rsid w:val="00626B6E"/>
    <w:rsid w:val="00627F34"/>
    <w:rsid w:val="00635B47"/>
    <w:rsid w:val="00636B18"/>
    <w:rsid w:val="00637CA1"/>
    <w:rsid w:val="0064267B"/>
    <w:rsid w:val="00643B1A"/>
    <w:rsid w:val="00670056"/>
    <w:rsid w:val="00674A16"/>
    <w:rsid w:val="00691E10"/>
    <w:rsid w:val="006A0481"/>
    <w:rsid w:val="006B4714"/>
    <w:rsid w:val="006C0C03"/>
    <w:rsid w:val="006C653F"/>
    <w:rsid w:val="006D0A7B"/>
    <w:rsid w:val="006E54D4"/>
    <w:rsid w:val="006F565C"/>
    <w:rsid w:val="006F7DFC"/>
    <w:rsid w:val="00704AF2"/>
    <w:rsid w:val="00710E68"/>
    <w:rsid w:val="00714BA0"/>
    <w:rsid w:val="007178AA"/>
    <w:rsid w:val="00720CC2"/>
    <w:rsid w:val="007269B6"/>
    <w:rsid w:val="00726E7A"/>
    <w:rsid w:val="0073294A"/>
    <w:rsid w:val="00732E52"/>
    <w:rsid w:val="00740A19"/>
    <w:rsid w:val="00752801"/>
    <w:rsid w:val="007632E9"/>
    <w:rsid w:val="00770A01"/>
    <w:rsid w:val="00774358"/>
    <w:rsid w:val="00785118"/>
    <w:rsid w:val="00786BEB"/>
    <w:rsid w:val="0079136D"/>
    <w:rsid w:val="007A73C3"/>
    <w:rsid w:val="007B2B6A"/>
    <w:rsid w:val="007B2E49"/>
    <w:rsid w:val="007C0F7C"/>
    <w:rsid w:val="007C314B"/>
    <w:rsid w:val="007C77DD"/>
    <w:rsid w:val="007E3EA6"/>
    <w:rsid w:val="008042E1"/>
    <w:rsid w:val="00804D63"/>
    <w:rsid w:val="00806B9D"/>
    <w:rsid w:val="00812777"/>
    <w:rsid w:val="00812A62"/>
    <w:rsid w:val="00816DDC"/>
    <w:rsid w:val="00817C89"/>
    <w:rsid w:val="00825E9D"/>
    <w:rsid w:val="0084124A"/>
    <w:rsid w:val="0084129E"/>
    <w:rsid w:val="00843390"/>
    <w:rsid w:val="00843B4C"/>
    <w:rsid w:val="0084457F"/>
    <w:rsid w:val="00846373"/>
    <w:rsid w:val="00853584"/>
    <w:rsid w:val="008568AE"/>
    <w:rsid w:val="00860590"/>
    <w:rsid w:val="008614E8"/>
    <w:rsid w:val="00867EDF"/>
    <w:rsid w:val="00875F0D"/>
    <w:rsid w:val="00877414"/>
    <w:rsid w:val="008A03B7"/>
    <w:rsid w:val="008A3B29"/>
    <w:rsid w:val="008A6F11"/>
    <w:rsid w:val="008A7F4D"/>
    <w:rsid w:val="008B1025"/>
    <w:rsid w:val="008B679C"/>
    <w:rsid w:val="008C2197"/>
    <w:rsid w:val="008C3493"/>
    <w:rsid w:val="008D11A6"/>
    <w:rsid w:val="008D1F7B"/>
    <w:rsid w:val="008D2D64"/>
    <w:rsid w:val="008E6FB7"/>
    <w:rsid w:val="00902E07"/>
    <w:rsid w:val="00913031"/>
    <w:rsid w:val="00915690"/>
    <w:rsid w:val="00947783"/>
    <w:rsid w:val="00954FE8"/>
    <w:rsid w:val="009726E0"/>
    <w:rsid w:val="00975003"/>
    <w:rsid w:val="009804D1"/>
    <w:rsid w:val="00990822"/>
    <w:rsid w:val="00995F2D"/>
    <w:rsid w:val="009A543C"/>
    <w:rsid w:val="009A55FB"/>
    <w:rsid w:val="009C2F33"/>
    <w:rsid w:val="009C4A31"/>
    <w:rsid w:val="009C5F1E"/>
    <w:rsid w:val="009F4FA0"/>
    <w:rsid w:val="009F6FD2"/>
    <w:rsid w:val="009F78D3"/>
    <w:rsid w:val="00A03BB7"/>
    <w:rsid w:val="00A0602C"/>
    <w:rsid w:val="00A33A98"/>
    <w:rsid w:val="00A4732A"/>
    <w:rsid w:val="00A7166B"/>
    <w:rsid w:val="00A76E4D"/>
    <w:rsid w:val="00A83BA0"/>
    <w:rsid w:val="00A84F18"/>
    <w:rsid w:val="00A85045"/>
    <w:rsid w:val="00A95738"/>
    <w:rsid w:val="00A97B7D"/>
    <w:rsid w:val="00AA0DBB"/>
    <w:rsid w:val="00AA4825"/>
    <w:rsid w:val="00AA7CEC"/>
    <w:rsid w:val="00AB33E1"/>
    <w:rsid w:val="00AB7C96"/>
    <w:rsid w:val="00AC4329"/>
    <w:rsid w:val="00AD1646"/>
    <w:rsid w:val="00AF038B"/>
    <w:rsid w:val="00AF1609"/>
    <w:rsid w:val="00AF1B07"/>
    <w:rsid w:val="00B13B31"/>
    <w:rsid w:val="00B175DF"/>
    <w:rsid w:val="00B217BF"/>
    <w:rsid w:val="00B26045"/>
    <w:rsid w:val="00B44C55"/>
    <w:rsid w:val="00B46A95"/>
    <w:rsid w:val="00B544C2"/>
    <w:rsid w:val="00B5566F"/>
    <w:rsid w:val="00B70CC4"/>
    <w:rsid w:val="00B76392"/>
    <w:rsid w:val="00B96A91"/>
    <w:rsid w:val="00BB02DE"/>
    <w:rsid w:val="00BB371A"/>
    <w:rsid w:val="00BD46F0"/>
    <w:rsid w:val="00BD7B25"/>
    <w:rsid w:val="00BE1AFF"/>
    <w:rsid w:val="00BE5CBE"/>
    <w:rsid w:val="00BF74E9"/>
    <w:rsid w:val="00C077A0"/>
    <w:rsid w:val="00C12CE6"/>
    <w:rsid w:val="00C147FD"/>
    <w:rsid w:val="00C222A3"/>
    <w:rsid w:val="00C247CB"/>
    <w:rsid w:val="00C25830"/>
    <w:rsid w:val="00C360BD"/>
    <w:rsid w:val="00C476E1"/>
    <w:rsid w:val="00C52E77"/>
    <w:rsid w:val="00C566B3"/>
    <w:rsid w:val="00C63405"/>
    <w:rsid w:val="00C65249"/>
    <w:rsid w:val="00C67B32"/>
    <w:rsid w:val="00C729E0"/>
    <w:rsid w:val="00C75C83"/>
    <w:rsid w:val="00C95FC2"/>
    <w:rsid w:val="00CA45C1"/>
    <w:rsid w:val="00CA689D"/>
    <w:rsid w:val="00CA7568"/>
    <w:rsid w:val="00CB07B8"/>
    <w:rsid w:val="00CB0C1D"/>
    <w:rsid w:val="00CB26B9"/>
    <w:rsid w:val="00CC5AA2"/>
    <w:rsid w:val="00CC721A"/>
    <w:rsid w:val="00CD0963"/>
    <w:rsid w:val="00CD553C"/>
    <w:rsid w:val="00CE3D42"/>
    <w:rsid w:val="00CE53E6"/>
    <w:rsid w:val="00CF6131"/>
    <w:rsid w:val="00D06EAA"/>
    <w:rsid w:val="00D36733"/>
    <w:rsid w:val="00D471B5"/>
    <w:rsid w:val="00D54CAD"/>
    <w:rsid w:val="00D571DB"/>
    <w:rsid w:val="00D6774D"/>
    <w:rsid w:val="00D75053"/>
    <w:rsid w:val="00D75191"/>
    <w:rsid w:val="00D80929"/>
    <w:rsid w:val="00D85254"/>
    <w:rsid w:val="00DC4FFC"/>
    <w:rsid w:val="00DF640B"/>
    <w:rsid w:val="00DF6BE4"/>
    <w:rsid w:val="00E15530"/>
    <w:rsid w:val="00E157BC"/>
    <w:rsid w:val="00E27959"/>
    <w:rsid w:val="00E42A18"/>
    <w:rsid w:val="00E50E4A"/>
    <w:rsid w:val="00E851C7"/>
    <w:rsid w:val="00E91F5F"/>
    <w:rsid w:val="00E96539"/>
    <w:rsid w:val="00EA6F59"/>
    <w:rsid w:val="00EB12DD"/>
    <w:rsid w:val="00EB153E"/>
    <w:rsid w:val="00EB57EB"/>
    <w:rsid w:val="00ED50CF"/>
    <w:rsid w:val="00EE3019"/>
    <w:rsid w:val="00EF755D"/>
    <w:rsid w:val="00F1152F"/>
    <w:rsid w:val="00F14B51"/>
    <w:rsid w:val="00F207B3"/>
    <w:rsid w:val="00F26FA5"/>
    <w:rsid w:val="00F270C6"/>
    <w:rsid w:val="00F345E6"/>
    <w:rsid w:val="00F517BD"/>
    <w:rsid w:val="00F5486B"/>
    <w:rsid w:val="00F658E0"/>
    <w:rsid w:val="00F77B96"/>
    <w:rsid w:val="00F859B7"/>
    <w:rsid w:val="00FB7867"/>
    <w:rsid w:val="00FC1C44"/>
    <w:rsid w:val="00FC778F"/>
    <w:rsid w:val="00FE6781"/>
    <w:rsid w:val="00FF7905"/>
    <w:rsid w:val="04D6723A"/>
    <w:rsid w:val="0E83C278"/>
    <w:rsid w:val="1188B43F"/>
    <w:rsid w:val="2041A6BE"/>
    <w:rsid w:val="30A21646"/>
    <w:rsid w:val="30F31414"/>
    <w:rsid w:val="3AC0E117"/>
    <w:rsid w:val="3BF6C52D"/>
    <w:rsid w:val="4CDCE978"/>
    <w:rsid w:val="4DBAB4E8"/>
    <w:rsid w:val="50572AF5"/>
    <w:rsid w:val="52A44B1A"/>
    <w:rsid w:val="5DC2E49B"/>
    <w:rsid w:val="5DC3D4CA"/>
    <w:rsid w:val="5F17663A"/>
    <w:rsid w:val="68DC0A5C"/>
    <w:rsid w:val="706AEC9F"/>
    <w:rsid w:val="73AD2689"/>
    <w:rsid w:val="782C1174"/>
    <w:rsid w:val="79AA5005"/>
    <w:rsid w:val="7CD28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7A4069"/>
  <w15:chartTrackingRefBased/>
  <w15:docId w15:val="{2A648AAF-C7F1-4E11-8129-26ED3E63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3055"/>
    <w:pPr>
      <w:spacing w:before="120" w:after="120"/>
    </w:pPr>
    <w:rPr>
      <w:rFonts w:ascii="Verdana" w:hAnsi="Verdana"/>
      <w:color w:val="000000" w:themeColor="text1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A03BB7"/>
    <w:pPr>
      <w:spacing w:after="240"/>
      <w:outlineLvl w:val="0"/>
    </w:pPr>
    <w:rPr>
      <w:rFonts w:cs="Arial"/>
      <w:b/>
      <w:sz w:val="36"/>
      <w:szCs w:val="20"/>
    </w:rPr>
  </w:style>
  <w:style w:type="paragraph" w:styleId="Heading2">
    <w:name w:val="heading 2"/>
    <w:basedOn w:val="Normal"/>
    <w:next w:val="Normal"/>
    <w:qFormat/>
    <w:rsid w:val="00A03BB7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A03BB7"/>
    <w:rPr>
      <w:rFonts w:ascii="Verdana" w:hAnsi="Verdana" w:cs="Arial"/>
      <w:b/>
      <w:sz w:val="36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2064CD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435FF3"/>
    <w:pPr>
      <w:ind w:left="720"/>
      <w:contextualSpacing/>
    </w:pPr>
  </w:style>
  <w:style w:type="paragraph" w:styleId="Revision">
    <w:name w:val="Revision"/>
    <w:hidden/>
    <w:uiPriority w:val="99"/>
    <w:semiHidden/>
    <w:rsid w:val="000B1CB1"/>
    <w:rPr>
      <w:rFonts w:ascii="Verdana" w:hAnsi="Verdana"/>
      <w:sz w:val="24"/>
      <w:szCs w:val="24"/>
    </w:rPr>
  </w:style>
  <w:style w:type="paragraph" w:styleId="BalloonText">
    <w:name w:val="Balloon Text"/>
    <w:basedOn w:val="Normal"/>
    <w:link w:val="BalloonTextChar"/>
    <w:rsid w:val="000B1C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B1CB1"/>
    <w:rPr>
      <w:rFonts w:ascii="Segoe UI" w:hAnsi="Segoe UI" w:cs="Segoe UI"/>
      <w:sz w:val="18"/>
      <w:szCs w:val="18"/>
    </w:rPr>
  </w:style>
  <w:style w:type="character" w:customStyle="1" w:styleId="content-id">
    <w:name w:val="content-id"/>
    <w:basedOn w:val="DefaultParagraphFont"/>
    <w:rsid w:val="00090EA0"/>
  </w:style>
  <w:style w:type="character" w:styleId="UnresolvedMention">
    <w:name w:val="Unresolved Mention"/>
    <w:basedOn w:val="DefaultParagraphFont"/>
    <w:uiPriority w:val="99"/>
    <w:semiHidden/>
    <w:unhideWhenUsed/>
    <w:rsid w:val="007178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8A6F1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A6F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A6F11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A6F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A6F11"/>
    <w:rPr>
      <w:rFonts w:ascii="Verdana" w:hAnsi="Verdana"/>
      <w:b/>
      <w:bCs/>
    </w:rPr>
  </w:style>
  <w:style w:type="character" w:styleId="Mention">
    <w:name w:val="Mention"/>
    <w:basedOn w:val="DefaultParagraphFont"/>
    <w:uiPriority w:val="99"/>
    <w:unhideWhenUsed/>
    <w:rsid w:val="008A6F1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0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2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CALL-0049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6181\Documents\Custom%20Office%20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4" ma:contentTypeDescription="Create a new document." ma:contentTypeScope="" ma:versionID="29315d03a38b13fd24551cd1582c2a09">
  <xsd:schema xmlns:xsd="http://www.w3.org/2001/XMLSchema" xmlns:xs="http://www.w3.org/2001/XMLSchema" xmlns:p="http://schemas.microsoft.com/office/2006/metadata/properties" xmlns:ns2="810b087e-e63c-4859-ac56-9c3d955541ca" targetNamespace="http://schemas.microsoft.com/office/2006/metadata/properties" ma:root="true" ma:fieldsID="d2ac61557f0cb8ad9ac79986f7a53484" ns2:_="">
    <xsd:import namespace="810b087e-e63c-4859-ac56-9c3d95554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71DD91-37C1-42CE-8D78-DE3BA514FC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68A471-7FD0-4BCC-B072-67A36E15A2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6476F8-D22B-4E7D-BFDC-7BC0E95E5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C1E456-2C6F-4A78-8D4A-94260E925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86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Downey, Jennifer D</dc:creator>
  <cp:keywords/>
  <cp:lastModifiedBy>Ellington, Georgette C</cp:lastModifiedBy>
  <cp:revision>8</cp:revision>
  <cp:lastPrinted>2007-01-03T15:56:00Z</cp:lastPrinted>
  <dcterms:created xsi:type="dcterms:W3CDTF">2024-08-07T21:09:00Z</dcterms:created>
  <dcterms:modified xsi:type="dcterms:W3CDTF">2024-08-08T13:40:00Z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2022-04-05T21:20:49Z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32d93da2-0122-4046-97da-d7b311051eaf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