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7A8D0" w14:textId="00D8D625" w:rsidR="00255C6B" w:rsidRDefault="00EE0E3F" w:rsidP="00E14EE6">
      <w:pPr>
        <w:pStyle w:val="Heading1"/>
        <w:spacing w:before="120" w:after="120"/>
        <w:rPr>
          <w:rFonts w:ascii="Verdana" w:hAnsi="Verdana"/>
          <w:color w:val="000000"/>
          <w:sz w:val="36"/>
          <w:szCs w:val="36"/>
        </w:rPr>
      </w:pPr>
      <w:bookmarkStart w:id="0" w:name="_top"/>
      <w:bookmarkEnd w:id="0"/>
      <w:r>
        <w:rPr>
          <w:rFonts w:ascii="Verdana" w:hAnsi="Verdana"/>
          <w:color w:val="000000"/>
          <w:sz w:val="36"/>
          <w:szCs w:val="36"/>
        </w:rPr>
        <w:t xml:space="preserve">PeopleSafe - </w:t>
      </w:r>
      <w:r w:rsidR="00F237E8">
        <w:rPr>
          <w:rFonts w:ascii="Verdana" w:hAnsi="Verdana"/>
          <w:color w:val="000000"/>
          <w:sz w:val="36"/>
          <w:szCs w:val="36"/>
        </w:rPr>
        <w:t>Maintenance Choice Opt Out</w:t>
      </w:r>
    </w:p>
    <w:p w14:paraId="71A9B409" w14:textId="57759400" w:rsidR="00E509CB" w:rsidRDefault="00E37399" w:rsidP="00E14EE6">
      <w:pPr>
        <w:pStyle w:val="TOC1"/>
        <w:tabs>
          <w:tab w:val="right" w:leader="dot" w:pos="12950"/>
        </w:tabs>
        <w:spacing w:before="120" w:after="120"/>
        <w:rPr>
          <w:rFonts w:asciiTheme="minorHAnsi" w:eastAsiaTheme="minorEastAsia" w:hAnsiTheme="minorHAnsi" w:cstheme="minorBidi"/>
          <w:noProof/>
          <w:kern w:val="2"/>
          <w14:ligatures w14:val="standardContextual"/>
        </w:rPr>
      </w:pPr>
      <w:r>
        <w:rPr>
          <w:rFonts w:ascii="Verdana" w:hAnsi="Verdana"/>
          <w:b/>
        </w:rPr>
        <w:fldChar w:fldCharType="begin"/>
      </w:r>
      <w:r>
        <w:rPr>
          <w:rFonts w:ascii="Verdana" w:hAnsi="Verdana"/>
          <w:b/>
        </w:rPr>
        <w:instrText xml:space="preserve"> TOC \n \h \z \u \t "Heading 2,1,Heading 3,2" </w:instrText>
      </w:r>
      <w:r>
        <w:rPr>
          <w:rFonts w:ascii="Verdana" w:hAnsi="Verdana"/>
          <w:b/>
        </w:rPr>
        <w:fldChar w:fldCharType="separate"/>
      </w:r>
      <w:hyperlink w:anchor="_Toc188009204" w:history="1">
        <w:r w:rsidR="00E509CB" w:rsidRPr="008F0C8A">
          <w:rPr>
            <w:rStyle w:val="Hyperlink"/>
            <w:rFonts w:ascii="Verdana" w:hAnsi="Verdana"/>
            <w:noProof/>
          </w:rPr>
          <w:t>Opt Out Provision</w:t>
        </w:r>
      </w:hyperlink>
    </w:p>
    <w:p w14:paraId="166CABDE" w14:textId="40DBE227" w:rsidR="00E509CB" w:rsidRDefault="00E509CB" w:rsidP="00E14EE6">
      <w:pPr>
        <w:pStyle w:val="TOC1"/>
        <w:tabs>
          <w:tab w:val="right" w:leader="dot" w:pos="12950"/>
        </w:tabs>
        <w:spacing w:before="120" w:after="120"/>
        <w:rPr>
          <w:rFonts w:asciiTheme="minorHAnsi" w:eastAsiaTheme="minorEastAsia" w:hAnsiTheme="minorHAnsi" w:cstheme="minorBidi"/>
          <w:noProof/>
          <w:kern w:val="2"/>
          <w14:ligatures w14:val="standardContextual"/>
        </w:rPr>
      </w:pPr>
      <w:hyperlink w:anchor="_Toc188009205" w:history="1">
        <w:r w:rsidRPr="008F0C8A">
          <w:rPr>
            <w:rStyle w:val="Hyperlink"/>
            <w:rFonts w:ascii="Verdana" w:hAnsi="Verdana"/>
            <w:noProof/>
          </w:rPr>
          <w:t>Process</w:t>
        </w:r>
      </w:hyperlink>
    </w:p>
    <w:p w14:paraId="620A1B05" w14:textId="1572150B" w:rsidR="00E509CB" w:rsidRDefault="00E509CB" w:rsidP="00E14EE6">
      <w:pPr>
        <w:pStyle w:val="TOC1"/>
        <w:tabs>
          <w:tab w:val="right" w:leader="dot" w:pos="12950"/>
        </w:tabs>
        <w:spacing w:before="120" w:after="120"/>
        <w:rPr>
          <w:rFonts w:asciiTheme="minorHAnsi" w:eastAsiaTheme="minorEastAsia" w:hAnsiTheme="minorHAnsi" w:cstheme="minorBidi"/>
          <w:noProof/>
          <w:kern w:val="2"/>
          <w14:ligatures w14:val="standardContextual"/>
        </w:rPr>
      </w:pPr>
      <w:hyperlink w:anchor="_Toc188009206" w:history="1">
        <w:r w:rsidRPr="008F0C8A">
          <w:rPr>
            <w:rStyle w:val="Hyperlink"/>
            <w:rFonts w:ascii="Verdana" w:hAnsi="Verdana"/>
            <w:noProof/>
          </w:rPr>
          <w:t>Resolution Time</w:t>
        </w:r>
      </w:hyperlink>
    </w:p>
    <w:p w14:paraId="38BB7193" w14:textId="4C4B3DDE" w:rsidR="00E509CB" w:rsidRDefault="00E509CB" w:rsidP="00E14EE6">
      <w:pPr>
        <w:pStyle w:val="TOC1"/>
        <w:tabs>
          <w:tab w:val="right" w:leader="dot" w:pos="12950"/>
        </w:tabs>
        <w:spacing w:before="120" w:after="120"/>
        <w:rPr>
          <w:rFonts w:asciiTheme="minorHAnsi" w:eastAsiaTheme="minorEastAsia" w:hAnsiTheme="minorHAnsi" w:cstheme="minorBidi"/>
          <w:noProof/>
          <w:kern w:val="2"/>
          <w14:ligatures w14:val="standardContextual"/>
        </w:rPr>
      </w:pPr>
      <w:hyperlink w:anchor="_Toc188009207" w:history="1">
        <w:r w:rsidRPr="008F0C8A">
          <w:rPr>
            <w:rStyle w:val="Hyperlink"/>
            <w:rFonts w:ascii="Verdana" w:hAnsi="Verdana"/>
            <w:noProof/>
          </w:rPr>
          <w:t>Related Documents</w:t>
        </w:r>
      </w:hyperlink>
    </w:p>
    <w:p w14:paraId="12682F66" w14:textId="0A00D751" w:rsidR="00B11878" w:rsidRDefault="00E37399" w:rsidP="00E14EE6">
      <w:pPr>
        <w:spacing w:before="120" w:after="120"/>
        <w:rPr>
          <w:rFonts w:ascii="Verdana" w:hAnsi="Verdana"/>
          <w:b/>
        </w:rPr>
      </w:pPr>
      <w:r>
        <w:rPr>
          <w:rFonts w:ascii="Verdana" w:hAnsi="Verdana"/>
          <w:b/>
        </w:rPr>
        <w:fldChar w:fldCharType="end"/>
      </w:r>
    </w:p>
    <w:p w14:paraId="4054633F" w14:textId="37AC405B" w:rsidR="002B3DA3" w:rsidRPr="00176400" w:rsidRDefault="00EF1171" w:rsidP="002C5AB0">
      <w:pPr>
        <w:pStyle w:val="BodyTextIndent2"/>
        <w:spacing w:before="120" w:line="240" w:lineRule="auto"/>
        <w:ind w:left="0"/>
        <w:rPr>
          <w:rFonts w:ascii="Verdana" w:hAnsi="Verdana"/>
        </w:rPr>
      </w:pPr>
      <w:bookmarkStart w:id="1" w:name="_Overview"/>
      <w:bookmarkEnd w:id="1"/>
      <w:r w:rsidRPr="00F22A2A">
        <w:rPr>
          <w:rFonts w:ascii="Verdana" w:hAnsi="Verdana"/>
          <w:b/>
          <w:bCs/>
        </w:rPr>
        <w:t>Description</w:t>
      </w:r>
      <w:r w:rsidR="00EC21FE">
        <w:rPr>
          <w:rFonts w:ascii="Verdana" w:hAnsi="Verdana"/>
          <w:b/>
          <w:bCs/>
        </w:rPr>
        <w:t xml:space="preserve">: </w:t>
      </w:r>
      <w:r w:rsidR="00F80249">
        <w:rPr>
          <w:rFonts w:ascii="Verdana" w:hAnsi="Verdana"/>
        </w:rPr>
        <w:t>I</w:t>
      </w:r>
      <w:r w:rsidR="009159A5">
        <w:rPr>
          <w:rFonts w:ascii="Verdana" w:hAnsi="Verdana"/>
        </w:rPr>
        <w:t xml:space="preserve">nstructions for Customer Care to </w:t>
      </w:r>
      <w:r w:rsidR="00A50B56">
        <w:rPr>
          <w:rFonts w:ascii="Verdana" w:hAnsi="Verdana"/>
        </w:rPr>
        <w:t>O</w:t>
      </w:r>
      <w:r w:rsidR="009159A5">
        <w:rPr>
          <w:rFonts w:ascii="Verdana" w:hAnsi="Verdana"/>
        </w:rPr>
        <w:t>pt</w:t>
      </w:r>
      <w:r w:rsidR="00061174">
        <w:rPr>
          <w:rFonts w:ascii="Verdana" w:hAnsi="Verdana"/>
        </w:rPr>
        <w:t xml:space="preserve"> </w:t>
      </w:r>
      <w:r w:rsidR="00A50B56">
        <w:rPr>
          <w:rFonts w:ascii="Verdana" w:hAnsi="Verdana"/>
        </w:rPr>
        <w:t>O</w:t>
      </w:r>
      <w:r w:rsidR="00061174">
        <w:rPr>
          <w:rFonts w:ascii="Verdana" w:hAnsi="Verdana"/>
        </w:rPr>
        <w:t>ut</w:t>
      </w:r>
      <w:r w:rsidR="009159A5">
        <w:rPr>
          <w:rFonts w:ascii="Verdana" w:hAnsi="Verdana"/>
        </w:rPr>
        <w:t xml:space="preserve"> a member </w:t>
      </w:r>
      <w:r w:rsidR="00061174">
        <w:rPr>
          <w:rFonts w:ascii="Verdana" w:hAnsi="Verdana"/>
        </w:rPr>
        <w:t xml:space="preserve">from </w:t>
      </w:r>
      <w:r w:rsidR="0023020D">
        <w:rPr>
          <w:rFonts w:ascii="Verdana" w:hAnsi="Verdana"/>
        </w:rPr>
        <w:t xml:space="preserve">Mandatory </w:t>
      </w:r>
      <w:r w:rsidR="00061174">
        <w:rPr>
          <w:rFonts w:ascii="Verdana" w:hAnsi="Verdana"/>
        </w:rPr>
        <w:t>Maintenance Choice and Mandatory Mail plans</w:t>
      </w:r>
      <w:r w:rsidR="0092301D">
        <w:rPr>
          <w:rFonts w:ascii="Verdana" w:hAnsi="Verdana"/>
        </w:rPr>
        <w:t xml:space="preserve"> when the plan offers the </w:t>
      </w:r>
      <w:r w:rsidR="0023020D">
        <w:rPr>
          <w:rFonts w:ascii="Verdana" w:hAnsi="Verdana"/>
        </w:rPr>
        <w:t xml:space="preserve">Opt Out </w:t>
      </w:r>
      <w:r w:rsidR="0092301D">
        <w:rPr>
          <w:rFonts w:ascii="Verdana" w:hAnsi="Verdana"/>
        </w:rPr>
        <w:t>option</w:t>
      </w:r>
      <w:r w:rsidR="00061174">
        <w:rPr>
          <w:rFonts w:ascii="Verdana" w:hAnsi="Verdana"/>
        </w:rPr>
        <w:t>.</w:t>
      </w:r>
      <w:r w:rsidR="009159A5">
        <w:rPr>
          <w:rFonts w:ascii="Verdana" w:hAnsi="Verdana"/>
        </w:rPr>
        <w:t xml:space="preserve"> </w:t>
      </w:r>
      <w:r w:rsidR="00DF118B">
        <w:rPr>
          <w:noProof/>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B3DA3" w:rsidRPr="00384851" w14:paraId="6FC3F526" w14:textId="77777777" w:rsidTr="000476B6">
        <w:tc>
          <w:tcPr>
            <w:tcW w:w="5000" w:type="pct"/>
            <w:shd w:val="clear" w:color="auto" w:fill="C0C0C0"/>
          </w:tcPr>
          <w:p w14:paraId="00705044" w14:textId="5082ED93" w:rsidR="002B3DA3" w:rsidRPr="00384851" w:rsidRDefault="002B3DA3" w:rsidP="003A636F">
            <w:pPr>
              <w:pStyle w:val="Heading2"/>
              <w:spacing w:before="120" w:after="120"/>
              <w:rPr>
                <w:rFonts w:ascii="Verdana" w:hAnsi="Verdana"/>
                <w:i w:val="0"/>
                <w:iCs w:val="0"/>
              </w:rPr>
            </w:pPr>
            <w:bookmarkStart w:id="2" w:name="_Toc478975818"/>
            <w:bookmarkStart w:id="3" w:name="_Toc188009204"/>
            <w:r>
              <w:rPr>
                <w:rFonts w:ascii="Verdana" w:hAnsi="Verdana"/>
                <w:i w:val="0"/>
                <w:iCs w:val="0"/>
              </w:rPr>
              <w:t>Opt Out Provision</w:t>
            </w:r>
            <w:bookmarkEnd w:id="2"/>
            <w:bookmarkEnd w:id="3"/>
            <w:r>
              <w:rPr>
                <w:rFonts w:ascii="Verdana" w:hAnsi="Verdana"/>
                <w:i w:val="0"/>
                <w:iCs w:val="0"/>
              </w:rPr>
              <w:t xml:space="preserve"> </w:t>
            </w:r>
          </w:p>
        </w:tc>
      </w:tr>
    </w:tbl>
    <w:p w14:paraId="2591D5D8" w14:textId="60437381" w:rsidR="00FA3A78" w:rsidRDefault="00EC7536" w:rsidP="003A636F">
      <w:pPr>
        <w:pStyle w:val="BodyTextIndent2"/>
        <w:spacing w:before="120" w:line="240" w:lineRule="auto"/>
        <w:ind w:left="0"/>
        <w:rPr>
          <w:rFonts w:ascii="Verdana" w:hAnsi="Verdana"/>
        </w:rPr>
      </w:pPr>
      <w:r>
        <w:rPr>
          <w:rFonts w:ascii="Verdana" w:hAnsi="Verdana"/>
          <w:noProof/>
        </w:rPr>
        <w:t xml:space="preserve">Review of the Client Specific CIF is required every time a </w:t>
      </w:r>
      <w:r w:rsidR="003A636F" w:rsidRPr="00EF313D">
        <w:rPr>
          <w:rFonts w:ascii="Verdana" w:hAnsi="Verdana"/>
          <w:noProof/>
        </w:rPr>
        <w:t>member calls</w:t>
      </w:r>
      <w:r w:rsidR="00BA38CB">
        <w:rPr>
          <w:rFonts w:ascii="Verdana" w:hAnsi="Verdana"/>
          <w:noProof/>
        </w:rPr>
        <w:t xml:space="preserve"> or </w:t>
      </w:r>
      <w:r w:rsidR="006E16A1">
        <w:rPr>
          <w:rFonts w:ascii="Verdana" w:hAnsi="Verdana"/>
          <w:noProof/>
        </w:rPr>
        <w:t xml:space="preserve">the </w:t>
      </w:r>
      <w:r w:rsidR="00BA38CB">
        <w:rPr>
          <w:rFonts w:ascii="Verdana" w:hAnsi="Verdana"/>
          <w:noProof/>
        </w:rPr>
        <w:t>client calls on behalf</w:t>
      </w:r>
      <w:r w:rsidR="003A636F" w:rsidRPr="00EF313D">
        <w:rPr>
          <w:rFonts w:ascii="Verdana" w:hAnsi="Verdana"/>
          <w:noProof/>
        </w:rPr>
        <w:t xml:space="preserve"> </w:t>
      </w:r>
      <w:r>
        <w:rPr>
          <w:rFonts w:ascii="Verdana" w:hAnsi="Verdana"/>
          <w:noProof/>
        </w:rPr>
        <w:t xml:space="preserve">of the member </w:t>
      </w:r>
      <w:r w:rsidR="003A636F" w:rsidRPr="00EF313D">
        <w:rPr>
          <w:rFonts w:ascii="Verdana" w:hAnsi="Verdana"/>
          <w:noProof/>
        </w:rPr>
        <w:t xml:space="preserve">to </w:t>
      </w:r>
      <w:r w:rsidR="006E16A1" w:rsidRPr="00EF313D">
        <w:rPr>
          <w:rFonts w:ascii="Verdana" w:hAnsi="Verdana"/>
          <w:noProof/>
        </w:rPr>
        <w:t>O</w:t>
      </w:r>
      <w:r w:rsidR="006E16A1">
        <w:rPr>
          <w:rFonts w:ascii="Verdana" w:hAnsi="Verdana"/>
          <w:noProof/>
        </w:rPr>
        <w:t>PT</w:t>
      </w:r>
      <w:r w:rsidR="006E16A1" w:rsidRPr="00EF313D">
        <w:rPr>
          <w:rFonts w:ascii="Verdana" w:hAnsi="Verdana"/>
          <w:noProof/>
        </w:rPr>
        <w:t xml:space="preserve"> O</w:t>
      </w:r>
      <w:r w:rsidR="006E16A1">
        <w:rPr>
          <w:rFonts w:ascii="Verdana" w:hAnsi="Verdana"/>
          <w:noProof/>
        </w:rPr>
        <w:t>UT</w:t>
      </w:r>
      <w:r w:rsidR="006E16A1" w:rsidRPr="00EF313D">
        <w:rPr>
          <w:rFonts w:ascii="Verdana" w:hAnsi="Verdana"/>
          <w:noProof/>
        </w:rPr>
        <w:t xml:space="preserve"> </w:t>
      </w:r>
      <w:r w:rsidR="003A636F" w:rsidRPr="00EF313D">
        <w:rPr>
          <w:rFonts w:ascii="Verdana" w:hAnsi="Verdana"/>
          <w:noProof/>
        </w:rPr>
        <w:t>of Maintena</w:t>
      </w:r>
      <w:r w:rsidR="003A636F">
        <w:rPr>
          <w:rFonts w:ascii="Verdana" w:hAnsi="Verdana"/>
          <w:noProof/>
        </w:rPr>
        <w:t>n</w:t>
      </w:r>
      <w:r w:rsidR="003A636F" w:rsidRPr="00EF313D">
        <w:rPr>
          <w:rFonts w:ascii="Verdana" w:hAnsi="Verdana"/>
          <w:noProof/>
        </w:rPr>
        <w:t>ce Choice</w:t>
      </w:r>
      <w:r w:rsidR="00FD2A0C">
        <w:rPr>
          <w:rFonts w:ascii="Verdana" w:hAnsi="Verdana"/>
          <w:noProof/>
        </w:rPr>
        <w:t>.</w:t>
      </w:r>
      <w:r w:rsidR="009159A5">
        <w:rPr>
          <w:rFonts w:ascii="Verdana" w:hAnsi="Verdana"/>
        </w:rPr>
        <w:t xml:space="preserve">The </w:t>
      </w:r>
      <w:r w:rsidR="002B3DA3" w:rsidRPr="00E37399">
        <w:rPr>
          <w:rFonts w:ascii="Verdana" w:hAnsi="Verdana"/>
        </w:rPr>
        <w:t>O</w:t>
      </w:r>
      <w:r w:rsidR="009159A5" w:rsidRPr="00E37399">
        <w:rPr>
          <w:rFonts w:ascii="Verdana" w:hAnsi="Verdana"/>
        </w:rPr>
        <w:t xml:space="preserve">pt </w:t>
      </w:r>
      <w:r w:rsidR="00A50B56">
        <w:rPr>
          <w:rFonts w:ascii="Verdana" w:hAnsi="Verdana"/>
        </w:rPr>
        <w:t>O</w:t>
      </w:r>
      <w:r w:rsidR="009159A5" w:rsidRPr="00E37399">
        <w:rPr>
          <w:rFonts w:ascii="Verdana" w:hAnsi="Verdana"/>
        </w:rPr>
        <w:t xml:space="preserve">ut provision allows the member to continue filling prescriptions </w:t>
      </w:r>
      <w:r w:rsidR="00FD2A0C">
        <w:rPr>
          <w:rFonts w:ascii="Verdana" w:hAnsi="Verdana"/>
        </w:rPr>
        <w:t>with</w:t>
      </w:r>
      <w:r w:rsidR="00FD2A0C" w:rsidRPr="00E37399">
        <w:rPr>
          <w:rFonts w:ascii="Verdana" w:hAnsi="Verdana"/>
        </w:rPr>
        <w:t xml:space="preserve"> </w:t>
      </w:r>
      <w:r w:rsidR="009159A5" w:rsidRPr="00E37399">
        <w:rPr>
          <w:rFonts w:ascii="Verdana" w:hAnsi="Verdana"/>
        </w:rPr>
        <w:t>other retail pharmacies at the plan’s designated retail copay and day</w:t>
      </w:r>
      <w:r w:rsidR="00977C95">
        <w:rPr>
          <w:rFonts w:ascii="Verdana" w:hAnsi="Verdana"/>
        </w:rPr>
        <w:t>s’</w:t>
      </w:r>
      <w:r w:rsidR="009159A5" w:rsidRPr="00E37399">
        <w:rPr>
          <w:rFonts w:ascii="Verdana" w:hAnsi="Verdana"/>
        </w:rPr>
        <w:t xml:space="preserve"> supply. </w:t>
      </w:r>
      <w:r w:rsidR="00E126A8">
        <w:rPr>
          <w:rFonts w:ascii="Verdana" w:hAnsi="Verdana"/>
        </w:rPr>
        <w:t xml:space="preserve"> </w:t>
      </w:r>
      <w:r w:rsidR="009159A5" w:rsidRPr="00E37399">
        <w:rPr>
          <w:rFonts w:ascii="Verdana" w:hAnsi="Verdana"/>
        </w:rPr>
        <w:t xml:space="preserve">The member must </w:t>
      </w:r>
      <w:r w:rsidR="00943FC4">
        <w:rPr>
          <w:rFonts w:ascii="Verdana" w:hAnsi="Verdana"/>
        </w:rPr>
        <w:t>contact</w:t>
      </w:r>
      <w:r w:rsidR="00C26EFB" w:rsidRPr="00E37399">
        <w:rPr>
          <w:rFonts w:ascii="Verdana" w:hAnsi="Verdana"/>
        </w:rPr>
        <w:t xml:space="preserve"> </w:t>
      </w:r>
      <w:r w:rsidR="009159A5" w:rsidRPr="00E37399">
        <w:rPr>
          <w:rFonts w:ascii="Verdana" w:hAnsi="Verdana"/>
        </w:rPr>
        <w:t>Custo</w:t>
      </w:r>
      <w:r w:rsidR="00943FC4">
        <w:rPr>
          <w:rFonts w:ascii="Verdana" w:hAnsi="Verdana"/>
        </w:rPr>
        <w:t xml:space="preserve">mer Care to activate </w:t>
      </w:r>
      <w:r w:rsidR="00FD2A0C">
        <w:rPr>
          <w:rFonts w:ascii="Verdana" w:hAnsi="Verdana"/>
        </w:rPr>
        <w:t xml:space="preserve">the </w:t>
      </w:r>
      <w:r w:rsidR="00977C95">
        <w:rPr>
          <w:rFonts w:ascii="Verdana" w:hAnsi="Verdana"/>
        </w:rPr>
        <w:t>O</w:t>
      </w:r>
      <w:r w:rsidR="004D2403">
        <w:rPr>
          <w:rFonts w:ascii="Verdana" w:hAnsi="Verdana"/>
        </w:rPr>
        <w:t xml:space="preserve">pt </w:t>
      </w:r>
      <w:r w:rsidR="00977C95">
        <w:rPr>
          <w:rFonts w:ascii="Verdana" w:hAnsi="Verdana"/>
        </w:rPr>
        <w:t>O</w:t>
      </w:r>
      <w:r w:rsidR="004D2403">
        <w:rPr>
          <w:rFonts w:ascii="Verdana" w:hAnsi="Verdana"/>
        </w:rPr>
        <w:t>ut</w:t>
      </w:r>
      <w:r w:rsidR="00943FC4">
        <w:rPr>
          <w:rFonts w:ascii="Verdana" w:hAnsi="Verdana"/>
        </w:rPr>
        <w:t xml:space="preserve"> </w:t>
      </w:r>
      <w:r w:rsidR="00FD2A0C">
        <w:rPr>
          <w:rFonts w:ascii="Verdana" w:hAnsi="Verdana"/>
        </w:rPr>
        <w:t>provision</w:t>
      </w:r>
      <w:r w:rsidR="009159A5" w:rsidRPr="00E37399">
        <w:rPr>
          <w:rFonts w:ascii="Verdana" w:hAnsi="Verdana"/>
        </w:rPr>
        <w:t>.</w:t>
      </w:r>
      <w:r w:rsidR="001532A1">
        <w:rPr>
          <w:rFonts w:ascii="Verdana" w:hAnsi="Verdana"/>
        </w:rPr>
        <w:t xml:space="preserve"> </w:t>
      </w:r>
    </w:p>
    <w:p w14:paraId="0B9A4C40" w14:textId="13058DBE" w:rsidR="001031A5" w:rsidRDefault="001031A5" w:rsidP="00792224">
      <w:pPr>
        <w:pStyle w:val="BodyTextIndent2"/>
        <w:numPr>
          <w:ilvl w:val="0"/>
          <w:numId w:val="17"/>
        </w:numPr>
        <w:spacing w:before="120" w:line="240" w:lineRule="auto"/>
        <w:rPr>
          <w:rFonts w:ascii="Verdana" w:hAnsi="Verdana"/>
        </w:rPr>
      </w:pPr>
      <w:r>
        <w:rPr>
          <w:rFonts w:ascii="Verdana" w:hAnsi="Verdana"/>
        </w:rPr>
        <w:t>If a member opts out, they are opted out during the plan year and must opt out again for the next plan year.</w:t>
      </w:r>
    </w:p>
    <w:p w14:paraId="201BB212" w14:textId="53A30DFD" w:rsidR="00B748E2" w:rsidRDefault="00FA3A78" w:rsidP="00792224">
      <w:pPr>
        <w:pStyle w:val="BodyTextIndent2"/>
        <w:numPr>
          <w:ilvl w:val="0"/>
          <w:numId w:val="17"/>
        </w:numPr>
        <w:spacing w:before="120" w:line="240" w:lineRule="auto"/>
        <w:rPr>
          <w:noProof/>
        </w:rPr>
      </w:pPr>
      <w:r>
        <w:rPr>
          <w:rFonts w:ascii="Verdana" w:hAnsi="Verdana"/>
        </w:rPr>
        <w:t>M</w:t>
      </w:r>
      <w:r w:rsidR="00446205">
        <w:rPr>
          <w:rFonts w:ascii="Verdana" w:hAnsi="Verdana"/>
        </w:rPr>
        <w:t>e</w:t>
      </w:r>
      <w:r w:rsidR="007873A8">
        <w:rPr>
          <w:rFonts w:ascii="Verdana" w:hAnsi="Verdana"/>
        </w:rPr>
        <w:t>mbers may still use Mail Order even after they have Opted Out of maintenance choice</w:t>
      </w:r>
      <w:r w:rsidR="006D504E">
        <w:rPr>
          <w:rFonts w:ascii="Verdana" w:hAnsi="Verdana"/>
        </w:rPr>
        <w:t>.</w:t>
      </w:r>
    </w:p>
    <w:p w14:paraId="1CBFAE6A" w14:textId="77777777" w:rsidR="00214230" w:rsidRPr="00E37399" w:rsidRDefault="00214230" w:rsidP="003A636F">
      <w:pPr>
        <w:pStyle w:val="BodyTextIndent2"/>
        <w:spacing w:before="120" w:line="240" w:lineRule="auto"/>
        <w:ind w:left="0"/>
        <w:rPr>
          <w:rFonts w:ascii="Verdana" w:hAnsi="Verdana"/>
        </w:rPr>
      </w:pPr>
    </w:p>
    <w:p w14:paraId="324C8F17" w14:textId="6F584DF5" w:rsidR="009159A5" w:rsidRDefault="00000000" w:rsidP="003A636F">
      <w:pPr>
        <w:pStyle w:val="BodyTextIndent2"/>
        <w:spacing w:before="120" w:line="240" w:lineRule="auto"/>
        <w:ind w:left="0"/>
        <w:rPr>
          <w:rFonts w:ascii="Verdana" w:hAnsi="Verdana"/>
        </w:rPr>
      </w:pPr>
      <w:r>
        <w:pict w14:anchorId="1BE6865B">
          <v:shape id="_x0000_i1026" type="#_x0000_t75" style="width:18.75pt;height:16.5pt;visibility:visible;mso-wrap-style:square">
            <v:imagedata r:id="rId11" o:title=""/>
          </v:shape>
        </w:pict>
      </w:r>
      <w:r w:rsidR="009159A5" w:rsidRPr="00E37399">
        <w:rPr>
          <w:rFonts w:ascii="Verdana" w:hAnsi="Verdana"/>
        </w:rPr>
        <w:t xml:space="preserve"> </w:t>
      </w:r>
      <w:r w:rsidR="004F3AF0">
        <w:rPr>
          <w:rFonts w:ascii="Verdana" w:hAnsi="Verdana"/>
        </w:rPr>
        <w:t xml:space="preserve">This </w:t>
      </w:r>
      <w:r w:rsidR="00F22A2A">
        <w:rPr>
          <w:rFonts w:ascii="Verdana" w:hAnsi="Verdana"/>
        </w:rPr>
        <w:t xml:space="preserve">only </w:t>
      </w:r>
      <w:r w:rsidR="00A727AA" w:rsidRPr="00E37399">
        <w:rPr>
          <w:rFonts w:ascii="Verdana" w:hAnsi="Verdana"/>
        </w:rPr>
        <w:t xml:space="preserve">applies </w:t>
      </w:r>
      <w:r w:rsidR="009159A5" w:rsidRPr="00E37399">
        <w:rPr>
          <w:rFonts w:ascii="Verdana" w:hAnsi="Verdana"/>
        </w:rPr>
        <w:t xml:space="preserve">to clients who have selected the Maintenance Choice with Opt Out plan design, which can be identified on the </w:t>
      </w:r>
      <w:r w:rsidR="009159A5" w:rsidRPr="00F22A2A">
        <w:rPr>
          <w:rFonts w:ascii="Verdana" w:hAnsi="Verdana"/>
          <w:bCs/>
        </w:rPr>
        <w:t>Client Programs Offerings</w:t>
      </w:r>
      <w:r w:rsidR="009159A5" w:rsidRPr="00E37399">
        <w:rPr>
          <w:rFonts w:ascii="Verdana" w:hAnsi="Verdana"/>
          <w:b/>
        </w:rPr>
        <w:t xml:space="preserve"> </w:t>
      </w:r>
      <w:r w:rsidR="009159A5" w:rsidRPr="00E37399">
        <w:rPr>
          <w:rFonts w:ascii="Verdana" w:hAnsi="Verdana"/>
        </w:rPr>
        <w:t xml:space="preserve">screen in PeopleSafe. </w:t>
      </w:r>
    </w:p>
    <w:p w14:paraId="67A21330" w14:textId="77777777" w:rsidR="00540A38" w:rsidRDefault="00540A38" w:rsidP="003A636F">
      <w:pPr>
        <w:pStyle w:val="BodyTextIndent2"/>
        <w:spacing w:before="120" w:line="240" w:lineRule="auto"/>
        <w:ind w:left="0"/>
        <w:rPr>
          <w:rFonts w:ascii="Verdana" w:hAnsi="Verdana"/>
        </w:rPr>
      </w:pPr>
    </w:p>
    <w:p w14:paraId="0EC0C0CE" w14:textId="45A902E3" w:rsidR="00550223" w:rsidRDefault="003A636F" w:rsidP="002C5AB0">
      <w:pPr>
        <w:pStyle w:val="BodyTextIndent2"/>
        <w:spacing w:before="120" w:line="240" w:lineRule="auto"/>
        <w:ind w:left="0"/>
        <w:rPr>
          <w:rFonts w:ascii="Verdana" w:hAnsi="Verdana"/>
        </w:rPr>
      </w:pPr>
      <w:r>
        <w:rPr>
          <w:rFonts w:ascii="Verdana" w:hAnsi="Verdana"/>
        </w:rPr>
        <w:t>Several</w:t>
      </w:r>
      <w:r w:rsidR="00550223" w:rsidRPr="00E37399">
        <w:rPr>
          <w:rFonts w:ascii="Verdana" w:hAnsi="Verdana"/>
        </w:rPr>
        <w:t xml:space="preserve"> </w:t>
      </w:r>
      <w:r w:rsidR="00A50B56">
        <w:rPr>
          <w:rFonts w:ascii="Verdana" w:hAnsi="Verdana"/>
        </w:rPr>
        <w:t>O</w:t>
      </w:r>
      <w:r w:rsidR="00550223" w:rsidRPr="00E37399">
        <w:rPr>
          <w:rFonts w:ascii="Verdana" w:hAnsi="Verdana"/>
        </w:rPr>
        <w:t xml:space="preserve">pt </w:t>
      </w:r>
      <w:r w:rsidR="00A50B56">
        <w:rPr>
          <w:rFonts w:ascii="Verdana" w:hAnsi="Verdana"/>
        </w:rPr>
        <w:t>O</w:t>
      </w:r>
      <w:r w:rsidR="00550223" w:rsidRPr="00E37399">
        <w:rPr>
          <w:rFonts w:ascii="Verdana" w:hAnsi="Verdana"/>
        </w:rPr>
        <w:t xml:space="preserve">ut </w:t>
      </w:r>
      <w:r w:rsidR="00FD2A0C">
        <w:rPr>
          <w:rFonts w:ascii="Verdana" w:hAnsi="Verdana"/>
        </w:rPr>
        <w:t>selections</w:t>
      </w:r>
      <w:r w:rsidR="00FD2A0C" w:rsidRPr="00E37399">
        <w:rPr>
          <w:rFonts w:ascii="Verdana" w:hAnsi="Verdana"/>
        </w:rPr>
        <w:t xml:space="preserve"> </w:t>
      </w:r>
      <w:r>
        <w:rPr>
          <w:rFonts w:ascii="Verdana" w:hAnsi="Verdana"/>
        </w:rPr>
        <w:t>are</w:t>
      </w:r>
      <w:r w:rsidR="00550223" w:rsidRPr="00E37399">
        <w:rPr>
          <w:rFonts w:ascii="Verdana" w:hAnsi="Verdana"/>
        </w:rPr>
        <w:t xml:space="preserve"> available:</w:t>
      </w:r>
    </w:p>
    <w:p w14:paraId="3C4C628F" w14:textId="7132AC76" w:rsidR="001C162C" w:rsidRDefault="001C162C" w:rsidP="002C5AB0">
      <w:pPr>
        <w:pStyle w:val="BodyTextIndent2"/>
        <w:spacing w:before="120" w:line="240" w:lineRule="auto"/>
        <w:ind w:left="0"/>
        <w:rPr>
          <w:rFonts w:ascii="Verdana" w:hAnsi="Verdana"/>
          <w:b/>
          <w:bCs/>
        </w:rPr>
      </w:pPr>
      <w:r w:rsidRPr="001C162C">
        <w:rPr>
          <w:rFonts w:ascii="Verdana" w:hAnsi="Verdana"/>
          <w:b/>
          <w:bCs/>
        </w:rPr>
        <w:t>(All Drugs</w:t>
      </w:r>
      <w:r w:rsidR="007530F7">
        <w:rPr>
          <w:rFonts w:ascii="Verdana" w:hAnsi="Verdana"/>
          <w:b/>
          <w:bCs/>
        </w:rPr>
        <w:t xml:space="preserve"> -</w:t>
      </w:r>
      <w:r w:rsidR="006E46FA">
        <w:rPr>
          <w:rFonts w:ascii="Verdana" w:hAnsi="Verdana"/>
          <w:b/>
          <w:bCs/>
        </w:rPr>
        <w:t>This will opt out all medications at once</w:t>
      </w:r>
      <w:r w:rsidR="007530F7">
        <w:rPr>
          <w:rFonts w:ascii="Verdana" w:hAnsi="Verdana"/>
          <w:b/>
          <w:bCs/>
        </w:rPr>
        <w:t xml:space="preserve"> on the members account</w:t>
      </w:r>
      <w:r w:rsidRPr="001C162C">
        <w:rPr>
          <w:rFonts w:ascii="Verdana" w:hAnsi="Verdana"/>
          <w:b/>
          <w:bCs/>
        </w:rPr>
        <w:t>)</w:t>
      </w:r>
    </w:p>
    <w:p w14:paraId="20276D3C" w14:textId="1F180CBE" w:rsidR="006E46FA" w:rsidRPr="001C162C" w:rsidRDefault="006E46FA" w:rsidP="002C5AB0">
      <w:pPr>
        <w:pStyle w:val="BodyTextIndent2"/>
        <w:spacing w:before="120" w:line="240" w:lineRule="auto"/>
        <w:ind w:left="0"/>
        <w:rPr>
          <w:rFonts w:ascii="Verdana" w:hAnsi="Verdana"/>
          <w:b/>
          <w:bCs/>
        </w:rPr>
      </w:pPr>
      <w:r>
        <w:rPr>
          <w:rFonts w:ascii="Verdana" w:hAnsi="Verdana"/>
          <w:b/>
          <w:bCs/>
        </w:rPr>
        <w:t xml:space="preserve">Examples based on plan start and end </w:t>
      </w:r>
      <w:r w:rsidR="007530F7">
        <w:rPr>
          <w:rFonts w:ascii="Verdana" w:hAnsi="Verdana"/>
          <w:b/>
          <w:bCs/>
        </w:rPr>
        <w:t>year</w:t>
      </w:r>
    </w:p>
    <w:p w14:paraId="13B168F1" w14:textId="77777777" w:rsidR="00550223" w:rsidRPr="00E37399" w:rsidRDefault="00550223" w:rsidP="00E14EE6">
      <w:pPr>
        <w:pStyle w:val="BodyTextIndent2"/>
        <w:numPr>
          <w:ilvl w:val="0"/>
          <w:numId w:val="18"/>
        </w:numPr>
        <w:spacing w:before="120" w:line="240" w:lineRule="auto"/>
        <w:rPr>
          <w:rFonts w:ascii="Verdana" w:hAnsi="Verdana"/>
        </w:rPr>
      </w:pPr>
      <w:r w:rsidRPr="00E37399">
        <w:rPr>
          <w:rFonts w:ascii="Verdana" w:hAnsi="Verdana"/>
        </w:rPr>
        <w:t>Member Level Open Ended</w:t>
      </w:r>
    </w:p>
    <w:p w14:paraId="1813B1AE" w14:textId="77777777" w:rsidR="00550223" w:rsidRPr="00E37399" w:rsidRDefault="00550223" w:rsidP="00E14EE6">
      <w:pPr>
        <w:pStyle w:val="BodyTextIndent2"/>
        <w:numPr>
          <w:ilvl w:val="0"/>
          <w:numId w:val="18"/>
        </w:numPr>
        <w:spacing w:before="120" w:line="240" w:lineRule="auto"/>
        <w:rPr>
          <w:rFonts w:ascii="Verdana" w:hAnsi="Verdana"/>
        </w:rPr>
      </w:pPr>
      <w:r w:rsidRPr="00E37399">
        <w:rPr>
          <w:rFonts w:ascii="Verdana" w:hAnsi="Verdana"/>
        </w:rPr>
        <w:t>Member Level Calendar Year</w:t>
      </w:r>
    </w:p>
    <w:p w14:paraId="45905314" w14:textId="418ACBA4" w:rsidR="001C162C" w:rsidRDefault="00550223" w:rsidP="00E14EE6">
      <w:pPr>
        <w:pStyle w:val="BodyTextIndent2"/>
        <w:numPr>
          <w:ilvl w:val="0"/>
          <w:numId w:val="18"/>
        </w:numPr>
        <w:spacing w:before="120" w:line="240" w:lineRule="auto"/>
        <w:rPr>
          <w:rFonts w:ascii="Verdana" w:hAnsi="Verdana"/>
        </w:rPr>
      </w:pPr>
      <w:r w:rsidRPr="00E37399">
        <w:rPr>
          <w:rFonts w:ascii="Verdana" w:hAnsi="Verdana"/>
        </w:rPr>
        <w:t>Member Level Plan Year</w:t>
      </w:r>
    </w:p>
    <w:p w14:paraId="04B331AB" w14:textId="77777777" w:rsidR="001C162C" w:rsidRDefault="001C162C" w:rsidP="002C5AB0">
      <w:pPr>
        <w:pStyle w:val="BodyTextIndent2"/>
        <w:spacing w:before="120" w:line="240" w:lineRule="auto"/>
        <w:rPr>
          <w:rFonts w:ascii="Verdana" w:hAnsi="Verdana"/>
        </w:rPr>
      </w:pPr>
    </w:p>
    <w:p w14:paraId="6D3F6E77" w14:textId="77D32E9C" w:rsidR="001C162C" w:rsidRPr="001C162C" w:rsidRDefault="001C162C" w:rsidP="002C5AB0">
      <w:pPr>
        <w:pStyle w:val="BodyTextIndent2"/>
        <w:spacing w:before="120" w:line="240" w:lineRule="auto"/>
        <w:ind w:left="0"/>
        <w:rPr>
          <w:rFonts w:ascii="Verdana" w:hAnsi="Verdana"/>
          <w:b/>
          <w:bCs/>
        </w:rPr>
      </w:pPr>
      <w:r w:rsidRPr="001C162C">
        <w:rPr>
          <w:rFonts w:ascii="Verdana" w:hAnsi="Verdana"/>
          <w:b/>
          <w:bCs/>
        </w:rPr>
        <w:t>(</w:t>
      </w:r>
      <w:r w:rsidR="00493C17">
        <w:rPr>
          <w:rFonts w:ascii="Verdana" w:hAnsi="Verdana"/>
          <w:b/>
          <w:bCs/>
        </w:rPr>
        <w:t>Individual</w:t>
      </w:r>
      <w:r w:rsidRPr="001C162C">
        <w:rPr>
          <w:rFonts w:ascii="Verdana" w:hAnsi="Verdana"/>
          <w:b/>
          <w:bCs/>
        </w:rPr>
        <w:t xml:space="preserve"> Drug</w:t>
      </w:r>
      <w:r w:rsidR="006E46FA">
        <w:rPr>
          <w:rFonts w:ascii="Verdana" w:hAnsi="Verdana"/>
          <w:b/>
          <w:bCs/>
        </w:rPr>
        <w:t>- This will only opt out the medication selected</w:t>
      </w:r>
      <w:r w:rsidR="007530F7">
        <w:rPr>
          <w:rFonts w:ascii="Verdana" w:hAnsi="Verdana"/>
          <w:b/>
          <w:bCs/>
        </w:rPr>
        <w:t xml:space="preserve"> from</w:t>
      </w:r>
      <w:r w:rsidR="008465C3">
        <w:rPr>
          <w:rFonts w:ascii="Verdana" w:hAnsi="Verdana"/>
          <w:b/>
          <w:bCs/>
        </w:rPr>
        <w:t xml:space="preserve"> the</w:t>
      </w:r>
      <w:r w:rsidR="007530F7">
        <w:rPr>
          <w:rFonts w:ascii="Verdana" w:hAnsi="Verdana"/>
          <w:b/>
          <w:bCs/>
        </w:rPr>
        <w:t xml:space="preserve"> retail claim</w:t>
      </w:r>
      <w:r w:rsidRPr="001C162C">
        <w:rPr>
          <w:rFonts w:ascii="Verdana" w:hAnsi="Verdana"/>
          <w:b/>
          <w:bCs/>
        </w:rPr>
        <w:t>)</w:t>
      </w:r>
    </w:p>
    <w:p w14:paraId="3CE8F466" w14:textId="77777777" w:rsidR="00550223" w:rsidRPr="00E37399" w:rsidRDefault="00550223" w:rsidP="00E14EE6">
      <w:pPr>
        <w:pStyle w:val="BodyTextIndent2"/>
        <w:numPr>
          <w:ilvl w:val="0"/>
          <w:numId w:val="19"/>
        </w:numPr>
        <w:spacing w:before="120" w:line="240" w:lineRule="auto"/>
        <w:rPr>
          <w:rFonts w:ascii="Verdana" w:hAnsi="Verdana"/>
        </w:rPr>
      </w:pPr>
      <w:r w:rsidRPr="00E37399">
        <w:rPr>
          <w:rFonts w:ascii="Verdana" w:hAnsi="Verdana"/>
        </w:rPr>
        <w:t>Drug Level Open Ended</w:t>
      </w:r>
    </w:p>
    <w:p w14:paraId="4FF4C372" w14:textId="77777777" w:rsidR="00550223" w:rsidRPr="00E37399" w:rsidRDefault="00550223" w:rsidP="00E14EE6">
      <w:pPr>
        <w:pStyle w:val="BodyTextIndent2"/>
        <w:numPr>
          <w:ilvl w:val="0"/>
          <w:numId w:val="19"/>
        </w:numPr>
        <w:spacing w:before="120" w:line="240" w:lineRule="auto"/>
        <w:rPr>
          <w:rFonts w:ascii="Verdana" w:hAnsi="Verdana"/>
        </w:rPr>
      </w:pPr>
      <w:r w:rsidRPr="00E37399">
        <w:rPr>
          <w:rFonts w:ascii="Verdana" w:hAnsi="Verdana"/>
        </w:rPr>
        <w:t>Drug Level Calendar Year</w:t>
      </w:r>
    </w:p>
    <w:p w14:paraId="285582E2" w14:textId="2AF5FC2E" w:rsidR="001C162C" w:rsidRDefault="00550223" w:rsidP="00E14EE6">
      <w:pPr>
        <w:pStyle w:val="BodyTextIndent2"/>
        <w:numPr>
          <w:ilvl w:val="0"/>
          <w:numId w:val="19"/>
        </w:numPr>
        <w:spacing w:before="120" w:line="240" w:lineRule="auto"/>
        <w:rPr>
          <w:rFonts w:ascii="Verdana" w:hAnsi="Verdana"/>
        </w:rPr>
      </w:pPr>
      <w:r w:rsidRPr="00E37399">
        <w:rPr>
          <w:rFonts w:ascii="Verdana" w:hAnsi="Verdana"/>
        </w:rPr>
        <w:t>Drug Level Plan Year</w:t>
      </w:r>
    </w:p>
    <w:p w14:paraId="39D8417C" w14:textId="3855048B" w:rsidR="001C162C" w:rsidRDefault="001C162C" w:rsidP="002C5AB0">
      <w:pPr>
        <w:pStyle w:val="BodyTextIndent2"/>
        <w:spacing w:before="120" w:line="240" w:lineRule="auto"/>
        <w:ind w:left="0"/>
        <w:rPr>
          <w:rFonts w:ascii="Verdana" w:hAnsi="Verdana"/>
        </w:rPr>
      </w:pPr>
    </w:p>
    <w:p w14:paraId="309C21D0" w14:textId="4AE2F54D" w:rsidR="001C162C" w:rsidRPr="001C162C" w:rsidRDefault="001C162C" w:rsidP="002C5AB0">
      <w:pPr>
        <w:pStyle w:val="BodyTextIndent2"/>
        <w:spacing w:before="120" w:line="240" w:lineRule="auto"/>
        <w:ind w:left="0"/>
        <w:rPr>
          <w:rFonts w:ascii="Verdana" w:hAnsi="Verdana"/>
        </w:rPr>
      </w:pPr>
      <w:r w:rsidRPr="001C162C">
        <w:rPr>
          <w:rFonts w:ascii="Verdana" w:hAnsi="Verdana"/>
          <w:b/>
          <w:bCs/>
        </w:rPr>
        <w:t>(Ineligible)</w:t>
      </w:r>
    </w:p>
    <w:p w14:paraId="610FC0B4" w14:textId="77777777" w:rsidR="00550223" w:rsidRPr="00E37399" w:rsidRDefault="00550223" w:rsidP="00E14EE6">
      <w:pPr>
        <w:pStyle w:val="BodyTextIndent2"/>
        <w:numPr>
          <w:ilvl w:val="0"/>
          <w:numId w:val="20"/>
        </w:numPr>
        <w:spacing w:before="120" w:line="240" w:lineRule="auto"/>
        <w:rPr>
          <w:rFonts w:ascii="Verdana" w:hAnsi="Verdana"/>
        </w:rPr>
      </w:pPr>
      <w:r w:rsidRPr="00E37399">
        <w:rPr>
          <w:rFonts w:ascii="Verdana" w:hAnsi="Verdana"/>
        </w:rPr>
        <w:t xml:space="preserve">Plans not eligible for Opt </w:t>
      </w:r>
      <w:r w:rsidR="00A50B56">
        <w:rPr>
          <w:rFonts w:ascii="Verdana" w:hAnsi="Verdana"/>
        </w:rPr>
        <w:t>O</w:t>
      </w:r>
      <w:r w:rsidRPr="00E37399">
        <w:rPr>
          <w:rFonts w:ascii="Verdana" w:hAnsi="Verdana"/>
        </w:rPr>
        <w:t>ut</w:t>
      </w:r>
    </w:p>
    <w:p w14:paraId="34609CD2" w14:textId="77777777" w:rsidR="00550223" w:rsidRPr="00E37399" w:rsidRDefault="00550223" w:rsidP="002C5AB0">
      <w:pPr>
        <w:pStyle w:val="BodyTextIndent2"/>
        <w:spacing w:before="120" w:line="240" w:lineRule="auto"/>
        <w:rPr>
          <w:rFonts w:ascii="Verdana" w:hAnsi="Verdana"/>
        </w:rPr>
      </w:pPr>
    </w:p>
    <w:p w14:paraId="796CFF8C" w14:textId="6767FD72" w:rsidR="008B569A" w:rsidRPr="00E37399" w:rsidRDefault="00BD3508" w:rsidP="002C5AB0">
      <w:pPr>
        <w:pStyle w:val="BodyTextIndent2"/>
        <w:spacing w:before="120" w:line="240" w:lineRule="auto"/>
        <w:ind w:left="0"/>
        <w:rPr>
          <w:rFonts w:ascii="Verdana" w:hAnsi="Verdana"/>
        </w:rPr>
      </w:pPr>
      <w:r w:rsidRPr="00E37399">
        <w:rPr>
          <w:rFonts w:ascii="Verdana" w:hAnsi="Verdana"/>
          <w:b/>
        </w:rPr>
        <w:t>Note</w:t>
      </w:r>
      <w:r w:rsidR="00EC21FE">
        <w:rPr>
          <w:rFonts w:ascii="Verdana" w:hAnsi="Verdana"/>
          <w:b/>
        </w:rPr>
        <w:t xml:space="preserve">: </w:t>
      </w:r>
      <w:r w:rsidR="00550223" w:rsidRPr="00E37399">
        <w:rPr>
          <w:rFonts w:ascii="Verdana" w:hAnsi="Verdana"/>
        </w:rPr>
        <w:t>A client may choose any of these options in conjunction with their Maintenance Choice offering.</w:t>
      </w:r>
    </w:p>
    <w:p w14:paraId="6594A733" w14:textId="28002949" w:rsidR="00943FC4" w:rsidRPr="00E37399" w:rsidRDefault="00677D0A" w:rsidP="00E14EE6">
      <w:pPr>
        <w:pStyle w:val="BodyTextIndent2"/>
        <w:spacing w:before="120" w:line="240" w:lineRule="auto"/>
        <w:ind w:left="0"/>
        <w:rPr>
          <w:rFonts w:ascii="Verdana" w:hAnsi="Verdana"/>
        </w:rPr>
      </w:pPr>
      <w:r w:rsidRPr="0092301D">
        <w:rPr>
          <w:rFonts w:ascii="Verdana" w:hAnsi="Verdana"/>
        </w:rPr>
        <w:t xml:space="preserve">The member has the option to obtain a </w:t>
      </w:r>
      <w:r w:rsidR="003A636F" w:rsidRPr="0092301D">
        <w:rPr>
          <w:rFonts w:ascii="Verdana" w:hAnsi="Verdana"/>
        </w:rPr>
        <w:t>90-day</w:t>
      </w:r>
      <w:r w:rsidRPr="0092301D">
        <w:rPr>
          <w:rFonts w:ascii="Verdana" w:hAnsi="Verdana"/>
        </w:rPr>
        <w:t xml:space="preserve"> supply through Maintenance Choice even if the member chooses to </w:t>
      </w:r>
      <w:r w:rsidR="00A50B56" w:rsidRPr="0092301D">
        <w:rPr>
          <w:rFonts w:ascii="Verdana" w:hAnsi="Verdana"/>
        </w:rPr>
        <w:t>O</w:t>
      </w:r>
      <w:r w:rsidRPr="0092301D">
        <w:rPr>
          <w:rFonts w:ascii="Verdana" w:hAnsi="Verdana"/>
        </w:rPr>
        <w:t xml:space="preserve">pt </w:t>
      </w:r>
      <w:r w:rsidR="00A50B56" w:rsidRPr="0092301D">
        <w:rPr>
          <w:rFonts w:ascii="Verdana" w:hAnsi="Verdana"/>
        </w:rPr>
        <w:t xml:space="preserve">Out </w:t>
      </w:r>
      <w:r w:rsidRPr="0092301D">
        <w:rPr>
          <w:rFonts w:ascii="Verdana" w:hAnsi="Verdana"/>
        </w:rPr>
        <w:t>of Maintenance Choice</w:t>
      </w:r>
      <w:r w:rsidR="008B569A" w:rsidRPr="0092301D">
        <w:rPr>
          <w:rFonts w:ascii="Verdana" w:hAnsi="Verdana"/>
        </w:rPr>
        <w:t>.</w:t>
      </w:r>
      <w:r w:rsidR="00565CBB" w:rsidRPr="0092301D">
        <w:rPr>
          <w:rFonts w:ascii="Verdana" w:hAnsi="Verdana"/>
        </w:rPr>
        <w:t xml:space="preserve"> </w:t>
      </w:r>
      <w:r w:rsidR="0092301D" w:rsidRPr="000F0D22">
        <w:rPr>
          <w:rFonts w:ascii="Verdana" w:hAnsi="Verdana"/>
          <w:noProof/>
        </w:rPr>
        <w:t xml:space="preserve">If the member calls to Opt Out of Maintenance Choice, review of their Client Specific CIF is required to understand if the client has the Transform Diabetes Care (TDC) Opt Out Program and if they have specific requirements regarding member Opt Out procedures for TDC. </w:t>
      </w:r>
    </w:p>
    <w:p w14:paraId="4645F3E3" w14:textId="77777777" w:rsidR="000D3968" w:rsidRDefault="000D3968" w:rsidP="00AA351B">
      <w:pPr>
        <w:pStyle w:val="BodyTextIndent2"/>
        <w:spacing w:after="0" w:line="240" w:lineRule="auto"/>
        <w:ind w:left="0"/>
        <w:jc w:val="right"/>
        <w:rPr>
          <w:rFonts w:ascii="Verdana" w:hAnsi="Verdana"/>
        </w:rPr>
      </w:pPr>
      <w:bookmarkStart w:id="4" w:name="_Rationale"/>
      <w:bookmarkStart w:id="5" w:name="_Definitions"/>
      <w:bookmarkStart w:id="6" w:name="_Definitions/Abbreviations"/>
      <w:bookmarkStart w:id="7" w:name="_Abbreviations/Definitions"/>
      <w:bookmarkEnd w:id="4"/>
      <w:bookmarkEnd w:id="5"/>
      <w:bookmarkEnd w:id="6"/>
      <w:bookmarkEnd w:id="7"/>
    </w:p>
    <w:p w14:paraId="12DF4DC9" w14:textId="7ACBAC1C" w:rsidR="00AA351B" w:rsidRPr="00176400" w:rsidRDefault="00AA351B" w:rsidP="00E14EE6">
      <w:pPr>
        <w:pStyle w:val="BodyTextIndent2"/>
        <w:spacing w:before="120" w:line="240" w:lineRule="auto"/>
        <w:ind w:left="0"/>
        <w:jc w:val="right"/>
        <w:rPr>
          <w:rFonts w:ascii="Verdana" w:hAnsi="Verdana"/>
        </w:rPr>
      </w:pPr>
      <w:hyperlink w:anchor="_top" w:history="1">
        <w:r w:rsidRPr="00E509C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384851" w14:paraId="7565748A" w14:textId="77777777" w:rsidTr="00001B44">
        <w:tc>
          <w:tcPr>
            <w:tcW w:w="5000" w:type="pct"/>
            <w:shd w:val="clear" w:color="auto" w:fill="C0C0C0"/>
          </w:tcPr>
          <w:p w14:paraId="1BB7CDF8" w14:textId="11C5A9E3" w:rsidR="005A64DA" w:rsidRPr="00384851" w:rsidRDefault="00F51817" w:rsidP="003A636F">
            <w:pPr>
              <w:pStyle w:val="Heading2"/>
              <w:spacing w:before="120" w:after="120"/>
              <w:rPr>
                <w:rFonts w:ascii="Verdana" w:hAnsi="Verdana"/>
                <w:i w:val="0"/>
                <w:iCs w:val="0"/>
              </w:rPr>
            </w:pPr>
            <w:bookmarkStart w:id="8" w:name="_Various_Work_Instructions"/>
            <w:bookmarkStart w:id="9" w:name="_PAR_Process_after_a_FRX_/_FRC_confl"/>
            <w:bookmarkStart w:id="10" w:name="_Next_Day_and"/>
            <w:bookmarkStart w:id="11" w:name="_Scanning_the_Targets"/>
            <w:bookmarkStart w:id="12" w:name="_LAN_Log_In"/>
            <w:bookmarkStart w:id="13" w:name="_AMOS_Log_In"/>
            <w:bookmarkStart w:id="14" w:name="_Search_by_Order#"/>
            <w:bookmarkStart w:id="15" w:name="_Check_Look_Up"/>
            <w:bookmarkStart w:id="16" w:name="_Process_for_Handling"/>
            <w:bookmarkStart w:id="17" w:name="_Process"/>
            <w:bookmarkStart w:id="18" w:name="_Toc478975819"/>
            <w:bookmarkStart w:id="19" w:name="_Toc188009205"/>
            <w:bookmarkEnd w:id="8"/>
            <w:bookmarkEnd w:id="9"/>
            <w:bookmarkEnd w:id="10"/>
            <w:bookmarkEnd w:id="11"/>
            <w:bookmarkEnd w:id="12"/>
            <w:bookmarkEnd w:id="13"/>
            <w:bookmarkEnd w:id="14"/>
            <w:bookmarkEnd w:id="15"/>
            <w:bookmarkEnd w:id="16"/>
            <w:bookmarkEnd w:id="17"/>
            <w:r>
              <w:rPr>
                <w:rFonts w:ascii="Verdana" w:hAnsi="Verdana"/>
                <w:i w:val="0"/>
                <w:iCs w:val="0"/>
              </w:rPr>
              <w:t>Process</w:t>
            </w:r>
            <w:bookmarkEnd w:id="18"/>
            <w:bookmarkEnd w:id="19"/>
            <w:r w:rsidR="00B434FB">
              <w:rPr>
                <w:rFonts w:ascii="Verdana" w:hAnsi="Verdana"/>
                <w:i w:val="0"/>
                <w:iCs w:val="0"/>
              </w:rPr>
              <w:t xml:space="preserve"> </w:t>
            </w:r>
            <w:r w:rsidR="003A636F">
              <w:rPr>
                <w:rFonts w:ascii="Verdana" w:hAnsi="Verdana"/>
                <w:i w:val="0"/>
                <w:iCs w:val="0"/>
              </w:rPr>
              <w:t xml:space="preserve"> </w:t>
            </w:r>
          </w:p>
        </w:tc>
      </w:tr>
    </w:tbl>
    <w:p w14:paraId="5034BCFB" w14:textId="20E1BBA6" w:rsidR="0092301D" w:rsidRDefault="0092301D" w:rsidP="003A636F">
      <w:pPr>
        <w:spacing w:before="120" w:after="120"/>
        <w:rPr>
          <w:rFonts w:ascii="Verdana" w:hAnsi="Verdana" w:cs="Arial"/>
        </w:rPr>
      </w:pPr>
      <w:r w:rsidRPr="000B0A07">
        <w:rPr>
          <w:rFonts w:ascii="Verdana" w:hAnsi="Verdana"/>
          <w:b/>
        </w:rPr>
        <w:t>Note</w:t>
      </w:r>
      <w:r w:rsidR="00EC21FE">
        <w:rPr>
          <w:rFonts w:ascii="Verdana" w:hAnsi="Verdana"/>
          <w:b/>
        </w:rPr>
        <w:t xml:space="preserve">: </w:t>
      </w:r>
      <w:r w:rsidRPr="000B0A07">
        <w:rPr>
          <w:rFonts w:ascii="Verdana" w:hAnsi="Verdana" w:cs="Arial"/>
        </w:rPr>
        <w:t xml:space="preserve">The member </w:t>
      </w:r>
      <w:r w:rsidR="004F3AF0">
        <w:rPr>
          <w:rFonts w:ascii="Verdana" w:hAnsi="Verdana" w:cs="Arial"/>
        </w:rPr>
        <w:t xml:space="preserve">can </w:t>
      </w:r>
      <w:r w:rsidRPr="000B0A07">
        <w:rPr>
          <w:rFonts w:ascii="Verdana" w:hAnsi="Verdana" w:cs="Arial"/>
        </w:rPr>
        <w:t>only request a Maintenance Choice Opt Out for himself/herself or their depend</w:t>
      </w:r>
      <w:r>
        <w:rPr>
          <w:rFonts w:ascii="Verdana" w:hAnsi="Verdana" w:cs="Arial"/>
        </w:rPr>
        <w:t>e</w:t>
      </w:r>
      <w:r w:rsidRPr="000B0A07">
        <w:rPr>
          <w:rFonts w:ascii="Verdana" w:hAnsi="Verdana" w:cs="Arial"/>
        </w:rPr>
        <w:t xml:space="preserve">nt minor child. </w:t>
      </w:r>
      <w:r w:rsidRPr="00E126A8">
        <w:rPr>
          <w:rFonts w:ascii="Verdana" w:hAnsi="Verdana" w:cs="Arial"/>
          <w:b/>
          <w:bCs/>
        </w:rPr>
        <w:t>No other authorized party</w:t>
      </w:r>
      <w:r w:rsidRPr="000B0A07">
        <w:rPr>
          <w:rFonts w:ascii="Verdana" w:hAnsi="Verdana" w:cs="Arial"/>
        </w:rPr>
        <w:t xml:space="preserve">, including a spouse, can request a Maintenance Choice </w:t>
      </w:r>
      <w:r>
        <w:rPr>
          <w:rFonts w:ascii="Verdana" w:hAnsi="Verdana" w:cs="Arial"/>
        </w:rPr>
        <w:t>O</w:t>
      </w:r>
      <w:r w:rsidRPr="000B0A07">
        <w:rPr>
          <w:rFonts w:ascii="Verdana" w:hAnsi="Verdana" w:cs="Arial"/>
        </w:rPr>
        <w:t xml:space="preserve">pt </w:t>
      </w:r>
      <w:r>
        <w:rPr>
          <w:rFonts w:ascii="Verdana" w:hAnsi="Verdana" w:cs="Arial"/>
        </w:rPr>
        <w:t>O</w:t>
      </w:r>
      <w:r w:rsidRPr="000B0A07">
        <w:rPr>
          <w:rFonts w:ascii="Verdana" w:hAnsi="Verdana" w:cs="Arial"/>
        </w:rPr>
        <w:t xml:space="preserve">ut, </w:t>
      </w:r>
      <w:r w:rsidRPr="00E126A8">
        <w:rPr>
          <w:rFonts w:ascii="Verdana" w:hAnsi="Verdana" w:cs="Arial"/>
          <w:b/>
          <w:bCs/>
        </w:rPr>
        <w:t>unless</w:t>
      </w:r>
      <w:r w:rsidRPr="000B0A07">
        <w:rPr>
          <w:rFonts w:ascii="Verdana" w:hAnsi="Verdana" w:cs="Arial"/>
        </w:rPr>
        <w:t xml:space="preserve"> that </w:t>
      </w:r>
      <w:r>
        <w:rPr>
          <w:rFonts w:ascii="Verdana" w:hAnsi="Verdana" w:cs="Arial"/>
        </w:rPr>
        <w:t xml:space="preserve">authorized </w:t>
      </w:r>
      <w:r w:rsidRPr="000B0A07">
        <w:rPr>
          <w:rFonts w:ascii="Verdana" w:hAnsi="Verdana" w:cs="Arial"/>
        </w:rPr>
        <w:t>party has a POA or Extended Authorization Form that specifically allows them to make choices for the specific member concerned.</w:t>
      </w:r>
      <w:r>
        <w:rPr>
          <w:rFonts w:ascii="Verdana" w:hAnsi="Verdana" w:cs="Arial"/>
        </w:rPr>
        <w:t xml:space="preserve"> </w:t>
      </w:r>
      <w:r>
        <w:rPr>
          <w:noProof/>
        </w:rPr>
        <w:t xml:space="preserve"> </w:t>
      </w:r>
    </w:p>
    <w:p w14:paraId="1242C3ED" w14:textId="77777777" w:rsidR="005A64DA" w:rsidRPr="00176400" w:rsidRDefault="00775BD6" w:rsidP="003A636F">
      <w:pPr>
        <w:spacing w:before="120" w:after="120"/>
        <w:rPr>
          <w:rFonts w:ascii="Verdana" w:hAnsi="Verdana"/>
        </w:rPr>
      </w:pPr>
      <w:r>
        <w:rPr>
          <w:rFonts w:ascii="Verdana" w:hAnsi="Verdana"/>
        </w:rPr>
        <w:t>P</w:t>
      </w:r>
      <w:r w:rsidR="00176400">
        <w:rPr>
          <w:rFonts w:ascii="Verdana" w:hAnsi="Verdana"/>
        </w:rPr>
        <w:t>erform the steps below</w:t>
      </w:r>
      <w:r w:rsidR="00A2325B">
        <w:rPr>
          <w:rFonts w:ascii="Verdana" w:hAnsi="Verdana"/>
        </w:rPr>
        <w:t xml:space="preserve"> when a member requests to be opted out of Maintenance Choice: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
        <w:gridCol w:w="1759"/>
        <w:gridCol w:w="10290"/>
      </w:tblGrid>
      <w:tr w:rsidR="005A64DA" w:rsidRPr="00384851" w14:paraId="075D7D28" w14:textId="77777777" w:rsidTr="00EC21FE">
        <w:tc>
          <w:tcPr>
            <w:tcW w:w="348" w:type="pct"/>
            <w:shd w:val="pct10" w:color="auto" w:fill="auto"/>
          </w:tcPr>
          <w:p w14:paraId="26630D4D" w14:textId="77777777" w:rsidR="005A64DA" w:rsidRPr="00384851" w:rsidRDefault="005A64DA" w:rsidP="003A636F">
            <w:pPr>
              <w:spacing w:before="120" w:after="120"/>
              <w:jc w:val="center"/>
              <w:rPr>
                <w:rFonts w:ascii="Verdana" w:hAnsi="Verdana"/>
                <w:b/>
              </w:rPr>
            </w:pPr>
            <w:r w:rsidRPr="00384851">
              <w:rPr>
                <w:rFonts w:ascii="Verdana" w:hAnsi="Verdana"/>
                <w:b/>
              </w:rPr>
              <w:t>Step</w:t>
            </w:r>
          </w:p>
        </w:tc>
        <w:tc>
          <w:tcPr>
            <w:tcW w:w="4652" w:type="pct"/>
            <w:gridSpan w:val="2"/>
            <w:shd w:val="pct10" w:color="auto" w:fill="auto"/>
          </w:tcPr>
          <w:p w14:paraId="41021146" w14:textId="77777777" w:rsidR="005A64DA" w:rsidRPr="00384851" w:rsidRDefault="005A64DA" w:rsidP="003A636F">
            <w:pPr>
              <w:spacing w:before="120" w:after="120"/>
              <w:jc w:val="center"/>
              <w:rPr>
                <w:rFonts w:ascii="Verdana" w:hAnsi="Verdana"/>
                <w:b/>
              </w:rPr>
            </w:pPr>
            <w:r w:rsidRPr="00384851">
              <w:rPr>
                <w:rFonts w:ascii="Verdana" w:hAnsi="Verdana"/>
                <w:b/>
              </w:rPr>
              <w:t xml:space="preserve">Action </w:t>
            </w:r>
          </w:p>
        </w:tc>
      </w:tr>
      <w:tr w:rsidR="003A636F" w:rsidRPr="00384851" w14:paraId="11E3F5B0" w14:textId="77777777" w:rsidTr="00EC21FE">
        <w:trPr>
          <w:trHeight w:val="93"/>
        </w:trPr>
        <w:tc>
          <w:tcPr>
            <w:tcW w:w="348" w:type="pct"/>
          </w:tcPr>
          <w:p w14:paraId="28970907" w14:textId="77777777" w:rsidR="003A636F" w:rsidRDefault="003A636F" w:rsidP="003A636F">
            <w:pPr>
              <w:spacing w:before="120" w:after="120"/>
              <w:jc w:val="center"/>
              <w:rPr>
                <w:rFonts w:ascii="Verdana" w:hAnsi="Verdana"/>
                <w:b/>
              </w:rPr>
            </w:pPr>
            <w:r>
              <w:rPr>
                <w:rFonts w:ascii="Verdana" w:hAnsi="Verdana"/>
                <w:b/>
              </w:rPr>
              <w:t>1</w:t>
            </w:r>
          </w:p>
        </w:tc>
        <w:tc>
          <w:tcPr>
            <w:tcW w:w="4652" w:type="pct"/>
            <w:gridSpan w:val="2"/>
          </w:tcPr>
          <w:p w14:paraId="45420C70" w14:textId="77777777" w:rsidR="003A636F" w:rsidRDefault="003A636F" w:rsidP="003A636F">
            <w:pPr>
              <w:spacing w:before="120" w:after="120"/>
              <w:rPr>
                <w:rFonts w:ascii="Verdana" w:hAnsi="Verdana"/>
              </w:rPr>
            </w:pPr>
            <w:r>
              <w:rPr>
                <w:rFonts w:ascii="Verdana" w:hAnsi="Verdana"/>
              </w:rPr>
              <w:t xml:space="preserve">Select the correct family member from the family drop-down box and access the </w:t>
            </w:r>
            <w:r w:rsidRPr="00550223">
              <w:rPr>
                <w:rFonts w:ascii="Verdana" w:hAnsi="Verdana"/>
                <w:b/>
              </w:rPr>
              <w:t>Client Programs Offerings</w:t>
            </w:r>
            <w:r>
              <w:rPr>
                <w:rFonts w:ascii="Verdana" w:hAnsi="Verdana"/>
              </w:rPr>
              <w:t xml:space="preserve"> screen. </w:t>
            </w:r>
          </w:p>
        </w:tc>
      </w:tr>
      <w:tr w:rsidR="00550223" w:rsidRPr="00384851" w14:paraId="323F4EEB" w14:textId="77777777" w:rsidTr="00EC21FE">
        <w:tc>
          <w:tcPr>
            <w:tcW w:w="348" w:type="pct"/>
          </w:tcPr>
          <w:p w14:paraId="715521F9" w14:textId="77777777" w:rsidR="00550223" w:rsidRDefault="003A636F" w:rsidP="003A636F">
            <w:pPr>
              <w:spacing w:before="120" w:after="120"/>
              <w:jc w:val="center"/>
              <w:rPr>
                <w:rFonts w:ascii="Verdana" w:hAnsi="Verdana"/>
                <w:b/>
              </w:rPr>
            </w:pPr>
            <w:r>
              <w:rPr>
                <w:rFonts w:ascii="Verdana" w:hAnsi="Verdana"/>
                <w:b/>
              </w:rPr>
              <w:t>2</w:t>
            </w:r>
          </w:p>
        </w:tc>
        <w:tc>
          <w:tcPr>
            <w:tcW w:w="4652" w:type="pct"/>
            <w:gridSpan w:val="2"/>
          </w:tcPr>
          <w:p w14:paraId="73255C56" w14:textId="0463FDE2" w:rsidR="000476B6" w:rsidRDefault="00550223" w:rsidP="000F557E">
            <w:pPr>
              <w:spacing w:before="120" w:after="120"/>
              <w:rPr>
                <w:rFonts w:ascii="Verdana" w:hAnsi="Verdana"/>
              </w:rPr>
            </w:pPr>
            <w:r>
              <w:rPr>
                <w:rFonts w:ascii="Verdana" w:hAnsi="Verdana"/>
              </w:rPr>
              <w:t>Review the Maintenance Choice description to ensure the member is eligible for opting out.</w:t>
            </w:r>
          </w:p>
          <w:p w14:paraId="251F063E" w14:textId="0AC56F1F" w:rsidR="00A71D3D" w:rsidRDefault="00A71D3D" w:rsidP="006F6711">
            <w:pPr>
              <w:spacing w:before="120" w:after="120"/>
              <w:rPr>
                <w:rFonts w:ascii="Verdana" w:hAnsi="Verdana"/>
              </w:rPr>
            </w:pPr>
            <w:r>
              <w:rPr>
                <w:rFonts w:ascii="Verdana" w:hAnsi="Verdana"/>
                <w:b/>
                <w:bCs/>
              </w:rPr>
              <w:t>MChoice Opt Out</w:t>
            </w:r>
            <w:r w:rsidR="00EC21FE">
              <w:rPr>
                <w:rFonts w:ascii="Verdana" w:hAnsi="Verdana"/>
                <w:b/>
                <w:bCs/>
              </w:rPr>
              <w:t xml:space="preserve">: </w:t>
            </w:r>
            <w:r>
              <w:rPr>
                <w:rFonts w:ascii="Verdana" w:hAnsi="Verdana"/>
              </w:rPr>
              <w:t>This program provides participating plan members with a choice of obtaining a 90-day supply of maintenance medication through a select participating MChoice pharmacy (CVS Pharmacy</w:t>
            </w:r>
            <w:r w:rsidR="002D4BE0">
              <w:rPr>
                <w:rFonts w:ascii="Verdana" w:hAnsi="Verdana"/>
              </w:rPr>
              <w:t>,</w:t>
            </w:r>
            <w:r>
              <w:rPr>
                <w:rFonts w:ascii="Verdana" w:hAnsi="Verdana"/>
              </w:rPr>
              <w:t xml:space="preserve"> Costco Pharmacy,</w:t>
            </w:r>
            <w:r w:rsidR="005C06E5">
              <w:rPr>
                <w:rFonts w:ascii="Verdana" w:hAnsi="Verdana"/>
              </w:rPr>
              <w:t xml:space="preserve"> Kroger</w:t>
            </w:r>
            <w:r w:rsidR="00EE3EFB">
              <w:rPr>
                <w:rFonts w:ascii="Verdana" w:hAnsi="Verdana"/>
              </w:rPr>
              <w:t xml:space="preserve"> Pharmacy,</w:t>
            </w:r>
            <w:r>
              <w:rPr>
                <w:rFonts w:ascii="Verdana" w:hAnsi="Verdana"/>
              </w:rPr>
              <w:t xml:space="preserve"> CVS Caremark Mail Service Pharmacy, and select independent pharmacies). In addition, the plan members have the option to opt out of the annual fill limit either at the individual medication level or at the member level (this is determined upon implementation and notes on the CRD).</w:t>
            </w:r>
          </w:p>
        </w:tc>
      </w:tr>
      <w:tr w:rsidR="004C46B8" w:rsidRPr="00384851" w14:paraId="70B31616" w14:textId="77777777" w:rsidTr="00EC21FE">
        <w:tc>
          <w:tcPr>
            <w:tcW w:w="348" w:type="pct"/>
            <w:vMerge w:val="restart"/>
          </w:tcPr>
          <w:p w14:paraId="41C35168" w14:textId="3728EC70" w:rsidR="004C46B8" w:rsidRDefault="00C666F7" w:rsidP="00B434FB">
            <w:pPr>
              <w:spacing w:before="120" w:after="120"/>
              <w:jc w:val="center"/>
              <w:rPr>
                <w:rFonts w:ascii="Verdana" w:hAnsi="Verdana"/>
                <w:b/>
              </w:rPr>
            </w:pPr>
            <w:r>
              <w:rPr>
                <w:rFonts w:ascii="Verdana" w:hAnsi="Verdana"/>
                <w:b/>
              </w:rPr>
              <w:t>3</w:t>
            </w:r>
          </w:p>
        </w:tc>
        <w:tc>
          <w:tcPr>
            <w:tcW w:w="4652" w:type="pct"/>
            <w:gridSpan w:val="2"/>
            <w:tcBorders>
              <w:bottom w:val="single" w:sz="4" w:space="0" w:color="auto"/>
            </w:tcBorders>
          </w:tcPr>
          <w:p w14:paraId="7D16D9EB" w14:textId="77777777" w:rsidR="00495646" w:rsidRDefault="002B3DA3" w:rsidP="003A636F">
            <w:pPr>
              <w:spacing w:before="120" w:after="120"/>
              <w:rPr>
                <w:rFonts w:ascii="Verdana" w:hAnsi="Verdana"/>
              </w:rPr>
            </w:pPr>
            <w:r>
              <w:rPr>
                <w:rFonts w:ascii="Verdana" w:hAnsi="Verdana"/>
              </w:rPr>
              <w:t xml:space="preserve">Determine the Opt </w:t>
            </w:r>
            <w:r w:rsidR="00A50B56">
              <w:rPr>
                <w:rFonts w:ascii="Verdana" w:hAnsi="Verdana"/>
              </w:rPr>
              <w:t>O</w:t>
            </w:r>
            <w:r>
              <w:rPr>
                <w:rFonts w:ascii="Verdana" w:hAnsi="Verdana"/>
              </w:rPr>
              <w:t>ut type, which will be noted in the Maintenance Choice description.</w:t>
            </w:r>
          </w:p>
        </w:tc>
      </w:tr>
      <w:tr w:rsidR="004C46B8" w:rsidRPr="00384851" w14:paraId="0F1A9A05" w14:textId="77777777" w:rsidTr="00EC21FE">
        <w:trPr>
          <w:trHeight w:val="90"/>
        </w:trPr>
        <w:tc>
          <w:tcPr>
            <w:tcW w:w="348" w:type="pct"/>
            <w:vMerge/>
          </w:tcPr>
          <w:p w14:paraId="216344CD" w14:textId="77777777" w:rsidR="004C46B8" w:rsidRDefault="004C46B8" w:rsidP="00B434FB">
            <w:pPr>
              <w:spacing w:before="120" w:after="120"/>
              <w:jc w:val="center"/>
              <w:rPr>
                <w:rFonts w:ascii="Verdana" w:hAnsi="Verdana"/>
                <w:b/>
              </w:rPr>
            </w:pPr>
          </w:p>
        </w:tc>
        <w:tc>
          <w:tcPr>
            <w:tcW w:w="679" w:type="pct"/>
            <w:shd w:val="pct10" w:color="auto" w:fill="auto"/>
          </w:tcPr>
          <w:p w14:paraId="78533B38" w14:textId="77777777" w:rsidR="004C46B8" w:rsidRPr="00550223" w:rsidRDefault="004C46B8" w:rsidP="00B434FB">
            <w:pPr>
              <w:spacing w:before="120" w:after="120"/>
              <w:jc w:val="center"/>
              <w:rPr>
                <w:rFonts w:ascii="Verdana" w:hAnsi="Verdana"/>
                <w:b/>
              </w:rPr>
            </w:pPr>
            <w:r w:rsidRPr="00550223">
              <w:rPr>
                <w:rFonts w:ascii="Verdana" w:hAnsi="Verdana"/>
                <w:b/>
              </w:rPr>
              <w:t>If…</w:t>
            </w:r>
          </w:p>
        </w:tc>
        <w:tc>
          <w:tcPr>
            <w:tcW w:w="3973" w:type="pct"/>
            <w:shd w:val="pct10" w:color="auto" w:fill="auto"/>
          </w:tcPr>
          <w:p w14:paraId="2C13CFE0" w14:textId="77777777" w:rsidR="004C46B8" w:rsidRPr="00550223" w:rsidRDefault="004C46B8" w:rsidP="00B434FB">
            <w:pPr>
              <w:spacing w:before="120" w:after="120"/>
              <w:jc w:val="center"/>
              <w:rPr>
                <w:rFonts w:ascii="Verdana" w:hAnsi="Verdana"/>
                <w:b/>
              </w:rPr>
            </w:pPr>
            <w:r w:rsidRPr="00550223">
              <w:rPr>
                <w:rFonts w:ascii="Verdana" w:hAnsi="Verdana"/>
                <w:b/>
              </w:rPr>
              <w:t>Then…</w:t>
            </w:r>
          </w:p>
        </w:tc>
      </w:tr>
      <w:tr w:rsidR="004C46B8" w:rsidRPr="00384851" w14:paraId="0128EC0E" w14:textId="77777777" w:rsidTr="00EC21FE">
        <w:trPr>
          <w:trHeight w:val="90"/>
        </w:trPr>
        <w:tc>
          <w:tcPr>
            <w:tcW w:w="348" w:type="pct"/>
            <w:vMerge/>
          </w:tcPr>
          <w:p w14:paraId="0A937CE6" w14:textId="77777777" w:rsidR="004C46B8" w:rsidRDefault="004C46B8" w:rsidP="00B434FB">
            <w:pPr>
              <w:spacing w:before="120" w:after="120"/>
              <w:jc w:val="center"/>
              <w:rPr>
                <w:rFonts w:ascii="Verdana" w:hAnsi="Verdana"/>
                <w:b/>
              </w:rPr>
            </w:pPr>
          </w:p>
        </w:tc>
        <w:tc>
          <w:tcPr>
            <w:tcW w:w="679" w:type="pct"/>
          </w:tcPr>
          <w:p w14:paraId="136D8024" w14:textId="77777777" w:rsidR="004C46B8" w:rsidRDefault="004C46B8" w:rsidP="00B434FB">
            <w:pPr>
              <w:spacing w:before="120" w:after="120"/>
              <w:rPr>
                <w:rFonts w:ascii="Verdana" w:hAnsi="Verdana"/>
              </w:rPr>
            </w:pPr>
            <w:r w:rsidRPr="00550223">
              <w:rPr>
                <w:rFonts w:ascii="Verdana" w:hAnsi="Verdana"/>
              </w:rPr>
              <w:t>Drug Level</w:t>
            </w:r>
          </w:p>
          <w:p w14:paraId="572B372E" w14:textId="6017E3F3" w:rsidR="001C162C" w:rsidRDefault="001C162C" w:rsidP="00B434FB">
            <w:pPr>
              <w:spacing w:before="120" w:after="120"/>
              <w:rPr>
                <w:rFonts w:ascii="Verdana" w:hAnsi="Verdana"/>
              </w:rPr>
            </w:pPr>
            <w:r>
              <w:rPr>
                <w:rFonts w:ascii="Verdana" w:hAnsi="Verdana"/>
              </w:rPr>
              <w:t>(</w:t>
            </w:r>
            <w:r w:rsidR="000227C0">
              <w:rPr>
                <w:rFonts w:ascii="Verdana" w:hAnsi="Verdana"/>
              </w:rPr>
              <w:t>Individual</w:t>
            </w:r>
            <w:r>
              <w:rPr>
                <w:rFonts w:ascii="Verdana" w:hAnsi="Verdana"/>
              </w:rPr>
              <w:t xml:space="preserve"> Drug</w:t>
            </w:r>
            <w:r w:rsidR="007530F7">
              <w:rPr>
                <w:rFonts w:ascii="Verdana" w:hAnsi="Verdana"/>
              </w:rPr>
              <w:t>- This opt out will only opt out the medication selected</w:t>
            </w:r>
            <w:r w:rsidR="008D4576">
              <w:rPr>
                <w:rFonts w:ascii="Verdana" w:hAnsi="Verdana"/>
              </w:rPr>
              <w:t>.</w:t>
            </w:r>
            <w:r>
              <w:rPr>
                <w:rFonts w:ascii="Verdana" w:hAnsi="Verdana"/>
              </w:rPr>
              <w:t>)</w:t>
            </w:r>
            <w:r w:rsidR="00E126A8">
              <w:rPr>
                <w:noProof/>
              </w:rPr>
              <w:t xml:space="preserve"> </w:t>
            </w:r>
          </w:p>
        </w:tc>
        <w:tc>
          <w:tcPr>
            <w:tcW w:w="3973" w:type="pct"/>
          </w:tcPr>
          <w:p w14:paraId="21A0B411" w14:textId="77777777" w:rsidR="008D4576" w:rsidRPr="00E14EE6" w:rsidRDefault="003507D2" w:rsidP="00E14EE6">
            <w:pPr>
              <w:pStyle w:val="ListParagraph"/>
              <w:numPr>
                <w:ilvl w:val="0"/>
                <w:numId w:val="25"/>
              </w:numPr>
              <w:spacing w:before="120" w:after="120"/>
              <w:rPr>
                <w:rFonts w:ascii="Verdana" w:hAnsi="Verdana"/>
              </w:rPr>
            </w:pPr>
            <w:bookmarkStart w:id="20" w:name="OLE_LINK1"/>
            <w:r w:rsidRPr="00E14EE6">
              <w:rPr>
                <w:rFonts w:ascii="Verdana" w:hAnsi="Verdana"/>
              </w:rPr>
              <w:t>Obtain the name of the medication the member is calling about.</w:t>
            </w:r>
            <w:bookmarkEnd w:id="20"/>
            <w:r w:rsidRPr="00E14EE6">
              <w:rPr>
                <w:rFonts w:ascii="Verdana" w:hAnsi="Verdana"/>
              </w:rPr>
              <w:t xml:space="preserve"> </w:t>
            </w:r>
            <w:r w:rsidR="004C46B8" w:rsidRPr="00E14EE6">
              <w:rPr>
                <w:rFonts w:ascii="Verdana" w:hAnsi="Verdana"/>
              </w:rPr>
              <w:t xml:space="preserve">Navigate to the </w:t>
            </w:r>
            <w:r w:rsidR="004C46B8" w:rsidRPr="00E14EE6">
              <w:rPr>
                <w:rFonts w:ascii="Verdana" w:hAnsi="Verdana"/>
                <w:bCs/>
              </w:rPr>
              <w:t xml:space="preserve">Prescription Details </w:t>
            </w:r>
            <w:r w:rsidR="00454C4C" w:rsidRPr="00E14EE6">
              <w:rPr>
                <w:rFonts w:ascii="Verdana" w:hAnsi="Verdana"/>
                <w:bCs/>
              </w:rPr>
              <w:t xml:space="preserve">screen by clicking on the Prescription Number from the Main </w:t>
            </w:r>
            <w:r w:rsidR="00454C4C" w:rsidRPr="00E14EE6">
              <w:rPr>
                <w:rFonts w:ascii="Verdana" w:hAnsi="Verdana"/>
              </w:rPr>
              <w:t>Screen.</w:t>
            </w:r>
            <w:r w:rsidR="001C162C" w:rsidRPr="00E14EE6">
              <w:rPr>
                <w:rFonts w:ascii="Verdana" w:hAnsi="Verdana"/>
              </w:rPr>
              <w:t xml:space="preserve">  </w:t>
            </w:r>
          </w:p>
          <w:p w14:paraId="2FF0BF52" w14:textId="14CF847F" w:rsidR="00CD6429" w:rsidRPr="00C666F7" w:rsidRDefault="001C162C" w:rsidP="00E14EE6">
            <w:pPr>
              <w:spacing w:before="120" w:after="120"/>
              <w:ind w:left="1231"/>
              <w:rPr>
                <w:rFonts w:ascii="Verdana" w:hAnsi="Verdana"/>
              </w:rPr>
            </w:pPr>
            <w:r w:rsidRPr="001C162C">
              <w:rPr>
                <w:rFonts w:ascii="Verdana" w:hAnsi="Verdana"/>
                <w:b/>
                <w:bCs/>
              </w:rPr>
              <w:t>Note</w:t>
            </w:r>
            <w:r w:rsidR="00EC21FE">
              <w:rPr>
                <w:rFonts w:ascii="Verdana" w:hAnsi="Verdana"/>
                <w:b/>
                <w:bCs/>
              </w:rPr>
              <w:t xml:space="preserve">: </w:t>
            </w:r>
            <w:r w:rsidR="00C666F7" w:rsidRPr="00C666F7">
              <w:rPr>
                <w:rFonts w:ascii="Verdana" w:hAnsi="Verdana"/>
              </w:rPr>
              <w:t xml:space="preserve">It </w:t>
            </w:r>
            <w:r w:rsidR="00C666F7">
              <w:rPr>
                <w:rFonts w:ascii="Verdana" w:hAnsi="Verdana"/>
              </w:rPr>
              <w:t>m</w:t>
            </w:r>
            <w:r w:rsidR="00CD6429" w:rsidRPr="00C666F7">
              <w:rPr>
                <w:rFonts w:ascii="Verdana" w:hAnsi="Verdana"/>
              </w:rPr>
              <w:t>ust be in “</w:t>
            </w:r>
            <w:r w:rsidR="00CD6429" w:rsidRPr="00F22A2A">
              <w:rPr>
                <w:rFonts w:ascii="Verdana" w:hAnsi="Verdana"/>
                <w:b/>
                <w:bCs/>
              </w:rPr>
              <w:t>All</w:t>
            </w:r>
            <w:r w:rsidR="00CD6429" w:rsidRPr="00C666F7">
              <w:rPr>
                <w:rFonts w:ascii="Verdana" w:hAnsi="Verdana"/>
              </w:rPr>
              <w:t xml:space="preserve">” claims mode </w:t>
            </w:r>
            <w:r w:rsidRPr="001C162C">
              <w:rPr>
                <w:rFonts w:ascii="Verdana" w:hAnsi="Verdana"/>
              </w:rPr>
              <w:t>in PeopleSafe</w:t>
            </w:r>
            <w:r w:rsidR="00E37399" w:rsidRPr="00C666F7">
              <w:rPr>
                <w:rFonts w:ascii="Verdana" w:hAnsi="Verdana"/>
              </w:rPr>
              <w:t>.</w:t>
            </w:r>
          </w:p>
          <w:p w14:paraId="41E87DF0" w14:textId="3A1FEAB9" w:rsidR="006811D2" w:rsidRPr="00E14EE6" w:rsidRDefault="004C46B8" w:rsidP="00E14EE6">
            <w:pPr>
              <w:pStyle w:val="ListParagraph"/>
              <w:numPr>
                <w:ilvl w:val="0"/>
                <w:numId w:val="25"/>
              </w:numPr>
              <w:spacing w:before="120" w:after="120"/>
              <w:rPr>
                <w:rFonts w:ascii="Verdana" w:hAnsi="Verdana"/>
              </w:rPr>
            </w:pPr>
            <w:r w:rsidRPr="00E14EE6">
              <w:rPr>
                <w:rFonts w:ascii="Verdana" w:hAnsi="Verdana"/>
              </w:rPr>
              <w:t xml:space="preserve">Click the </w:t>
            </w:r>
            <w:r w:rsidRPr="00E14EE6">
              <w:rPr>
                <w:rFonts w:ascii="Verdana" w:hAnsi="Verdana"/>
                <w:b/>
              </w:rPr>
              <w:t>Add Drug Opt Out</w:t>
            </w:r>
            <w:r w:rsidRPr="00E14EE6">
              <w:rPr>
                <w:rFonts w:ascii="Verdana" w:hAnsi="Verdana"/>
              </w:rPr>
              <w:t xml:space="preserve"> button.</w:t>
            </w:r>
            <w:r w:rsidR="00C666F7" w:rsidRPr="00E14EE6">
              <w:rPr>
                <w:rFonts w:ascii="Verdana" w:hAnsi="Verdana"/>
              </w:rPr>
              <w:t xml:space="preserve"> </w:t>
            </w:r>
            <w:r w:rsidR="006811D2" w:rsidRPr="00E14EE6">
              <w:rPr>
                <w:rFonts w:ascii="Verdana" w:hAnsi="Verdana"/>
              </w:rPr>
              <w:t>A Drug Level Opt Out can be entered for either paid or rejected claims (reject 73 only).</w:t>
            </w:r>
          </w:p>
          <w:p w14:paraId="757C7EDD" w14:textId="77777777" w:rsidR="00877BC3" w:rsidRPr="00C666F7" w:rsidRDefault="00877BC3" w:rsidP="00877BC3">
            <w:pPr>
              <w:spacing w:before="120" w:after="120"/>
              <w:ind w:left="360"/>
              <w:rPr>
                <w:rFonts w:ascii="Verdana" w:hAnsi="Verdana"/>
              </w:rPr>
            </w:pPr>
          </w:p>
          <w:p w14:paraId="0F342F2A" w14:textId="0124AC11" w:rsidR="004C46B8" w:rsidRDefault="004B4011" w:rsidP="00B434FB">
            <w:pPr>
              <w:spacing w:before="120" w:after="120"/>
              <w:jc w:val="center"/>
              <w:rPr>
                <w:rFonts w:ascii="Verdana" w:hAnsi="Verdana"/>
              </w:rPr>
            </w:pPr>
            <w:r>
              <w:rPr>
                <w:rFonts w:ascii="Verdana" w:hAnsi="Verdana"/>
                <w:noProof/>
              </w:rPr>
              <w:drawing>
                <wp:inline distT="0" distB="0" distL="0" distR="0" wp14:anchorId="3751DC15" wp14:editId="59A37125">
                  <wp:extent cx="3562350" cy="152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1524000"/>
                          </a:xfrm>
                          <a:prstGeom prst="rect">
                            <a:avLst/>
                          </a:prstGeom>
                          <a:noFill/>
                          <a:ln>
                            <a:noFill/>
                          </a:ln>
                        </pic:spPr>
                      </pic:pic>
                    </a:graphicData>
                  </a:graphic>
                </wp:inline>
              </w:drawing>
            </w:r>
          </w:p>
          <w:p w14:paraId="76E9C6E3" w14:textId="77777777" w:rsidR="00877BC3" w:rsidRDefault="00877BC3" w:rsidP="00B434FB">
            <w:pPr>
              <w:spacing w:before="120" w:after="120"/>
              <w:jc w:val="center"/>
              <w:rPr>
                <w:rFonts w:ascii="Verdana" w:hAnsi="Verdana"/>
              </w:rPr>
            </w:pPr>
          </w:p>
          <w:p w14:paraId="600222F7" w14:textId="35FD671C" w:rsidR="004C46B8" w:rsidRDefault="004C46B8" w:rsidP="00B434FB">
            <w:pPr>
              <w:spacing w:before="120" w:after="120"/>
              <w:rPr>
                <w:rFonts w:ascii="Verdana" w:hAnsi="Verdana"/>
              </w:rPr>
            </w:pPr>
            <w:r w:rsidRPr="00D4667F">
              <w:rPr>
                <w:rFonts w:ascii="Verdana" w:hAnsi="Verdana"/>
                <w:b/>
              </w:rPr>
              <w:t>Result</w:t>
            </w:r>
            <w:r w:rsidR="00EC21FE">
              <w:rPr>
                <w:rFonts w:ascii="Verdana" w:hAnsi="Verdana"/>
                <w:b/>
              </w:rPr>
              <w:t xml:space="preserve">: </w:t>
            </w:r>
            <w:r>
              <w:rPr>
                <w:rFonts w:ascii="Verdana" w:hAnsi="Verdana"/>
              </w:rPr>
              <w:t>A</w:t>
            </w:r>
            <w:r w:rsidRPr="00233E9A">
              <w:rPr>
                <w:rFonts w:ascii="Verdana" w:hAnsi="Verdana"/>
              </w:rPr>
              <w:t xml:space="preserve"> message </w:t>
            </w:r>
            <w:r>
              <w:rPr>
                <w:rFonts w:ascii="Verdana" w:hAnsi="Verdana"/>
              </w:rPr>
              <w:t>display</w:t>
            </w:r>
            <w:r w:rsidR="002B3DA3">
              <w:rPr>
                <w:rFonts w:ascii="Verdana" w:hAnsi="Verdana"/>
              </w:rPr>
              <w:t>s</w:t>
            </w:r>
            <w:r>
              <w:rPr>
                <w:rFonts w:ascii="Verdana" w:hAnsi="Verdana"/>
              </w:rPr>
              <w:t xml:space="preserve"> “</w:t>
            </w:r>
            <w:r w:rsidRPr="00233E9A">
              <w:rPr>
                <w:rFonts w:ascii="Verdana" w:hAnsi="Verdana"/>
              </w:rPr>
              <w:t xml:space="preserve">Drug opted out </w:t>
            </w:r>
            <w:r>
              <w:rPr>
                <w:rFonts w:ascii="Verdana" w:hAnsi="Verdana"/>
              </w:rPr>
              <w:t>successfully”</w:t>
            </w:r>
            <w:r w:rsidRPr="00233E9A">
              <w:rPr>
                <w:rFonts w:ascii="Verdana" w:hAnsi="Verdana"/>
              </w:rPr>
              <w:t>. The</w:t>
            </w:r>
            <w:r>
              <w:rPr>
                <w:rFonts w:ascii="Verdana" w:hAnsi="Verdana"/>
              </w:rPr>
              <w:t xml:space="preserve"> </w:t>
            </w:r>
            <w:r w:rsidR="002B3DA3">
              <w:rPr>
                <w:rFonts w:ascii="Verdana" w:hAnsi="Verdana"/>
              </w:rPr>
              <w:t>O</w:t>
            </w:r>
            <w:r>
              <w:rPr>
                <w:rFonts w:ascii="Verdana" w:hAnsi="Verdana"/>
              </w:rPr>
              <w:t xml:space="preserve">pt </w:t>
            </w:r>
            <w:r w:rsidR="00A50B56">
              <w:rPr>
                <w:rFonts w:ascii="Verdana" w:hAnsi="Verdana"/>
              </w:rPr>
              <w:t>O</w:t>
            </w:r>
            <w:r>
              <w:rPr>
                <w:rFonts w:ascii="Verdana" w:hAnsi="Verdana"/>
              </w:rPr>
              <w:t>ut</w:t>
            </w:r>
            <w:r w:rsidRPr="00233E9A">
              <w:rPr>
                <w:rFonts w:ascii="Verdana" w:hAnsi="Verdana"/>
              </w:rPr>
              <w:t xml:space="preserve"> override </w:t>
            </w:r>
            <w:r w:rsidR="002B3DA3">
              <w:rPr>
                <w:rFonts w:ascii="Verdana" w:hAnsi="Verdana"/>
              </w:rPr>
              <w:t>is</w:t>
            </w:r>
            <w:r w:rsidRPr="00233E9A">
              <w:rPr>
                <w:rFonts w:ascii="Verdana" w:hAnsi="Verdana"/>
              </w:rPr>
              <w:t xml:space="preserve"> automatically</w:t>
            </w:r>
            <w:r>
              <w:rPr>
                <w:rFonts w:ascii="Verdana" w:hAnsi="Verdana"/>
              </w:rPr>
              <w:t xml:space="preserve"> entered in the PBO screen with-</w:t>
            </w:r>
            <w:r w:rsidRPr="00233E9A">
              <w:rPr>
                <w:rFonts w:ascii="Verdana" w:hAnsi="Verdana"/>
              </w:rPr>
              <w:t xml:space="preserve">auto populated effective dates based on </w:t>
            </w:r>
            <w:r w:rsidR="002B3DA3">
              <w:rPr>
                <w:rFonts w:ascii="Verdana" w:hAnsi="Verdana"/>
              </w:rPr>
              <w:t>O</w:t>
            </w:r>
            <w:r w:rsidRPr="00233E9A">
              <w:rPr>
                <w:rFonts w:ascii="Verdana" w:hAnsi="Verdana"/>
              </w:rPr>
              <w:t xml:space="preserve">pt </w:t>
            </w:r>
            <w:r w:rsidR="00A50B56">
              <w:rPr>
                <w:rFonts w:ascii="Verdana" w:hAnsi="Verdana"/>
              </w:rPr>
              <w:t>O</w:t>
            </w:r>
            <w:r w:rsidRPr="00233E9A">
              <w:rPr>
                <w:rFonts w:ascii="Verdana" w:hAnsi="Verdana"/>
              </w:rPr>
              <w:t>ut type (plan year, calendar year, open-ended).</w:t>
            </w:r>
          </w:p>
          <w:p w14:paraId="24BE4523" w14:textId="77777777" w:rsidR="00877BC3" w:rsidRDefault="00877BC3" w:rsidP="00B434FB">
            <w:pPr>
              <w:spacing w:before="120" w:after="120"/>
              <w:rPr>
                <w:rFonts w:ascii="Verdana" w:hAnsi="Verdana"/>
              </w:rPr>
            </w:pPr>
          </w:p>
          <w:p w14:paraId="4D044D39" w14:textId="77777777" w:rsidR="00495646" w:rsidRDefault="00495646" w:rsidP="00B434FB">
            <w:pPr>
              <w:spacing w:before="120" w:after="120"/>
              <w:rPr>
                <w:rFonts w:ascii="Verdana" w:hAnsi="Verdana"/>
              </w:rPr>
            </w:pPr>
            <w:r w:rsidRPr="00D4667F">
              <w:rPr>
                <w:rFonts w:ascii="Verdana" w:hAnsi="Verdana"/>
                <w:b/>
              </w:rPr>
              <w:t>Example:</w:t>
            </w:r>
          </w:p>
          <w:p w14:paraId="68A0A30C" w14:textId="759C01F3" w:rsidR="00877BC3" w:rsidRDefault="004B4011" w:rsidP="00877BC3">
            <w:pPr>
              <w:spacing w:before="120" w:after="120"/>
              <w:jc w:val="center"/>
              <w:rPr>
                <w:rFonts w:ascii="Verdana" w:hAnsi="Verdana"/>
              </w:rPr>
            </w:pPr>
            <w:r>
              <w:rPr>
                <w:rFonts w:ascii="Verdana" w:hAnsi="Verdana"/>
                <w:noProof/>
              </w:rPr>
              <w:drawing>
                <wp:inline distT="0" distB="0" distL="0" distR="0" wp14:anchorId="5A74E21A" wp14:editId="1E9EBCCD">
                  <wp:extent cx="4572000" cy="1390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390650"/>
                          </a:xfrm>
                          <a:prstGeom prst="rect">
                            <a:avLst/>
                          </a:prstGeom>
                          <a:noFill/>
                          <a:ln>
                            <a:noFill/>
                          </a:ln>
                        </pic:spPr>
                      </pic:pic>
                    </a:graphicData>
                  </a:graphic>
                </wp:inline>
              </w:drawing>
            </w:r>
          </w:p>
          <w:p w14:paraId="11795481" w14:textId="26FA5831" w:rsidR="00495646" w:rsidRDefault="00495646" w:rsidP="003A636F">
            <w:pPr>
              <w:spacing w:before="120" w:after="120"/>
              <w:jc w:val="center"/>
              <w:rPr>
                <w:rFonts w:ascii="Verdana" w:hAnsi="Verdana"/>
                <w:b/>
              </w:rPr>
            </w:pPr>
            <w:r w:rsidRPr="00495646">
              <w:rPr>
                <w:rFonts w:ascii="Verdana" w:hAnsi="Verdana"/>
                <w:b/>
              </w:rPr>
              <w:t>Drug Opt Out Added</w:t>
            </w:r>
            <w:r w:rsidR="00EC21FE">
              <w:rPr>
                <w:rFonts w:ascii="Verdana" w:hAnsi="Verdana"/>
                <w:b/>
              </w:rPr>
              <w:t xml:space="preserve">: </w:t>
            </w:r>
            <w:r w:rsidRPr="00495646">
              <w:rPr>
                <w:rFonts w:ascii="Verdana" w:hAnsi="Verdana"/>
                <w:b/>
              </w:rPr>
              <w:t>RECAP PBO Screen</w:t>
            </w:r>
          </w:p>
          <w:p w14:paraId="389682E9" w14:textId="7D03AFB9" w:rsidR="00877BC3" w:rsidRDefault="00877BC3" w:rsidP="003A636F">
            <w:pPr>
              <w:spacing w:before="120" w:after="120"/>
              <w:jc w:val="center"/>
              <w:rPr>
                <w:rFonts w:ascii="Verdana" w:hAnsi="Verdana"/>
              </w:rPr>
            </w:pPr>
          </w:p>
        </w:tc>
      </w:tr>
      <w:tr w:rsidR="004C46B8" w:rsidRPr="00384851" w14:paraId="78DD5EBA" w14:textId="77777777" w:rsidTr="00EC21FE">
        <w:trPr>
          <w:trHeight w:val="90"/>
        </w:trPr>
        <w:tc>
          <w:tcPr>
            <w:tcW w:w="348" w:type="pct"/>
            <w:vMerge/>
          </w:tcPr>
          <w:p w14:paraId="19F48C89" w14:textId="77777777" w:rsidR="004C46B8" w:rsidRDefault="004C46B8" w:rsidP="00384851">
            <w:pPr>
              <w:jc w:val="center"/>
              <w:rPr>
                <w:rFonts w:ascii="Verdana" w:hAnsi="Verdana"/>
                <w:b/>
              </w:rPr>
            </w:pPr>
          </w:p>
        </w:tc>
        <w:tc>
          <w:tcPr>
            <w:tcW w:w="679" w:type="pct"/>
          </w:tcPr>
          <w:p w14:paraId="10F34C6E" w14:textId="77777777" w:rsidR="004C46B8" w:rsidRDefault="004C46B8">
            <w:pPr>
              <w:spacing w:before="120" w:after="120"/>
              <w:rPr>
                <w:rFonts w:ascii="Verdana" w:hAnsi="Verdana"/>
              </w:rPr>
            </w:pPr>
            <w:r w:rsidRPr="00550223">
              <w:rPr>
                <w:rFonts w:ascii="Verdana" w:hAnsi="Verdana"/>
              </w:rPr>
              <w:t>Member Level</w:t>
            </w:r>
          </w:p>
          <w:p w14:paraId="55C02721" w14:textId="7FE09933" w:rsidR="00B9636A" w:rsidRDefault="00B9636A">
            <w:pPr>
              <w:spacing w:before="120" w:after="120"/>
              <w:rPr>
                <w:rFonts w:ascii="Verdana" w:hAnsi="Verdana"/>
              </w:rPr>
            </w:pPr>
            <w:r>
              <w:rPr>
                <w:rFonts w:ascii="Verdana" w:hAnsi="Verdana"/>
              </w:rPr>
              <w:t>(All Drugs</w:t>
            </w:r>
            <w:r w:rsidR="007530F7">
              <w:rPr>
                <w:rFonts w:ascii="Verdana" w:hAnsi="Verdana"/>
              </w:rPr>
              <w:t>- This will opt out all medication being filled at one time</w:t>
            </w:r>
            <w:r w:rsidR="008D4576">
              <w:rPr>
                <w:rFonts w:ascii="Verdana" w:hAnsi="Verdana"/>
              </w:rPr>
              <w:t>.</w:t>
            </w:r>
            <w:r>
              <w:rPr>
                <w:rFonts w:ascii="Verdana" w:hAnsi="Verdana"/>
              </w:rPr>
              <w:t>)</w:t>
            </w:r>
          </w:p>
        </w:tc>
        <w:tc>
          <w:tcPr>
            <w:tcW w:w="3973" w:type="pct"/>
          </w:tcPr>
          <w:p w14:paraId="47AA0DA5" w14:textId="4CB68467" w:rsidR="004C46B8" w:rsidRDefault="004C46B8" w:rsidP="00C666F7">
            <w:pPr>
              <w:spacing w:before="120" w:after="120"/>
              <w:rPr>
                <w:rFonts w:ascii="Verdana" w:hAnsi="Verdana"/>
              </w:rPr>
            </w:pPr>
            <w:r w:rsidRPr="00550223">
              <w:rPr>
                <w:rFonts w:ascii="Verdana" w:hAnsi="Verdana"/>
              </w:rPr>
              <w:t xml:space="preserve">Navigate to the </w:t>
            </w:r>
            <w:r w:rsidRPr="001C162C">
              <w:rPr>
                <w:rFonts w:ascii="Verdana" w:hAnsi="Verdana"/>
                <w:bCs/>
              </w:rPr>
              <w:t>Plan Benefit Override</w:t>
            </w:r>
            <w:r w:rsidRPr="00550223">
              <w:rPr>
                <w:rFonts w:ascii="Verdana" w:hAnsi="Verdana"/>
              </w:rPr>
              <w:t xml:space="preserve"> screen</w:t>
            </w:r>
            <w:r w:rsidR="00C666F7">
              <w:rPr>
                <w:rFonts w:ascii="Verdana" w:hAnsi="Verdana"/>
              </w:rPr>
              <w:t xml:space="preserve"> and c</w:t>
            </w:r>
            <w:r w:rsidRPr="00550223">
              <w:rPr>
                <w:rFonts w:ascii="Verdana" w:hAnsi="Verdana"/>
              </w:rPr>
              <w:t xml:space="preserve">lick the </w:t>
            </w:r>
            <w:r w:rsidRPr="00550223">
              <w:rPr>
                <w:rFonts w:ascii="Verdana" w:hAnsi="Verdana"/>
                <w:b/>
              </w:rPr>
              <w:t>Add</w:t>
            </w:r>
            <w:r w:rsidR="008A328C">
              <w:rPr>
                <w:rFonts w:ascii="Verdana" w:hAnsi="Verdana"/>
                <w:b/>
              </w:rPr>
              <w:t xml:space="preserve"> MChoice</w:t>
            </w:r>
            <w:r w:rsidRPr="00550223">
              <w:rPr>
                <w:rFonts w:ascii="Verdana" w:hAnsi="Verdana"/>
                <w:b/>
              </w:rPr>
              <w:t xml:space="preserve"> Member Opt Out</w:t>
            </w:r>
            <w:r w:rsidRPr="00550223">
              <w:rPr>
                <w:rFonts w:ascii="Verdana" w:hAnsi="Verdana"/>
              </w:rPr>
              <w:t xml:space="preserve"> button.</w:t>
            </w:r>
          </w:p>
          <w:p w14:paraId="61DA3D45" w14:textId="044001A9" w:rsidR="00606D1E" w:rsidRDefault="00606D1E" w:rsidP="00C666F7">
            <w:pPr>
              <w:spacing w:before="120" w:after="120"/>
              <w:rPr>
                <w:rFonts w:ascii="Verdana" w:hAnsi="Verdana"/>
              </w:rPr>
            </w:pPr>
            <w:r w:rsidRPr="00606D1E">
              <w:rPr>
                <w:rFonts w:ascii="Verdana" w:hAnsi="Verdana"/>
                <w:b/>
              </w:rPr>
              <w:t>Reminder</w:t>
            </w:r>
            <w:r w:rsidR="00EC21FE">
              <w:rPr>
                <w:rFonts w:ascii="Verdana" w:hAnsi="Verdana"/>
                <w:b/>
              </w:rPr>
              <w:t xml:space="preserve">: </w:t>
            </w:r>
            <w:r w:rsidR="002B3DA3">
              <w:rPr>
                <w:rFonts w:ascii="Verdana" w:hAnsi="Verdana"/>
              </w:rPr>
              <w:t>S</w:t>
            </w:r>
            <w:r>
              <w:rPr>
                <w:rFonts w:ascii="Verdana" w:hAnsi="Verdana"/>
              </w:rPr>
              <w:t>elect the correct member from the family member drop-down box.</w:t>
            </w:r>
          </w:p>
          <w:p w14:paraId="075D67B4" w14:textId="77777777" w:rsidR="007F1785" w:rsidRDefault="007F1785" w:rsidP="00C666F7">
            <w:pPr>
              <w:spacing w:before="120" w:after="120"/>
              <w:rPr>
                <w:rFonts w:ascii="Verdana" w:hAnsi="Verdana"/>
              </w:rPr>
            </w:pPr>
          </w:p>
          <w:p w14:paraId="0C6D611A" w14:textId="5D191420" w:rsidR="00606D1E" w:rsidRDefault="00EC21FE" w:rsidP="00C2771C">
            <w:pPr>
              <w:spacing w:before="120" w:after="120"/>
              <w:jc w:val="center"/>
              <w:rPr>
                <w:rFonts w:ascii="Verdana" w:hAnsi="Verdana"/>
              </w:rPr>
            </w:pPr>
            <w:r>
              <w:rPr>
                <w:noProof/>
              </w:rPr>
              <w:drawing>
                <wp:inline distT="0" distB="0" distL="0" distR="0" wp14:anchorId="545048A6" wp14:editId="26FFDE79">
                  <wp:extent cx="2504762" cy="914286"/>
                  <wp:effectExtent l="0" t="0" r="0" b="635"/>
                  <wp:docPr id="340352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52689" name=""/>
                          <pic:cNvPicPr/>
                        </pic:nvPicPr>
                        <pic:blipFill>
                          <a:blip r:embed="rId14"/>
                          <a:stretch>
                            <a:fillRect/>
                          </a:stretch>
                        </pic:blipFill>
                        <pic:spPr>
                          <a:xfrm>
                            <a:off x="0" y="0"/>
                            <a:ext cx="2504762" cy="914286"/>
                          </a:xfrm>
                          <a:prstGeom prst="rect">
                            <a:avLst/>
                          </a:prstGeom>
                        </pic:spPr>
                      </pic:pic>
                    </a:graphicData>
                  </a:graphic>
                </wp:inline>
              </w:drawing>
            </w:r>
          </w:p>
          <w:p w14:paraId="5B32DE89" w14:textId="1E2782BD" w:rsidR="004C46B8" w:rsidRDefault="004C46B8" w:rsidP="00C666F7">
            <w:pPr>
              <w:spacing w:before="120" w:after="120"/>
              <w:jc w:val="center"/>
              <w:rPr>
                <w:rFonts w:ascii="Verdana" w:hAnsi="Verdana"/>
              </w:rPr>
            </w:pPr>
          </w:p>
          <w:p w14:paraId="49902189" w14:textId="755E56F8" w:rsidR="004C46B8" w:rsidRDefault="004C46B8" w:rsidP="00C666F7">
            <w:pPr>
              <w:spacing w:before="120" w:after="120"/>
              <w:rPr>
                <w:rFonts w:ascii="Verdana" w:hAnsi="Verdana"/>
              </w:rPr>
            </w:pPr>
            <w:r w:rsidRPr="00D4667F">
              <w:rPr>
                <w:rFonts w:ascii="Verdana" w:hAnsi="Verdana"/>
                <w:b/>
              </w:rPr>
              <w:t>Result</w:t>
            </w:r>
            <w:r w:rsidR="00EC21FE">
              <w:rPr>
                <w:rFonts w:ascii="Verdana" w:hAnsi="Verdana"/>
                <w:b/>
              </w:rPr>
              <w:t xml:space="preserve">: </w:t>
            </w:r>
            <w:r>
              <w:rPr>
                <w:rFonts w:ascii="Verdana" w:hAnsi="Verdana"/>
              </w:rPr>
              <w:t>T</w:t>
            </w:r>
            <w:r w:rsidRPr="00233E9A">
              <w:rPr>
                <w:rFonts w:ascii="Verdana" w:hAnsi="Verdana"/>
              </w:rPr>
              <w:t xml:space="preserve">he </w:t>
            </w:r>
            <w:r w:rsidR="002B3DA3">
              <w:rPr>
                <w:rFonts w:ascii="Verdana" w:hAnsi="Verdana"/>
              </w:rPr>
              <w:t>O</w:t>
            </w:r>
            <w:r w:rsidRPr="00233E9A">
              <w:rPr>
                <w:rFonts w:ascii="Verdana" w:hAnsi="Verdana"/>
              </w:rPr>
              <w:t xml:space="preserve">pt </w:t>
            </w:r>
            <w:r w:rsidR="00A50B56">
              <w:rPr>
                <w:rFonts w:ascii="Verdana" w:hAnsi="Verdana"/>
              </w:rPr>
              <w:t>O</w:t>
            </w:r>
            <w:r w:rsidRPr="00233E9A">
              <w:rPr>
                <w:rFonts w:ascii="Verdana" w:hAnsi="Verdana"/>
              </w:rPr>
              <w:t xml:space="preserve">ut </w:t>
            </w:r>
            <w:r>
              <w:rPr>
                <w:rFonts w:ascii="Verdana" w:hAnsi="Verdana"/>
              </w:rPr>
              <w:t xml:space="preserve">override </w:t>
            </w:r>
            <w:r w:rsidR="002B3DA3">
              <w:rPr>
                <w:rFonts w:ascii="Verdana" w:hAnsi="Verdana"/>
              </w:rPr>
              <w:t>is</w:t>
            </w:r>
            <w:r>
              <w:rPr>
                <w:rFonts w:ascii="Verdana" w:hAnsi="Verdana"/>
              </w:rPr>
              <w:t xml:space="preserve"> </w:t>
            </w:r>
            <w:r w:rsidRPr="00233E9A">
              <w:rPr>
                <w:rFonts w:ascii="Verdana" w:hAnsi="Verdana"/>
              </w:rPr>
              <w:t>automatically entered in the PBO screen</w:t>
            </w:r>
            <w:r>
              <w:rPr>
                <w:rFonts w:ascii="Verdana" w:hAnsi="Verdana"/>
              </w:rPr>
              <w:t xml:space="preserve"> with a</w:t>
            </w:r>
            <w:r w:rsidRPr="00233E9A">
              <w:rPr>
                <w:rFonts w:ascii="Verdana" w:hAnsi="Verdana"/>
              </w:rPr>
              <w:t>uto</w:t>
            </w:r>
            <w:r>
              <w:rPr>
                <w:rFonts w:ascii="Verdana" w:hAnsi="Verdana"/>
              </w:rPr>
              <w:t>-populated</w:t>
            </w:r>
            <w:r w:rsidRPr="00233E9A">
              <w:rPr>
                <w:rFonts w:ascii="Verdana" w:hAnsi="Verdana"/>
              </w:rPr>
              <w:t xml:space="preserve"> effective dates based on </w:t>
            </w:r>
            <w:r w:rsidR="00A50B56">
              <w:rPr>
                <w:rFonts w:ascii="Verdana" w:hAnsi="Verdana"/>
              </w:rPr>
              <w:t>O</w:t>
            </w:r>
            <w:r w:rsidRPr="00233E9A">
              <w:rPr>
                <w:rFonts w:ascii="Verdana" w:hAnsi="Verdana"/>
              </w:rPr>
              <w:t xml:space="preserve">pt </w:t>
            </w:r>
            <w:r w:rsidR="00A50B56">
              <w:rPr>
                <w:rFonts w:ascii="Verdana" w:hAnsi="Verdana"/>
              </w:rPr>
              <w:t>O</w:t>
            </w:r>
            <w:r w:rsidRPr="00233E9A">
              <w:rPr>
                <w:rFonts w:ascii="Verdana" w:hAnsi="Verdana"/>
              </w:rPr>
              <w:t>ut type (plan year, calendar year, open-ended).</w:t>
            </w:r>
          </w:p>
          <w:p w14:paraId="39635099" w14:textId="77777777" w:rsidR="00495646" w:rsidRDefault="00495646" w:rsidP="00C666F7">
            <w:pPr>
              <w:spacing w:before="120" w:after="120"/>
              <w:rPr>
                <w:rFonts w:ascii="Verdana" w:hAnsi="Verdana"/>
              </w:rPr>
            </w:pPr>
            <w:r w:rsidRPr="00D4667F">
              <w:rPr>
                <w:rFonts w:ascii="Verdana" w:hAnsi="Verdana"/>
                <w:b/>
              </w:rPr>
              <w:t>Example:</w:t>
            </w:r>
          </w:p>
          <w:p w14:paraId="3217D087" w14:textId="035FF3DB" w:rsidR="00495646" w:rsidRDefault="004B4011" w:rsidP="00C666F7">
            <w:pPr>
              <w:spacing w:before="120" w:after="120"/>
              <w:jc w:val="center"/>
              <w:rPr>
                <w:rFonts w:ascii="Verdana" w:hAnsi="Verdana"/>
              </w:rPr>
            </w:pPr>
            <w:r>
              <w:rPr>
                <w:rFonts w:ascii="Verdana" w:hAnsi="Verdana"/>
                <w:noProof/>
              </w:rPr>
              <w:drawing>
                <wp:inline distT="0" distB="0" distL="0" distR="0" wp14:anchorId="5D571DF9" wp14:editId="0AB60163">
                  <wp:extent cx="4572000"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1257300"/>
                          </a:xfrm>
                          <a:prstGeom prst="rect">
                            <a:avLst/>
                          </a:prstGeom>
                          <a:noFill/>
                          <a:ln>
                            <a:noFill/>
                          </a:ln>
                        </pic:spPr>
                      </pic:pic>
                    </a:graphicData>
                  </a:graphic>
                </wp:inline>
              </w:drawing>
            </w:r>
          </w:p>
          <w:p w14:paraId="6C468A5D" w14:textId="65EBF40B" w:rsidR="00495646" w:rsidRDefault="00495646" w:rsidP="00C666F7">
            <w:pPr>
              <w:spacing w:before="120" w:after="120"/>
              <w:jc w:val="center"/>
              <w:rPr>
                <w:rFonts w:ascii="Verdana" w:hAnsi="Verdana"/>
                <w:b/>
              </w:rPr>
            </w:pPr>
            <w:r w:rsidRPr="00495646">
              <w:rPr>
                <w:rFonts w:ascii="Verdana" w:hAnsi="Verdana"/>
                <w:b/>
              </w:rPr>
              <w:t>Member Opt Out Added</w:t>
            </w:r>
            <w:r w:rsidR="00EC21FE">
              <w:rPr>
                <w:rFonts w:ascii="Verdana" w:hAnsi="Verdana"/>
                <w:b/>
              </w:rPr>
              <w:t xml:space="preserve">: </w:t>
            </w:r>
            <w:r w:rsidRPr="00495646">
              <w:rPr>
                <w:rFonts w:ascii="Verdana" w:hAnsi="Verdana"/>
                <w:b/>
              </w:rPr>
              <w:t>PBO Screen</w:t>
            </w:r>
          </w:p>
          <w:p w14:paraId="56A7A7CE" w14:textId="7D163C1E" w:rsidR="001B0351" w:rsidRDefault="001B0351" w:rsidP="00C666F7">
            <w:pPr>
              <w:spacing w:before="120" w:after="120"/>
              <w:jc w:val="center"/>
              <w:rPr>
                <w:rFonts w:ascii="Verdana" w:hAnsi="Verdana"/>
              </w:rPr>
            </w:pPr>
          </w:p>
        </w:tc>
      </w:tr>
      <w:tr w:rsidR="004C46B8" w:rsidRPr="00384851" w14:paraId="59C2C814" w14:textId="77777777" w:rsidTr="00EC21FE">
        <w:trPr>
          <w:trHeight w:val="90"/>
        </w:trPr>
        <w:tc>
          <w:tcPr>
            <w:tcW w:w="348" w:type="pct"/>
            <w:vMerge/>
          </w:tcPr>
          <w:p w14:paraId="5F87FE0E" w14:textId="77777777" w:rsidR="004C46B8" w:rsidRDefault="004C46B8" w:rsidP="00384851">
            <w:pPr>
              <w:jc w:val="center"/>
              <w:rPr>
                <w:rFonts w:ascii="Verdana" w:hAnsi="Verdana"/>
                <w:b/>
              </w:rPr>
            </w:pPr>
          </w:p>
        </w:tc>
        <w:tc>
          <w:tcPr>
            <w:tcW w:w="4652" w:type="pct"/>
            <w:gridSpan w:val="2"/>
          </w:tcPr>
          <w:p w14:paraId="7F2A3BEB" w14:textId="5E329D93" w:rsidR="004C46B8" w:rsidRDefault="004C46B8" w:rsidP="00C666F7">
            <w:pPr>
              <w:spacing w:before="120" w:after="120"/>
              <w:rPr>
                <w:rFonts w:ascii="Verdana" w:hAnsi="Verdana"/>
              </w:rPr>
            </w:pPr>
            <w:r w:rsidRPr="004C46B8">
              <w:rPr>
                <w:rFonts w:ascii="Verdana" w:hAnsi="Verdana"/>
                <w:b/>
              </w:rPr>
              <w:t>Note</w:t>
            </w:r>
            <w:r w:rsidR="008D4576">
              <w:rPr>
                <w:rFonts w:ascii="Verdana" w:hAnsi="Verdana"/>
                <w:b/>
              </w:rPr>
              <w:t>s</w:t>
            </w:r>
            <w:r w:rsidR="00EC21FE">
              <w:rPr>
                <w:rFonts w:ascii="Verdana" w:hAnsi="Verdana"/>
                <w:b/>
              </w:rPr>
              <w:t xml:space="preserve">: </w:t>
            </w:r>
          </w:p>
          <w:p w14:paraId="1249A899" w14:textId="341867C2" w:rsidR="003A636F" w:rsidRPr="00E14EE6" w:rsidRDefault="004C46B8" w:rsidP="00E14EE6">
            <w:pPr>
              <w:pStyle w:val="ListParagraph"/>
              <w:numPr>
                <w:ilvl w:val="0"/>
                <w:numId w:val="24"/>
              </w:numPr>
              <w:spacing w:before="120" w:after="120"/>
              <w:rPr>
                <w:rFonts w:ascii="Verdana" w:hAnsi="Verdana"/>
              </w:rPr>
            </w:pPr>
            <w:r w:rsidRPr="00E14EE6">
              <w:rPr>
                <w:rFonts w:ascii="Verdana" w:hAnsi="Verdana"/>
              </w:rPr>
              <w:t xml:space="preserve">If the member or drug is ineligible for an </w:t>
            </w:r>
            <w:r w:rsidR="002B3DA3" w:rsidRPr="00E14EE6">
              <w:rPr>
                <w:rFonts w:ascii="Verdana" w:hAnsi="Verdana"/>
              </w:rPr>
              <w:t>O</w:t>
            </w:r>
            <w:r w:rsidRPr="00E14EE6">
              <w:rPr>
                <w:rFonts w:ascii="Verdana" w:hAnsi="Verdana"/>
              </w:rPr>
              <w:t xml:space="preserve">pt </w:t>
            </w:r>
            <w:r w:rsidR="00A50B56" w:rsidRPr="00E14EE6">
              <w:rPr>
                <w:rFonts w:ascii="Verdana" w:hAnsi="Verdana"/>
              </w:rPr>
              <w:t>O</w:t>
            </w:r>
            <w:r w:rsidRPr="00E14EE6">
              <w:rPr>
                <w:rFonts w:ascii="Verdana" w:hAnsi="Verdana"/>
              </w:rPr>
              <w:t xml:space="preserve">ut, the Opt Out buttons </w:t>
            </w:r>
            <w:r w:rsidR="002B3DA3" w:rsidRPr="00E14EE6">
              <w:rPr>
                <w:rFonts w:ascii="Verdana" w:hAnsi="Verdana"/>
              </w:rPr>
              <w:t>are</w:t>
            </w:r>
            <w:r w:rsidRPr="00E14EE6">
              <w:rPr>
                <w:rFonts w:ascii="Verdana" w:hAnsi="Verdana"/>
              </w:rPr>
              <w:t xml:space="preserve"> deactivated (grayed out) or not displayed</w:t>
            </w:r>
            <w:r w:rsidR="00203974" w:rsidRPr="00E14EE6">
              <w:rPr>
                <w:rFonts w:ascii="Verdana" w:hAnsi="Verdana"/>
              </w:rPr>
              <w:t xml:space="preserve"> unless they have multiple plans where one qualifies and the other doesn’t qualify. In this case the buttons will display as active on both plans.</w:t>
            </w:r>
            <w:r w:rsidR="003A636F" w:rsidRPr="00E14EE6">
              <w:rPr>
                <w:rFonts w:ascii="Verdana" w:hAnsi="Verdana"/>
              </w:rPr>
              <w:t xml:space="preserve"> </w:t>
            </w:r>
            <w:r w:rsidR="00203974" w:rsidRPr="00E14EE6">
              <w:rPr>
                <w:rFonts w:ascii="Verdana" w:hAnsi="Verdana"/>
              </w:rPr>
              <w:t xml:space="preserve"> </w:t>
            </w:r>
          </w:p>
          <w:p w14:paraId="2ED5C3BC" w14:textId="27513AC5" w:rsidR="00495646" w:rsidRPr="00E14EE6" w:rsidRDefault="004C46B8" w:rsidP="00E14EE6">
            <w:pPr>
              <w:pStyle w:val="ListParagraph"/>
              <w:numPr>
                <w:ilvl w:val="0"/>
                <w:numId w:val="24"/>
              </w:numPr>
              <w:spacing w:before="120" w:after="120"/>
              <w:rPr>
                <w:rFonts w:ascii="Verdana" w:hAnsi="Verdana"/>
              </w:rPr>
            </w:pPr>
            <w:r w:rsidRPr="00E14EE6">
              <w:rPr>
                <w:rFonts w:ascii="Verdana" w:hAnsi="Verdana"/>
              </w:rPr>
              <w:t xml:space="preserve">If the claim is for a Specialty drug, there will </w:t>
            </w:r>
            <w:r w:rsidR="001C162C" w:rsidRPr="00E14EE6">
              <w:rPr>
                <w:rFonts w:ascii="Verdana" w:hAnsi="Verdana"/>
              </w:rPr>
              <w:t>not</w:t>
            </w:r>
            <w:r w:rsidRPr="00E14EE6">
              <w:rPr>
                <w:rFonts w:ascii="Verdana" w:hAnsi="Verdana"/>
              </w:rPr>
              <w:t xml:space="preserve"> be an Opt Out button on the Prescription Details screen. Medications filled through Specialty are not eligible for Maintenance Choice Opt Outs.</w:t>
            </w:r>
          </w:p>
        </w:tc>
      </w:tr>
      <w:tr w:rsidR="001C162C" w:rsidRPr="00384851" w14:paraId="491C16FF" w14:textId="77777777" w:rsidTr="00EC21FE">
        <w:tc>
          <w:tcPr>
            <w:tcW w:w="348" w:type="pct"/>
          </w:tcPr>
          <w:p w14:paraId="58F5B4F0" w14:textId="72486CDF" w:rsidR="001C162C" w:rsidRDefault="001C162C" w:rsidP="001C162C">
            <w:pPr>
              <w:spacing w:before="120" w:after="120"/>
              <w:jc w:val="center"/>
              <w:rPr>
                <w:rFonts w:ascii="Verdana" w:hAnsi="Verdana"/>
                <w:b/>
              </w:rPr>
            </w:pPr>
            <w:r>
              <w:rPr>
                <w:rFonts w:ascii="Verdana" w:hAnsi="Verdana"/>
                <w:b/>
              </w:rPr>
              <w:t>4</w:t>
            </w:r>
          </w:p>
        </w:tc>
        <w:tc>
          <w:tcPr>
            <w:tcW w:w="4652" w:type="pct"/>
            <w:gridSpan w:val="2"/>
          </w:tcPr>
          <w:p w14:paraId="54747234" w14:textId="793546A7" w:rsidR="001C162C" w:rsidRDefault="001C162C" w:rsidP="001C162C">
            <w:pPr>
              <w:spacing w:before="120" w:after="120"/>
              <w:rPr>
                <w:rFonts w:ascii="Verdana" w:hAnsi="Verdana"/>
                <w:bCs/>
              </w:rPr>
            </w:pPr>
            <w:r>
              <w:rPr>
                <w:rFonts w:ascii="Verdana" w:hAnsi="Verdana"/>
                <w:bCs/>
              </w:rPr>
              <w:t xml:space="preserve">Determine if </w:t>
            </w:r>
            <w:r w:rsidRPr="003D2D39">
              <w:rPr>
                <w:rFonts w:ascii="Verdana" w:hAnsi="Verdana"/>
                <w:bCs/>
              </w:rPr>
              <w:t xml:space="preserve">the </w:t>
            </w:r>
            <w:r>
              <w:rPr>
                <w:rFonts w:ascii="Verdana" w:hAnsi="Verdana"/>
                <w:bCs/>
              </w:rPr>
              <w:t>Opt Out date</w:t>
            </w:r>
            <w:r w:rsidRPr="003D2D39">
              <w:rPr>
                <w:rFonts w:ascii="Verdana" w:hAnsi="Verdana"/>
                <w:bCs/>
              </w:rPr>
              <w:t xml:space="preserve"> need</w:t>
            </w:r>
            <w:r>
              <w:rPr>
                <w:rFonts w:ascii="Verdana" w:hAnsi="Verdana"/>
                <w:bCs/>
              </w:rPr>
              <w:t>s</w:t>
            </w:r>
            <w:r w:rsidRPr="003D2D39">
              <w:rPr>
                <w:rFonts w:ascii="Verdana" w:hAnsi="Verdana"/>
                <w:bCs/>
              </w:rPr>
              <w:t xml:space="preserve"> to be backdated to a previous date</w:t>
            </w:r>
            <w:r>
              <w:rPr>
                <w:rFonts w:ascii="Verdana" w:hAnsi="Verdana"/>
                <w:bCs/>
              </w:rPr>
              <w:t>.</w:t>
            </w:r>
          </w:p>
          <w:p w14:paraId="3F225BAC" w14:textId="6790585B" w:rsidR="001C162C" w:rsidRPr="00F267FE" w:rsidRDefault="001C162C" w:rsidP="00E14EE6">
            <w:pPr>
              <w:pStyle w:val="ListParagraph"/>
              <w:numPr>
                <w:ilvl w:val="0"/>
                <w:numId w:val="23"/>
              </w:numPr>
              <w:spacing w:before="120" w:after="120"/>
              <w:rPr>
                <w:rFonts w:ascii="Verdana" w:hAnsi="Verdana"/>
                <w:bCs/>
              </w:rPr>
            </w:pPr>
            <w:r w:rsidRPr="00F267FE">
              <w:rPr>
                <w:rFonts w:ascii="Verdana" w:hAnsi="Verdana"/>
              </w:rPr>
              <w:t xml:space="preserve">If yes, </w:t>
            </w:r>
            <w:r w:rsidR="00F267FE" w:rsidRPr="00653E32">
              <w:rPr>
                <w:rFonts w:ascii="Verdana" w:hAnsi="Verdana"/>
              </w:rPr>
              <w:t>warm transfer</w:t>
            </w:r>
            <w:r w:rsidR="00F267FE" w:rsidRPr="00F267FE">
              <w:rPr>
                <w:rFonts w:ascii="Verdana" w:hAnsi="Verdana"/>
              </w:rPr>
              <w:t xml:space="preserve"> (refer to </w:t>
            </w:r>
            <w:hyperlink r:id="rId16" w:anchor="!/view?docid=18c64566-0ebb-4760-96fe-04da06185de0" w:history="1">
              <w:r w:rsidR="00F267FE" w:rsidRPr="00F267FE">
                <w:rPr>
                  <w:rStyle w:val="Hyperlink"/>
                  <w:rFonts w:ascii="Verdana" w:hAnsi="Verdana"/>
                  <w:bCs/>
                </w:rPr>
                <w:t>Compass - Basic Call Handling – Opening the Call, Call Hold, Warm and Cold Transfer (066076)</w:t>
              </w:r>
            </w:hyperlink>
            <w:r w:rsidR="00F267FE">
              <w:t>)</w:t>
            </w:r>
            <w:r w:rsidRPr="00F267FE">
              <w:rPr>
                <w:rFonts w:ascii="Verdana" w:hAnsi="Verdana"/>
                <w:bCs/>
              </w:rPr>
              <w:t xml:space="preserve"> to </w:t>
            </w:r>
            <w:r w:rsidR="00F267FE" w:rsidRPr="00F267FE">
              <w:rPr>
                <w:rFonts w:ascii="Verdana" w:hAnsi="Verdana"/>
                <w:bCs/>
              </w:rPr>
              <w:t xml:space="preserve">the Senior Team. Refer to </w:t>
            </w:r>
            <w:hyperlink r:id="rId17" w:anchor="!/view?docid=9eef064d-c7d7-42f7-9026-1497496b4d51" w:history="1">
              <w:r w:rsidR="00F267FE" w:rsidRPr="00F267FE">
                <w:rPr>
                  <w:rStyle w:val="Hyperlink"/>
                  <w:rFonts w:ascii="Verdana" w:hAnsi="Verdana"/>
                  <w:bCs/>
                </w:rPr>
                <w:t>PeopleSafe - When to Transfer Calls to the Senior Team (016311)</w:t>
              </w:r>
            </w:hyperlink>
            <w:r w:rsidRPr="00F267FE">
              <w:rPr>
                <w:rFonts w:ascii="Verdana" w:hAnsi="Verdana"/>
                <w:bCs/>
              </w:rPr>
              <w:t>.</w:t>
            </w:r>
          </w:p>
          <w:p w14:paraId="652B4C54" w14:textId="24239EB1" w:rsidR="001C162C" w:rsidRPr="00E14EE6" w:rsidRDefault="001C162C" w:rsidP="00E14EE6">
            <w:pPr>
              <w:pStyle w:val="ListParagraph"/>
              <w:numPr>
                <w:ilvl w:val="0"/>
                <w:numId w:val="23"/>
              </w:numPr>
              <w:spacing w:before="120" w:after="120"/>
              <w:rPr>
                <w:rFonts w:ascii="Verdana" w:hAnsi="Verdana"/>
                <w:bCs/>
              </w:rPr>
            </w:pPr>
            <w:r w:rsidRPr="00E14EE6">
              <w:rPr>
                <w:rFonts w:ascii="Verdana" w:hAnsi="Verdana"/>
              </w:rPr>
              <w:t>If No, proceed to the next step.</w:t>
            </w:r>
          </w:p>
        </w:tc>
      </w:tr>
      <w:tr w:rsidR="00550223" w:rsidRPr="00384851" w14:paraId="21754EE3" w14:textId="77777777" w:rsidTr="00EC21FE">
        <w:tc>
          <w:tcPr>
            <w:tcW w:w="348" w:type="pct"/>
          </w:tcPr>
          <w:p w14:paraId="20829DBB" w14:textId="5C2E11B2" w:rsidR="00550223" w:rsidRDefault="001C162C" w:rsidP="00B434FB">
            <w:pPr>
              <w:spacing w:before="120" w:after="120"/>
              <w:jc w:val="center"/>
              <w:rPr>
                <w:rFonts w:ascii="Verdana" w:hAnsi="Verdana"/>
                <w:b/>
              </w:rPr>
            </w:pPr>
            <w:r>
              <w:rPr>
                <w:rFonts w:ascii="Verdana" w:hAnsi="Verdana"/>
                <w:b/>
              </w:rPr>
              <w:t>5</w:t>
            </w:r>
          </w:p>
        </w:tc>
        <w:tc>
          <w:tcPr>
            <w:tcW w:w="4652" w:type="pct"/>
            <w:gridSpan w:val="2"/>
          </w:tcPr>
          <w:p w14:paraId="4DE9C914" w14:textId="6134A86F" w:rsidR="00233E9A" w:rsidRPr="00233E9A" w:rsidRDefault="00533C5E" w:rsidP="00B434FB">
            <w:pPr>
              <w:spacing w:before="120" w:after="120"/>
              <w:rPr>
                <w:rFonts w:ascii="Verdana" w:hAnsi="Verdana"/>
              </w:rPr>
            </w:pPr>
            <w:r>
              <w:rPr>
                <w:rFonts w:ascii="Verdana" w:hAnsi="Verdana"/>
              </w:rPr>
              <w:t>Update the member’s Opt</w:t>
            </w:r>
            <w:r w:rsidR="00A50B56">
              <w:rPr>
                <w:rFonts w:ascii="Verdana" w:hAnsi="Verdana"/>
              </w:rPr>
              <w:t xml:space="preserve"> </w:t>
            </w:r>
            <w:r>
              <w:rPr>
                <w:rFonts w:ascii="Verdana" w:hAnsi="Verdana"/>
              </w:rPr>
              <w:t xml:space="preserve">Out preferences to cancel the member’s Maintenance Choice opportunities. Refer to </w:t>
            </w:r>
            <w:hyperlink r:id="rId18" w:anchor="!/view?docid=c2732a43-0453-4dab-a245-537dbe97d1e0" w:history="1">
              <w:r w:rsidR="00403F13">
                <w:rPr>
                  <w:rStyle w:val="Hyperlink"/>
                  <w:rFonts w:ascii="Verdana" w:hAnsi="Verdana"/>
                </w:rPr>
                <w:t>Health Engagement Engine (HEE) – View Opportunities (022708)</w:t>
              </w:r>
            </w:hyperlink>
            <w:r w:rsidR="00456AA1">
              <w:rPr>
                <w:rFonts w:ascii="Verdana" w:hAnsi="Verdana"/>
              </w:rPr>
              <w:t>.</w:t>
            </w:r>
            <w:r w:rsidR="002B3DA3">
              <w:rPr>
                <w:rFonts w:ascii="Verdana" w:hAnsi="Verdana"/>
              </w:rPr>
              <w:t xml:space="preserve"> </w:t>
            </w:r>
            <w:r w:rsidR="00DF118B">
              <w:rPr>
                <w:noProof/>
              </w:rPr>
              <w:t xml:space="preserve"> </w:t>
            </w:r>
          </w:p>
          <w:p w14:paraId="1CD3DC4F" w14:textId="1AFEFC00" w:rsidR="00233E9A" w:rsidRDefault="004F3AF0" w:rsidP="00B434FB">
            <w:pPr>
              <w:spacing w:before="120" w:after="120"/>
              <w:rPr>
                <w:rFonts w:ascii="Verdana" w:hAnsi="Verdana"/>
              </w:rPr>
            </w:pPr>
            <w:r>
              <w:rPr>
                <w:rFonts w:ascii="Verdana" w:hAnsi="Verdana"/>
                <w:b/>
              </w:rPr>
              <w:t>Result</w:t>
            </w:r>
            <w:r w:rsidR="00EC21FE">
              <w:rPr>
                <w:rFonts w:ascii="Verdana" w:hAnsi="Verdana"/>
                <w:b/>
              </w:rPr>
              <w:t xml:space="preserve">: </w:t>
            </w:r>
            <w:r>
              <w:rPr>
                <w:rFonts w:ascii="Verdana" w:hAnsi="Verdana"/>
              </w:rPr>
              <w:t>This e</w:t>
            </w:r>
            <w:r w:rsidR="00233E9A" w:rsidRPr="00233E9A">
              <w:rPr>
                <w:rFonts w:ascii="Verdana" w:hAnsi="Verdana"/>
              </w:rPr>
              <w:t>nsure</w:t>
            </w:r>
            <w:r w:rsidR="002B3DA3">
              <w:rPr>
                <w:rFonts w:ascii="Verdana" w:hAnsi="Verdana"/>
              </w:rPr>
              <w:t>s</w:t>
            </w:r>
            <w:r w:rsidR="00233E9A" w:rsidRPr="00233E9A">
              <w:rPr>
                <w:rFonts w:ascii="Verdana" w:hAnsi="Verdana"/>
              </w:rPr>
              <w:t xml:space="preserve"> the member does not receive future letters instructing them to use Maintenance Choice.</w:t>
            </w:r>
          </w:p>
          <w:p w14:paraId="06B78697" w14:textId="487C9242" w:rsidR="009E2B57" w:rsidRDefault="00BB3A37" w:rsidP="00B434FB">
            <w:pPr>
              <w:pStyle w:val="BodyTextIndent2"/>
              <w:spacing w:before="120" w:line="240" w:lineRule="auto"/>
              <w:ind w:left="0"/>
              <w:rPr>
                <w:rFonts w:ascii="Verdana" w:hAnsi="Verdana"/>
              </w:rPr>
            </w:pPr>
            <w:r w:rsidRPr="00D41D95">
              <w:rPr>
                <w:rFonts w:ascii="Verdana" w:hAnsi="Verdana"/>
                <w:b/>
              </w:rPr>
              <w:t>Note</w:t>
            </w:r>
            <w:r w:rsidR="008D4576">
              <w:rPr>
                <w:rFonts w:ascii="Verdana" w:hAnsi="Verdana"/>
                <w:b/>
              </w:rPr>
              <w:t>s</w:t>
            </w:r>
            <w:r w:rsidR="00EC21FE">
              <w:rPr>
                <w:rFonts w:ascii="Verdana" w:hAnsi="Verdana"/>
                <w:b/>
              </w:rPr>
              <w:t xml:space="preserve">: </w:t>
            </w:r>
          </w:p>
          <w:p w14:paraId="49B2F1B2" w14:textId="3F1AFA37" w:rsidR="009E2B57" w:rsidRDefault="009E2B57" w:rsidP="00E14EE6">
            <w:pPr>
              <w:pStyle w:val="BodyTextIndent2"/>
              <w:numPr>
                <w:ilvl w:val="0"/>
                <w:numId w:val="22"/>
              </w:numPr>
              <w:spacing w:before="120" w:line="240" w:lineRule="auto"/>
              <w:rPr>
                <w:rFonts w:ascii="Verdana" w:hAnsi="Verdana"/>
              </w:rPr>
            </w:pPr>
            <w:r>
              <w:rPr>
                <w:rFonts w:ascii="Verdana" w:hAnsi="Verdana"/>
              </w:rPr>
              <w:t xml:space="preserve">For </w:t>
            </w:r>
            <w:r w:rsidR="00A50B56">
              <w:rPr>
                <w:rFonts w:ascii="Verdana" w:hAnsi="Verdana"/>
              </w:rPr>
              <w:t>O</w:t>
            </w:r>
            <w:r>
              <w:rPr>
                <w:rFonts w:ascii="Verdana" w:hAnsi="Verdana"/>
              </w:rPr>
              <w:t xml:space="preserve">pt </w:t>
            </w:r>
            <w:r w:rsidR="00A50B56">
              <w:rPr>
                <w:rFonts w:ascii="Verdana" w:hAnsi="Verdana"/>
              </w:rPr>
              <w:t>O</w:t>
            </w:r>
            <w:r>
              <w:rPr>
                <w:rFonts w:ascii="Verdana" w:hAnsi="Verdana"/>
              </w:rPr>
              <w:t>uts entered at the Drug Level, i</w:t>
            </w:r>
            <w:r w:rsidR="00BB3A37">
              <w:rPr>
                <w:rFonts w:ascii="Verdana" w:hAnsi="Verdana"/>
              </w:rPr>
              <w:t xml:space="preserve">f a member begins a new prescription therapy (medication never taken before), it may trigger a Maintenance Choice communication to the member. </w:t>
            </w:r>
            <w:r w:rsidR="00F97FF9">
              <w:rPr>
                <w:rFonts w:ascii="Verdana" w:hAnsi="Verdana"/>
              </w:rPr>
              <w:t xml:space="preserve"> </w:t>
            </w:r>
            <w:r w:rsidR="002B3DA3">
              <w:rPr>
                <w:rFonts w:ascii="Verdana" w:hAnsi="Verdana"/>
              </w:rPr>
              <w:t>This</w:t>
            </w:r>
            <w:r w:rsidR="001C162C">
              <w:rPr>
                <w:rFonts w:ascii="Verdana" w:hAnsi="Verdana"/>
              </w:rPr>
              <w:t xml:space="preserve"> </w:t>
            </w:r>
            <w:r w:rsidR="002B3DA3">
              <w:rPr>
                <w:rFonts w:ascii="Verdana" w:hAnsi="Verdana"/>
              </w:rPr>
              <w:t>also occur</w:t>
            </w:r>
            <w:r w:rsidR="001C162C">
              <w:rPr>
                <w:rFonts w:ascii="Verdana" w:hAnsi="Verdana"/>
              </w:rPr>
              <w:t>s</w:t>
            </w:r>
            <w:r w:rsidR="002B3DA3">
              <w:rPr>
                <w:rFonts w:ascii="Verdana" w:hAnsi="Verdana"/>
              </w:rPr>
              <w:t xml:space="preserve"> after the Opt </w:t>
            </w:r>
            <w:r w:rsidR="00A50B56">
              <w:rPr>
                <w:rFonts w:ascii="Verdana" w:hAnsi="Verdana"/>
              </w:rPr>
              <w:t>O</w:t>
            </w:r>
            <w:r w:rsidR="002B3DA3">
              <w:rPr>
                <w:rFonts w:ascii="Verdana" w:hAnsi="Verdana"/>
              </w:rPr>
              <w:t xml:space="preserve">ut override has expired (if based on the calendar or plan year). </w:t>
            </w:r>
            <w:r>
              <w:rPr>
                <w:rFonts w:ascii="Verdana" w:hAnsi="Verdana"/>
              </w:rPr>
              <w:t xml:space="preserve">The member may request an additional </w:t>
            </w:r>
            <w:r w:rsidR="00A50B56">
              <w:rPr>
                <w:rFonts w:ascii="Verdana" w:hAnsi="Verdana"/>
              </w:rPr>
              <w:t>O</w:t>
            </w:r>
            <w:r>
              <w:rPr>
                <w:rFonts w:ascii="Verdana" w:hAnsi="Verdana"/>
              </w:rPr>
              <w:t xml:space="preserve">pt </w:t>
            </w:r>
            <w:r w:rsidR="00A50B56">
              <w:rPr>
                <w:rFonts w:ascii="Verdana" w:hAnsi="Verdana"/>
              </w:rPr>
              <w:t>O</w:t>
            </w:r>
            <w:r>
              <w:rPr>
                <w:rFonts w:ascii="Verdana" w:hAnsi="Verdana"/>
              </w:rPr>
              <w:t>ut at this point.</w:t>
            </w:r>
          </w:p>
          <w:p w14:paraId="70EF2542" w14:textId="77777777" w:rsidR="00BB3A37" w:rsidRDefault="002B3DA3" w:rsidP="00E14EE6">
            <w:pPr>
              <w:pStyle w:val="BodyTextIndent2"/>
              <w:numPr>
                <w:ilvl w:val="0"/>
                <w:numId w:val="22"/>
              </w:numPr>
              <w:spacing w:before="120" w:line="240" w:lineRule="auto"/>
              <w:rPr>
                <w:rFonts w:ascii="Verdana" w:hAnsi="Verdana"/>
              </w:rPr>
            </w:pPr>
            <w:r>
              <w:rPr>
                <w:rFonts w:ascii="Verdana" w:hAnsi="Verdana"/>
              </w:rPr>
              <w:t xml:space="preserve">If the member was opted out at the member level, they will not receive any future Maintenance Choice communications until after the Opt </w:t>
            </w:r>
            <w:r w:rsidR="00A50B56">
              <w:rPr>
                <w:rFonts w:ascii="Verdana" w:hAnsi="Verdana"/>
              </w:rPr>
              <w:t>O</w:t>
            </w:r>
            <w:r>
              <w:rPr>
                <w:rFonts w:ascii="Verdana" w:hAnsi="Verdana"/>
              </w:rPr>
              <w:t xml:space="preserve">ut override has expired (if based on the calendar or plan year).  </w:t>
            </w:r>
          </w:p>
        </w:tc>
      </w:tr>
      <w:tr w:rsidR="00A50B56" w:rsidRPr="00384851" w14:paraId="59E35BB0" w14:textId="77777777" w:rsidTr="00EC21FE">
        <w:tc>
          <w:tcPr>
            <w:tcW w:w="348" w:type="pct"/>
          </w:tcPr>
          <w:p w14:paraId="2C602253" w14:textId="196E61CB" w:rsidR="00A50B56" w:rsidRDefault="001C162C" w:rsidP="00B434FB">
            <w:pPr>
              <w:spacing w:before="120" w:after="120"/>
              <w:jc w:val="center"/>
              <w:rPr>
                <w:rFonts w:ascii="Verdana" w:hAnsi="Verdana"/>
                <w:b/>
              </w:rPr>
            </w:pPr>
            <w:r>
              <w:rPr>
                <w:rFonts w:ascii="Verdana" w:hAnsi="Verdana"/>
                <w:b/>
              </w:rPr>
              <w:t>6</w:t>
            </w:r>
          </w:p>
          <w:p w14:paraId="7F11850B" w14:textId="77777777" w:rsidR="00AA351B" w:rsidRDefault="00AA351B" w:rsidP="00B434FB">
            <w:pPr>
              <w:spacing w:before="120" w:after="120"/>
              <w:jc w:val="center"/>
              <w:rPr>
                <w:rFonts w:ascii="Verdana" w:hAnsi="Verdana"/>
                <w:b/>
              </w:rPr>
            </w:pPr>
          </w:p>
        </w:tc>
        <w:tc>
          <w:tcPr>
            <w:tcW w:w="4652" w:type="pct"/>
            <w:gridSpan w:val="2"/>
          </w:tcPr>
          <w:p w14:paraId="5E29EE5B" w14:textId="6D7796B9" w:rsidR="00A50B56" w:rsidRDefault="00A50B56" w:rsidP="00B434FB">
            <w:pPr>
              <w:spacing w:before="120" w:after="120"/>
              <w:rPr>
                <w:rFonts w:ascii="Verdana" w:hAnsi="Verdana"/>
              </w:rPr>
            </w:pPr>
            <w:r>
              <w:rPr>
                <w:rFonts w:ascii="Verdana" w:hAnsi="Verdana"/>
              </w:rPr>
              <w:t>Run a</w:t>
            </w:r>
            <w:r w:rsidR="00F267FE">
              <w:rPr>
                <w:rFonts w:ascii="Verdana" w:hAnsi="Verdana"/>
              </w:rPr>
              <w:t xml:space="preserve"> test claim. Refer to</w:t>
            </w:r>
            <w:r>
              <w:rPr>
                <w:rFonts w:ascii="Verdana" w:hAnsi="Verdana"/>
              </w:rPr>
              <w:t xml:space="preserve"> </w:t>
            </w:r>
            <w:hyperlink r:id="rId19" w:anchor="!/view?docid=59c4e7fa-4a87-43c4-89cd-5d4f8c6c3421" w:history="1">
              <w:r w:rsidR="00F267FE">
                <w:rPr>
                  <w:rStyle w:val="Hyperlink"/>
                  <w:rFonts w:ascii="Verdana" w:hAnsi="Verdana"/>
                  <w:bCs/>
                </w:rPr>
                <w:t>PeopleSafe - Test Claim (004573)</w:t>
              </w:r>
            </w:hyperlink>
            <w:r>
              <w:rPr>
                <w:rFonts w:ascii="Verdana" w:hAnsi="Verdana"/>
              </w:rPr>
              <w:t xml:space="preserve"> to verify that Opt </w:t>
            </w:r>
            <w:r w:rsidRPr="00AA351B">
              <w:rPr>
                <w:rFonts w:ascii="Verdana" w:hAnsi="Verdana"/>
              </w:rPr>
              <w:t>Out</w:t>
            </w:r>
            <w:r>
              <w:rPr>
                <w:rFonts w:ascii="Verdana" w:hAnsi="Verdana"/>
              </w:rPr>
              <w:t xml:space="preserve"> is working correctly to process a </w:t>
            </w:r>
            <w:r w:rsidR="002842BB">
              <w:rPr>
                <w:rFonts w:ascii="Verdana" w:hAnsi="Verdana"/>
              </w:rPr>
              <w:t>30-day</w:t>
            </w:r>
            <w:r>
              <w:rPr>
                <w:rFonts w:ascii="Verdana" w:hAnsi="Verdana"/>
              </w:rPr>
              <w:t xml:space="preserve"> supply. </w:t>
            </w:r>
          </w:p>
          <w:p w14:paraId="09AA008A" w14:textId="227FC9D1" w:rsidR="004F3AF0" w:rsidRPr="00A50B56" w:rsidRDefault="00A50B56" w:rsidP="003A636F">
            <w:pPr>
              <w:spacing w:before="120" w:after="120"/>
              <w:rPr>
                <w:rFonts w:ascii="Verdana" w:hAnsi="Verdana"/>
              </w:rPr>
            </w:pPr>
            <w:r>
              <w:rPr>
                <w:rFonts w:ascii="Verdana" w:hAnsi="Verdana"/>
                <w:b/>
              </w:rPr>
              <w:t>Note</w:t>
            </w:r>
            <w:r w:rsidR="00EC21FE">
              <w:rPr>
                <w:rFonts w:ascii="Verdana" w:hAnsi="Verdana"/>
                <w:b/>
                <w:color w:val="000000"/>
              </w:rPr>
              <w:t xml:space="preserve">: </w:t>
            </w:r>
            <w:r w:rsidRPr="00A56690">
              <w:rPr>
                <w:rFonts w:ascii="Verdana" w:hAnsi="Verdana"/>
                <w:bCs/>
                <w:color w:val="000000"/>
              </w:rPr>
              <w:t>If</w:t>
            </w:r>
            <w:r w:rsidR="00C66759" w:rsidRPr="00A56690">
              <w:rPr>
                <w:rFonts w:ascii="Verdana" w:hAnsi="Verdana"/>
                <w:bCs/>
                <w:color w:val="000000"/>
              </w:rPr>
              <w:t xml:space="preserve"> after</w:t>
            </w:r>
            <w:r w:rsidR="00346E99">
              <w:rPr>
                <w:rFonts w:ascii="Verdana" w:hAnsi="Verdana"/>
                <w:bCs/>
                <w:color w:val="000000"/>
              </w:rPr>
              <w:t xml:space="preserve"> </w:t>
            </w:r>
            <w:r w:rsidR="00C66759" w:rsidRPr="00A56690">
              <w:rPr>
                <w:rFonts w:ascii="Verdana" w:hAnsi="Verdana"/>
                <w:bCs/>
                <w:color w:val="000000"/>
              </w:rPr>
              <w:t>5</w:t>
            </w:r>
            <w:r w:rsidR="00346E99">
              <w:rPr>
                <w:rFonts w:ascii="Verdana" w:hAnsi="Verdana"/>
                <w:bCs/>
                <w:color w:val="000000"/>
              </w:rPr>
              <w:t xml:space="preserve"> </w:t>
            </w:r>
            <w:r w:rsidR="00C66759" w:rsidRPr="00A56690">
              <w:rPr>
                <w:rFonts w:ascii="Verdana" w:hAnsi="Verdana"/>
                <w:bCs/>
                <w:color w:val="000000"/>
              </w:rPr>
              <w:t>pm CT</w:t>
            </w:r>
            <w:r w:rsidR="00710F2B" w:rsidRPr="00A56690">
              <w:rPr>
                <w:rFonts w:ascii="Verdana" w:hAnsi="Verdana"/>
                <w:bCs/>
                <w:color w:val="000000"/>
              </w:rPr>
              <w:t xml:space="preserve"> and the</w:t>
            </w:r>
            <w:r w:rsidRPr="00A56690">
              <w:rPr>
                <w:rFonts w:ascii="Verdana" w:hAnsi="Verdana"/>
                <w:bCs/>
                <w:color w:val="000000"/>
              </w:rPr>
              <w:t xml:space="preserve"> Maintenance Choice Opt Out has auto-populated to the next day</w:t>
            </w:r>
            <w:r w:rsidR="008D4576">
              <w:rPr>
                <w:rFonts w:ascii="Verdana" w:hAnsi="Verdana"/>
                <w:bCs/>
                <w:color w:val="000000"/>
              </w:rPr>
              <w:t>,</w:t>
            </w:r>
            <w:r w:rsidR="00710F2B" w:rsidRPr="00A56690">
              <w:rPr>
                <w:rFonts w:ascii="Verdana" w:hAnsi="Verdana"/>
                <w:bCs/>
                <w:color w:val="000000"/>
              </w:rPr>
              <w:t xml:space="preserve"> </w:t>
            </w:r>
            <w:r w:rsidR="004F3AF0" w:rsidRPr="00A56690">
              <w:rPr>
                <w:rFonts w:ascii="Verdana" w:hAnsi="Verdana"/>
                <w:bCs/>
                <w:color w:val="000000"/>
              </w:rPr>
              <w:t>determine</w:t>
            </w:r>
            <w:r w:rsidRPr="00A56690">
              <w:rPr>
                <w:rFonts w:ascii="Verdana" w:hAnsi="Verdana"/>
                <w:bCs/>
                <w:color w:val="000000"/>
              </w:rPr>
              <w:t xml:space="preserve"> if the member is picking up the medication </w:t>
            </w:r>
            <w:r w:rsidR="004F3AF0" w:rsidRPr="00A56690">
              <w:rPr>
                <w:rFonts w:ascii="Verdana" w:hAnsi="Verdana"/>
                <w:bCs/>
                <w:color w:val="000000"/>
              </w:rPr>
              <w:t>to</w:t>
            </w:r>
            <w:r w:rsidRPr="00A56690">
              <w:rPr>
                <w:rFonts w:ascii="Verdana" w:hAnsi="Verdana"/>
                <w:bCs/>
                <w:color w:val="000000"/>
              </w:rPr>
              <w:t xml:space="preserve">day. If so, contact </w:t>
            </w:r>
            <w:r w:rsidR="00F22A2A" w:rsidRPr="00A56690">
              <w:rPr>
                <w:rFonts w:ascii="Verdana" w:hAnsi="Verdana"/>
                <w:bCs/>
                <w:color w:val="000000"/>
              </w:rPr>
              <w:t>the</w:t>
            </w:r>
            <w:r w:rsidR="00F267FE">
              <w:rPr>
                <w:rFonts w:ascii="Verdana" w:hAnsi="Verdana"/>
                <w:bCs/>
                <w:color w:val="000000"/>
              </w:rPr>
              <w:t xml:space="preserve"> Senior Team </w:t>
            </w:r>
            <w:r w:rsidR="00F267FE" w:rsidRPr="00A56690">
              <w:rPr>
                <w:rFonts w:ascii="Verdana" w:hAnsi="Verdana"/>
                <w:bCs/>
                <w:color w:val="000000"/>
              </w:rPr>
              <w:t>to change the start date to current date.</w:t>
            </w:r>
            <w:r w:rsidR="00F22A2A" w:rsidRPr="00A56690">
              <w:rPr>
                <w:rFonts w:ascii="Verdana" w:hAnsi="Verdana"/>
                <w:bCs/>
                <w:color w:val="000000"/>
              </w:rPr>
              <w:t xml:space="preserve"> </w:t>
            </w:r>
            <w:r w:rsidR="00F267FE">
              <w:rPr>
                <w:rFonts w:ascii="Verdana" w:hAnsi="Verdana"/>
                <w:bCs/>
                <w:color w:val="000000"/>
              </w:rPr>
              <w:t xml:space="preserve">Refer to </w:t>
            </w:r>
            <w:hyperlink r:id="rId20" w:anchor="!/view?docid=9eef064d-c7d7-42f7-9026-1497496b4d51" w:history="1">
              <w:r w:rsidR="00F267FE">
                <w:rPr>
                  <w:rStyle w:val="Hyperlink"/>
                  <w:rFonts w:ascii="Verdana" w:hAnsi="Verdana"/>
                  <w:bCs/>
                </w:rPr>
                <w:t>PeopleSafe - When to Transfer Calls to the Senior Team (016311)</w:t>
              </w:r>
            </w:hyperlink>
            <w:r w:rsidR="00F267FE">
              <w:rPr>
                <w:rFonts w:ascii="Verdana" w:hAnsi="Verdana"/>
                <w:bCs/>
                <w:color w:val="000000"/>
              </w:rPr>
              <w:t>.</w:t>
            </w:r>
          </w:p>
        </w:tc>
      </w:tr>
      <w:tr w:rsidR="00A50B56" w:rsidRPr="00384851" w14:paraId="3077B531" w14:textId="77777777" w:rsidTr="00EC21FE">
        <w:tc>
          <w:tcPr>
            <w:tcW w:w="348" w:type="pct"/>
            <w:vMerge w:val="restart"/>
          </w:tcPr>
          <w:p w14:paraId="02415991" w14:textId="2A518B50" w:rsidR="00A50B56" w:rsidRDefault="001C162C" w:rsidP="002C5AB0">
            <w:pPr>
              <w:spacing w:before="120" w:after="120"/>
              <w:jc w:val="center"/>
              <w:rPr>
                <w:rFonts w:ascii="Verdana" w:hAnsi="Verdana"/>
                <w:b/>
              </w:rPr>
            </w:pPr>
            <w:r>
              <w:rPr>
                <w:rFonts w:ascii="Verdana" w:hAnsi="Verdana"/>
                <w:b/>
              </w:rPr>
              <w:t>7</w:t>
            </w:r>
          </w:p>
          <w:p w14:paraId="2015AF00" w14:textId="77777777" w:rsidR="00AA351B" w:rsidRDefault="00C26EFB" w:rsidP="002C5AB0">
            <w:pPr>
              <w:spacing w:before="120" w:after="120"/>
              <w:jc w:val="center"/>
              <w:rPr>
                <w:rFonts w:ascii="Verdana" w:hAnsi="Verdana"/>
                <w:b/>
              </w:rPr>
            </w:pPr>
            <w:r>
              <w:rPr>
                <w:noProof/>
              </w:rPr>
              <w:t xml:space="preserve"> </w:t>
            </w:r>
          </w:p>
        </w:tc>
        <w:tc>
          <w:tcPr>
            <w:tcW w:w="4652" w:type="pct"/>
            <w:gridSpan w:val="2"/>
            <w:tcBorders>
              <w:bottom w:val="single" w:sz="4" w:space="0" w:color="auto"/>
            </w:tcBorders>
          </w:tcPr>
          <w:p w14:paraId="7AE743A1" w14:textId="17F71E44" w:rsidR="00A50B56" w:rsidRPr="00456906" w:rsidRDefault="00A50B56" w:rsidP="002C5AB0">
            <w:pPr>
              <w:spacing w:before="120" w:after="120"/>
              <w:rPr>
                <w:rFonts w:ascii="Verdana" w:hAnsi="Verdana"/>
              </w:rPr>
            </w:pPr>
            <w:r w:rsidRPr="00456906">
              <w:rPr>
                <w:rFonts w:ascii="Verdana" w:hAnsi="Verdana"/>
              </w:rPr>
              <w:t xml:space="preserve">Run a </w:t>
            </w:r>
            <w:r w:rsidR="00F267FE">
              <w:rPr>
                <w:rFonts w:ascii="Verdana" w:hAnsi="Verdana"/>
              </w:rPr>
              <w:t xml:space="preserve">test claim. Refer to </w:t>
            </w:r>
            <w:hyperlink r:id="rId21" w:anchor="!/view?docid=59c4e7fa-4a87-43c4-89cd-5d4f8c6c3421" w:history="1">
              <w:r w:rsidR="00F267FE">
                <w:rPr>
                  <w:rStyle w:val="Hyperlink"/>
                  <w:rFonts w:ascii="Verdana" w:hAnsi="Verdana"/>
                  <w:bCs/>
                </w:rPr>
                <w:t>PeopleSafe - Test Claim (004573)</w:t>
              </w:r>
            </w:hyperlink>
            <w:r w:rsidRPr="00456906">
              <w:rPr>
                <w:rFonts w:ascii="Verdana" w:hAnsi="Verdana"/>
              </w:rPr>
              <w:t xml:space="preserve"> for a </w:t>
            </w:r>
            <w:r w:rsidR="002842BB" w:rsidRPr="00456906">
              <w:rPr>
                <w:rFonts w:ascii="Verdana" w:hAnsi="Verdana"/>
              </w:rPr>
              <w:t>90-day</w:t>
            </w:r>
            <w:r w:rsidRPr="00456906">
              <w:rPr>
                <w:rFonts w:ascii="Verdana" w:hAnsi="Verdana"/>
              </w:rPr>
              <w:t xml:space="preserve"> supply of the medication at </w:t>
            </w:r>
            <w:r w:rsidR="004F3AF0" w:rsidRPr="00456906">
              <w:rPr>
                <w:rFonts w:ascii="Verdana" w:hAnsi="Verdana"/>
              </w:rPr>
              <w:t>Mail Order</w:t>
            </w:r>
            <w:r w:rsidRPr="00456906">
              <w:rPr>
                <w:rFonts w:ascii="Verdana" w:hAnsi="Verdana"/>
              </w:rPr>
              <w:t xml:space="preserve"> or </w:t>
            </w:r>
            <w:r w:rsidR="00007101" w:rsidRPr="00456906">
              <w:rPr>
                <w:rFonts w:ascii="Verdana" w:hAnsi="Verdana"/>
              </w:rPr>
              <w:t>our retail pharmacy</w:t>
            </w:r>
            <w:r w:rsidR="002842BB" w:rsidRPr="00456906">
              <w:rPr>
                <w:rFonts w:ascii="Verdana" w:hAnsi="Verdana"/>
              </w:rPr>
              <w:t>.</w:t>
            </w:r>
          </w:p>
          <w:p w14:paraId="151A63EA" w14:textId="28C0F8BE" w:rsidR="00B434FB" w:rsidRPr="00456906" w:rsidRDefault="00B434FB" w:rsidP="002C5AB0">
            <w:pPr>
              <w:spacing w:before="120" w:after="120"/>
              <w:rPr>
                <w:rFonts w:ascii="Verdana" w:hAnsi="Verdana"/>
              </w:rPr>
            </w:pPr>
            <w:r w:rsidRPr="00456906">
              <w:rPr>
                <w:rFonts w:ascii="Verdana" w:hAnsi="Verdana"/>
                <w:b/>
              </w:rPr>
              <w:t>Note</w:t>
            </w:r>
            <w:r w:rsidR="00EC21FE">
              <w:rPr>
                <w:rFonts w:ascii="Verdana" w:hAnsi="Verdana"/>
                <w:b/>
              </w:rPr>
              <w:t xml:space="preserve">: </w:t>
            </w:r>
            <w:r w:rsidRPr="00456906">
              <w:rPr>
                <w:rFonts w:ascii="Verdana" w:hAnsi="Verdana"/>
                <w:color w:val="000000"/>
              </w:rPr>
              <w:t>If the member has called in because they previously Opted Out (</w:t>
            </w:r>
            <w:r w:rsidR="0023389E" w:rsidRPr="00456906">
              <w:rPr>
                <w:rFonts w:ascii="Verdana" w:hAnsi="Verdana"/>
                <w:b/>
                <w:bCs/>
                <w:color w:val="000000"/>
              </w:rPr>
              <w:t>Example</w:t>
            </w:r>
            <w:r w:rsidR="00EC21FE">
              <w:rPr>
                <w:rFonts w:ascii="Verdana" w:hAnsi="Verdana"/>
                <w:b/>
                <w:bCs/>
                <w:color w:val="000000"/>
              </w:rPr>
              <w:t xml:space="preserve">: </w:t>
            </w:r>
            <w:r w:rsidR="0023389E" w:rsidRPr="00456906">
              <w:rPr>
                <w:rFonts w:ascii="Verdana" w:hAnsi="Verdana"/>
                <w:color w:val="000000"/>
              </w:rPr>
              <w:t>T</w:t>
            </w:r>
            <w:r w:rsidRPr="00456906">
              <w:rPr>
                <w:rFonts w:ascii="Verdana" w:hAnsi="Verdana"/>
                <w:color w:val="000000"/>
              </w:rPr>
              <w:t xml:space="preserve">hey wish to continue to fill prescriptions at other retail pharmacies at the plan’s designated retail copay and day supply), but their transactions are being rejected at retail because of Mandatory Maintenance Choice or Mandatory Mail requirement, </w:t>
            </w:r>
            <w:r w:rsidR="00F10B95" w:rsidRPr="00792224">
              <w:rPr>
                <w:rFonts w:ascii="Verdana" w:hAnsi="Verdana"/>
              </w:rPr>
              <w:t>warm transfer (066076)</w:t>
            </w:r>
            <w:r w:rsidRPr="00456906">
              <w:rPr>
                <w:rFonts w:ascii="Verdana" w:hAnsi="Verdana"/>
                <w:color w:val="000000"/>
              </w:rPr>
              <w:t xml:space="preserve"> the call to</w:t>
            </w:r>
            <w:r w:rsidR="00F267FE">
              <w:rPr>
                <w:rFonts w:ascii="Verdana" w:hAnsi="Verdana"/>
                <w:color w:val="000000"/>
              </w:rPr>
              <w:t xml:space="preserve"> the Senior Team. Refer to</w:t>
            </w:r>
            <w:r w:rsidRPr="00456906">
              <w:rPr>
                <w:rFonts w:ascii="Verdana" w:hAnsi="Verdana"/>
                <w:color w:val="000000"/>
              </w:rPr>
              <w:t xml:space="preserve"> </w:t>
            </w:r>
            <w:hyperlink r:id="rId22" w:anchor="!/view?docid=9eef064d-c7d7-42f7-9026-1497496b4d51" w:history="1">
              <w:r w:rsidR="00F267FE">
                <w:rPr>
                  <w:rStyle w:val="Hyperlink"/>
                  <w:rFonts w:ascii="Verdana" w:hAnsi="Verdana"/>
                  <w:bCs/>
                </w:rPr>
                <w:t>PeopleSafe - When to Transfer Calls to the Senior Team (016311)</w:t>
              </w:r>
            </w:hyperlink>
            <w:r w:rsidRPr="00456906">
              <w:rPr>
                <w:rFonts w:ascii="Verdana" w:hAnsi="Verdana"/>
                <w:color w:val="000000"/>
              </w:rPr>
              <w:t xml:space="preserve"> for troubleshooting.</w:t>
            </w:r>
          </w:p>
        </w:tc>
      </w:tr>
      <w:tr w:rsidR="00A50B56" w:rsidRPr="00384851" w14:paraId="7F3F77CE" w14:textId="77777777" w:rsidTr="00EC21FE">
        <w:tc>
          <w:tcPr>
            <w:tcW w:w="348" w:type="pct"/>
            <w:vMerge/>
          </w:tcPr>
          <w:p w14:paraId="7B6EE094" w14:textId="77777777" w:rsidR="00A50B56" w:rsidRDefault="00A50B56" w:rsidP="00E14EE6">
            <w:pPr>
              <w:spacing w:before="120" w:after="120"/>
              <w:jc w:val="center"/>
              <w:rPr>
                <w:rFonts w:ascii="Verdana" w:hAnsi="Verdana"/>
                <w:b/>
              </w:rPr>
            </w:pPr>
          </w:p>
        </w:tc>
        <w:tc>
          <w:tcPr>
            <w:tcW w:w="679" w:type="pct"/>
            <w:shd w:val="pct10" w:color="auto" w:fill="auto"/>
          </w:tcPr>
          <w:p w14:paraId="67AA8E6A" w14:textId="77777777" w:rsidR="00A50B56" w:rsidRPr="00AA351B" w:rsidRDefault="00A50B56" w:rsidP="002C5AB0">
            <w:pPr>
              <w:spacing w:before="120" w:after="120"/>
              <w:jc w:val="center"/>
              <w:rPr>
                <w:rFonts w:ascii="Verdana" w:hAnsi="Verdana"/>
                <w:b/>
              </w:rPr>
            </w:pPr>
            <w:r w:rsidRPr="00AA351B">
              <w:rPr>
                <w:rFonts w:ascii="Verdana" w:hAnsi="Verdana"/>
                <w:b/>
              </w:rPr>
              <w:t>If</w:t>
            </w:r>
            <w:r w:rsidR="00AA351B">
              <w:rPr>
                <w:rFonts w:ascii="Verdana" w:hAnsi="Verdana"/>
                <w:b/>
              </w:rPr>
              <w:t xml:space="preserve"> the Claim</w:t>
            </w:r>
            <w:r w:rsidRPr="00AA351B">
              <w:rPr>
                <w:rFonts w:ascii="Verdana" w:hAnsi="Verdana"/>
                <w:b/>
              </w:rPr>
              <w:t>…</w:t>
            </w:r>
          </w:p>
        </w:tc>
        <w:tc>
          <w:tcPr>
            <w:tcW w:w="3973" w:type="pct"/>
            <w:shd w:val="pct10" w:color="auto" w:fill="auto"/>
          </w:tcPr>
          <w:p w14:paraId="15267411" w14:textId="77777777" w:rsidR="00A50B56" w:rsidRPr="00AA351B" w:rsidRDefault="00A50B56" w:rsidP="002C5AB0">
            <w:pPr>
              <w:spacing w:before="120" w:after="120"/>
              <w:jc w:val="center"/>
              <w:rPr>
                <w:rFonts w:ascii="Verdana" w:hAnsi="Verdana"/>
                <w:b/>
              </w:rPr>
            </w:pPr>
            <w:r w:rsidRPr="00AA351B">
              <w:rPr>
                <w:rFonts w:ascii="Verdana" w:hAnsi="Verdana"/>
                <w:b/>
              </w:rPr>
              <w:t>Then…</w:t>
            </w:r>
          </w:p>
        </w:tc>
      </w:tr>
      <w:tr w:rsidR="00A50B56" w:rsidRPr="00384851" w14:paraId="59D59330" w14:textId="77777777" w:rsidTr="00EC21FE">
        <w:tc>
          <w:tcPr>
            <w:tcW w:w="348" w:type="pct"/>
            <w:vMerge/>
          </w:tcPr>
          <w:p w14:paraId="40E40C8D" w14:textId="77777777" w:rsidR="00A50B56" w:rsidRDefault="00A50B56" w:rsidP="00E14EE6">
            <w:pPr>
              <w:spacing w:before="120" w:after="120"/>
              <w:jc w:val="center"/>
              <w:rPr>
                <w:rFonts w:ascii="Verdana" w:hAnsi="Verdana"/>
                <w:b/>
              </w:rPr>
            </w:pPr>
          </w:p>
        </w:tc>
        <w:tc>
          <w:tcPr>
            <w:tcW w:w="679" w:type="pct"/>
          </w:tcPr>
          <w:p w14:paraId="07C25AA9" w14:textId="77777777" w:rsidR="00A50B56" w:rsidRDefault="00AA351B" w:rsidP="002C5AB0">
            <w:pPr>
              <w:spacing w:before="120" w:after="120"/>
              <w:rPr>
                <w:rFonts w:ascii="Verdana" w:hAnsi="Verdana"/>
              </w:rPr>
            </w:pPr>
            <w:r>
              <w:rPr>
                <w:rFonts w:ascii="Verdana" w:hAnsi="Verdana"/>
              </w:rPr>
              <w:t>P</w:t>
            </w:r>
            <w:r w:rsidR="00A50B56">
              <w:rPr>
                <w:rFonts w:ascii="Verdana" w:hAnsi="Verdana"/>
              </w:rPr>
              <w:t>ays</w:t>
            </w:r>
          </w:p>
        </w:tc>
        <w:tc>
          <w:tcPr>
            <w:tcW w:w="3973" w:type="pct"/>
          </w:tcPr>
          <w:p w14:paraId="461CCC47" w14:textId="77777777" w:rsidR="00775BD6" w:rsidRDefault="00A50B56" w:rsidP="002C5AB0">
            <w:pPr>
              <w:spacing w:before="120" w:after="120"/>
              <w:rPr>
                <w:rFonts w:ascii="Verdana" w:hAnsi="Verdana"/>
              </w:rPr>
            </w:pPr>
            <w:r>
              <w:rPr>
                <w:rFonts w:ascii="Verdana" w:hAnsi="Verdana"/>
              </w:rPr>
              <w:t xml:space="preserve">Proceed to step </w:t>
            </w:r>
            <w:r w:rsidR="000F0D22">
              <w:rPr>
                <w:rFonts w:ascii="Verdana" w:hAnsi="Verdana"/>
              </w:rPr>
              <w:t>8</w:t>
            </w:r>
            <w:r>
              <w:rPr>
                <w:rFonts w:ascii="Verdana" w:hAnsi="Verdana"/>
              </w:rPr>
              <w:t xml:space="preserve">. </w:t>
            </w:r>
          </w:p>
        </w:tc>
      </w:tr>
      <w:tr w:rsidR="00A50B56" w:rsidRPr="00384851" w14:paraId="63C17017" w14:textId="77777777" w:rsidTr="00EC21FE">
        <w:tc>
          <w:tcPr>
            <w:tcW w:w="348" w:type="pct"/>
            <w:vMerge/>
          </w:tcPr>
          <w:p w14:paraId="717C78A5" w14:textId="77777777" w:rsidR="00A50B56" w:rsidRDefault="00A50B56" w:rsidP="00E14EE6">
            <w:pPr>
              <w:spacing w:before="120" w:after="120"/>
              <w:jc w:val="center"/>
              <w:rPr>
                <w:rFonts w:ascii="Verdana" w:hAnsi="Verdana"/>
                <w:b/>
              </w:rPr>
            </w:pPr>
          </w:p>
        </w:tc>
        <w:tc>
          <w:tcPr>
            <w:tcW w:w="679" w:type="pct"/>
          </w:tcPr>
          <w:p w14:paraId="4F2D3479" w14:textId="77777777" w:rsidR="00A50B56" w:rsidRDefault="00AA351B" w:rsidP="002C5AB0">
            <w:pPr>
              <w:spacing w:before="120" w:after="120"/>
              <w:rPr>
                <w:rFonts w:ascii="Verdana" w:hAnsi="Verdana"/>
              </w:rPr>
            </w:pPr>
            <w:r>
              <w:rPr>
                <w:rFonts w:ascii="Verdana" w:hAnsi="Verdana"/>
              </w:rPr>
              <w:t>R</w:t>
            </w:r>
            <w:r w:rsidR="00A50B56">
              <w:rPr>
                <w:rFonts w:ascii="Verdana" w:hAnsi="Verdana"/>
              </w:rPr>
              <w:t>ejects</w:t>
            </w:r>
          </w:p>
        </w:tc>
        <w:tc>
          <w:tcPr>
            <w:tcW w:w="3973" w:type="pct"/>
          </w:tcPr>
          <w:p w14:paraId="1442DA67" w14:textId="44A89C01" w:rsidR="00775BD6" w:rsidRDefault="003507D2" w:rsidP="002C5AB0">
            <w:pPr>
              <w:spacing w:before="120" w:after="120"/>
              <w:rPr>
                <w:rFonts w:ascii="Verdana" w:hAnsi="Verdana"/>
              </w:rPr>
            </w:pPr>
            <w:bookmarkStart w:id="21" w:name="OLE_LINK2"/>
            <w:r>
              <w:rPr>
                <w:rFonts w:ascii="Verdana" w:hAnsi="Verdana"/>
              </w:rPr>
              <w:t>Review the Opt Out to ensure it was entered correctly. If the claim still rejects</w:t>
            </w:r>
            <w:r w:rsidR="00977C95">
              <w:rPr>
                <w:rFonts w:ascii="Verdana" w:hAnsi="Verdana"/>
              </w:rPr>
              <w:t xml:space="preserve"> after ensuring it is correctly entered</w:t>
            </w:r>
            <w:r>
              <w:rPr>
                <w:rFonts w:ascii="Verdana" w:hAnsi="Verdana"/>
              </w:rPr>
              <w:t>, contact the</w:t>
            </w:r>
            <w:r w:rsidR="00F267FE">
              <w:rPr>
                <w:rFonts w:ascii="Verdana" w:hAnsi="Verdana"/>
              </w:rPr>
              <w:t xml:space="preserve"> Senior Team for assistance. Refer to</w:t>
            </w:r>
            <w:r>
              <w:rPr>
                <w:rFonts w:ascii="Verdana" w:hAnsi="Verdana"/>
              </w:rPr>
              <w:t xml:space="preserve"> </w:t>
            </w:r>
            <w:hyperlink r:id="rId23" w:anchor="!/view?docid=9eef064d-c7d7-42f7-9026-1497496b4d51" w:history="1">
              <w:r w:rsidR="00F267FE">
                <w:rPr>
                  <w:rStyle w:val="Hyperlink"/>
                  <w:rFonts w:ascii="Verdana" w:hAnsi="Verdana"/>
                  <w:bCs/>
                </w:rPr>
                <w:t>PeopleSafe - When to Transfer Calls to the Senior Team (016311)</w:t>
              </w:r>
            </w:hyperlink>
            <w:r>
              <w:rPr>
                <w:rFonts w:ascii="Verdana" w:hAnsi="Verdana"/>
              </w:rPr>
              <w:t xml:space="preserve">. </w:t>
            </w:r>
            <w:r w:rsidR="00A50B56">
              <w:rPr>
                <w:rFonts w:ascii="Verdana" w:hAnsi="Verdana"/>
              </w:rPr>
              <w:t xml:space="preserve"> </w:t>
            </w:r>
            <w:bookmarkEnd w:id="21"/>
          </w:p>
        </w:tc>
      </w:tr>
      <w:tr w:rsidR="00233E9A" w:rsidRPr="00384851" w14:paraId="353B85AE" w14:textId="77777777" w:rsidTr="00EC21FE">
        <w:tc>
          <w:tcPr>
            <w:tcW w:w="348" w:type="pct"/>
          </w:tcPr>
          <w:p w14:paraId="0EF617EC" w14:textId="344FB9DF" w:rsidR="002B3DA3" w:rsidRDefault="0023389E" w:rsidP="003A636F">
            <w:pPr>
              <w:spacing w:before="120" w:after="120"/>
              <w:jc w:val="center"/>
              <w:rPr>
                <w:rFonts w:ascii="Verdana" w:hAnsi="Verdana"/>
                <w:b/>
              </w:rPr>
            </w:pPr>
            <w:r>
              <w:rPr>
                <w:rFonts w:ascii="Verdana" w:hAnsi="Verdana"/>
                <w:b/>
              </w:rPr>
              <w:t>8</w:t>
            </w:r>
          </w:p>
        </w:tc>
        <w:tc>
          <w:tcPr>
            <w:tcW w:w="4652" w:type="pct"/>
            <w:gridSpan w:val="2"/>
          </w:tcPr>
          <w:p w14:paraId="12006BFD" w14:textId="77777777" w:rsidR="00495646" w:rsidRPr="00233E9A" w:rsidRDefault="00233E9A" w:rsidP="00B434FB">
            <w:pPr>
              <w:spacing w:before="120" w:after="120"/>
              <w:rPr>
                <w:rFonts w:ascii="Verdana" w:hAnsi="Verdana"/>
              </w:rPr>
            </w:pPr>
            <w:r w:rsidRPr="00233E9A">
              <w:rPr>
                <w:rFonts w:ascii="Verdana" w:hAnsi="Verdana"/>
              </w:rPr>
              <w:t>Inform the member the request has been processed</w:t>
            </w:r>
            <w:r w:rsidR="00412DDF">
              <w:rPr>
                <w:rFonts w:ascii="Verdana" w:hAnsi="Verdana"/>
              </w:rPr>
              <w:t xml:space="preserve"> and the pharmacy may</w:t>
            </w:r>
            <w:r w:rsidR="00383E22">
              <w:rPr>
                <w:rFonts w:ascii="Verdana" w:hAnsi="Verdana"/>
              </w:rPr>
              <w:t xml:space="preserve"> need to reprocess the claim with the current date of service</w:t>
            </w:r>
            <w:r w:rsidRPr="00233E9A">
              <w:rPr>
                <w:rFonts w:ascii="Verdana" w:hAnsi="Verdana"/>
              </w:rPr>
              <w:t>.</w:t>
            </w:r>
          </w:p>
        </w:tc>
      </w:tr>
      <w:tr w:rsidR="0092301D" w:rsidRPr="00384851" w14:paraId="1499390F" w14:textId="77777777" w:rsidTr="00EC21FE">
        <w:tc>
          <w:tcPr>
            <w:tcW w:w="348" w:type="pct"/>
          </w:tcPr>
          <w:p w14:paraId="4784239A" w14:textId="448673E8" w:rsidR="0092301D" w:rsidRDefault="0023389E" w:rsidP="00B434FB">
            <w:pPr>
              <w:spacing w:before="120" w:after="120"/>
              <w:jc w:val="center"/>
              <w:rPr>
                <w:rFonts w:ascii="Verdana" w:hAnsi="Verdana"/>
                <w:b/>
              </w:rPr>
            </w:pPr>
            <w:r>
              <w:rPr>
                <w:rFonts w:ascii="Verdana" w:hAnsi="Verdana"/>
                <w:b/>
              </w:rPr>
              <w:t>9</w:t>
            </w:r>
          </w:p>
          <w:p w14:paraId="3356980C" w14:textId="77777777" w:rsidR="0092301D" w:rsidDel="0092301D" w:rsidRDefault="00775BD6" w:rsidP="00B434FB">
            <w:pPr>
              <w:spacing w:before="120" w:after="120"/>
              <w:jc w:val="center"/>
              <w:rPr>
                <w:rFonts w:ascii="Verdana" w:hAnsi="Verdana"/>
                <w:b/>
              </w:rPr>
            </w:pPr>
            <w:r>
              <w:rPr>
                <w:rFonts w:ascii="Verdana" w:hAnsi="Verdana"/>
                <w:b/>
              </w:rPr>
              <w:t xml:space="preserve"> </w:t>
            </w:r>
          </w:p>
        </w:tc>
        <w:tc>
          <w:tcPr>
            <w:tcW w:w="4652" w:type="pct"/>
            <w:gridSpan w:val="2"/>
          </w:tcPr>
          <w:p w14:paraId="40B90247" w14:textId="52F0254E" w:rsidR="00775BD6" w:rsidRPr="00EC21FE" w:rsidRDefault="0092301D" w:rsidP="00EC21FE">
            <w:pPr>
              <w:spacing w:before="120" w:after="120"/>
              <w:rPr>
                <w:rFonts w:ascii="Verdana" w:hAnsi="Verdana"/>
              </w:rPr>
            </w:pPr>
            <w:r w:rsidRPr="0092301D">
              <w:rPr>
                <w:rFonts w:ascii="Verdana" w:hAnsi="Verdana"/>
                <w:color w:val="000000"/>
              </w:rPr>
              <w:t xml:space="preserve">Review the Client Specific CIF to understand if the client also has the Transform Diabetes Care (TDC) Opt Out program </w:t>
            </w:r>
            <w:r w:rsidRPr="000D3968">
              <w:rPr>
                <w:rFonts w:ascii="Verdana" w:hAnsi="Verdana"/>
                <w:bCs/>
                <w:color w:val="000000"/>
              </w:rPr>
              <w:t>and</w:t>
            </w:r>
            <w:r w:rsidRPr="0092301D">
              <w:rPr>
                <w:rFonts w:ascii="Verdana" w:hAnsi="Verdana"/>
                <w:color w:val="000000"/>
              </w:rPr>
              <w:t xml:space="preserve"> if they have sensitivities regarding member Opt Out procedures for TDC.</w:t>
            </w:r>
          </w:p>
        </w:tc>
      </w:tr>
      <w:tr w:rsidR="00C666F7" w:rsidRPr="00384851" w14:paraId="21D1D59E" w14:textId="77777777" w:rsidTr="00EC21FE">
        <w:trPr>
          <w:trHeight w:val="73"/>
        </w:trPr>
        <w:tc>
          <w:tcPr>
            <w:tcW w:w="348" w:type="pct"/>
          </w:tcPr>
          <w:p w14:paraId="552EB111" w14:textId="71405732" w:rsidR="00C666F7" w:rsidRDefault="0023389E" w:rsidP="00C666F7">
            <w:pPr>
              <w:spacing w:before="120" w:after="120"/>
              <w:jc w:val="center"/>
              <w:rPr>
                <w:rFonts w:ascii="Verdana" w:hAnsi="Verdana"/>
                <w:b/>
              </w:rPr>
            </w:pPr>
            <w:r>
              <w:rPr>
                <w:rFonts w:ascii="Verdana" w:hAnsi="Verdana"/>
                <w:b/>
              </w:rPr>
              <w:t>10</w:t>
            </w:r>
          </w:p>
        </w:tc>
        <w:tc>
          <w:tcPr>
            <w:tcW w:w="4652" w:type="pct"/>
            <w:gridSpan w:val="2"/>
          </w:tcPr>
          <w:p w14:paraId="7B4BB0FD" w14:textId="0693F687" w:rsidR="00C666F7" w:rsidRPr="00233E9A" w:rsidRDefault="00913AAA" w:rsidP="00C666F7">
            <w:pPr>
              <w:spacing w:before="120" w:after="120"/>
              <w:rPr>
                <w:rFonts w:ascii="Verdana" w:hAnsi="Verdana"/>
              </w:rPr>
            </w:pPr>
            <w:r>
              <w:rPr>
                <w:rFonts w:ascii="Verdana" w:hAnsi="Verdana"/>
                <w:noProof/>
              </w:rPr>
              <w:drawing>
                <wp:inline distT="0" distB="0" distL="0" distR="0" wp14:anchorId="2F501533" wp14:editId="1122FEC1">
                  <wp:extent cx="304800" cy="304800"/>
                  <wp:effectExtent l="0" t="0" r="0" b="0"/>
                  <wp:docPr id="19615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rsidR="00C666F7" w:rsidRPr="00233E9A">
              <w:rPr>
                <w:rFonts w:ascii="Verdana" w:hAnsi="Verdana"/>
              </w:rPr>
              <w:t>Confirm that all the member’s needs have been resolved and close the call.</w:t>
            </w:r>
            <w:r w:rsidR="00C666F7">
              <w:rPr>
                <w:rFonts w:ascii="Verdana" w:hAnsi="Verdana"/>
              </w:rPr>
              <w:t xml:space="preserve"> </w:t>
            </w:r>
            <w:r w:rsidR="00486788" w:rsidRPr="00486788">
              <w:rPr>
                <w:rFonts w:ascii="Verdana" w:hAnsi="Verdana"/>
              </w:rPr>
              <w:t xml:space="preserve">The call summary notes will be provided via Cresta. Refer to </w:t>
            </w:r>
            <w:hyperlink r:id="rId25" w:anchor="!/view?docid=f28dbdf4-4355-45be-95c4-6bda1c08a521" w:history="1">
              <w:r w:rsidR="00CD344A">
                <w:rPr>
                  <w:rStyle w:val="Hyperlink"/>
                  <w:rFonts w:ascii="Verdana" w:hAnsi="Verdana"/>
                </w:rPr>
                <w:t>Cresta Functionality and Processes (067901)</w:t>
              </w:r>
            </w:hyperlink>
            <w:r w:rsidR="00486788" w:rsidRPr="00486788">
              <w:rPr>
                <w:rFonts w:ascii="Verdana" w:hAnsi="Verdana"/>
              </w:rPr>
              <w:t xml:space="preserve"> for more information.</w:t>
            </w:r>
          </w:p>
        </w:tc>
      </w:tr>
    </w:tbl>
    <w:p w14:paraId="09FCE40C" w14:textId="77777777" w:rsidR="00943FC4" w:rsidRDefault="00943FC4" w:rsidP="00233E9A">
      <w:pPr>
        <w:rPr>
          <w:rFonts w:ascii="Verdana" w:hAnsi="Verdana"/>
        </w:rPr>
      </w:pPr>
    </w:p>
    <w:p w14:paraId="03D59807" w14:textId="77777777" w:rsidR="00FD5020" w:rsidRDefault="00FD5020" w:rsidP="00233E9A">
      <w:pPr>
        <w:rPr>
          <w:rFonts w:ascii="Verdana" w:hAnsi="Verdana"/>
        </w:rPr>
      </w:pPr>
    </w:p>
    <w:p w14:paraId="45C54513" w14:textId="429BEE8A" w:rsidR="00AA351B" w:rsidRPr="00176400" w:rsidRDefault="00AA351B" w:rsidP="00E14EE6">
      <w:pPr>
        <w:pStyle w:val="BodyTextIndent2"/>
        <w:spacing w:before="120" w:line="240" w:lineRule="auto"/>
        <w:ind w:left="0"/>
        <w:jc w:val="right"/>
        <w:rPr>
          <w:rFonts w:ascii="Verdana" w:hAnsi="Verdana"/>
        </w:rPr>
      </w:pPr>
      <w:hyperlink w:anchor="_top" w:history="1">
        <w:r w:rsidRPr="00E509C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76400" w:rsidRPr="00384851" w14:paraId="2B22E170" w14:textId="77777777" w:rsidTr="00943FC4">
        <w:tc>
          <w:tcPr>
            <w:tcW w:w="5000" w:type="pct"/>
            <w:shd w:val="clear" w:color="auto" w:fill="C0C0C0"/>
          </w:tcPr>
          <w:p w14:paraId="3BF7C3E4" w14:textId="77777777" w:rsidR="00176400" w:rsidRPr="00384851" w:rsidRDefault="00176400" w:rsidP="00C666F7">
            <w:pPr>
              <w:pStyle w:val="Heading2"/>
              <w:spacing w:before="120" w:after="120"/>
              <w:rPr>
                <w:rFonts w:ascii="Verdana" w:hAnsi="Verdana"/>
                <w:i w:val="0"/>
                <w:iCs w:val="0"/>
              </w:rPr>
            </w:pPr>
            <w:bookmarkStart w:id="22" w:name="_Resolution_Time"/>
            <w:bookmarkStart w:id="23" w:name="_Toc478975821"/>
            <w:bookmarkStart w:id="24" w:name="_Toc188009206"/>
            <w:bookmarkEnd w:id="22"/>
            <w:r w:rsidRPr="00384851">
              <w:rPr>
                <w:rFonts w:ascii="Verdana" w:hAnsi="Verdana"/>
                <w:i w:val="0"/>
                <w:iCs w:val="0"/>
              </w:rPr>
              <w:t>Resolution Time</w:t>
            </w:r>
            <w:bookmarkEnd w:id="23"/>
            <w:bookmarkEnd w:id="24"/>
          </w:p>
        </w:tc>
      </w:tr>
    </w:tbl>
    <w:p w14:paraId="742F56D5" w14:textId="77777777" w:rsidR="0092301D" w:rsidRDefault="00233E9A" w:rsidP="00C666F7">
      <w:pPr>
        <w:spacing w:before="120" w:after="120"/>
        <w:rPr>
          <w:rFonts w:ascii="Verdana" w:hAnsi="Verdana"/>
        </w:rPr>
      </w:pPr>
      <w:r>
        <w:rPr>
          <w:rFonts w:ascii="Verdana" w:hAnsi="Verdana"/>
        </w:rPr>
        <w:t>Immediate</w:t>
      </w:r>
    </w:p>
    <w:p w14:paraId="57231EB7" w14:textId="593BCB50" w:rsidR="0092301D" w:rsidRPr="00176400" w:rsidRDefault="0092301D" w:rsidP="00E14EE6">
      <w:pPr>
        <w:pStyle w:val="BodyTextIndent2"/>
        <w:spacing w:before="120" w:line="240" w:lineRule="auto"/>
        <w:ind w:left="0"/>
        <w:jc w:val="right"/>
        <w:rPr>
          <w:rFonts w:ascii="Verdana" w:hAnsi="Verdana"/>
        </w:rPr>
      </w:pPr>
      <w:hyperlink w:anchor="_top" w:history="1">
        <w:r w:rsidRPr="00E509C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2301D" w:rsidRPr="00384851" w14:paraId="2F71F975" w14:textId="77777777" w:rsidTr="00775FCD">
        <w:tc>
          <w:tcPr>
            <w:tcW w:w="5000" w:type="pct"/>
            <w:shd w:val="clear" w:color="auto" w:fill="C0C0C0"/>
          </w:tcPr>
          <w:p w14:paraId="795E3DB3" w14:textId="24B722F0" w:rsidR="0092301D" w:rsidRPr="00384851" w:rsidRDefault="0092301D" w:rsidP="00C666F7">
            <w:pPr>
              <w:pStyle w:val="Heading2"/>
              <w:spacing w:before="120" w:after="120"/>
              <w:rPr>
                <w:rFonts w:ascii="Verdana" w:hAnsi="Verdana"/>
                <w:i w:val="0"/>
                <w:iCs w:val="0"/>
              </w:rPr>
            </w:pPr>
            <w:bookmarkStart w:id="25" w:name="_Toc188009207"/>
            <w:r>
              <w:rPr>
                <w:rFonts w:ascii="Verdana" w:hAnsi="Verdana"/>
                <w:i w:val="0"/>
                <w:iCs w:val="0"/>
              </w:rPr>
              <w:t>Related Documents</w:t>
            </w:r>
            <w:bookmarkEnd w:id="25"/>
          </w:p>
        </w:tc>
      </w:tr>
    </w:tbl>
    <w:p w14:paraId="4A79026A" w14:textId="7B54F453" w:rsidR="00ED2936" w:rsidRDefault="009341BC" w:rsidP="002C5AB0">
      <w:pPr>
        <w:spacing w:before="120" w:after="120"/>
        <w:rPr>
          <w:rFonts w:ascii="Verdana" w:hAnsi="Verdana"/>
        </w:rPr>
      </w:pPr>
      <w:hyperlink r:id="rId26" w:anchor="!/view?docid=bdac0c67-5fee-47ba-a3aa-aab84900cf78" w:history="1">
        <w:r>
          <w:rPr>
            <w:rStyle w:val="Hyperlink"/>
            <w:rFonts w:ascii="Verdana" w:hAnsi="Verdana"/>
          </w:rPr>
          <w:t>Log Activity/Capture Activity codes (005164)</w:t>
        </w:r>
      </w:hyperlink>
    </w:p>
    <w:p w14:paraId="1F5E6EC8" w14:textId="12F66AD4" w:rsidR="00ED2936" w:rsidRDefault="002C5AB0" w:rsidP="002C5AB0">
      <w:pPr>
        <w:autoSpaceDE w:val="0"/>
        <w:autoSpaceDN w:val="0"/>
        <w:adjustRightInd w:val="0"/>
        <w:spacing w:before="120" w:after="120"/>
        <w:rPr>
          <w:rFonts w:ascii="Verdana" w:hAnsi="Verdana" w:cs="Verdana"/>
        </w:rPr>
      </w:pPr>
      <w:hyperlink r:id="rId27" w:anchor="!/view?docid=c1f1028b-e42c-4b4f-a4cf-cc0b42c91606" w:history="1">
        <w:r>
          <w:rPr>
            <w:rFonts w:ascii="Verdana" w:hAnsi="Verdana" w:cs="Verdana"/>
            <w:color w:val="0000FF"/>
            <w:u w:val="single"/>
          </w:rPr>
          <w:t>Customer Care Abbreviations, Definitions, and Terms Index (017428)</w:t>
        </w:r>
      </w:hyperlink>
    </w:p>
    <w:p w14:paraId="427BDA0A" w14:textId="04CCB312" w:rsidR="003A636F" w:rsidRDefault="003A636F" w:rsidP="00E14EE6">
      <w:pPr>
        <w:spacing w:before="120" w:after="120"/>
        <w:rPr>
          <w:rFonts w:ascii="Verdana" w:hAnsi="Verdana"/>
        </w:rPr>
      </w:pPr>
      <w:r w:rsidRPr="004E497A">
        <w:rPr>
          <w:rFonts w:ascii="Verdana" w:hAnsi="Verdana"/>
        </w:rPr>
        <w:t xml:space="preserve"> </w:t>
      </w:r>
    </w:p>
    <w:p w14:paraId="246897FD" w14:textId="3C18183A" w:rsidR="00775BD6" w:rsidRPr="00943FC4" w:rsidRDefault="00775BD6" w:rsidP="00E14EE6">
      <w:pPr>
        <w:spacing w:before="120" w:after="120"/>
        <w:rPr>
          <w:rFonts w:ascii="Verdana" w:hAnsi="Verdana"/>
        </w:rPr>
      </w:pPr>
      <w:r w:rsidRPr="00775BD6">
        <w:rPr>
          <w:rFonts w:ascii="Verdana" w:hAnsi="Verdana"/>
          <w:b/>
        </w:rPr>
        <w:t>Parent Document</w:t>
      </w:r>
      <w:r w:rsidR="00EC21FE">
        <w:rPr>
          <w:rFonts w:ascii="Verdana" w:hAnsi="Verdana"/>
          <w:b/>
        </w:rPr>
        <w:t xml:space="preserve">: </w:t>
      </w:r>
      <w:hyperlink r:id="rId28" w:tgtFrame="_blank" w:history="1">
        <w:r w:rsidRPr="00943FC4">
          <w:rPr>
            <w:rFonts w:ascii="Verdana" w:hAnsi="Verdana"/>
            <w:color w:val="0000FF"/>
            <w:u w:val="single"/>
          </w:rPr>
          <w:t>CALL 0049 Customer Care Internal and External Call Handling</w:t>
        </w:r>
      </w:hyperlink>
    </w:p>
    <w:p w14:paraId="5B9B7D08" w14:textId="44841F5B" w:rsidR="00775BD6" w:rsidRDefault="00775BD6" w:rsidP="00775BD6">
      <w:pPr>
        <w:autoSpaceDE w:val="0"/>
        <w:autoSpaceDN w:val="0"/>
        <w:adjustRightInd w:val="0"/>
        <w:rPr>
          <w:rFonts w:ascii="Verdana" w:hAnsi="Verdana" w:cs="Verdana"/>
        </w:rPr>
      </w:pPr>
    </w:p>
    <w:p w14:paraId="7718779E" w14:textId="29978C28" w:rsidR="00943FC4" w:rsidRPr="00943FC4" w:rsidRDefault="00943FC4" w:rsidP="00E14EE6">
      <w:pPr>
        <w:spacing w:before="120" w:after="120"/>
        <w:jc w:val="right"/>
        <w:rPr>
          <w:rFonts w:ascii="Verdana" w:hAnsi="Verdana"/>
        </w:rPr>
      </w:pPr>
      <w:hyperlink w:anchor="_top" w:history="1">
        <w:r w:rsidRPr="00E509CB">
          <w:rPr>
            <w:rStyle w:val="Hyperlink"/>
            <w:rFonts w:ascii="Verdana" w:hAnsi="Verdana"/>
          </w:rPr>
          <w:t>Top of the Document</w:t>
        </w:r>
      </w:hyperlink>
    </w:p>
    <w:p w14:paraId="00B1CED4" w14:textId="77777777" w:rsidR="00115944" w:rsidRPr="00C247CB" w:rsidRDefault="00061AD2" w:rsidP="00C247CB">
      <w:pPr>
        <w:jc w:val="center"/>
        <w:rPr>
          <w:rFonts w:ascii="Verdana" w:hAnsi="Verdana"/>
          <w:sz w:val="16"/>
          <w:szCs w:val="16"/>
        </w:rPr>
      </w:pPr>
      <w:r>
        <w:rPr>
          <w:rFonts w:ascii="Verdana" w:hAnsi="Verdana"/>
          <w:sz w:val="16"/>
          <w:szCs w:val="16"/>
        </w:rPr>
        <w:t xml:space="preserve"> </w:t>
      </w:r>
    </w:p>
    <w:p w14:paraId="40585A2E" w14:textId="77777777" w:rsidR="00943FC4" w:rsidRPr="00943FC4" w:rsidRDefault="00943FC4" w:rsidP="00C247CB">
      <w:pPr>
        <w:jc w:val="center"/>
        <w:rPr>
          <w:rFonts w:ascii="Verdana" w:hAnsi="Verdana"/>
          <w:sz w:val="16"/>
          <w:szCs w:val="16"/>
        </w:rPr>
      </w:pPr>
      <w:r w:rsidRPr="00943FC4">
        <w:rPr>
          <w:rFonts w:ascii="Verdana" w:hAnsi="Verdana"/>
          <w:sz w:val="16"/>
          <w:szCs w:val="16"/>
        </w:rPr>
        <w:t>Not to Be Reproduced or Disclosed to Others without Prior Written Approval</w:t>
      </w:r>
    </w:p>
    <w:p w14:paraId="18887546" w14:textId="77777777" w:rsidR="005A64DA" w:rsidRPr="00C247CB" w:rsidRDefault="00943FC4" w:rsidP="00C247CB">
      <w:pPr>
        <w:jc w:val="center"/>
        <w:rPr>
          <w:rFonts w:ascii="Verdana" w:hAnsi="Verdana"/>
          <w:sz w:val="16"/>
          <w:szCs w:val="16"/>
        </w:rPr>
      </w:pPr>
      <w:r w:rsidRPr="00943FC4">
        <w:rPr>
          <w:rFonts w:ascii="Verdana" w:hAnsi="Verdana"/>
          <w:b/>
          <w:color w:val="000000"/>
          <w:sz w:val="16"/>
          <w:szCs w:val="16"/>
        </w:rPr>
        <w:t>ELECTRONIC DATA = OFFICIAL VERSION / PAPER COPY = INFORMATIONAL ONLY</w:t>
      </w:r>
    </w:p>
    <w:sectPr w:rsidR="005A64DA" w:rsidRPr="00C247CB" w:rsidSect="00F1152F">
      <w:footerReference w:type="even" r:id="rId29"/>
      <w:footerReference w:type="default" r:id="rId30"/>
      <w:headerReference w:type="first" r:id="rId31"/>
      <w:footerReference w:type="first" r:id="rId32"/>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A50BAF" w14:textId="77777777" w:rsidR="009244B3" w:rsidRDefault="009244B3">
      <w:r>
        <w:separator/>
      </w:r>
    </w:p>
  </w:endnote>
  <w:endnote w:type="continuationSeparator" w:id="0">
    <w:p w14:paraId="4AEC68A8" w14:textId="77777777" w:rsidR="009244B3" w:rsidRDefault="00924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773B2" w14:textId="77777777" w:rsidR="00CD6429" w:rsidRDefault="00CD642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FE2BF0" w14:textId="77777777" w:rsidR="00CD6429" w:rsidRDefault="00CD6429"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D5525" w14:textId="77777777" w:rsidR="00CD6429" w:rsidRDefault="00CD642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466E0">
      <w:rPr>
        <w:rStyle w:val="PageNumber"/>
        <w:noProof/>
      </w:rPr>
      <w:t>8</w:t>
    </w:r>
    <w:r>
      <w:rPr>
        <w:rStyle w:val="PageNumber"/>
      </w:rPr>
      <w:fldChar w:fldCharType="end"/>
    </w:r>
  </w:p>
  <w:p w14:paraId="7A782C47" w14:textId="77777777" w:rsidR="00CD6429" w:rsidRPr="00245D49" w:rsidRDefault="00CD6429"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DB75C" w14:textId="77777777" w:rsidR="00CD6429" w:rsidRPr="00CD2229" w:rsidRDefault="00CD6429">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894BA" w14:textId="77777777" w:rsidR="009244B3" w:rsidRDefault="009244B3">
      <w:r>
        <w:separator/>
      </w:r>
    </w:p>
  </w:footnote>
  <w:footnote w:type="continuationSeparator" w:id="0">
    <w:p w14:paraId="0F3FA805" w14:textId="77777777" w:rsidR="009244B3" w:rsidRDefault="009244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D66F6" w14:textId="77777777" w:rsidR="00CD6429" w:rsidRDefault="00CD6429">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8.75pt;height:16.5pt;visibility:visible;mso-wrap-style:square" o:bullet="t">
        <v:imagedata r:id="rId1" o:title=""/>
      </v:shape>
    </w:pict>
  </w:numPicBullet>
  <w:abstractNum w:abstractNumId="0" w15:restartNumberingAfterBreak="0">
    <w:nsid w:val="01BC4A68"/>
    <w:multiLevelType w:val="hybridMultilevel"/>
    <w:tmpl w:val="977AC914"/>
    <w:lvl w:ilvl="0" w:tplc="20FCBC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06135"/>
    <w:multiLevelType w:val="hybridMultilevel"/>
    <w:tmpl w:val="E61E8ED2"/>
    <w:lvl w:ilvl="0" w:tplc="3F88A3EC">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C43B0"/>
    <w:multiLevelType w:val="hybridMultilevel"/>
    <w:tmpl w:val="FD1CB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50D14"/>
    <w:multiLevelType w:val="hybridMultilevel"/>
    <w:tmpl w:val="7CECCC38"/>
    <w:lvl w:ilvl="0" w:tplc="9E640AC0">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8C16CF"/>
    <w:multiLevelType w:val="hybridMultilevel"/>
    <w:tmpl w:val="45820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91D3F"/>
    <w:multiLevelType w:val="hybridMultilevel"/>
    <w:tmpl w:val="706C7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80A76"/>
    <w:multiLevelType w:val="hybridMultilevel"/>
    <w:tmpl w:val="1DDE47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A7672C"/>
    <w:multiLevelType w:val="hybridMultilevel"/>
    <w:tmpl w:val="11E49CB8"/>
    <w:lvl w:ilvl="0" w:tplc="8BBC544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D56B8C"/>
    <w:multiLevelType w:val="hybridMultilevel"/>
    <w:tmpl w:val="72C08CA6"/>
    <w:lvl w:ilvl="0" w:tplc="4EF09F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D8101B"/>
    <w:multiLevelType w:val="hybridMultilevel"/>
    <w:tmpl w:val="F9FE18FC"/>
    <w:lvl w:ilvl="0" w:tplc="96C6CF5E">
      <w:start w:val="1"/>
      <w:numFmt w:val="bullet"/>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785D09"/>
    <w:multiLevelType w:val="hybridMultilevel"/>
    <w:tmpl w:val="8A22E000"/>
    <w:lvl w:ilvl="0" w:tplc="078281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C01A29"/>
    <w:multiLevelType w:val="hybridMultilevel"/>
    <w:tmpl w:val="B714F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E415CF7"/>
    <w:multiLevelType w:val="hybridMultilevel"/>
    <w:tmpl w:val="C3BEF3C4"/>
    <w:lvl w:ilvl="0" w:tplc="786C687C">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F732CBF"/>
    <w:multiLevelType w:val="hybridMultilevel"/>
    <w:tmpl w:val="A7B07A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1E5FA6"/>
    <w:multiLevelType w:val="hybridMultilevel"/>
    <w:tmpl w:val="3B709A5E"/>
    <w:lvl w:ilvl="0" w:tplc="DCC400EC">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CC350B"/>
    <w:multiLevelType w:val="hybridMultilevel"/>
    <w:tmpl w:val="49AEF3E6"/>
    <w:lvl w:ilvl="0" w:tplc="3F88A3EC">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C074B1"/>
    <w:multiLevelType w:val="hybridMultilevel"/>
    <w:tmpl w:val="9E8606E6"/>
    <w:lvl w:ilvl="0" w:tplc="FD8433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626C0E97"/>
    <w:multiLevelType w:val="hybridMultilevel"/>
    <w:tmpl w:val="A4B082CC"/>
    <w:lvl w:ilvl="0" w:tplc="A88EC8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8" w15:restartNumberingAfterBreak="0">
    <w:nsid w:val="634F1610"/>
    <w:multiLevelType w:val="hybridMultilevel"/>
    <w:tmpl w:val="3CDC48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20" w15:restartNumberingAfterBreak="0">
    <w:nsid w:val="66202569"/>
    <w:multiLevelType w:val="hybridMultilevel"/>
    <w:tmpl w:val="C5EA26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7684B45"/>
    <w:multiLevelType w:val="hybridMultilevel"/>
    <w:tmpl w:val="365CD2AC"/>
    <w:lvl w:ilvl="0" w:tplc="3F88A3EC">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936C39"/>
    <w:multiLevelType w:val="hybridMultilevel"/>
    <w:tmpl w:val="2DDCA0E0"/>
    <w:lvl w:ilvl="0" w:tplc="C7EC1F00">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5A87EB0"/>
    <w:multiLevelType w:val="hybridMultilevel"/>
    <w:tmpl w:val="6512EB60"/>
    <w:lvl w:ilvl="0" w:tplc="3F88A3EC">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027E90"/>
    <w:multiLevelType w:val="hybridMultilevel"/>
    <w:tmpl w:val="58122292"/>
    <w:lvl w:ilvl="0" w:tplc="F830D9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16cid:durableId="840972938">
    <w:abstractNumId w:val="6"/>
  </w:num>
  <w:num w:numId="2" w16cid:durableId="1391420879">
    <w:abstractNumId w:val="9"/>
  </w:num>
  <w:num w:numId="3" w16cid:durableId="594942792">
    <w:abstractNumId w:val="19"/>
  </w:num>
  <w:num w:numId="4" w16cid:durableId="434518435">
    <w:abstractNumId w:val="20"/>
  </w:num>
  <w:num w:numId="5" w16cid:durableId="1941522803">
    <w:abstractNumId w:val="21"/>
  </w:num>
  <w:num w:numId="6" w16cid:durableId="1386297469">
    <w:abstractNumId w:val="14"/>
  </w:num>
  <w:num w:numId="7" w16cid:durableId="535823190">
    <w:abstractNumId w:val="15"/>
  </w:num>
  <w:num w:numId="8" w16cid:durableId="1703827538">
    <w:abstractNumId w:val="18"/>
  </w:num>
  <w:num w:numId="9" w16cid:durableId="749808449">
    <w:abstractNumId w:val="13"/>
  </w:num>
  <w:num w:numId="10" w16cid:durableId="715660431">
    <w:abstractNumId w:val="23"/>
  </w:num>
  <w:num w:numId="11" w16cid:durableId="1942570867">
    <w:abstractNumId w:val="1"/>
  </w:num>
  <w:num w:numId="12" w16cid:durableId="895314143">
    <w:abstractNumId w:val="5"/>
  </w:num>
  <w:num w:numId="13" w16cid:durableId="1993555733">
    <w:abstractNumId w:val="4"/>
  </w:num>
  <w:num w:numId="14" w16cid:durableId="1530685241">
    <w:abstractNumId w:val="10"/>
  </w:num>
  <w:num w:numId="15" w16cid:durableId="1204901421">
    <w:abstractNumId w:val="2"/>
  </w:num>
  <w:num w:numId="16" w16cid:durableId="397171218">
    <w:abstractNumId w:val="11"/>
  </w:num>
  <w:num w:numId="17" w16cid:durableId="362639187">
    <w:abstractNumId w:val="0"/>
  </w:num>
  <w:num w:numId="18" w16cid:durableId="1597209951">
    <w:abstractNumId w:val="22"/>
  </w:num>
  <w:num w:numId="19" w16cid:durableId="1197473865">
    <w:abstractNumId w:val="7"/>
  </w:num>
  <w:num w:numId="20" w16cid:durableId="2139300754">
    <w:abstractNumId w:val="12"/>
  </w:num>
  <w:num w:numId="21" w16cid:durableId="526992237">
    <w:abstractNumId w:val="16"/>
  </w:num>
  <w:num w:numId="22" w16cid:durableId="214237830">
    <w:abstractNumId w:val="24"/>
  </w:num>
  <w:num w:numId="23" w16cid:durableId="657729642">
    <w:abstractNumId w:val="8"/>
  </w:num>
  <w:num w:numId="24" w16cid:durableId="1842309526">
    <w:abstractNumId w:val="17"/>
  </w:num>
  <w:num w:numId="25" w16cid:durableId="2051566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1B44"/>
    <w:rsid w:val="00007101"/>
    <w:rsid w:val="00015A2E"/>
    <w:rsid w:val="000227C0"/>
    <w:rsid w:val="00035BED"/>
    <w:rsid w:val="000361BE"/>
    <w:rsid w:val="00041247"/>
    <w:rsid w:val="00041FB6"/>
    <w:rsid w:val="00042831"/>
    <w:rsid w:val="000476B6"/>
    <w:rsid w:val="00061174"/>
    <w:rsid w:val="00061AD2"/>
    <w:rsid w:val="00065508"/>
    <w:rsid w:val="0007513A"/>
    <w:rsid w:val="00075A3B"/>
    <w:rsid w:val="00080287"/>
    <w:rsid w:val="00083E32"/>
    <w:rsid w:val="0008665F"/>
    <w:rsid w:val="00087E13"/>
    <w:rsid w:val="00095AB5"/>
    <w:rsid w:val="000A6B88"/>
    <w:rsid w:val="000A77D9"/>
    <w:rsid w:val="000B0A07"/>
    <w:rsid w:val="000B130F"/>
    <w:rsid w:val="000B3527"/>
    <w:rsid w:val="000B3C4C"/>
    <w:rsid w:val="000B656F"/>
    <w:rsid w:val="000B72DF"/>
    <w:rsid w:val="000D1870"/>
    <w:rsid w:val="000D3968"/>
    <w:rsid w:val="000D6714"/>
    <w:rsid w:val="000F0D1B"/>
    <w:rsid w:val="000F0D22"/>
    <w:rsid w:val="000F3886"/>
    <w:rsid w:val="000F4459"/>
    <w:rsid w:val="000F557E"/>
    <w:rsid w:val="001011EB"/>
    <w:rsid w:val="001031A5"/>
    <w:rsid w:val="00106B1F"/>
    <w:rsid w:val="00115944"/>
    <w:rsid w:val="00123408"/>
    <w:rsid w:val="0012373E"/>
    <w:rsid w:val="00125AB1"/>
    <w:rsid w:val="001360A5"/>
    <w:rsid w:val="001406EB"/>
    <w:rsid w:val="00143C97"/>
    <w:rsid w:val="001532A1"/>
    <w:rsid w:val="001560C4"/>
    <w:rsid w:val="00160F62"/>
    <w:rsid w:val="0016273A"/>
    <w:rsid w:val="00171F9C"/>
    <w:rsid w:val="0017251C"/>
    <w:rsid w:val="001760FF"/>
    <w:rsid w:val="00176400"/>
    <w:rsid w:val="00176E4F"/>
    <w:rsid w:val="001918F0"/>
    <w:rsid w:val="001A3F03"/>
    <w:rsid w:val="001B0351"/>
    <w:rsid w:val="001B0CFB"/>
    <w:rsid w:val="001B3879"/>
    <w:rsid w:val="001C162C"/>
    <w:rsid w:val="001F1218"/>
    <w:rsid w:val="001F78DE"/>
    <w:rsid w:val="002016B4"/>
    <w:rsid w:val="00203974"/>
    <w:rsid w:val="002055CF"/>
    <w:rsid w:val="00211427"/>
    <w:rsid w:val="00214230"/>
    <w:rsid w:val="00215580"/>
    <w:rsid w:val="00215603"/>
    <w:rsid w:val="002169D0"/>
    <w:rsid w:val="00225765"/>
    <w:rsid w:val="00225877"/>
    <w:rsid w:val="0023020D"/>
    <w:rsid w:val="0023389E"/>
    <w:rsid w:val="00233E9A"/>
    <w:rsid w:val="00243EBB"/>
    <w:rsid w:val="00245D49"/>
    <w:rsid w:val="00250AAC"/>
    <w:rsid w:val="00254E60"/>
    <w:rsid w:val="00255C6B"/>
    <w:rsid w:val="0026533A"/>
    <w:rsid w:val="00265D86"/>
    <w:rsid w:val="00280DB1"/>
    <w:rsid w:val="0028215B"/>
    <w:rsid w:val="002842BB"/>
    <w:rsid w:val="00291CE8"/>
    <w:rsid w:val="00296127"/>
    <w:rsid w:val="00296765"/>
    <w:rsid w:val="002B10A2"/>
    <w:rsid w:val="002B3DA3"/>
    <w:rsid w:val="002B593E"/>
    <w:rsid w:val="002C5AB0"/>
    <w:rsid w:val="002D1692"/>
    <w:rsid w:val="002D4BE0"/>
    <w:rsid w:val="002E58AD"/>
    <w:rsid w:val="002F066E"/>
    <w:rsid w:val="002F1F92"/>
    <w:rsid w:val="002F34FA"/>
    <w:rsid w:val="00300826"/>
    <w:rsid w:val="00312690"/>
    <w:rsid w:val="003147A8"/>
    <w:rsid w:val="00326112"/>
    <w:rsid w:val="0033143E"/>
    <w:rsid w:val="003417A9"/>
    <w:rsid w:val="00346E99"/>
    <w:rsid w:val="003507D2"/>
    <w:rsid w:val="003562B6"/>
    <w:rsid w:val="00361727"/>
    <w:rsid w:val="00370235"/>
    <w:rsid w:val="003725A1"/>
    <w:rsid w:val="003731DE"/>
    <w:rsid w:val="00374B04"/>
    <w:rsid w:val="00380238"/>
    <w:rsid w:val="00382C29"/>
    <w:rsid w:val="00383E22"/>
    <w:rsid w:val="00384851"/>
    <w:rsid w:val="003868A2"/>
    <w:rsid w:val="003922D7"/>
    <w:rsid w:val="00392A5B"/>
    <w:rsid w:val="003A636F"/>
    <w:rsid w:val="003A6D70"/>
    <w:rsid w:val="003B1F86"/>
    <w:rsid w:val="003B380A"/>
    <w:rsid w:val="003C4627"/>
    <w:rsid w:val="003D1833"/>
    <w:rsid w:val="003E0FA3"/>
    <w:rsid w:val="003E2656"/>
    <w:rsid w:val="003E320F"/>
    <w:rsid w:val="003E6C1A"/>
    <w:rsid w:val="003F1929"/>
    <w:rsid w:val="003F3F82"/>
    <w:rsid w:val="003F5F28"/>
    <w:rsid w:val="00403F13"/>
    <w:rsid w:val="0040640A"/>
    <w:rsid w:val="00406DB5"/>
    <w:rsid w:val="00412DDF"/>
    <w:rsid w:val="004135FD"/>
    <w:rsid w:val="00421326"/>
    <w:rsid w:val="0042336D"/>
    <w:rsid w:val="0042436D"/>
    <w:rsid w:val="00430087"/>
    <w:rsid w:val="00430E7B"/>
    <w:rsid w:val="00443F8C"/>
    <w:rsid w:val="00446205"/>
    <w:rsid w:val="00454C4C"/>
    <w:rsid w:val="00456906"/>
    <w:rsid w:val="00456AA1"/>
    <w:rsid w:val="00457EAE"/>
    <w:rsid w:val="004768BE"/>
    <w:rsid w:val="00477F73"/>
    <w:rsid w:val="0048355A"/>
    <w:rsid w:val="00485AE5"/>
    <w:rsid w:val="00486788"/>
    <w:rsid w:val="00493C17"/>
    <w:rsid w:val="00495646"/>
    <w:rsid w:val="004A3966"/>
    <w:rsid w:val="004B4011"/>
    <w:rsid w:val="004C0A8E"/>
    <w:rsid w:val="004C0F99"/>
    <w:rsid w:val="004C286E"/>
    <w:rsid w:val="004C3B40"/>
    <w:rsid w:val="004C46B8"/>
    <w:rsid w:val="004D1174"/>
    <w:rsid w:val="004D2403"/>
    <w:rsid w:val="004D3C53"/>
    <w:rsid w:val="004E0D78"/>
    <w:rsid w:val="004E113F"/>
    <w:rsid w:val="004E497A"/>
    <w:rsid w:val="004F3AF0"/>
    <w:rsid w:val="005009D8"/>
    <w:rsid w:val="00512486"/>
    <w:rsid w:val="0052465B"/>
    <w:rsid w:val="00524CDD"/>
    <w:rsid w:val="00533C5E"/>
    <w:rsid w:val="00540A38"/>
    <w:rsid w:val="00550223"/>
    <w:rsid w:val="00565CBB"/>
    <w:rsid w:val="00572F86"/>
    <w:rsid w:val="00582E85"/>
    <w:rsid w:val="005910B5"/>
    <w:rsid w:val="00595D75"/>
    <w:rsid w:val="00597BB3"/>
    <w:rsid w:val="005A6118"/>
    <w:rsid w:val="005A64DA"/>
    <w:rsid w:val="005C06E5"/>
    <w:rsid w:val="005C1D83"/>
    <w:rsid w:val="005C5B6D"/>
    <w:rsid w:val="005C7431"/>
    <w:rsid w:val="005D40A0"/>
    <w:rsid w:val="005E650E"/>
    <w:rsid w:val="005F147B"/>
    <w:rsid w:val="005F2287"/>
    <w:rsid w:val="00606388"/>
    <w:rsid w:val="00606D1E"/>
    <w:rsid w:val="00621776"/>
    <w:rsid w:val="00622D77"/>
    <w:rsid w:val="00625993"/>
    <w:rsid w:val="006269A5"/>
    <w:rsid w:val="00627F34"/>
    <w:rsid w:val="00630C09"/>
    <w:rsid w:val="00631422"/>
    <w:rsid w:val="00636B18"/>
    <w:rsid w:val="00637CA1"/>
    <w:rsid w:val="00641644"/>
    <w:rsid w:val="006576E4"/>
    <w:rsid w:val="00661059"/>
    <w:rsid w:val="00661A64"/>
    <w:rsid w:val="006634A0"/>
    <w:rsid w:val="00674A16"/>
    <w:rsid w:val="00677D0A"/>
    <w:rsid w:val="006811D2"/>
    <w:rsid w:val="00681AC7"/>
    <w:rsid w:val="00690A62"/>
    <w:rsid w:val="00690E9A"/>
    <w:rsid w:val="00691E10"/>
    <w:rsid w:val="006941A2"/>
    <w:rsid w:val="006967E3"/>
    <w:rsid w:val="006A0481"/>
    <w:rsid w:val="006A1033"/>
    <w:rsid w:val="006A7503"/>
    <w:rsid w:val="006B077F"/>
    <w:rsid w:val="006C653F"/>
    <w:rsid w:val="006D0A7B"/>
    <w:rsid w:val="006D1B60"/>
    <w:rsid w:val="006D504E"/>
    <w:rsid w:val="006E1498"/>
    <w:rsid w:val="006E16A1"/>
    <w:rsid w:val="006E32E9"/>
    <w:rsid w:val="006E46FA"/>
    <w:rsid w:val="006E5078"/>
    <w:rsid w:val="006F565C"/>
    <w:rsid w:val="006F6711"/>
    <w:rsid w:val="006F7DFC"/>
    <w:rsid w:val="00702B99"/>
    <w:rsid w:val="00704AF2"/>
    <w:rsid w:val="007055D6"/>
    <w:rsid w:val="00705FD2"/>
    <w:rsid w:val="00706AAA"/>
    <w:rsid w:val="00710E68"/>
    <w:rsid w:val="00710F2B"/>
    <w:rsid w:val="00714BA0"/>
    <w:rsid w:val="00720CC2"/>
    <w:rsid w:val="00724D57"/>
    <w:rsid w:val="007269B6"/>
    <w:rsid w:val="00726E7A"/>
    <w:rsid w:val="00730F9C"/>
    <w:rsid w:val="0073294A"/>
    <w:rsid w:val="00732E52"/>
    <w:rsid w:val="00737103"/>
    <w:rsid w:val="00752801"/>
    <w:rsid w:val="007530F7"/>
    <w:rsid w:val="00756781"/>
    <w:rsid w:val="00762121"/>
    <w:rsid w:val="007645C4"/>
    <w:rsid w:val="00766259"/>
    <w:rsid w:val="00770E94"/>
    <w:rsid w:val="00771954"/>
    <w:rsid w:val="00775BD6"/>
    <w:rsid w:val="00775FCD"/>
    <w:rsid w:val="00785118"/>
    <w:rsid w:val="00786BEB"/>
    <w:rsid w:val="007873A8"/>
    <w:rsid w:val="00792224"/>
    <w:rsid w:val="007965F1"/>
    <w:rsid w:val="007A1966"/>
    <w:rsid w:val="007A3982"/>
    <w:rsid w:val="007C77DD"/>
    <w:rsid w:val="007E1C5C"/>
    <w:rsid w:val="007E2908"/>
    <w:rsid w:val="007E2EE0"/>
    <w:rsid w:val="007E3EA6"/>
    <w:rsid w:val="007F1785"/>
    <w:rsid w:val="007F4699"/>
    <w:rsid w:val="008042E1"/>
    <w:rsid w:val="00804D63"/>
    <w:rsid w:val="00806B9D"/>
    <w:rsid w:val="00811372"/>
    <w:rsid w:val="00812777"/>
    <w:rsid w:val="00821B33"/>
    <w:rsid w:val="00830FBB"/>
    <w:rsid w:val="0084129E"/>
    <w:rsid w:val="00843390"/>
    <w:rsid w:val="00844A41"/>
    <w:rsid w:val="00846373"/>
    <w:rsid w:val="008465C3"/>
    <w:rsid w:val="008568AE"/>
    <w:rsid w:val="00857002"/>
    <w:rsid w:val="00860590"/>
    <w:rsid w:val="00861483"/>
    <w:rsid w:val="008614E8"/>
    <w:rsid w:val="00863855"/>
    <w:rsid w:val="00867EDF"/>
    <w:rsid w:val="00873F58"/>
    <w:rsid w:val="00875F0D"/>
    <w:rsid w:val="00877414"/>
    <w:rsid w:val="00877BC3"/>
    <w:rsid w:val="00886779"/>
    <w:rsid w:val="00893E28"/>
    <w:rsid w:val="008A03B7"/>
    <w:rsid w:val="008A13B1"/>
    <w:rsid w:val="008A2E45"/>
    <w:rsid w:val="008A328C"/>
    <w:rsid w:val="008A3B29"/>
    <w:rsid w:val="008B2342"/>
    <w:rsid w:val="008B569A"/>
    <w:rsid w:val="008C2197"/>
    <w:rsid w:val="008C3493"/>
    <w:rsid w:val="008C5743"/>
    <w:rsid w:val="008D11A6"/>
    <w:rsid w:val="008D1F7B"/>
    <w:rsid w:val="008D2D64"/>
    <w:rsid w:val="008D4576"/>
    <w:rsid w:val="008E10B3"/>
    <w:rsid w:val="00902E07"/>
    <w:rsid w:val="00913AAA"/>
    <w:rsid w:val="00915690"/>
    <w:rsid w:val="009159A5"/>
    <w:rsid w:val="009219A9"/>
    <w:rsid w:val="0092301D"/>
    <w:rsid w:val="009244B3"/>
    <w:rsid w:val="009341BC"/>
    <w:rsid w:val="00935C0A"/>
    <w:rsid w:val="009426C3"/>
    <w:rsid w:val="00943FC4"/>
    <w:rsid w:val="00945642"/>
    <w:rsid w:val="00947783"/>
    <w:rsid w:val="00954FE8"/>
    <w:rsid w:val="009726E0"/>
    <w:rsid w:val="00973BF5"/>
    <w:rsid w:val="00975003"/>
    <w:rsid w:val="00977C95"/>
    <w:rsid w:val="00990822"/>
    <w:rsid w:val="009B79D3"/>
    <w:rsid w:val="009C4A31"/>
    <w:rsid w:val="009E2B57"/>
    <w:rsid w:val="009E5A32"/>
    <w:rsid w:val="009F6FD2"/>
    <w:rsid w:val="009F78D3"/>
    <w:rsid w:val="00A10A9C"/>
    <w:rsid w:val="00A152E4"/>
    <w:rsid w:val="00A2325B"/>
    <w:rsid w:val="00A4732A"/>
    <w:rsid w:val="00A50B56"/>
    <w:rsid w:val="00A522F4"/>
    <w:rsid w:val="00A56690"/>
    <w:rsid w:val="00A6569E"/>
    <w:rsid w:val="00A7166B"/>
    <w:rsid w:val="00A71D3D"/>
    <w:rsid w:val="00A727AA"/>
    <w:rsid w:val="00A83BA0"/>
    <w:rsid w:val="00A84F18"/>
    <w:rsid w:val="00A85045"/>
    <w:rsid w:val="00A95738"/>
    <w:rsid w:val="00A97B7D"/>
    <w:rsid w:val="00AA351B"/>
    <w:rsid w:val="00AA4825"/>
    <w:rsid w:val="00AA7B03"/>
    <w:rsid w:val="00AB33E1"/>
    <w:rsid w:val="00AB42E3"/>
    <w:rsid w:val="00AB7BD5"/>
    <w:rsid w:val="00AD1646"/>
    <w:rsid w:val="00AD5543"/>
    <w:rsid w:val="00AF038B"/>
    <w:rsid w:val="00B11878"/>
    <w:rsid w:val="00B17A82"/>
    <w:rsid w:val="00B2041E"/>
    <w:rsid w:val="00B23404"/>
    <w:rsid w:val="00B2438E"/>
    <w:rsid w:val="00B26045"/>
    <w:rsid w:val="00B434FB"/>
    <w:rsid w:val="00B44C55"/>
    <w:rsid w:val="00B46A95"/>
    <w:rsid w:val="00B53562"/>
    <w:rsid w:val="00B544C2"/>
    <w:rsid w:val="00B5566F"/>
    <w:rsid w:val="00B70524"/>
    <w:rsid w:val="00B70CC4"/>
    <w:rsid w:val="00B748E2"/>
    <w:rsid w:val="00B74D1F"/>
    <w:rsid w:val="00B75627"/>
    <w:rsid w:val="00B9636A"/>
    <w:rsid w:val="00BA38CB"/>
    <w:rsid w:val="00BA6881"/>
    <w:rsid w:val="00BB0233"/>
    <w:rsid w:val="00BB02DE"/>
    <w:rsid w:val="00BB19E4"/>
    <w:rsid w:val="00BB371A"/>
    <w:rsid w:val="00BB3A37"/>
    <w:rsid w:val="00BD3508"/>
    <w:rsid w:val="00BD386B"/>
    <w:rsid w:val="00BD7B25"/>
    <w:rsid w:val="00BE00CE"/>
    <w:rsid w:val="00BE1252"/>
    <w:rsid w:val="00BE1627"/>
    <w:rsid w:val="00BE1AFF"/>
    <w:rsid w:val="00BE5BF6"/>
    <w:rsid w:val="00BF4B8D"/>
    <w:rsid w:val="00BF74E9"/>
    <w:rsid w:val="00C14A0A"/>
    <w:rsid w:val="00C247CB"/>
    <w:rsid w:val="00C25830"/>
    <w:rsid w:val="00C26EFB"/>
    <w:rsid w:val="00C275A2"/>
    <w:rsid w:val="00C2771C"/>
    <w:rsid w:val="00C360BD"/>
    <w:rsid w:val="00C404E2"/>
    <w:rsid w:val="00C466E0"/>
    <w:rsid w:val="00C476E1"/>
    <w:rsid w:val="00C52E77"/>
    <w:rsid w:val="00C566B3"/>
    <w:rsid w:val="00C65249"/>
    <w:rsid w:val="00C666F7"/>
    <w:rsid w:val="00C66759"/>
    <w:rsid w:val="00C67B32"/>
    <w:rsid w:val="00C729E0"/>
    <w:rsid w:val="00C75C83"/>
    <w:rsid w:val="00C80C65"/>
    <w:rsid w:val="00C80F63"/>
    <w:rsid w:val="00C86A06"/>
    <w:rsid w:val="00CA4B54"/>
    <w:rsid w:val="00CB0C1D"/>
    <w:rsid w:val="00CB239D"/>
    <w:rsid w:val="00CC5108"/>
    <w:rsid w:val="00CC5AA2"/>
    <w:rsid w:val="00CC721A"/>
    <w:rsid w:val="00CD0963"/>
    <w:rsid w:val="00CD344A"/>
    <w:rsid w:val="00CD344C"/>
    <w:rsid w:val="00CD6429"/>
    <w:rsid w:val="00CE3D42"/>
    <w:rsid w:val="00CE53E6"/>
    <w:rsid w:val="00CE7DC6"/>
    <w:rsid w:val="00CF0245"/>
    <w:rsid w:val="00CF3545"/>
    <w:rsid w:val="00CF4188"/>
    <w:rsid w:val="00CF6131"/>
    <w:rsid w:val="00D030B6"/>
    <w:rsid w:val="00D043EB"/>
    <w:rsid w:val="00D06EAA"/>
    <w:rsid w:val="00D36733"/>
    <w:rsid w:val="00D445D9"/>
    <w:rsid w:val="00D4667F"/>
    <w:rsid w:val="00D471B5"/>
    <w:rsid w:val="00D564D6"/>
    <w:rsid w:val="00D571DB"/>
    <w:rsid w:val="00D604DA"/>
    <w:rsid w:val="00D6774D"/>
    <w:rsid w:val="00D72F6B"/>
    <w:rsid w:val="00D75191"/>
    <w:rsid w:val="00D75257"/>
    <w:rsid w:val="00D775F8"/>
    <w:rsid w:val="00D80929"/>
    <w:rsid w:val="00D85254"/>
    <w:rsid w:val="00D85950"/>
    <w:rsid w:val="00D979CC"/>
    <w:rsid w:val="00DA098A"/>
    <w:rsid w:val="00DC4FFC"/>
    <w:rsid w:val="00DD2049"/>
    <w:rsid w:val="00DE0432"/>
    <w:rsid w:val="00DF118B"/>
    <w:rsid w:val="00DF6BE4"/>
    <w:rsid w:val="00E0107F"/>
    <w:rsid w:val="00E05DB4"/>
    <w:rsid w:val="00E124A1"/>
    <w:rsid w:val="00E126A8"/>
    <w:rsid w:val="00E1372D"/>
    <w:rsid w:val="00E14EE6"/>
    <w:rsid w:val="00E157BC"/>
    <w:rsid w:val="00E37399"/>
    <w:rsid w:val="00E4537F"/>
    <w:rsid w:val="00E509CB"/>
    <w:rsid w:val="00E50E4A"/>
    <w:rsid w:val="00E81E12"/>
    <w:rsid w:val="00E87521"/>
    <w:rsid w:val="00E91F5F"/>
    <w:rsid w:val="00EA6F59"/>
    <w:rsid w:val="00EB12DD"/>
    <w:rsid w:val="00EB153E"/>
    <w:rsid w:val="00EB57EB"/>
    <w:rsid w:val="00EB7A11"/>
    <w:rsid w:val="00EC21FE"/>
    <w:rsid w:val="00EC46FA"/>
    <w:rsid w:val="00EC7536"/>
    <w:rsid w:val="00ED2936"/>
    <w:rsid w:val="00ED50CF"/>
    <w:rsid w:val="00ED6A9C"/>
    <w:rsid w:val="00EE0E3F"/>
    <w:rsid w:val="00EE2AF6"/>
    <w:rsid w:val="00EE3EFB"/>
    <w:rsid w:val="00EF1171"/>
    <w:rsid w:val="00F10B95"/>
    <w:rsid w:val="00F1152F"/>
    <w:rsid w:val="00F11A20"/>
    <w:rsid w:val="00F20791"/>
    <w:rsid w:val="00F207B3"/>
    <w:rsid w:val="00F20DB0"/>
    <w:rsid w:val="00F228A9"/>
    <w:rsid w:val="00F22A2A"/>
    <w:rsid w:val="00F237E8"/>
    <w:rsid w:val="00F26625"/>
    <w:rsid w:val="00F267FE"/>
    <w:rsid w:val="00F271AF"/>
    <w:rsid w:val="00F42C70"/>
    <w:rsid w:val="00F50A21"/>
    <w:rsid w:val="00F51817"/>
    <w:rsid w:val="00F5486B"/>
    <w:rsid w:val="00F57D03"/>
    <w:rsid w:val="00F658E0"/>
    <w:rsid w:val="00F715EC"/>
    <w:rsid w:val="00F72EB9"/>
    <w:rsid w:val="00F76C99"/>
    <w:rsid w:val="00F80249"/>
    <w:rsid w:val="00F859B7"/>
    <w:rsid w:val="00F86B8B"/>
    <w:rsid w:val="00F97FF9"/>
    <w:rsid w:val="00FA3A78"/>
    <w:rsid w:val="00FB6F12"/>
    <w:rsid w:val="00FB72F6"/>
    <w:rsid w:val="00FC1C44"/>
    <w:rsid w:val="00FC3A77"/>
    <w:rsid w:val="00FD1704"/>
    <w:rsid w:val="00FD2A0C"/>
    <w:rsid w:val="00FD5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5540BF"/>
  <w15:chartTrackingRefBased/>
  <w15:docId w15:val="{EBEAB115-3C90-4C99-80B5-E98B986B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BalloonText">
    <w:name w:val="Balloon Text"/>
    <w:basedOn w:val="Normal"/>
    <w:link w:val="BalloonTextChar"/>
    <w:rsid w:val="00EC46FA"/>
    <w:rPr>
      <w:rFonts w:ascii="Tahoma" w:hAnsi="Tahoma"/>
      <w:sz w:val="16"/>
      <w:szCs w:val="16"/>
      <w:lang w:val="x-none" w:eastAsia="x-none"/>
    </w:rPr>
  </w:style>
  <w:style w:type="character" w:customStyle="1" w:styleId="BalloonTextChar">
    <w:name w:val="Balloon Text Char"/>
    <w:link w:val="BalloonText"/>
    <w:rsid w:val="00EC46FA"/>
    <w:rPr>
      <w:rFonts w:ascii="Tahoma" w:hAnsi="Tahoma" w:cs="Tahoma"/>
      <w:sz w:val="16"/>
      <w:szCs w:val="16"/>
    </w:rPr>
  </w:style>
  <w:style w:type="character" w:styleId="CommentReference">
    <w:name w:val="annotation reference"/>
    <w:rsid w:val="00BE5BF6"/>
    <w:rPr>
      <w:sz w:val="16"/>
      <w:szCs w:val="16"/>
    </w:rPr>
  </w:style>
  <w:style w:type="paragraph" w:styleId="CommentText">
    <w:name w:val="annotation text"/>
    <w:basedOn w:val="Normal"/>
    <w:link w:val="CommentTextChar"/>
    <w:rsid w:val="00BE5BF6"/>
    <w:rPr>
      <w:sz w:val="20"/>
      <w:szCs w:val="20"/>
    </w:rPr>
  </w:style>
  <w:style w:type="character" w:customStyle="1" w:styleId="CommentTextChar">
    <w:name w:val="Comment Text Char"/>
    <w:basedOn w:val="DefaultParagraphFont"/>
    <w:link w:val="CommentText"/>
    <w:rsid w:val="00BE5BF6"/>
  </w:style>
  <w:style w:type="paragraph" w:styleId="CommentSubject">
    <w:name w:val="annotation subject"/>
    <w:basedOn w:val="CommentText"/>
    <w:next w:val="CommentText"/>
    <w:link w:val="CommentSubjectChar"/>
    <w:rsid w:val="00BE5BF6"/>
    <w:rPr>
      <w:b/>
      <w:bCs/>
      <w:lang w:val="x-none" w:eastAsia="x-none"/>
    </w:rPr>
  </w:style>
  <w:style w:type="character" w:customStyle="1" w:styleId="CommentSubjectChar">
    <w:name w:val="Comment Subject Char"/>
    <w:link w:val="CommentSubject"/>
    <w:rsid w:val="00BE5BF6"/>
    <w:rPr>
      <w:b/>
      <w:bCs/>
    </w:rPr>
  </w:style>
  <w:style w:type="paragraph" w:styleId="TOC2">
    <w:name w:val="toc 2"/>
    <w:basedOn w:val="Normal"/>
    <w:next w:val="Normal"/>
    <w:autoRedefine/>
    <w:uiPriority w:val="39"/>
    <w:rsid w:val="00A727AA"/>
    <w:pPr>
      <w:tabs>
        <w:tab w:val="right" w:leader="dot" w:pos="12950"/>
      </w:tabs>
    </w:pPr>
  </w:style>
  <w:style w:type="paragraph" w:styleId="TOC1">
    <w:name w:val="toc 1"/>
    <w:basedOn w:val="Normal"/>
    <w:next w:val="Normal"/>
    <w:autoRedefine/>
    <w:uiPriority w:val="39"/>
    <w:rsid w:val="00E37399"/>
  </w:style>
  <w:style w:type="character" w:customStyle="1" w:styleId="Heading2Char">
    <w:name w:val="Heading 2 Char"/>
    <w:link w:val="Heading2"/>
    <w:rsid w:val="00943FC4"/>
    <w:rPr>
      <w:rFonts w:ascii="Arial" w:hAnsi="Arial" w:cs="Arial"/>
      <w:b/>
      <w:bCs/>
      <w:i/>
      <w:iCs/>
      <w:sz w:val="28"/>
      <w:szCs w:val="28"/>
    </w:rPr>
  </w:style>
  <w:style w:type="character" w:styleId="UnresolvedMention">
    <w:name w:val="Unresolved Mention"/>
    <w:uiPriority w:val="99"/>
    <w:semiHidden/>
    <w:unhideWhenUsed/>
    <w:rsid w:val="003A636F"/>
    <w:rPr>
      <w:color w:val="605E5C"/>
      <w:shd w:val="clear" w:color="auto" w:fill="E1DFDD"/>
    </w:rPr>
  </w:style>
  <w:style w:type="paragraph" w:styleId="Revision">
    <w:name w:val="Revision"/>
    <w:hidden/>
    <w:uiPriority w:val="99"/>
    <w:semiHidden/>
    <w:rsid w:val="00D75257"/>
    <w:rPr>
      <w:sz w:val="24"/>
      <w:szCs w:val="24"/>
    </w:rPr>
  </w:style>
  <w:style w:type="paragraph" w:styleId="ListParagraph">
    <w:name w:val="List Paragraph"/>
    <w:basedOn w:val="Normal"/>
    <w:uiPriority w:val="34"/>
    <w:qFormat/>
    <w:rsid w:val="00F26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80291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thesource.cvshealth.com/nuxeo/thesource/" TargetMode="External"/><Relationship Id="rId28" Type="http://schemas.openxmlformats.org/officeDocument/2006/relationships/hyperlink" Target="https://policy.corp.cvscaremark.com/pnp/faces/DocRenderer?documentId=CALL-0049" TargetMode="Externa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5" ma:contentTypeDescription="Create a new document." ma:contentTypeScope="" ma:versionID="3624796b715b349b85e646124f8ff105">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018d5c4051b9a8924c4c9cb367021a51"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t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ProjectAnalyst xmlns="d19e0082-693e-45ae-8f74-da0dd659fa03">McKierlyn</ProjectAnalyst>
    <LifelineQuickChat xmlns="d19e0082-693e-45ae-8f74-da0dd659fa03" xsi:nil="true"/>
    <BPO xmlns="d19e0082-693e-45ae-8f74-da0dd659fa03">Customer Care BOS and HEE</BPO>
    <DocumentConsultatnt xmlns="d19e0082-693e-45ae-8f74-da0dd659fa03">Brienna Dugdale</DocumentConsultatnt>
  </documentManagement>
</p:properties>
</file>

<file path=customXml/itemProps1.xml><?xml version="1.0" encoding="utf-8"?>
<ds:datastoreItem xmlns:ds="http://schemas.openxmlformats.org/officeDocument/2006/customXml" ds:itemID="{449AAAB9-A981-4A92-A8BF-D91EF0E3D74C}">
  <ds:schemaRefs>
    <ds:schemaRef ds:uri="http://schemas.openxmlformats.org/officeDocument/2006/bibliography"/>
  </ds:schemaRefs>
</ds:datastoreItem>
</file>

<file path=customXml/itemProps2.xml><?xml version="1.0" encoding="utf-8"?>
<ds:datastoreItem xmlns:ds="http://schemas.openxmlformats.org/officeDocument/2006/customXml" ds:itemID="{73AC167E-092C-4775-B9BF-438FFC2EC88C}">
  <ds:schemaRefs>
    <ds:schemaRef ds:uri="http://schemas.microsoft.com/sharepoint/v3/contenttype/forms"/>
  </ds:schemaRefs>
</ds:datastoreItem>
</file>

<file path=customXml/itemProps3.xml><?xml version="1.0" encoding="utf-8"?>
<ds:datastoreItem xmlns:ds="http://schemas.openxmlformats.org/officeDocument/2006/customXml" ds:itemID="{AEC3072C-AB77-4084-9F77-C5C5D15F00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7CA7FA-8ED3-4EE4-8323-DE8C65EA75B7}">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8</TotalTime>
  <Pages>1</Pages>
  <Words>1515</Words>
  <Characters>8636</Characters>
  <Application>Microsoft Office Word</Application>
  <DocSecurity>2</DocSecurity>
  <Lines>71</Lines>
  <Paragraphs>20</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10131</CharactersWithSpaces>
  <SharedDoc>false</SharedDoc>
  <HLinks>
    <vt:vector size="102" baseType="variant">
      <vt:variant>
        <vt:i4>262192</vt:i4>
      </vt:variant>
      <vt:variant>
        <vt:i4>51</vt:i4>
      </vt:variant>
      <vt:variant>
        <vt:i4>0</vt:i4>
      </vt:variant>
      <vt:variant>
        <vt:i4>5</vt:i4>
      </vt:variant>
      <vt:variant>
        <vt:lpwstr/>
      </vt:variant>
      <vt:variant>
        <vt:lpwstr>_top</vt:lpwstr>
      </vt:variant>
      <vt:variant>
        <vt:i4>3211368</vt:i4>
      </vt:variant>
      <vt:variant>
        <vt:i4>48</vt:i4>
      </vt:variant>
      <vt:variant>
        <vt:i4>0</vt:i4>
      </vt:variant>
      <vt:variant>
        <vt:i4>5</vt:i4>
      </vt:variant>
      <vt:variant>
        <vt:lpwstr>../AppData/Local/Microsoft/windows/INetCache/Content.Outlook/G9ONWBXO/CMS-2-017428</vt:lpwstr>
      </vt:variant>
      <vt:variant>
        <vt:lpwstr/>
      </vt:variant>
      <vt:variant>
        <vt:i4>2424887</vt:i4>
      </vt:variant>
      <vt:variant>
        <vt:i4>45</vt:i4>
      </vt:variant>
      <vt:variant>
        <vt:i4>0</vt:i4>
      </vt:variant>
      <vt:variant>
        <vt:i4>5</vt:i4>
      </vt:variant>
      <vt:variant>
        <vt:lpwstr>https://policy.corp.cvscaremark.com/pnp/faces/DocRenderer?documentId=CALL-0049</vt:lpwstr>
      </vt:variant>
      <vt:variant>
        <vt:lpwstr/>
      </vt:variant>
      <vt:variant>
        <vt:i4>3735662</vt:i4>
      </vt:variant>
      <vt:variant>
        <vt:i4>42</vt:i4>
      </vt:variant>
      <vt:variant>
        <vt:i4>0</vt:i4>
      </vt:variant>
      <vt:variant>
        <vt:i4>5</vt:i4>
      </vt:variant>
      <vt:variant>
        <vt:lpwstr>../AppData/Local/Microsoft/windows/INetCache/Content.Outlook/G9ONWBXO/CMS-2-005164</vt:lpwstr>
      </vt:variant>
      <vt:variant>
        <vt:lpwstr/>
      </vt:variant>
      <vt:variant>
        <vt:i4>262192</vt:i4>
      </vt:variant>
      <vt:variant>
        <vt:i4>39</vt:i4>
      </vt:variant>
      <vt:variant>
        <vt:i4>0</vt:i4>
      </vt:variant>
      <vt:variant>
        <vt:i4>5</vt:i4>
      </vt:variant>
      <vt:variant>
        <vt:lpwstr/>
      </vt:variant>
      <vt:variant>
        <vt:lpwstr>_top</vt:lpwstr>
      </vt:variant>
      <vt:variant>
        <vt:i4>262192</vt:i4>
      </vt:variant>
      <vt:variant>
        <vt:i4>36</vt:i4>
      </vt:variant>
      <vt:variant>
        <vt:i4>0</vt:i4>
      </vt:variant>
      <vt:variant>
        <vt:i4>5</vt:i4>
      </vt:variant>
      <vt:variant>
        <vt:lpwstr/>
      </vt:variant>
      <vt:variant>
        <vt:lpwstr>_top</vt:lpwstr>
      </vt:variant>
      <vt:variant>
        <vt:i4>3539069</vt:i4>
      </vt:variant>
      <vt:variant>
        <vt:i4>33</vt:i4>
      </vt:variant>
      <vt:variant>
        <vt:i4>0</vt:i4>
      </vt:variant>
      <vt:variant>
        <vt:i4>5</vt:i4>
      </vt:variant>
      <vt:variant>
        <vt:lpwstr>../AppData/Local/Microsoft/windows/INetCache/Content.Outlook/AppData/Local/Microsoft/windows/INetCache/AppData/Local/Microsoft/Windows/INetCache/Content.Outlook/N5QA8NBH/TSRC-PROD-011742</vt:lpwstr>
      </vt:variant>
      <vt:variant>
        <vt:lpwstr/>
      </vt:variant>
      <vt:variant>
        <vt:i4>3801198</vt:i4>
      </vt:variant>
      <vt:variant>
        <vt:i4>30</vt:i4>
      </vt:variant>
      <vt:variant>
        <vt:i4>0</vt:i4>
      </vt:variant>
      <vt:variant>
        <vt:i4>5</vt:i4>
      </vt:variant>
      <vt:variant>
        <vt:lpwstr>../AppData/Local/Microsoft/windows/INetCache/Content.Outlook/G9ONWBXO/CMS-2-004573</vt:lpwstr>
      </vt:variant>
      <vt:variant>
        <vt:lpwstr/>
      </vt:variant>
      <vt:variant>
        <vt:i4>3801198</vt:i4>
      </vt:variant>
      <vt:variant>
        <vt:i4>27</vt:i4>
      </vt:variant>
      <vt:variant>
        <vt:i4>0</vt:i4>
      </vt:variant>
      <vt:variant>
        <vt:i4>5</vt:i4>
      </vt:variant>
      <vt:variant>
        <vt:lpwstr>../AppData/Local/Microsoft/windows/INetCache/Content.Outlook/G9ONWBXO/CMS-2-004573</vt:lpwstr>
      </vt:variant>
      <vt:variant>
        <vt:lpwstr/>
      </vt:variant>
      <vt:variant>
        <vt:i4>4128890</vt:i4>
      </vt:variant>
      <vt:variant>
        <vt:i4>24</vt:i4>
      </vt:variant>
      <vt:variant>
        <vt:i4>0</vt:i4>
      </vt:variant>
      <vt:variant>
        <vt:i4>5</vt:i4>
      </vt:variant>
      <vt:variant>
        <vt:lpwstr>../AppData/Local/Microsoft/windows/INetCache/Content.Outlook/AppData/Local/Microsoft/windows/INetCache/AppData/Local/Microsoft/Windows/INetCache/Content.Outlook/N5QA8NBH/TSRC-PROD-022708</vt:lpwstr>
      </vt:variant>
      <vt:variant>
        <vt:lpwstr/>
      </vt:variant>
      <vt:variant>
        <vt:i4>262192</vt:i4>
      </vt:variant>
      <vt:variant>
        <vt:i4>21</vt:i4>
      </vt:variant>
      <vt:variant>
        <vt:i4>0</vt:i4>
      </vt:variant>
      <vt:variant>
        <vt:i4>5</vt:i4>
      </vt:variant>
      <vt:variant>
        <vt:lpwstr/>
      </vt:variant>
      <vt:variant>
        <vt:lpwstr>_top</vt:lpwstr>
      </vt:variant>
      <vt:variant>
        <vt:i4>262192</vt:i4>
      </vt:variant>
      <vt:variant>
        <vt:i4>18</vt:i4>
      </vt:variant>
      <vt:variant>
        <vt:i4>0</vt:i4>
      </vt:variant>
      <vt:variant>
        <vt:i4>5</vt:i4>
      </vt:variant>
      <vt:variant>
        <vt:lpwstr/>
      </vt:variant>
      <vt:variant>
        <vt:lpwstr>_top</vt:lpwstr>
      </vt:variant>
      <vt:variant>
        <vt:i4>1114166</vt:i4>
      </vt:variant>
      <vt:variant>
        <vt:i4>14</vt:i4>
      </vt:variant>
      <vt:variant>
        <vt:i4>0</vt:i4>
      </vt:variant>
      <vt:variant>
        <vt:i4>5</vt:i4>
      </vt:variant>
      <vt:variant>
        <vt:lpwstr/>
      </vt:variant>
      <vt:variant>
        <vt:lpwstr>_Toc55913193</vt:lpwstr>
      </vt:variant>
      <vt:variant>
        <vt:i4>1048630</vt:i4>
      </vt:variant>
      <vt:variant>
        <vt:i4>11</vt:i4>
      </vt:variant>
      <vt:variant>
        <vt:i4>0</vt:i4>
      </vt:variant>
      <vt:variant>
        <vt:i4>5</vt:i4>
      </vt:variant>
      <vt:variant>
        <vt:lpwstr/>
      </vt:variant>
      <vt:variant>
        <vt:lpwstr>_Toc55913192</vt:lpwstr>
      </vt:variant>
      <vt:variant>
        <vt:i4>1245238</vt:i4>
      </vt:variant>
      <vt:variant>
        <vt:i4>8</vt:i4>
      </vt:variant>
      <vt:variant>
        <vt:i4>0</vt:i4>
      </vt:variant>
      <vt:variant>
        <vt:i4>5</vt:i4>
      </vt:variant>
      <vt:variant>
        <vt:lpwstr/>
      </vt:variant>
      <vt:variant>
        <vt:lpwstr>_Toc55913191</vt:lpwstr>
      </vt:variant>
      <vt:variant>
        <vt:i4>1179702</vt:i4>
      </vt:variant>
      <vt:variant>
        <vt:i4>5</vt:i4>
      </vt:variant>
      <vt:variant>
        <vt:i4>0</vt:i4>
      </vt:variant>
      <vt:variant>
        <vt:i4>5</vt:i4>
      </vt:variant>
      <vt:variant>
        <vt:lpwstr/>
      </vt:variant>
      <vt:variant>
        <vt:lpwstr>_Toc55913190</vt:lpwstr>
      </vt:variant>
      <vt:variant>
        <vt:i4>1769527</vt:i4>
      </vt:variant>
      <vt:variant>
        <vt:i4>2</vt:i4>
      </vt:variant>
      <vt:variant>
        <vt:i4>0</vt:i4>
      </vt:variant>
      <vt:variant>
        <vt:i4>5</vt:i4>
      </vt:variant>
      <vt:variant>
        <vt:lpwstr/>
      </vt:variant>
      <vt:variant>
        <vt:lpwstr>_Toc55913189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Martinez, Vennessa M</cp:lastModifiedBy>
  <cp:revision>5</cp:revision>
  <cp:lastPrinted>2007-01-03T17:56:00Z</cp:lastPrinted>
  <dcterms:created xsi:type="dcterms:W3CDTF">2025-05-07T19:36:00Z</dcterms:created>
  <dcterms:modified xsi:type="dcterms:W3CDTF">2025-05-07T20:12:00Z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2021-10-05T12:04:56Z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129c4d05-dfc0-4b53-b364-7fcbe1486d4a</vt:lpwstr>
  </property>
  <property fmtid="{D5CDD505-2E9C-101B-9397-08002B2CF9AE}" pid="8" name="MSIP_Label_67599526-06ca-49cc-9fa9-5307800a949a_ContentBits">
    <vt:lpwstr>0</vt:lpwstr>
  </property>
  <property fmtid="{D5CDD505-2E9C-101B-9397-08002B2CF9AE}" pid="9" name="ContentTypeId">
    <vt:lpwstr>0x010100EB57E074260378499F7E81CCDE102D50</vt:lpwstr>
  </property>
  <property fmtid="{D5CDD505-2E9C-101B-9397-08002B2CF9AE}" pid="10" name="MediaServiceImageTags">
    <vt:lpwstr/>
  </property>
</Properties>
</file>