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E9836" w14:textId="4FED69AB" w:rsidR="00151361" w:rsidRPr="0004733F" w:rsidRDefault="00C64650" w:rsidP="00C86E9D">
      <w:pPr>
        <w:pStyle w:val="Heading1"/>
        <w:rPr>
          <w:rFonts w:ascii="Verdana" w:hAnsi="Verdana"/>
          <w:color w:val="000000"/>
          <w:sz w:val="36"/>
          <w:szCs w:val="36"/>
        </w:rPr>
      </w:pPr>
      <w:bookmarkStart w:id="0" w:name="_top"/>
      <w:bookmarkStart w:id="1" w:name="OLE_LINK24"/>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9C62C2" w:rsidRPr="0004733F">
        <w:rPr>
          <w:rFonts w:ascii="Verdana" w:hAnsi="Verdana"/>
          <w:color w:val="000000"/>
          <w:sz w:val="36"/>
          <w:szCs w:val="36"/>
        </w:rPr>
        <w:t>Maintenance Choice and Mandatory Fills Allowed and Used</w:t>
      </w:r>
    </w:p>
    <w:bookmarkEnd w:id="1"/>
    <w:p w14:paraId="4DE97B7D" w14:textId="5BDCA317" w:rsidR="00151D78" w:rsidRPr="00151D78" w:rsidRDefault="00FC402A">
      <w:pPr>
        <w:pStyle w:val="TOC2"/>
        <w:rPr>
          <w:rFonts w:eastAsiaTheme="minorEastAsia" w:cstheme="minorBidi"/>
          <w:b w:val="0"/>
          <w:bCs/>
          <w:noProof/>
          <w:color w:val="auto"/>
          <w:kern w:val="2"/>
          <w:sz w:val="24"/>
          <w14:ligatures w14:val="standardContextual"/>
        </w:rPr>
      </w:pPr>
      <w:r w:rsidRPr="00151D78">
        <w:rPr>
          <w:b w:val="0"/>
          <w:bCs/>
          <w:sz w:val="24"/>
        </w:rPr>
        <w:fldChar w:fldCharType="begin"/>
      </w:r>
      <w:r w:rsidRPr="00151D78">
        <w:rPr>
          <w:b w:val="0"/>
          <w:bCs/>
          <w:sz w:val="24"/>
        </w:rPr>
        <w:instrText xml:space="preserve"> TOC \o "2-2" \n \p " " \h \z \u </w:instrText>
      </w:r>
      <w:r w:rsidRPr="00151D78">
        <w:rPr>
          <w:b w:val="0"/>
          <w:bCs/>
          <w:sz w:val="24"/>
        </w:rPr>
        <w:fldChar w:fldCharType="separate"/>
      </w:r>
      <w:hyperlink w:anchor="_Toc181293301" w:history="1">
        <w:r w:rsidR="00151D78" w:rsidRPr="00151D78">
          <w:rPr>
            <w:rStyle w:val="Hyperlink"/>
            <w:b w:val="0"/>
            <w:bCs/>
            <w:noProof/>
            <w:sz w:val="24"/>
          </w:rPr>
          <w:t>Maintenance Choice and Mandatory Fills Allowed and Used</w:t>
        </w:r>
      </w:hyperlink>
    </w:p>
    <w:p w14:paraId="11333EDC" w14:textId="7D17441E" w:rsidR="00151D78" w:rsidRPr="00151D78" w:rsidRDefault="00151D78">
      <w:pPr>
        <w:pStyle w:val="TOC2"/>
        <w:rPr>
          <w:rFonts w:eastAsiaTheme="minorEastAsia" w:cstheme="minorBidi"/>
          <w:b w:val="0"/>
          <w:bCs/>
          <w:noProof/>
          <w:color w:val="auto"/>
          <w:kern w:val="2"/>
          <w:sz w:val="24"/>
          <w14:ligatures w14:val="standardContextual"/>
        </w:rPr>
      </w:pPr>
      <w:hyperlink w:anchor="_Toc181293302" w:history="1">
        <w:r w:rsidRPr="00151D78">
          <w:rPr>
            <w:rStyle w:val="Hyperlink"/>
            <w:b w:val="0"/>
            <w:bCs/>
            <w:noProof/>
            <w:sz w:val="24"/>
          </w:rPr>
          <w:t>Related Documents</w:t>
        </w:r>
      </w:hyperlink>
    </w:p>
    <w:p w14:paraId="76689C92" w14:textId="75FF263B" w:rsidR="00177276" w:rsidRPr="00002AF0" w:rsidRDefault="00FC402A" w:rsidP="00C86E9D">
      <w:r w:rsidRPr="00151D78">
        <w:rPr>
          <w:rFonts w:ascii="Verdana" w:hAnsi="Verdana"/>
          <w:bCs/>
        </w:rPr>
        <w:fldChar w:fldCharType="end"/>
      </w:r>
    </w:p>
    <w:p w14:paraId="5C658D1F" w14:textId="749D673A" w:rsidR="0032294C" w:rsidRDefault="003B0EE6" w:rsidP="003B0EE6">
      <w:pPr>
        <w:spacing w:before="120" w:after="120"/>
        <w:rPr>
          <w:rFonts w:ascii="Verdana" w:hAnsi="Verdana"/>
          <w:color w:val="000000"/>
        </w:rPr>
      </w:pPr>
      <w:r w:rsidRPr="003B0EE6">
        <w:rPr>
          <w:rFonts w:ascii="Verdana" w:hAnsi="Verdana"/>
          <w:b/>
          <w:bCs/>
          <w:color w:val="000000"/>
        </w:rPr>
        <w:t>Description</w:t>
      </w:r>
      <w:proofErr w:type="gramStart"/>
      <w:r w:rsidRPr="003B0EE6">
        <w:rPr>
          <w:rFonts w:ascii="Verdana" w:hAnsi="Verdana"/>
          <w:b/>
          <w:bCs/>
          <w:color w:val="000000"/>
        </w:rPr>
        <w:t>:</w:t>
      </w:r>
      <w:r w:rsidRPr="003B0EE6">
        <w:rPr>
          <w:rFonts w:ascii="Verdana" w:hAnsi="Verdana"/>
          <w:color w:val="000000"/>
        </w:rPr>
        <w:t xml:space="preserve">  </w:t>
      </w:r>
      <w:r w:rsidR="006D62CF">
        <w:rPr>
          <w:rFonts w:ascii="Verdana" w:hAnsi="Verdana"/>
          <w:color w:val="000000"/>
        </w:rPr>
        <w:t>P</w:t>
      </w:r>
      <w:r w:rsidR="009C62C2" w:rsidRPr="003B0EE6">
        <w:rPr>
          <w:rFonts w:ascii="Verdana" w:hAnsi="Verdana"/>
          <w:color w:val="000000"/>
        </w:rPr>
        <w:t>rovides</w:t>
      </w:r>
      <w:proofErr w:type="gramEnd"/>
      <w:r w:rsidR="009C62C2" w:rsidRPr="003B0EE6">
        <w:rPr>
          <w:rFonts w:ascii="Verdana" w:hAnsi="Verdana"/>
          <w:color w:val="000000"/>
        </w:rPr>
        <w:t xml:space="preserve"> detailed field information</w:t>
      </w:r>
      <w:r w:rsidR="009B3D4E" w:rsidRPr="003B0EE6">
        <w:rPr>
          <w:rFonts w:ascii="Verdana" w:hAnsi="Verdana"/>
          <w:color w:val="000000"/>
        </w:rPr>
        <w:t xml:space="preserve"> (Prescription Details Screen)</w:t>
      </w:r>
      <w:r w:rsidR="009C62C2" w:rsidRPr="003B0EE6">
        <w:rPr>
          <w:rFonts w:ascii="Verdana" w:hAnsi="Verdana"/>
          <w:color w:val="000000"/>
        </w:rPr>
        <w:t xml:space="preserve"> related to Maintenance Choice and Mandatory Fills </w:t>
      </w:r>
      <w:proofErr w:type="gramStart"/>
      <w:r w:rsidR="009C62C2" w:rsidRPr="003B0EE6">
        <w:rPr>
          <w:rFonts w:ascii="Verdana" w:hAnsi="Verdana"/>
          <w:color w:val="000000"/>
        </w:rPr>
        <w:t>in particular to</w:t>
      </w:r>
      <w:proofErr w:type="gramEnd"/>
      <w:r w:rsidR="009C62C2" w:rsidRPr="003B0EE6">
        <w:rPr>
          <w:rFonts w:ascii="Verdana" w:hAnsi="Verdana"/>
          <w:color w:val="000000"/>
        </w:rPr>
        <w:t xml:space="preserve"> Fills Allowed and Fills Used. </w:t>
      </w:r>
      <w:r w:rsidRPr="003B0EE6">
        <w:rPr>
          <w:rFonts w:ascii="Verdana" w:hAnsi="Verdana"/>
          <w:color w:val="000000"/>
        </w:rPr>
        <w:t xml:space="preserve"> </w:t>
      </w:r>
      <w:r w:rsidR="009C62C2" w:rsidRPr="003B0EE6">
        <w:rPr>
          <w:rFonts w:ascii="Verdana" w:hAnsi="Verdana"/>
          <w:color w:val="000000"/>
        </w:rPr>
        <w:t xml:space="preserve"> </w:t>
      </w:r>
      <w:r w:rsidR="00DF77B3" w:rsidRPr="003B0EE6">
        <w:rPr>
          <w:rFonts w:ascii="Verdana" w:hAnsi="Verdana"/>
          <w:color w:val="000000"/>
        </w:rPr>
        <w:t xml:space="preserve"> </w:t>
      </w:r>
    </w:p>
    <w:p w14:paraId="756A7343" w14:textId="77777777" w:rsidR="00151D78" w:rsidRDefault="00151D78" w:rsidP="003B0EE6">
      <w:pPr>
        <w:spacing w:before="120" w:after="120"/>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rsidRPr="003B0EE6" w14:paraId="42765F78" w14:textId="77777777" w:rsidTr="00175608">
        <w:tc>
          <w:tcPr>
            <w:tcW w:w="5000" w:type="pct"/>
            <w:shd w:val="clear" w:color="auto" w:fill="BFBFBF" w:themeFill="background1" w:themeFillShade="BF"/>
          </w:tcPr>
          <w:p w14:paraId="3EE3C12B" w14:textId="0671B46C" w:rsidR="0032294C" w:rsidRPr="003B0EE6" w:rsidRDefault="005835D2" w:rsidP="003B0EE6">
            <w:pPr>
              <w:pStyle w:val="Heading2"/>
              <w:spacing w:before="120" w:after="120"/>
              <w:rPr>
                <w:rFonts w:ascii="Verdana" w:hAnsi="Verdana"/>
                <w:i w:val="0"/>
                <w:iCs w:val="0"/>
              </w:rPr>
            </w:pPr>
            <w:bookmarkStart w:id="2" w:name="_Overview"/>
            <w:bookmarkStart w:id="3" w:name="_Toc143521014"/>
            <w:bookmarkStart w:id="4" w:name="OLE_LINK3"/>
            <w:bookmarkStart w:id="5" w:name="_Toc181293301"/>
            <w:bookmarkEnd w:id="2"/>
            <w:r w:rsidRPr="005835D2">
              <w:rPr>
                <w:rFonts w:ascii="Verdana" w:hAnsi="Verdana"/>
                <w:i w:val="0"/>
                <w:iCs w:val="0"/>
              </w:rPr>
              <w:t>Maintenance Choice and Mandatory Fills Allowed and Used</w:t>
            </w:r>
            <w:bookmarkEnd w:id="3"/>
            <w:bookmarkEnd w:id="4"/>
            <w:bookmarkEnd w:id="5"/>
          </w:p>
        </w:tc>
      </w:tr>
    </w:tbl>
    <w:p w14:paraId="79775869" w14:textId="463235BF" w:rsidR="003B0EE6" w:rsidRPr="003B0EE6" w:rsidRDefault="00E269E5" w:rsidP="003B0EE6">
      <w:pPr>
        <w:numPr>
          <w:ilvl w:val="0"/>
          <w:numId w:val="33"/>
        </w:numPr>
        <w:spacing w:before="120" w:after="120"/>
        <w:rPr>
          <w:rFonts w:ascii="Verdana" w:hAnsi="Verdana"/>
        </w:rPr>
      </w:pPr>
      <w:r>
        <w:rPr>
          <w:rFonts w:ascii="Verdana" w:hAnsi="Verdana"/>
          <w:i/>
          <w:iCs/>
          <w:noProof/>
        </w:rPr>
        <w:drawing>
          <wp:inline distT="0" distB="0" distL="0" distR="0" wp14:anchorId="0F44AC71" wp14:editId="58982C89">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3B0EE6" w:rsidRPr="003B0EE6">
        <w:rPr>
          <w:rFonts w:ascii="Verdana" w:hAnsi="Verdana"/>
          <w:b/>
        </w:rPr>
        <w:t>Maintenance Choice Fills Allowed:</w:t>
      </w:r>
      <w:r w:rsidR="003B0EE6" w:rsidRPr="003B0EE6">
        <w:rPr>
          <w:rFonts w:ascii="Verdana" w:hAnsi="Verdana"/>
        </w:rPr>
        <w:t xml:space="preserve">  This field displays the number of Retail</w:t>
      </w:r>
      <w:r w:rsidR="003B15EB">
        <w:rPr>
          <w:rFonts w:ascii="Verdana" w:hAnsi="Verdana"/>
        </w:rPr>
        <w:t>/Mail Order</w:t>
      </w:r>
      <w:r w:rsidR="003B0EE6" w:rsidRPr="003B0EE6">
        <w:rPr>
          <w:rFonts w:ascii="Verdana" w:hAnsi="Verdana"/>
        </w:rPr>
        <w:t xml:space="preserve"> Fills allowed for a member with Maintenance Choice (MC).</w:t>
      </w:r>
    </w:p>
    <w:p w14:paraId="38A13CA5" w14:textId="66ADC4EF" w:rsidR="003B0EE6" w:rsidRDefault="00E269E5" w:rsidP="003B0EE6">
      <w:pPr>
        <w:numPr>
          <w:ilvl w:val="0"/>
          <w:numId w:val="33"/>
        </w:numPr>
        <w:spacing w:before="120" w:after="120"/>
        <w:rPr>
          <w:rFonts w:ascii="Verdana" w:hAnsi="Verdana"/>
        </w:rPr>
      </w:pPr>
      <w:r>
        <w:rPr>
          <w:rFonts w:ascii="Verdana" w:hAnsi="Verdana"/>
          <w:i/>
          <w:iCs/>
          <w:noProof/>
        </w:rPr>
        <w:drawing>
          <wp:inline distT="0" distB="0" distL="0" distR="0" wp14:anchorId="3368F631" wp14:editId="5CB988D2">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3B0EE6" w:rsidRPr="003B0EE6">
        <w:rPr>
          <w:rFonts w:ascii="Verdana" w:hAnsi="Verdana"/>
          <w:b/>
        </w:rPr>
        <w:t>Maintenance Choice Fills Used:</w:t>
      </w:r>
      <w:r w:rsidR="003B0EE6" w:rsidRPr="003B0EE6">
        <w:rPr>
          <w:rFonts w:ascii="Verdana" w:hAnsi="Verdana"/>
        </w:rPr>
        <w:t xml:space="preserve">  This field displays the number of Retail</w:t>
      </w:r>
      <w:r w:rsidR="003B15EB">
        <w:rPr>
          <w:rFonts w:ascii="Verdana" w:hAnsi="Verdana"/>
        </w:rPr>
        <w:t>/Mail Order</w:t>
      </w:r>
      <w:r w:rsidR="003B0EE6" w:rsidRPr="003B0EE6">
        <w:rPr>
          <w:rFonts w:ascii="Verdana" w:hAnsi="Verdana"/>
        </w:rPr>
        <w:t xml:space="preserve"> Fills a member with Maintenance Choice (MC) has already used as of the date of the claim. </w:t>
      </w:r>
    </w:p>
    <w:p w14:paraId="7287BFBC" w14:textId="1BE4EE93" w:rsidR="003B0EE6" w:rsidRPr="003B0EE6" w:rsidRDefault="003B0EE6" w:rsidP="003B0EE6">
      <w:pPr>
        <w:spacing w:before="120" w:after="120"/>
        <w:ind w:left="360"/>
        <w:rPr>
          <w:rFonts w:ascii="Verdana" w:hAnsi="Verdana"/>
        </w:rPr>
      </w:pPr>
      <w:r w:rsidRPr="003B0EE6">
        <w:rPr>
          <w:rFonts w:ascii="Verdana" w:hAnsi="Verdana"/>
          <w:b/>
        </w:rPr>
        <w:t>Note:</w:t>
      </w:r>
      <w:r w:rsidRPr="003B0EE6">
        <w:rPr>
          <w:rFonts w:ascii="Verdana" w:hAnsi="Verdana"/>
        </w:rPr>
        <w:t xml:space="preserve">  This number will NOT update with later fills. </w:t>
      </w:r>
    </w:p>
    <w:p w14:paraId="5CD3786B" w14:textId="77777777" w:rsidR="003B0EE6" w:rsidRPr="003B0EE6" w:rsidRDefault="003B0EE6" w:rsidP="003B0EE6">
      <w:pPr>
        <w:spacing w:before="120" w:after="120"/>
        <w:ind w:left="360"/>
        <w:rPr>
          <w:rFonts w:ascii="Verdana" w:hAnsi="Verdana"/>
          <w:b/>
        </w:rPr>
      </w:pPr>
    </w:p>
    <w:p w14:paraId="37BF9B14" w14:textId="720B9D6F" w:rsidR="003B0EE6" w:rsidRPr="003B0EE6" w:rsidRDefault="00E269E5" w:rsidP="003B0EE6">
      <w:pPr>
        <w:numPr>
          <w:ilvl w:val="0"/>
          <w:numId w:val="33"/>
        </w:numPr>
        <w:spacing w:before="120" w:after="120"/>
        <w:rPr>
          <w:rFonts w:ascii="Verdana" w:hAnsi="Verdana"/>
        </w:rPr>
      </w:pPr>
      <w:r>
        <w:rPr>
          <w:rFonts w:ascii="Verdana" w:hAnsi="Verdana"/>
          <w:i/>
          <w:iCs/>
          <w:noProof/>
        </w:rPr>
        <w:drawing>
          <wp:inline distT="0" distB="0" distL="0" distR="0" wp14:anchorId="42A38FCE" wp14:editId="17D09BA5">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3B0EE6" w:rsidRPr="003B0EE6">
        <w:rPr>
          <w:rFonts w:ascii="Verdana" w:hAnsi="Verdana"/>
          <w:b/>
        </w:rPr>
        <w:t>Mandatory Fills Allowed:</w:t>
      </w:r>
      <w:r w:rsidR="003B0EE6" w:rsidRPr="003B0EE6">
        <w:rPr>
          <w:rFonts w:ascii="Verdana" w:hAnsi="Verdana"/>
        </w:rPr>
        <w:t xml:space="preserve">  This field displays the number of Retail</w:t>
      </w:r>
      <w:r w:rsidR="00CA430E">
        <w:rPr>
          <w:rFonts w:ascii="Verdana" w:hAnsi="Verdana"/>
        </w:rPr>
        <w:t>/Mail Order</w:t>
      </w:r>
      <w:r w:rsidR="003B0EE6" w:rsidRPr="003B0EE6">
        <w:rPr>
          <w:rFonts w:ascii="Verdana" w:hAnsi="Verdana"/>
        </w:rPr>
        <w:t xml:space="preserve"> Fills allowed for a member with Mandatory Mail.</w:t>
      </w:r>
    </w:p>
    <w:p w14:paraId="13AABA67" w14:textId="645C184E" w:rsidR="003B0EE6" w:rsidRDefault="00E269E5" w:rsidP="003B0EE6">
      <w:pPr>
        <w:numPr>
          <w:ilvl w:val="0"/>
          <w:numId w:val="33"/>
        </w:numPr>
        <w:spacing w:before="120" w:after="120"/>
        <w:rPr>
          <w:rFonts w:ascii="Verdana" w:hAnsi="Verdana"/>
        </w:rPr>
      </w:pPr>
      <w:r>
        <w:rPr>
          <w:rFonts w:ascii="Verdana" w:hAnsi="Verdana"/>
          <w:i/>
          <w:iCs/>
          <w:noProof/>
        </w:rPr>
        <w:drawing>
          <wp:inline distT="0" distB="0" distL="0" distR="0" wp14:anchorId="3C1D5FB3" wp14:editId="4DED1711">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3B0EE6" w:rsidRPr="003B0EE6">
        <w:rPr>
          <w:rFonts w:ascii="Verdana" w:hAnsi="Verdana"/>
          <w:b/>
        </w:rPr>
        <w:t>Mandatory Fills Used:</w:t>
      </w:r>
      <w:r w:rsidR="003B0EE6" w:rsidRPr="003B0EE6">
        <w:rPr>
          <w:rFonts w:ascii="Verdana" w:hAnsi="Verdana"/>
        </w:rPr>
        <w:t xml:space="preserve">  This field displays the number of Retail</w:t>
      </w:r>
      <w:r w:rsidR="00920CB7">
        <w:rPr>
          <w:rFonts w:ascii="Verdana" w:hAnsi="Verdana"/>
        </w:rPr>
        <w:t>/Mail Order</w:t>
      </w:r>
      <w:r w:rsidR="003B0EE6" w:rsidRPr="003B0EE6">
        <w:rPr>
          <w:rFonts w:ascii="Verdana" w:hAnsi="Verdana"/>
        </w:rPr>
        <w:t xml:space="preserve"> Fills a member with Mandatory Mail has already used as of the date of the claim. </w:t>
      </w:r>
    </w:p>
    <w:p w14:paraId="4CAD31EB" w14:textId="45E595A5" w:rsidR="003B0EE6" w:rsidRPr="003B0EE6" w:rsidRDefault="003B0EE6" w:rsidP="003B0EE6">
      <w:pPr>
        <w:spacing w:before="120" w:after="120"/>
        <w:ind w:left="360"/>
        <w:rPr>
          <w:rFonts w:ascii="Verdana" w:hAnsi="Verdana"/>
        </w:rPr>
      </w:pPr>
      <w:r w:rsidRPr="003B0EE6">
        <w:rPr>
          <w:rFonts w:ascii="Verdana" w:hAnsi="Verdana"/>
          <w:b/>
        </w:rPr>
        <w:lastRenderedPageBreak/>
        <w:t>Note:</w:t>
      </w:r>
      <w:r w:rsidRPr="003B0EE6">
        <w:rPr>
          <w:rFonts w:ascii="Verdana" w:hAnsi="Verdana"/>
        </w:rPr>
        <w:t xml:space="preserve">  This number will NOT update with later fills.</w:t>
      </w:r>
    </w:p>
    <w:p w14:paraId="0D25AD55" w14:textId="77777777" w:rsidR="003B0EE6" w:rsidRPr="003B0EE6" w:rsidRDefault="003B0EE6" w:rsidP="003B0EE6">
      <w:pPr>
        <w:spacing w:before="120" w:after="120"/>
        <w:rPr>
          <w:rFonts w:ascii="Verdana" w:hAnsi="Verdana"/>
        </w:rPr>
      </w:pPr>
    </w:p>
    <w:p w14:paraId="5239580F" w14:textId="1CFC1105" w:rsidR="009C62C2" w:rsidRPr="003B0EE6" w:rsidRDefault="009C62C2" w:rsidP="003B0EE6">
      <w:pPr>
        <w:spacing w:before="120" w:after="120"/>
        <w:rPr>
          <w:rFonts w:ascii="Verdana" w:hAnsi="Verdana"/>
        </w:rPr>
      </w:pPr>
      <w:r w:rsidRPr="003B0EE6">
        <w:rPr>
          <w:rFonts w:ascii="Verdana" w:hAnsi="Verdana"/>
        </w:rPr>
        <w:t>Members that have Maintenance Choice or Mandatory Fills, will now display a new field for improved communication as to the number of fills they are allowed versus the number of fills they have received:</w:t>
      </w:r>
    </w:p>
    <w:p w14:paraId="7CF40CA4" w14:textId="77777777" w:rsidR="009C62C2" w:rsidRPr="003B0EE6" w:rsidRDefault="009C62C2" w:rsidP="003B0EE6">
      <w:pPr>
        <w:spacing w:before="120" w:after="120"/>
        <w:rPr>
          <w:rFonts w:ascii="Verdana" w:hAnsi="Verdana"/>
        </w:rPr>
      </w:pPr>
    </w:p>
    <w:p w14:paraId="3BBFBDEA" w14:textId="0B277078" w:rsidR="003B0EE6" w:rsidRDefault="00E269E5" w:rsidP="003B0EE6">
      <w:pPr>
        <w:spacing w:before="120" w:after="120"/>
        <w:rPr>
          <w:rFonts w:ascii="Verdana" w:hAnsi="Verdana"/>
          <w:b/>
        </w:rPr>
      </w:pPr>
      <w:r>
        <w:rPr>
          <w:rFonts w:ascii="Verdana" w:hAnsi="Verdana"/>
          <w:i/>
          <w:iCs/>
          <w:noProof/>
        </w:rPr>
        <w:drawing>
          <wp:inline distT="0" distB="0" distL="0" distR="0" wp14:anchorId="031253AF" wp14:editId="71211ADE">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9C62C2" w:rsidRPr="003B0EE6">
        <w:rPr>
          <w:rFonts w:ascii="Verdana" w:hAnsi="Verdana"/>
        </w:rPr>
        <w:t>These f</w:t>
      </w:r>
      <w:r w:rsidR="00A56330" w:rsidRPr="003B0EE6">
        <w:rPr>
          <w:rFonts w:ascii="Verdana" w:hAnsi="Verdana"/>
        </w:rPr>
        <w:t>i</w:t>
      </w:r>
      <w:r w:rsidR="009C62C2" w:rsidRPr="003B0EE6">
        <w:rPr>
          <w:rFonts w:ascii="Verdana" w:hAnsi="Verdana"/>
        </w:rPr>
        <w:t>elds will help determine if a Retail</w:t>
      </w:r>
      <w:r w:rsidR="004729AA">
        <w:rPr>
          <w:rFonts w:ascii="Verdana" w:hAnsi="Verdana"/>
        </w:rPr>
        <w:t>/Mail Order</w:t>
      </w:r>
      <w:r w:rsidR="009C62C2" w:rsidRPr="003B0EE6">
        <w:rPr>
          <w:rFonts w:ascii="Verdana" w:hAnsi="Verdana"/>
        </w:rPr>
        <w:t xml:space="preserve"> Fill will be rejected for members with Maintenance Choice or Mandatory Mail.</w:t>
      </w:r>
      <w:r w:rsidR="009C62C2" w:rsidRPr="003B0EE6">
        <w:rPr>
          <w:rFonts w:ascii="Verdana" w:hAnsi="Verdana"/>
          <w:b/>
        </w:rPr>
        <w:t xml:space="preserve"> </w:t>
      </w:r>
    </w:p>
    <w:p w14:paraId="3995DD93" w14:textId="1C95D958" w:rsidR="009C62C2" w:rsidRPr="003B0EE6" w:rsidRDefault="009C62C2" w:rsidP="003B0EE6">
      <w:pPr>
        <w:spacing w:before="120" w:after="120"/>
        <w:rPr>
          <w:rFonts w:ascii="Verdana" w:hAnsi="Verdana"/>
        </w:rPr>
      </w:pPr>
      <w:r w:rsidRPr="003B0EE6">
        <w:rPr>
          <w:rFonts w:ascii="Verdana" w:hAnsi="Verdana"/>
          <w:b/>
        </w:rPr>
        <w:t>Examples:</w:t>
      </w:r>
    </w:p>
    <w:p w14:paraId="45621CC1" w14:textId="65F44ABD" w:rsidR="009C62C2" w:rsidRDefault="009C62C2" w:rsidP="003B0EE6">
      <w:pPr>
        <w:numPr>
          <w:ilvl w:val="0"/>
          <w:numId w:val="34"/>
        </w:numPr>
        <w:spacing w:before="120" w:after="120"/>
        <w:rPr>
          <w:rFonts w:ascii="Verdana" w:hAnsi="Verdana"/>
        </w:rPr>
      </w:pPr>
      <w:r w:rsidRPr="003B0EE6">
        <w:rPr>
          <w:rFonts w:ascii="Verdana" w:hAnsi="Verdana"/>
        </w:rPr>
        <w:t>If the number indicated in the MC or Mandatory Mail “Fills Allowed” field is greater than the number indicated in the MC or Mandatory Mail “Fills Used” field, then the member has not yet used all the fills allowed per their plan.</w:t>
      </w:r>
    </w:p>
    <w:p w14:paraId="67E41F0E" w14:textId="6445114A" w:rsidR="003531CB" w:rsidRPr="003B0EE6" w:rsidRDefault="003531CB" w:rsidP="00C86E9D">
      <w:pPr>
        <w:spacing w:before="120" w:after="120"/>
        <w:ind w:left="360"/>
        <w:jc w:val="center"/>
        <w:rPr>
          <w:rFonts w:ascii="Verdana" w:hAnsi="Verdana"/>
        </w:rPr>
      </w:pPr>
    </w:p>
    <w:p w14:paraId="5FF5F579" w14:textId="04D74F38" w:rsidR="009C62C2" w:rsidRDefault="009C62C2" w:rsidP="003B0EE6">
      <w:pPr>
        <w:numPr>
          <w:ilvl w:val="0"/>
          <w:numId w:val="34"/>
        </w:numPr>
        <w:spacing w:before="120" w:after="120"/>
        <w:rPr>
          <w:rFonts w:ascii="Verdana" w:hAnsi="Verdana"/>
        </w:rPr>
      </w:pPr>
      <w:r w:rsidRPr="003B0EE6">
        <w:rPr>
          <w:rFonts w:ascii="Verdana" w:hAnsi="Verdana"/>
        </w:rPr>
        <w:t>If the number indicated in the MC or Mandatory Mail “Fills Allowed” field is the same as the number indicated in the MC or Mandatory Mail “Fills Used” field, then the next fill will reject since the member has used all the fills allowed per their plan.</w:t>
      </w:r>
    </w:p>
    <w:p w14:paraId="451E7D4A" w14:textId="77777777" w:rsidR="006E2735" w:rsidRDefault="006E2735" w:rsidP="006E2735">
      <w:pPr>
        <w:pStyle w:val="ListParagraph"/>
        <w:rPr>
          <w:rFonts w:ascii="Verdana" w:hAnsi="Verdana"/>
        </w:rPr>
      </w:pPr>
    </w:p>
    <w:p w14:paraId="5306C0C7" w14:textId="77777777" w:rsidR="006E2735" w:rsidRPr="003B0EE6" w:rsidRDefault="006E2735" w:rsidP="006E2735">
      <w:pPr>
        <w:spacing w:before="120" w:after="120"/>
        <w:rPr>
          <w:rFonts w:ascii="Verdana" w:hAnsi="Verdana"/>
        </w:rPr>
      </w:pPr>
    </w:p>
    <w:p w14:paraId="79D7093B" w14:textId="08612F12" w:rsidR="009C62C2" w:rsidRPr="003B0EE6" w:rsidRDefault="004D6C72" w:rsidP="00C86E9D">
      <w:pPr>
        <w:spacing w:before="120" w:after="120"/>
        <w:jc w:val="center"/>
        <w:rPr>
          <w:rFonts w:ascii="Verdana" w:hAnsi="Verdana"/>
          <w:noProof/>
        </w:rPr>
      </w:pPr>
      <w:r>
        <w:rPr>
          <w:noProof/>
        </w:rPr>
        <w:lastRenderedPageBreak/>
        <w:drawing>
          <wp:inline distT="0" distB="0" distL="0" distR="0" wp14:anchorId="7B3C99DF" wp14:editId="0C3DC8FC">
            <wp:extent cx="8229600" cy="30403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040380"/>
                    </a:xfrm>
                    <a:prstGeom prst="rect">
                      <a:avLst/>
                    </a:prstGeom>
                    <a:noFill/>
                    <a:ln>
                      <a:noFill/>
                    </a:ln>
                  </pic:spPr>
                </pic:pic>
              </a:graphicData>
            </a:graphic>
          </wp:inline>
        </w:drawing>
      </w:r>
    </w:p>
    <w:p w14:paraId="498A1A50" w14:textId="1F85A53C" w:rsidR="009C62C2" w:rsidRPr="00453F8D" w:rsidRDefault="009C62C2" w:rsidP="009C62C2">
      <w:pPr>
        <w:jc w:val="center"/>
        <w:rPr>
          <w:rFonts w:ascii="Verdana" w:hAnsi="Verdana"/>
        </w:rPr>
      </w:pPr>
    </w:p>
    <w:p w14:paraId="52204EE5" w14:textId="77777777" w:rsidR="009C62C2" w:rsidRPr="00453F8D" w:rsidRDefault="009C62C2" w:rsidP="009C62C2">
      <w:pPr>
        <w:jc w:val="center"/>
        <w:rPr>
          <w:rFonts w:ascii="Verdana" w:hAnsi="Verdana"/>
          <w:b/>
        </w:rPr>
      </w:pPr>
    </w:p>
    <w:p w14:paraId="3C7F8D3F" w14:textId="5C3C6186" w:rsidR="009C62C2" w:rsidRPr="00453F8D" w:rsidRDefault="009C62C2" w:rsidP="00C86E9D">
      <w:pPr>
        <w:spacing w:before="120" w:after="120"/>
        <w:rPr>
          <w:rFonts w:ascii="Verdana" w:hAnsi="Verdana"/>
          <w:b/>
        </w:rPr>
      </w:pPr>
      <w:r w:rsidRPr="00453F8D">
        <w:rPr>
          <w:rFonts w:ascii="Verdana" w:hAnsi="Verdana"/>
          <w:b/>
        </w:rPr>
        <w:t>Prescription Details Screen</w:t>
      </w:r>
    </w:p>
    <w:p w14:paraId="74A811CE" w14:textId="16517F65" w:rsidR="009C62C2" w:rsidRPr="00453F8D" w:rsidRDefault="004D6C72" w:rsidP="003B0EE6">
      <w:pPr>
        <w:spacing w:before="120" w:after="120"/>
        <w:rPr>
          <w:rFonts w:ascii="Verdana" w:hAnsi="Verdana"/>
        </w:rPr>
      </w:pPr>
      <w:r>
        <w:rPr>
          <w:rFonts w:ascii="Verdana" w:hAnsi="Verdana"/>
          <w:noProof/>
        </w:rPr>
        <w:drawing>
          <wp:inline distT="0" distB="0" distL="0" distR="0" wp14:anchorId="0A7354AF" wp14:editId="355844BB">
            <wp:extent cx="23622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9C62C2" w:rsidRPr="00453F8D">
        <w:rPr>
          <w:rFonts w:ascii="Verdana" w:hAnsi="Verdana"/>
        </w:rPr>
        <w:t xml:space="preserve"> The numbers shown in the </w:t>
      </w:r>
      <w:r w:rsidR="009C62C2" w:rsidRPr="00453F8D">
        <w:rPr>
          <w:rFonts w:ascii="Verdana" w:hAnsi="Verdana"/>
          <w:b/>
        </w:rPr>
        <w:t>Maintenance Choice Fills</w:t>
      </w:r>
      <w:r w:rsidR="009C62C2" w:rsidRPr="00453F8D">
        <w:rPr>
          <w:rFonts w:ascii="Verdana" w:hAnsi="Verdana"/>
        </w:rPr>
        <w:t xml:space="preserve"> and </w:t>
      </w:r>
      <w:r w:rsidR="009C62C2" w:rsidRPr="00453F8D">
        <w:rPr>
          <w:rFonts w:ascii="Verdana" w:hAnsi="Verdana"/>
          <w:b/>
        </w:rPr>
        <w:t xml:space="preserve">Mandatory Fills </w:t>
      </w:r>
      <w:r w:rsidR="009C62C2" w:rsidRPr="00453F8D">
        <w:rPr>
          <w:rFonts w:ascii="Verdana" w:hAnsi="Verdana"/>
        </w:rPr>
        <w:t xml:space="preserve">fields are current as of the date of adjudication (i.e., the date of the claim) and will NOT be updated to reflect any fills completed after that date. </w:t>
      </w:r>
    </w:p>
    <w:p w14:paraId="6EBFFF5F" w14:textId="77777777" w:rsidR="009C62C2" w:rsidRPr="00453F8D" w:rsidRDefault="009C62C2" w:rsidP="003B0EE6">
      <w:pPr>
        <w:spacing w:before="120" w:after="120"/>
        <w:rPr>
          <w:rFonts w:ascii="Verdana" w:hAnsi="Verdana"/>
          <w:b/>
        </w:rPr>
      </w:pPr>
    </w:p>
    <w:p w14:paraId="56B4E34F" w14:textId="6822B86B" w:rsidR="009C62C2" w:rsidRPr="00453F8D" w:rsidRDefault="009C62C2" w:rsidP="003B0EE6">
      <w:pPr>
        <w:spacing w:before="120" w:after="120"/>
        <w:rPr>
          <w:rFonts w:ascii="Verdana" w:hAnsi="Verdana"/>
          <w:b/>
        </w:rPr>
      </w:pPr>
      <w:r w:rsidRPr="00453F8D">
        <w:rPr>
          <w:rFonts w:ascii="Verdana" w:hAnsi="Verdana"/>
          <w:b/>
        </w:rPr>
        <w:t xml:space="preserve">Notes:  </w:t>
      </w:r>
    </w:p>
    <w:p w14:paraId="74813B04" w14:textId="6520C4F6" w:rsidR="009C62C2" w:rsidRPr="00453F8D" w:rsidRDefault="009C62C2" w:rsidP="003B0EE6">
      <w:pPr>
        <w:numPr>
          <w:ilvl w:val="0"/>
          <w:numId w:val="35"/>
        </w:numPr>
        <w:spacing w:before="120" w:after="120"/>
        <w:ind w:left="540"/>
        <w:rPr>
          <w:rFonts w:ascii="Verdana" w:hAnsi="Verdana"/>
        </w:rPr>
      </w:pPr>
      <w:r w:rsidRPr="00453F8D">
        <w:rPr>
          <w:rFonts w:ascii="Verdana" w:hAnsi="Verdana"/>
        </w:rPr>
        <w:t xml:space="preserve">If the member’s plan does not have </w:t>
      </w:r>
      <w:bookmarkStart w:id="6" w:name="OLE_LINK1"/>
      <w:r w:rsidRPr="00453F8D">
        <w:rPr>
          <w:rFonts w:ascii="Verdana" w:hAnsi="Verdana"/>
        </w:rPr>
        <w:t>Maintenance Choice</w:t>
      </w:r>
      <w:bookmarkEnd w:id="6"/>
      <w:r w:rsidRPr="00453F8D">
        <w:rPr>
          <w:rFonts w:ascii="Verdana" w:hAnsi="Verdana"/>
        </w:rPr>
        <w:t xml:space="preserve"> or Mandatory Mail, then the </w:t>
      </w:r>
      <w:r w:rsidRPr="00453F8D">
        <w:rPr>
          <w:rFonts w:ascii="Verdana" w:hAnsi="Verdana"/>
          <w:b/>
        </w:rPr>
        <w:t>Maintenance Choice Fills</w:t>
      </w:r>
      <w:r w:rsidRPr="00453F8D">
        <w:rPr>
          <w:rFonts w:ascii="Verdana" w:hAnsi="Verdana"/>
        </w:rPr>
        <w:t xml:space="preserve"> and </w:t>
      </w:r>
      <w:r w:rsidRPr="00453F8D">
        <w:rPr>
          <w:rFonts w:ascii="Verdana" w:hAnsi="Verdana"/>
          <w:b/>
        </w:rPr>
        <w:t xml:space="preserve">Mandatory Fills </w:t>
      </w:r>
      <w:r w:rsidRPr="00453F8D">
        <w:rPr>
          <w:rFonts w:ascii="Verdana" w:hAnsi="Verdana"/>
        </w:rPr>
        <w:t xml:space="preserve">fields will NOT </w:t>
      </w:r>
      <w:r w:rsidR="003531CB">
        <w:rPr>
          <w:rFonts w:ascii="Verdana" w:hAnsi="Verdana"/>
        </w:rPr>
        <w:t>display</w:t>
      </w:r>
      <w:r w:rsidRPr="00453F8D">
        <w:rPr>
          <w:rFonts w:ascii="Verdana" w:hAnsi="Verdana"/>
        </w:rPr>
        <w:t>.</w:t>
      </w:r>
    </w:p>
    <w:p w14:paraId="1CC2092F" w14:textId="4DFC49AC" w:rsidR="009C62C2" w:rsidRPr="00453F8D" w:rsidRDefault="009C62C2" w:rsidP="003B0EE6">
      <w:pPr>
        <w:numPr>
          <w:ilvl w:val="0"/>
          <w:numId w:val="35"/>
        </w:numPr>
        <w:spacing w:before="120" w:after="120"/>
        <w:ind w:left="540"/>
        <w:rPr>
          <w:rFonts w:ascii="Verdana" w:hAnsi="Verdana"/>
        </w:rPr>
      </w:pPr>
      <w:r w:rsidRPr="00453F8D">
        <w:rPr>
          <w:rFonts w:ascii="Verdana" w:hAnsi="Verdana"/>
        </w:rPr>
        <w:lastRenderedPageBreak/>
        <w:t xml:space="preserve">Client participation in Maintenance Choice and Mandatory Mail varies. </w:t>
      </w:r>
      <w:r w:rsidR="003531CB">
        <w:rPr>
          <w:rFonts w:ascii="Verdana" w:hAnsi="Verdana"/>
        </w:rPr>
        <w:t xml:space="preserve"> </w:t>
      </w:r>
      <w:r w:rsidRPr="00453F8D">
        <w:rPr>
          <w:rFonts w:ascii="Verdana" w:hAnsi="Verdana"/>
        </w:rPr>
        <w:t xml:space="preserve">Allowed fills, targeted drugs, therapies, and reset dates vary by plan. </w:t>
      </w:r>
    </w:p>
    <w:p w14:paraId="629E85B6" w14:textId="445C60D4" w:rsidR="003531CB" w:rsidRDefault="006D62CF" w:rsidP="003B0EE6">
      <w:pPr>
        <w:numPr>
          <w:ilvl w:val="0"/>
          <w:numId w:val="35"/>
        </w:numPr>
        <w:spacing w:before="120" w:after="120"/>
        <w:ind w:left="540"/>
        <w:rPr>
          <w:rFonts w:ascii="Verdana" w:hAnsi="Verdana"/>
        </w:rPr>
      </w:pPr>
      <w:r>
        <w:rPr>
          <w:rFonts w:ascii="Verdana" w:hAnsi="Verdana"/>
          <w:i/>
          <w:noProof/>
        </w:rPr>
        <w:drawing>
          <wp:inline distT="0" distB="0" distL="0" distR="0" wp14:anchorId="61E76602" wp14:editId="13CF2C77">
            <wp:extent cx="308610" cy="30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t xml:space="preserve"> </w:t>
      </w:r>
      <w:r w:rsidR="009C62C2" w:rsidRPr="00453F8D">
        <w:rPr>
          <w:rFonts w:ascii="Verdana" w:hAnsi="Verdana"/>
        </w:rPr>
        <w:t>Members with Mandatory Maintenance Choice are limited to a</w:t>
      </w:r>
      <w:r w:rsidR="00A56330">
        <w:rPr>
          <w:rFonts w:ascii="Verdana" w:hAnsi="Verdana"/>
        </w:rPr>
        <w:t xml:space="preserve"> certain number of</w:t>
      </w:r>
      <w:r w:rsidR="009C62C2" w:rsidRPr="00453F8D">
        <w:rPr>
          <w:rFonts w:ascii="Verdana" w:hAnsi="Verdana"/>
        </w:rPr>
        <w:t> fills at a Retail</w:t>
      </w:r>
      <w:r w:rsidR="008A186C">
        <w:rPr>
          <w:rFonts w:ascii="Verdana" w:hAnsi="Verdana"/>
        </w:rPr>
        <w:t>/Mail Order</w:t>
      </w:r>
      <w:r w:rsidR="009C62C2" w:rsidRPr="00453F8D">
        <w:rPr>
          <w:rFonts w:ascii="Verdana" w:hAnsi="Verdana"/>
        </w:rPr>
        <w:t xml:space="preserve"> pharmacy</w:t>
      </w:r>
      <w:r w:rsidR="00A56330">
        <w:rPr>
          <w:rFonts w:ascii="Verdana" w:hAnsi="Verdana"/>
        </w:rPr>
        <w:t xml:space="preserve"> up to a 30</w:t>
      </w:r>
      <w:r w:rsidR="003531CB">
        <w:rPr>
          <w:rFonts w:ascii="Verdana" w:hAnsi="Verdana"/>
        </w:rPr>
        <w:t>-</w:t>
      </w:r>
      <w:r w:rsidR="00A56330">
        <w:rPr>
          <w:rFonts w:ascii="Verdana" w:hAnsi="Verdana"/>
        </w:rPr>
        <w:t>day supply (day supply may</w:t>
      </w:r>
      <w:r w:rsidR="00151361">
        <w:rPr>
          <w:rFonts w:ascii="Verdana" w:hAnsi="Verdana"/>
        </w:rPr>
        <w:t xml:space="preserve"> </w:t>
      </w:r>
      <w:r w:rsidR="001461A3">
        <w:rPr>
          <w:rFonts w:ascii="Verdana" w:hAnsi="Verdana"/>
        </w:rPr>
        <w:t>vary</w:t>
      </w:r>
      <w:r w:rsidR="00A56330">
        <w:rPr>
          <w:rFonts w:ascii="Verdana" w:hAnsi="Verdana"/>
        </w:rPr>
        <w:t xml:space="preserve"> per client)</w:t>
      </w:r>
      <w:r w:rsidR="009C62C2" w:rsidRPr="00453F8D">
        <w:rPr>
          <w:rFonts w:ascii="Verdana" w:hAnsi="Verdana"/>
        </w:rPr>
        <w:t xml:space="preserve">. </w:t>
      </w:r>
      <w:r w:rsidR="003531CB">
        <w:rPr>
          <w:rFonts w:ascii="Verdana" w:hAnsi="Verdana"/>
        </w:rPr>
        <w:t xml:space="preserve"> </w:t>
      </w:r>
      <w:bookmarkStart w:id="7" w:name="OLE_LINK2"/>
      <w:r w:rsidR="009C62C2" w:rsidRPr="00453F8D">
        <w:rPr>
          <w:rFonts w:ascii="Verdana" w:hAnsi="Verdana"/>
        </w:rPr>
        <w:t xml:space="preserve">After the limit has been reached, the </w:t>
      </w:r>
      <w:r w:rsidR="009375D0">
        <w:rPr>
          <w:rFonts w:ascii="Verdana" w:hAnsi="Verdana"/>
        </w:rPr>
        <w:t xml:space="preserve">member </w:t>
      </w:r>
      <w:r w:rsidR="0068034D">
        <w:rPr>
          <w:rFonts w:ascii="Verdana" w:hAnsi="Verdana"/>
        </w:rPr>
        <w:t>must</w:t>
      </w:r>
      <w:r w:rsidR="009375D0">
        <w:rPr>
          <w:rFonts w:ascii="Verdana" w:hAnsi="Verdana"/>
        </w:rPr>
        <w:t xml:space="preserve"> receive </w:t>
      </w:r>
      <w:r w:rsidR="007C26AC">
        <w:rPr>
          <w:rFonts w:ascii="Verdana" w:hAnsi="Verdana"/>
        </w:rPr>
        <w:t>a</w:t>
      </w:r>
      <w:r w:rsidR="00224003">
        <w:rPr>
          <w:rFonts w:ascii="Verdana" w:hAnsi="Verdana"/>
        </w:rPr>
        <w:t>n</w:t>
      </w:r>
      <w:r w:rsidR="007C26AC">
        <w:rPr>
          <w:rFonts w:ascii="Verdana" w:hAnsi="Verdana"/>
        </w:rPr>
        <w:t xml:space="preserve"> </w:t>
      </w:r>
      <w:r w:rsidR="00A56330">
        <w:rPr>
          <w:rFonts w:ascii="Verdana" w:hAnsi="Verdana"/>
        </w:rPr>
        <w:t>84</w:t>
      </w:r>
      <w:r w:rsidR="00224003">
        <w:rPr>
          <w:rFonts w:ascii="Verdana" w:hAnsi="Verdana"/>
        </w:rPr>
        <w:t>-</w:t>
      </w:r>
      <w:r w:rsidR="003531CB">
        <w:rPr>
          <w:rFonts w:ascii="Verdana" w:hAnsi="Verdana"/>
        </w:rPr>
        <w:t xml:space="preserve"> to</w:t>
      </w:r>
      <w:r w:rsidR="002B5D39">
        <w:rPr>
          <w:rFonts w:ascii="Verdana" w:hAnsi="Verdana"/>
        </w:rPr>
        <w:t xml:space="preserve"> </w:t>
      </w:r>
      <w:r w:rsidR="009C62C2" w:rsidRPr="00453F8D">
        <w:rPr>
          <w:rFonts w:ascii="Verdana" w:hAnsi="Verdana"/>
        </w:rPr>
        <w:t>90</w:t>
      </w:r>
      <w:r w:rsidR="003531CB">
        <w:rPr>
          <w:rFonts w:ascii="Verdana" w:hAnsi="Verdana"/>
        </w:rPr>
        <w:t>-</w:t>
      </w:r>
      <w:r w:rsidR="009C62C2" w:rsidRPr="00453F8D">
        <w:rPr>
          <w:rFonts w:ascii="Verdana" w:hAnsi="Verdana"/>
        </w:rPr>
        <w:t xml:space="preserve">day </w:t>
      </w:r>
      <w:r w:rsidR="001461A3">
        <w:rPr>
          <w:rFonts w:ascii="Verdana" w:hAnsi="Verdana"/>
        </w:rPr>
        <w:t>supply</w:t>
      </w:r>
      <w:r w:rsidR="001461A3" w:rsidRPr="00453F8D">
        <w:rPr>
          <w:rFonts w:ascii="Verdana" w:hAnsi="Verdana"/>
        </w:rPr>
        <w:t xml:space="preserve"> </w:t>
      </w:r>
      <w:r w:rsidR="009C62C2" w:rsidRPr="00453F8D">
        <w:rPr>
          <w:rFonts w:ascii="Verdana" w:hAnsi="Verdana"/>
        </w:rPr>
        <w:t xml:space="preserve">through Maintenance Choice at Mail Service or at </w:t>
      </w:r>
      <w:r w:rsidR="00A56330">
        <w:rPr>
          <w:rFonts w:ascii="Verdana" w:hAnsi="Verdana"/>
        </w:rPr>
        <w:t>least</w:t>
      </w:r>
      <w:r w:rsidR="001461A3">
        <w:rPr>
          <w:rFonts w:ascii="Verdana" w:hAnsi="Verdana"/>
        </w:rPr>
        <w:t xml:space="preserve"> an</w:t>
      </w:r>
      <w:r w:rsidR="00A56330">
        <w:rPr>
          <w:rFonts w:ascii="Verdana" w:hAnsi="Verdana"/>
        </w:rPr>
        <w:t xml:space="preserve"> 84</w:t>
      </w:r>
      <w:r w:rsidR="003531CB">
        <w:rPr>
          <w:rFonts w:ascii="Verdana" w:hAnsi="Verdana"/>
        </w:rPr>
        <w:t xml:space="preserve"> to </w:t>
      </w:r>
      <w:r w:rsidR="00A56330">
        <w:rPr>
          <w:rFonts w:ascii="Verdana" w:hAnsi="Verdana"/>
        </w:rPr>
        <w:t>90</w:t>
      </w:r>
      <w:r w:rsidR="003531CB">
        <w:rPr>
          <w:rFonts w:ascii="Verdana" w:hAnsi="Verdana"/>
        </w:rPr>
        <w:t>-</w:t>
      </w:r>
      <w:r w:rsidR="00A56330">
        <w:rPr>
          <w:rFonts w:ascii="Verdana" w:hAnsi="Verdana"/>
        </w:rPr>
        <w:t xml:space="preserve">day supply </w:t>
      </w:r>
      <w:r w:rsidR="009C62C2" w:rsidRPr="00453F8D">
        <w:rPr>
          <w:rFonts w:ascii="Verdana" w:hAnsi="Verdana"/>
        </w:rPr>
        <w:t>a</w:t>
      </w:r>
      <w:r w:rsidR="00A56330">
        <w:rPr>
          <w:rFonts w:ascii="Verdana" w:hAnsi="Verdana"/>
        </w:rPr>
        <w:t>t</w:t>
      </w:r>
      <w:r w:rsidR="009C62C2" w:rsidRPr="00453F8D">
        <w:rPr>
          <w:rFonts w:ascii="Verdana" w:hAnsi="Verdana"/>
        </w:rPr>
        <w:t xml:space="preserve"> CVS Pharmacy</w:t>
      </w:r>
      <w:r w:rsidR="002E0C54">
        <w:rPr>
          <w:rFonts w:ascii="Verdana" w:hAnsi="Verdana"/>
        </w:rPr>
        <w:t xml:space="preserve">, </w:t>
      </w:r>
      <w:r w:rsidR="00617991" w:rsidRPr="00617991">
        <w:rPr>
          <w:rFonts w:ascii="Verdana" w:hAnsi="Verdana"/>
        </w:rPr>
        <w:t>Costco Pharmacy</w:t>
      </w:r>
      <w:r w:rsidR="00635B02">
        <w:rPr>
          <w:rFonts w:ascii="Verdana" w:hAnsi="Verdana"/>
        </w:rPr>
        <w:t>, Kroger</w:t>
      </w:r>
      <w:r w:rsidR="00175608">
        <w:rPr>
          <w:rFonts w:ascii="Verdana" w:hAnsi="Verdana"/>
        </w:rPr>
        <w:t>,</w:t>
      </w:r>
      <w:r w:rsidR="00617991" w:rsidRPr="00617991">
        <w:rPr>
          <w:rFonts w:ascii="Verdana" w:hAnsi="Verdana"/>
        </w:rPr>
        <w:t xml:space="preserve"> and several independent pharmacies</w:t>
      </w:r>
      <w:r w:rsidR="009C62C2" w:rsidRPr="00453F8D">
        <w:rPr>
          <w:rFonts w:ascii="Verdana" w:hAnsi="Verdana"/>
        </w:rPr>
        <w:t xml:space="preserve">. </w:t>
      </w:r>
      <w:r w:rsidR="003531CB">
        <w:rPr>
          <w:rFonts w:ascii="Verdana" w:hAnsi="Verdana"/>
        </w:rPr>
        <w:t xml:space="preserve"> </w:t>
      </w:r>
      <w:bookmarkEnd w:id="7"/>
      <w:r w:rsidR="009C62C2" w:rsidRPr="00453F8D">
        <w:rPr>
          <w:rFonts w:ascii="Verdana" w:hAnsi="Verdana"/>
        </w:rPr>
        <w:t>If the member continues to fill </w:t>
      </w:r>
      <w:r w:rsidR="00A56330">
        <w:rPr>
          <w:rFonts w:ascii="Verdana" w:hAnsi="Verdana"/>
        </w:rPr>
        <w:t xml:space="preserve">less than an </w:t>
      </w:r>
      <w:r w:rsidR="00FC402A">
        <w:rPr>
          <w:rFonts w:ascii="Verdana" w:hAnsi="Verdana"/>
        </w:rPr>
        <w:t>84–90-day</w:t>
      </w:r>
      <w:r w:rsidR="009C62C2" w:rsidRPr="00453F8D">
        <w:rPr>
          <w:rFonts w:ascii="Verdana" w:hAnsi="Verdana"/>
        </w:rPr>
        <w:t> supplies, they will not be covered by the plan. </w:t>
      </w:r>
    </w:p>
    <w:p w14:paraId="5AE705F2" w14:textId="26FB9051" w:rsidR="009C62C2" w:rsidRPr="00453F8D" w:rsidRDefault="00E269E5" w:rsidP="003B0EE6">
      <w:pPr>
        <w:numPr>
          <w:ilvl w:val="0"/>
          <w:numId w:val="35"/>
        </w:numPr>
        <w:spacing w:before="120" w:after="120"/>
        <w:ind w:left="540"/>
        <w:rPr>
          <w:rFonts w:ascii="Verdana" w:hAnsi="Verdana"/>
        </w:rPr>
      </w:pPr>
      <w:r>
        <w:rPr>
          <w:rFonts w:ascii="Verdana" w:hAnsi="Verdana"/>
          <w:i/>
          <w:iCs/>
          <w:noProof/>
        </w:rPr>
        <w:drawing>
          <wp:inline distT="0" distB="0" distL="0" distR="0" wp14:anchorId="55A386E7" wp14:editId="7D7B23BB">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9C62C2" w:rsidRPr="00453F8D">
        <w:rPr>
          <w:rFonts w:ascii="Verdana" w:hAnsi="Verdana"/>
        </w:rPr>
        <w:t xml:space="preserve">Members with Incentivized Maintenance Choice will have increased copays after a certain number of </w:t>
      </w:r>
      <w:r w:rsidR="00A56330">
        <w:rPr>
          <w:rFonts w:ascii="Verdana" w:hAnsi="Verdana"/>
        </w:rPr>
        <w:t xml:space="preserve">fills up to a </w:t>
      </w:r>
      <w:r w:rsidR="00FC402A" w:rsidRPr="00453F8D">
        <w:rPr>
          <w:rFonts w:ascii="Verdana" w:hAnsi="Verdana"/>
        </w:rPr>
        <w:t>30-day</w:t>
      </w:r>
      <w:r w:rsidR="009C62C2" w:rsidRPr="00453F8D">
        <w:rPr>
          <w:rFonts w:ascii="Verdana" w:hAnsi="Verdana"/>
        </w:rPr>
        <w:t xml:space="preserve"> supply </w:t>
      </w:r>
      <w:r w:rsidR="00A56330">
        <w:rPr>
          <w:rFonts w:ascii="Verdana" w:hAnsi="Verdana"/>
        </w:rPr>
        <w:t xml:space="preserve">(day supply may vary per client) </w:t>
      </w:r>
      <w:r w:rsidR="009C62C2" w:rsidRPr="00453F8D">
        <w:rPr>
          <w:rFonts w:ascii="Verdana" w:hAnsi="Verdana"/>
        </w:rPr>
        <w:t>at a retail</w:t>
      </w:r>
      <w:r w:rsidR="00635B02">
        <w:rPr>
          <w:rFonts w:ascii="Verdana" w:hAnsi="Verdana"/>
        </w:rPr>
        <w:t>/Mail</w:t>
      </w:r>
      <w:r w:rsidR="004C3D8F">
        <w:rPr>
          <w:rFonts w:ascii="Verdana" w:hAnsi="Verdana"/>
        </w:rPr>
        <w:t xml:space="preserve"> Order</w:t>
      </w:r>
      <w:r w:rsidR="009C62C2" w:rsidRPr="00453F8D">
        <w:rPr>
          <w:rFonts w:ascii="Verdana" w:hAnsi="Verdana"/>
        </w:rPr>
        <w:t xml:space="preserve"> pharmacy. </w:t>
      </w:r>
      <w:r w:rsidR="003531CB">
        <w:rPr>
          <w:rFonts w:ascii="Verdana" w:hAnsi="Verdana"/>
        </w:rPr>
        <w:t xml:space="preserve"> </w:t>
      </w:r>
      <w:r w:rsidR="009C62C2" w:rsidRPr="00453F8D">
        <w:rPr>
          <w:rFonts w:ascii="Verdana" w:hAnsi="Verdana"/>
        </w:rPr>
        <w:t xml:space="preserve">This provides financial encouragement for the member to participate in the </w:t>
      </w:r>
      <w:r w:rsidR="00FC402A" w:rsidRPr="00453F8D">
        <w:rPr>
          <w:rFonts w:ascii="Verdana" w:hAnsi="Verdana"/>
        </w:rPr>
        <w:t>90-day</w:t>
      </w:r>
      <w:r w:rsidR="009C62C2" w:rsidRPr="00453F8D">
        <w:rPr>
          <w:rFonts w:ascii="Verdana" w:hAnsi="Verdana"/>
        </w:rPr>
        <w:t xml:space="preserve"> supply Maintenance Choice opportunity through Mail Service or at a CVS Pharmacy</w:t>
      </w:r>
      <w:r w:rsidR="00355BAB">
        <w:rPr>
          <w:rFonts w:ascii="Verdana" w:hAnsi="Verdana"/>
        </w:rPr>
        <w:t>,</w:t>
      </w:r>
      <w:r w:rsidR="00355BAB" w:rsidRPr="00355BAB">
        <w:rPr>
          <w:rFonts w:ascii="Verdana" w:hAnsi="Verdana"/>
        </w:rPr>
        <w:t xml:space="preserve"> </w:t>
      </w:r>
      <w:r w:rsidR="00355BAB" w:rsidRPr="00617991">
        <w:rPr>
          <w:rFonts w:ascii="Verdana" w:hAnsi="Verdana"/>
        </w:rPr>
        <w:t>Costco Pharmacy</w:t>
      </w:r>
      <w:r w:rsidR="00355BAB">
        <w:rPr>
          <w:rFonts w:ascii="Verdana" w:hAnsi="Verdana"/>
        </w:rPr>
        <w:t>, Kroger</w:t>
      </w:r>
      <w:r w:rsidR="00175608">
        <w:rPr>
          <w:rFonts w:ascii="Verdana" w:hAnsi="Verdana"/>
        </w:rPr>
        <w:t>,</w:t>
      </w:r>
      <w:r w:rsidR="00355BAB" w:rsidRPr="00617991">
        <w:rPr>
          <w:rFonts w:ascii="Verdana" w:hAnsi="Verdana"/>
        </w:rPr>
        <w:t xml:space="preserve"> and several independent </w:t>
      </w:r>
      <w:r w:rsidR="00B147FE" w:rsidRPr="00617991">
        <w:rPr>
          <w:rFonts w:ascii="Verdana" w:hAnsi="Verdana"/>
        </w:rPr>
        <w:t>pharmacies</w:t>
      </w:r>
      <w:r w:rsidR="00B147FE" w:rsidRPr="00453F8D">
        <w:rPr>
          <w:rFonts w:ascii="Verdana" w:hAnsi="Verdana"/>
        </w:rPr>
        <w:t>.</w:t>
      </w:r>
      <w:r w:rsidR="009C62C2" w:rsidRPr="00453F8D">
        <w:rPr>
          <w:rFonts w:ascii="Verdana" w:hAnsi="Verdana"/>
        </w:rPr>
        <w:t xml:space="preserve"> </w:t>
      </w:r>
    </w:p>
    <w:p w14:paraId="72D5AC14" w14:textId="20F3A29F" w:rsidR="009C62C2" w:rsidRPr="006E2735" w:rsidRDefault="004E47D9" w:rsidP="00FB6CD4">
      <w:pPr>
        <w:numPr>
          <w:ilvl w:val="0"/>
          <w:numId w:val="35"/>
        </w:numPr>
        <w:spacing w:before="120" w:after="120"/>
        <w:ind w:left="540"/>
        <w:rPr>
          <w:rFonts w:ascii="Verdana" w:hAnsi="Verdana"/>
          <w:color w:val="000000"/>
        </w:rPr>
      </w:pPr>
      <w:r>
        <w:rPr>
          <w:rFonts w:ascii="Verdana" w:hAnsi="Verdana"/>
          <w:i/>
          <w:iCs/>
          <w:noProof/>
        </w:rPr>
        <w:drawing>
          <wp:inline distT="0" distB="0" distL="0" distR="0" wp14:anchorId="3DB263EF" wp14:editId="7FB0AE2C">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9C62C2" w:rsidRPr="003B0EE6">
        <w:rPr>
          <w:rFonts w:ascii="Verdana" w:hAnsi="Verdana"/>
        </w:rPr>
        <w:t>Mandatory Mail is a plan design which requires targeted drug therapies to be filled via mail order benefits</w:t>
      </w:r>
      <w:r w:rsidR="00E1681A">
        <w:rPr>
          <w:rFonts w:ascii="Verdana" w:hAnsi="Verdana"/>
        </w:rPr>
        <w:t xml:space="preserve"> for a 90-day supply</w:t>
      </w:r>
      <w:r w:rsidR="009C62C2" w:rsidRPr="003B0EE6">
        <w:rPr>
          <w:rFonts w:ascii="Verdana" w:hAnsi="Verdana"/>
        </w:rPr>
        <w:t xml:space="preserve">. </w:t>
      </w:r>
      <w:r w:rsidR="003531CB">
        <w:rPr>
          <w:rFonts w:ascii="Verdana" w:hAnsi="Verdana"/>
        </w:rPr>
        <w:t xml:space="preserve"> </w:t>
      </w:r>
      <w:r w:rsidR="009C62C2" w:rsidRPr="003B0EE6">
        <w:rPr>
          <w:rFonts w:ascii="Verdana" w:hAnsi="Verdana"/>
        </w:rPr>
        <w:t>While plan pro</w:t>
      </w:r>
      <w:r w:rsidR="00A56330" w:rsidRPr="003B0EE6">
        <w:rPr>
          <w:rFonts w:ascii="Verdana" w:hAnsi="Verdana"/>
        </w:rPr>
        <w:t>visions may require the use of our mail service</w:t>
      </w:r>
      <w:r w:rsidR="009C62C2" w:rsidRPr="003B0EE6">
        <w:rPr>
          <w:rFonts w:ascii="Verdana" w:hAnsi="Verdana"/>
        </w:rPr>
        <w:t xml:space="preserve">, many clients allow a limited number of fills per drug type or class at retail.  </w:t>
      </w:r>
    </w:p>
    <w:p w14:paraId="16381C14" w14:textId="70BA3127" w:rsidR="002B5D39" w:rsidRPr="00151D78" w:rsidRDefault="002B5D39" w:rsidP="00FB6CD4">
      <w:pPr>
        <w:numPr>
          <w:ilvl w:val="0"/>
          <w:numId w:val="35"/>
        </w:numPr>
        <w:spacing w:before="120" w:after="120"/>
        <w:ind w:left="540"/>
        <w:rPr>
          <w:rFonts w:ascii="Verdana" w:hAnsi="Verdana"/>
          <w:color w:val="000000"/>
        </w:rPr>
      </w:pPr>
      <w:r>
        <w:rPr>
          <w:rFonts w:ascii="Verdana" w:hAnsi="Verdana"/>
        </w:rPr>
        <w:t>The lookback period of fills on Maintenance Choice medications is 365 days. This may include prior plans and fills, not just the current plan/client the member is with now</w:t>
      </w:r>
      <w:r w:rsidR="00697860">
        <w:rPr>
          <w:rFonts w:ascii="Verdana" w:hAnsi="Verdana"/>
        </w:rPr>
        <w:t>.</w:t>
      </w:r>
    </w:p>
    <w:p w14:paraId="2E89DA1C" w14:textId="492A0489" w:rsidR="003667B0" w:rsidRPr="003B0EE6" w:rsidRDefault="00151D78" w:rsidP="00FB6CD4">
      <w:pPr>
        <w:numPr>
          <w:ilvl w:val="0"/>
          <w:numId w:val="35"/>
        </w:numPr>
        <w:spacing w:before="120" w:after="120"/>
        <w:ind w:left="540"/>
        <w:rPr>
          <w:rFonts w:ascii="Verdana" w:hAnsi="Verdana"/>
          <w:color w:val="000000"/>
        </w:rPr>
      </w:pPr>
      <w:r>
        <w:rPr>
          <w:rFonts w:ascii="Verdana" w:hAnsi="Verdana"/>
          <w:i/>
          <w:iCs/>
          <w:noProof/>
        </w:rPr>
        <w:drawing>
          <wp:inline distT="0" distB="0" distL="0" distR="0" wp14:anchorId="75239ECD" wp14:editId="72900233">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310C37">
        <w:rPr>
          <w:rFonts w:ascii="Verdana" w:hAnsi="Verdana"/>
        </w:rPr>
        <w:t xml:space="preserve">Both Retail and Mail fills will apply to </w:t>
      </w:r>
      <w:r w:rsidR="008714D1">
        <w:rPr>
          <w:rFonts w:ascii="Verdana" w:hAnsi="Verdana"/>
        </w:rPr>
        <w:t>G</w:t>
      </w:r>
      <w:r w:rsidR="00F31B98">
        <w:rPr>
          <w:rFonts w:ascii="Verdana" w:hAnsi="Verdana"/>
        </w:rPr>
        <w:t xml:space="preserve">race </w:t>
      </w:r>
      <w:r w:rsidR="008714D1">
        <w:rPr>
          <w:rFonts w:ascii="Verdana" w:hAnsi="Verdana"/>
        </w:rPr>
        <w:t>F</w:t>
      </w:r>
      <w:r w:rsidR="00F31B98">
        <w:rPr>
          <w:rFonts w:ascii="Verdana" w:hAnsi="Verdana"/>
        </w:rPr>
        <w:t>ill</w:t>
      </w:r>
      <w:r w:rsidR="008714D1">
        <w:rPr>
          <w:rFonts w:ascii="Verdana" w:hAnsi="Verdana"/>
        </w:rPr>
        <w:t xml:space="preserve"> limit</w:t>
      </w:r>
      <w:r w:rsidR="00F31B98">
        <w:rPr>
          <w:rFonts w:ascii="Verdana" w:hAnsi="Verdana"/>
        </w:rPr>
        <w:t>s</w:t>
      </w:r>
      <w:r w:rsidR="008714D1">
        <w:rPr>
          <w:rFonts w:ascii="Verdana" w:hAnsi="Verdana"/>
        </w:rPr>
        <w:t xml:space="preserve">. </w:t>
      </w:r>
      <w:r w:rsidR="00F31B98">
        <w:rPr>
          <w:rFonts w:ascii="Verdana" w:hAnsi="Verdana"/>
        </w:rPr>
        <w:t xml:space="preserve"> </w:t>
      </w:r>
    </w:p>
    <w:p w14:paraId="0D99BB91" w14:textId="640E032C" w:rsidR="00151361" w:rsidRDefault="002D1133" w:rsidP="003B0EE6">
      <w:pPr>
        <w:jc w:val="right"/>
        <w:rPr>
          <w:rFonts w:ascii="Verdana" w:hAnsi="Verdana"/>
        </w:rPr>
      </w:pPr>
      <w:hyperlink w:anchor="_top" w:history="1">
        <w:r w:rsidRPr="0017560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51361" w14:paraId="47B0B00D" w14:textId="77777777" w:rsidTr="00175608">
        <w:tc>
          <w:tcPr>
            <w:tcW w:w="5000" w:type="pct"/>
            <w:shd w:val="clear" w:color="auto" w:fill="BFBFBF" w:themeFill="background1" w:themeFillShade="BF"/>
          </w:tcPr>
          <w:p w14:paraId="5DBD714E" w14:textId="77777777" w:rsidR="00151361" w:rsidRDefault="00151361" w:rsidP="003B0EE6">
            <w:pPr>
              <w:pStyle w:val="Heading2"/>
              <w:spacing w:before="120" w:after="120"/>
              <w:rPr>
                <w:rFonts w:ascii="Verdana" w:hAnsi="Verdana"/>
                <w:i w:val="0"/>
                <w:iCs w:val="0"/>
              </w:rPr>
            </w:pPr>
            <w:bookmarkStart w:id="8" w:name="_Toc143521015"/>
            <w:bookmarkStart w:id="9" w:name="_Toc181293302"/>
            <w:r>
              <w:rPr>
                <w:rFonts w:ascii="Verdana" w:hAnsi="Verdana"/>
                <w:i w:val="0"/>
                <w:iCs w:val="0"/>
              </w:rPr>
              <w:t>Related Documents</w:t>
            </w:r>
            <w:bookmarkEnd w:id="8"/>
            <w:bookmarkEnd w:id="9"/>
          </w:p>
        </w:tc>
      </w:tr>
    </w:tbl>
    <w:p w14:paraId="06A5653C" w14:textId="003801DE" w:rsidR="003B0EE6" w:rsidRDefault="00175608" w:rsidP="003B0EE6">
      <w:pPr>
        <w:spacing w:before="120" w:after="120"/>
        <w:rPr>
          <w:rFonts w:ascii="Verdana" w:hAnsi="Verdana"/>
          <w:b/>
          <w:color w:val="000000"/>
        </w:rPr>
      </w:pPr>
      <w:hyperlink r:id="rId11" w:anchor="!/view?docid=c1f1028b-e42c-4b4f-a4cf-cc0b42c91606" w:history="1">
        <w:r>
          <w:rPr>
            <w:rStyle w:val="Hyperlink"/>
            <w:rFonts w:ascii="Verdana" w:hAnsi="Verdana"/>
          </w:rPr>
          <w:t>Customer Care Abbreviations, Definitions, and Terms Index (017428)</w:t>
        </w:r>
      </w:hyperlink>
    </w:p>
    <w:p w14:paraId="605EC015" w14:textId="4DA323E8" w:rsidR="00E86BEE" w:rsidRDefault="00E86BEE" w:rsidP="003B0EE6">
      <w:pPr>
        <w:spacing w:before="120" w:after="120"/>
        <w:rPr>
          <w:color w:val="000000"/>
        </w:rPr>
      </w:pPr>
      <w:r w:rsidRPr="002D1133">
        <w:rPr>
          <w:rFonts w:ascii="Verdana" w:hAnsi="Verdana"/>
          <w:b/>
          <w:color w:val="000000"/>
        </w:rPr>
        <w:lastRenderedPageBreak/>
        <w:t>Parent Document:</w:t>
      </w:r>
      <w:r w:rsidRPr="002D1133">
        <w:rPr>
          <w:rFonts w:ascii="Verdana" w:hAnsi="Verdana"/>
          <w:color w:val="000000"/>
        </w:rPr>
        <w:t xml:space="preserve">  </w:t>
      </w:r>
      <w:hyperlink r:id="rId12" w:tgtFrame="_blank" w:history="1">
        <w:r w:rsidRPr="002D1133">
          <w:rPr>
            <w:rFonts w:ascii="Verdana" w:hAnsi="Verdana"/>
            <w:color w:val="0000FF"/>
            <w:u w:val="single"/>
          </w:rPr>
          <w:t>CALL 0049 Customer Care Internal and External Call Handling</w:t>
        </w:r>
      </w:hyperlink>
    </w:p>
    <w:p w14:paraId="010A23F2" w14:textId="2292044E" w:rsidR="0002766B" w:rsidRDefault="00151361" w:rsidP="00D22783">
      <w:pPr>
        <w:jc w:val="right"/>
        <w:rPr>
          <w:rFonts w:ascii="Verdana" w:hAnsi="Verdana"/>
        </w:rPr>
      </w:pPr>
      <w:hyperlink w:anchor="_top" w:history="1">
        <w:r w:rsidRPr="00175608">
          <w:rPr>
            <w:rStyle w:val="Hyperlink"/>
            <w:rFonts w:ascii="Verdana" w:hAnsi="Verdana"/>
          </w:rPr>
          <w:t>Top of the Document</w:t>
        </w:r>
      </w:hyperlink>
    </w:p>
    <w:p w14:paraId="7D11BA9A" w14:textId="77777777" w:rsidR="00FD4AAA" w:rsidRPr="00C247CB" w:rsidRDefault="00046717" w:rsidP="00D22783">
      <w:pPr>
        <w:jc w:val="center"/>
        <w:rPr>
          <w:rFonts w:ascii="Verdana" w:hAnsi="Verdana"/>
          <w:sz w:val="16"/>
          <w:szCs w:val="16"/>
        </w:rPr>
      </w:pPr>
      <w:r>
        <w:rPr>
          <w:rFonts w:ascii="Verdana" w:hAnsi="Verdana"/>
          <w:sz w:val="16"/>
          <w:szCs w:val="16"/>
        </w:rPr>
        <w:t xml:space="preserve"> </w:t>
      </w:r>
    </w:p>
    <w:p w14:paraId="2C308EEC" w14:textId="77777777" w:rsidR="00FD4AAA" w:rsidRPr="00C247CB" w:rsidRDefault="00B4636A" w:rsidP="00D22783">
      <w:pPr>
        <w:jc w:val="center"/>
        <w:rPr>
          <w:rFonts w:ascii="Verdana" w:hAnsi="Verdana"/>
          <w:sz w:val="16"/>
          <w:szCs w:val="16"/>
        </w:rPr>
      </w:pPr>
      <w:r>
        <w:rPr>
          <w:rFonts w:ascii="Verdana" w:hAnsi="Verdana"/>
          <w:sz w:val="16"/>
          <w:szCs w:val="16"/>
        </w:rPr>
        <w:t>Not to be Reproduced o</w:t>
      </w:r>
      <w:r w:rsidR="00FD4AAA" w:rsidRPr="00C247CB">
        <w:rPr>
          <w:rFonts w:ascii="Verdana" w:hAnsi="Verdana"/>
          <w:sz w:val="16"/>
          <w:szCs w:val="16"/>
        </w:rPr>
        <w:t xml:space="preserve">r Disclosed to Others </w:t>
      </w:r>
      <w:r w:rsidR="00B86FFE" w:rsidRPr="00C247CB">
        <w:rPr>
          <w:rFonts w:ascii="Verdana" w:hAnsi="Verdana"/>
          <w:sz w:val="16"/>
          <w:szCs w:val="16"/>
        </w:rPr>
        <w:t>without</w:t>
      </w:r>
      <w:r w:rsidR="00FD4AAA" w:rsidRPr="00C247CB">
        <w:rPr>
          <w:rFonts w:ascii="Verdana" w:hAnsi="Verdana"/>
          <w:sz w:val="16"/>
          <w:szCs w:val="16"/>
        </w:rPr>
        <w:t xml:space="preserve"> Prior Written Approval</w:t>
      </w:r>
    </w:p>
    <w:p w14:paraId="5DE7C52E" w14:textId="77777777" w:rsidR="00FD4AAA" w:rsidRPr="00C247CB" w:rsidRDefault="00FD4AAA" w:rsidP="00D22783">
      <w:pPr>
        <w:jc w:val="center"/>
        <w:rPr>
          <w:rFonts w:ascii="Verdana" w:hAnsi="Verdana"/>
          <w:b/>
          <w:sz w:val="16"/>
          <w:szCs w:val="16"/>
        </w:rPr>
      </w:pPr>
      <w:r w:rsidRPr="00C247CB">
        <w:rPr>
          <w:rFonts w:ascii="Verdana" w:hAnsi="Verdana"/>
          <w:b/>
          <w:sz w:val="16"/>
          <w:szCs w:val="16"/>
        </w:rPr>
        <w:t>ELEC</w:t>
      </w:r>
      <w:r w:rsidR="001A28CB">
        <w:rPr>
          <w:rFonts w:ascii="Verdana" w:hAnsi="Verdana"/>
          <w:b/>
          <w:sz w:val="16"/>
          <w:szCs w:val="16"/>
        </w:rPr>
        <w:t>TRONIC DATA = OFFICIAL VERSION / PAPER COPY =</w:t>
      </w:r>
      <w:r w:rsidRPr="00C247CB">
        <w:rPr>
          <w:rFonts w:ascii="Verdana" w:hAnsi="Verdana"/>
          <w:b/>
          <w:sz w:val="16"/>
          <w:szCs w:val="16"/>
        </w:rPr>
        <w:t xml:space="preserve"> INFORMATIONAL ONLY</w:t>
      </w:r>
    </w:p>
    <w:p w14:paraId="1F846090" w14:textId="77777777" w:rsidR="0002766B" w:rsidRPr="00C247CB" w:rsidRDefault="0002766B" w:rsidP="00D22783">
      <w:pPr>
        <w:jc w:val="center"/>
        <w:rPr>
          <w:rFonts w:ascii="Verdana" w:hAnsi="Verdana"/>
          <w:sz w:val="16"/>
          <w:szCs w:val="16"/>
        </w:rPr>
      </w:pPr>
    </w:p>
    <w:sectPr w:rsidR="0002766B" w:rsidRPr="00C247CB" w:rsidSect="001B6289">
      <w:footerReference w:type="even" r:id="rId13"/>
      <w:footerReference w:type="default" r:id="rId1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38732" w14:textId="77777777" w:rsidR="0003360B" w:rsidRDefault="0003360B">
      <w:r>
        <w:separator/>
      </w:r>
    </w:p>
  </w:endnote>
  <w:endnote w:type="continuationSeparator" w:id="0">
    <w:p w14:paraId="1AB19D14" w14:textId="77777777" w:rsidR="0003360B" w:rsidRDefault="0003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BE32D"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7734E0"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B84E"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1361">
      <w:rPr>
        <w:rStyle w:val="PageNumber"/>
        <w:noProof/>
      </w:rPr>
      <w:t>4</w:t>
    </w:r>
    <w:r>
      <w:rPr>
        <w:rStyle w:val="PageNumber"/>
      </w:rPr>
      <w:fldChar w:fldCharType="end"/>
    </w:r>
  </w:p>
  <w:p w14:paraId="1F6C7150"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063B2" w14:textId="77777777" w:rsidR="0003360B" w:rsidRDefault="0003360B">
      <w:r>
        <w:separator/>
      </w:r>
    </w:p>
  </w:footnote>
  <w:footnote w:type="continuationSeparator" w:id="0">
    <w:p w14:paraId="28E1D6ED" w14:textId="77777777" w:rsidR="0003360B" w:rsidRDefault="0003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C1D007D"/>
    <w:multiLevelType w:val="hybridMultilevel"/>
    <w:tmpl w:val="D3B2D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602901"/>
    <w:multiLevelType w:val="hybridMultilevel"/>
    <w:tmpl w:val="B0D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A64C4"/>
    <w:multiLevelType w:val="hybridMultilevel"/>
    <w:tmpl w:val="EAC2B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0B6713F"/>
    <w:multiLevelType w:val="hybridMultilevel"/>
    <w:tmpl w:val="7CEE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4"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8919B0"/>
    <w:multiLevelType w:val="hybridMultilevel"/>
    <w:tmpl w:val="79A2AE46"/>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1"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CB485D"/>
    <w:multiLevelType w:val="hybridMultilevel"/>
    <w:tmpl w:val="B76C3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B097CF4"/>
    <w:multiLevelType w:val="hybridMultilevel"/>
    <w:tmpl w:val="D1B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45A00"/>
    <w:multiLevelType w:val="hybridMultilevel"/>
    <w:tmpl w:val="8BAC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6E7013CA"/>
    <w:multiLevelType w:val="hybridMultilevel"/>
    <w:tmpl w:val="C54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2"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650279006">
    <w:abstractNumId w:val="19"/>
  </w:num>
  <w:num w:numId="2" w16cid:durableId="510685760">
    <w:abstractNumId w:val="14"/>
  </w:num>
  <w:num w:numId="3" w16cid:durableId="814420162">
    <w:abstractNumId w:val="22"/>
  </w:num>
  <w:num w:numId="4" w16cid:durableId="1598631091">
    <w:abstractNumId w:val="0"/>
  </w:num>
  <w:num w:numId="5" w16cid:durableId="17053412">
    <w:abstractNumId w:val="2"/>
  </w:num>
  <w:num w:numId="6" w16cid:durableId="1567450438">
    <w:abstractNumId w:val="25"/>
  </w:num>
  <w:num w:numId="7" w16cid:durableId="1207908070">
    <w:abstractNumId w:val="27"/>
  </w:num>
  <w:num w:numId="8" w16cid:durableId="1480413708">
    <w:abstractNumId w:val="1"/>
  </w:num>
  <w:num w:numId="9" w16cid:durableId="1253467683">
    <w:abstractNumId w:val="34"/>
  </w:num>
  <w:num w:numId="10" w16cid:durableId="724254806">
    <w:abstractNumId w:val="3"/>
  </w:num>
  <w:num w:numId="11" w16cid:durableId="204874932">
    <w:abstractNumId w:val="33"/>
  </w:num>
  <w:num w:numId="12" w16cid:durableId="1793939573">
    <w:abstractNumId w:val="6"/>
  </w:num>
  <w:num w:numId="13" w16cid:durableId="1966934019">
    <w:abstractNumId w:val="20"/>
  </w:num>
  <w:num w:numId="14" w16cid:durableId="954143345">
    <w:abstractNumId w:val="12"/>
  </w:num>
  <w:num w:numId="15" w16cid:durableId="921989142">
    <w:abstractNumId w:val="31"/>
  </w:num>
  <w:num w:numId="16" w16cid:durableId="675157144">
    <w:abstractNumId w:val="16"/>
  </w:num>
  <w:num w:numId="17" w16cid:durableId="1545099585">
    <w:abstractNumId w:val="26"/>
  </w:num>
  <w:num w:numId="18" w16cid:durableId="862087843">
    <w:abstractNumId w:val="32"/>
  </w:num>
  <w:num w:numId="19" w16cid:durableId="124659989">
    <w:abstractNumId w:val="24"/>
  </w:num>
  <w:num w:numId="20" w16cid:durableId="2080399752">
    <w:abstractNumId w:val="15"/>
  </w:num>
  <w:num w:numId="21" w16cid:durableId="2006778216">
    <w:abstractNumId w:val="21"/>
  </w:num>
  <w:num w:numId="22" w16cid:durableId="210850125">
    <w:abstractNumId w:val="4"/>
  </w:num>
  <w:num w:numId="23" w16cid:durableId="1492714383">
    <w:abstractNumId w:val="13"/>
  </w:num>
  <w:num w:numId="24" w16cid:durableId="694769636">
    <w:abstractNumId w:val="28"/>
  </w:num>
  <w:num w:numId="25" w16cid:durableId="1611013720">
    <w:abstractNumId w:val="18"/>
  </w:num>
  <w:num w:numId="26" w16cid:durableId="1536229900">
    <w:abstractNumId w:val="17"/>
  </w:num>
  <w:num w:numId="27" w16cid:durableId="1789666852">
    <w:abstractNumId w:val="11"/>
  </w:num>
  <w:num w:numId="28" w16cid:durableId="587737347">
    <w:abstractNumId w:val="9"/>
  </w:num>
  <w:num w:numId="29" w16cid:durableId="1365908653">
    <w:abstractNumId w:val="5"/>
  </w:num>
  <w:num w:numId="30" w16cid:durableId="430050773">
    <w:abstractNumId w:val="23"/>
  </w:num>
  <w:num w:numId="31" w16cid:durableId="1449351167">
    <w:abstractNumId w:val="30"/>
  </w:num>
  <w:num w:numId="32" w16cid:durableId="812452868">
    <w:abstractNumId w:val="8"/>
  </w:num>
  <w:num w:numId="33" w16cid:durableId="561913305">
    <w:abstractNumId w:val="29"/>
  </w:num>
  <w:num w:numId="34" w16cid:durableId="1106970566">
    <w:abstractNumId w:val="10"/>
  </w:num>
  <w:num w:numId="35" w16cid:durableId="1410076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7"/>
    <w:rsid w:val="00000BE8"/>
    <w:rsid w:val="00006FE1"/>
    <w:rsid w:val="00007445"/>
    <w:rsid w:val="000128F4"/>
    <w:rsid w:val="00026765"/>
    <w:rsid w:val="0002766B"/>
    <w:rsid w:val="00030B68"/>
    <w:rsid w:val="0003360B"/>
    <w:rsid w:val="00036F50"/>
    <w:rsid w:val="00040C5B"/>
    <w:rsid w:val="00046717"/>
    <w:rsid w:val="00046D7D"/>
    <w:rsid w:val="0004733F"/>
    <w:rsid w:val="00051260"/>
    <w:rsid w:val="00061F15"/>
    <w:rsid w:val="00063161"/>
    <w:rsid w:val="00064378"/>
    <w:rsid w:val="00072248"/>
    <w:rsid w:val="00092E73"/>
    <w:rsid w:val="000974BD"/>
    <w:rsid w:val="00097F84"/>
    <w:rsid w:val="000A7311"/>
    <w:rsid w:val="000A7958"/>
    <w:rsid w:val="000C21AC"/>
    <w:rsid w:val="000D2381"/>
    <w:rsid w:val="000E2030"/>
    <w:rsid w:val="000E20DA"/>
    <w:rsid w:val="000E59E2"/>
    <w:rsid w:val="000F552F"/>
    <w:rsid w:val="001110D7"/>
    <w:rsid w:val="00116E14"/>
    <w:rsid w:val="00123CE4"/>
    <w:rsid w:val="00130EF7"/>
    <w:rsid w:val="00143998"/>
    <w:rsid w:val="001461A3"/>
    <w:rsid w:val="00146437"/>
    <w:rsid w:val="00150016"/>
    <w:rsid w:val="00151361"/>
    <w:rsid w:val="00151D78"/>
    <w:rsid w:val="00161CA7"/>
    <w:rsid w:val="0016673C"/>
    <w:rsid w:val="00175608"/>
    <w:rsid w:val="00177276"/>
    <w:rsid w:val="00187D44"/>
    <w:rsid w:val="00195596"/>
    <w:rsid w:val="001A28CB"/>
    <w:rsid w:val="001B0373"/>
    <w:rsid w:val="001B6289"/>
    <w:rsid w:val="001D6290"/>
    <w:rsid w:val="001D6EB2"/>
    <w:rsid w:val="001F0E95"/>
    <w:rsid w:val="001F5535"/>
    <w:rsid w:val="001F57E5"/>
    <w:rsid w:val="00204EAD"/>
    <w:rsid w:val="00217D07"/>
    <w:rsid w:val="002207D9"/>
    <w:rsid w:val="00224003"/>
    <w:rsid w:val="00230483"/>
    <w:rsid w:val="00235B24"/>
    <w:rsid w:val="00246831"/>
    <w:rsid w:val="00246ACF"/>
    <w:rsid w:val="0025658F"/>
    <w:rsid w:val="0026019A"/>
    <w:rsid w:val="00271080"/>
    <w:rsid w:val="002808BE"/>
    <w:rsid w:val="00297D15"/>
    <w:rsid w:val="002B5D39"/>
    <w:rsid w:val="002C4634"/>
    <w:rsid w:val="002C5810"/>
    <w:rsid w:val="002D0276"/>
    <w:rsid w:val="002D1133"/>
    <w:rsid w:val="002E0C54"/>
    <w:rsid w:val="002F08B6"/>
    <w:rsid w:val="002F1D71"/>
    <w:rsid w:val="00300EF9"/>
    <w:rsid w:val="00301347"/>
    <w:rsid w:val="0030141E"/>
    <w:rsid w:val="003050D4"/>
    <w:rsid w:val="00310568"/>
    <w:rsid w:val="00310C37"/>
    <w:rsid w:val="00317C44"/>
    <w:rsid w:val="0032294C"/>
    <w:rsid w:val="003261AA"/>
    <w:rsid w:val="003457C3"/>
    <w:rsid w:val="003521EA"/>
    <w:rsid w:val="003531CB"/>
    <w:rsid w:val="00355BAB"/>
    <w:rsid w:val="003667B0"/>
    <w:rsid w:val="00370A6F"/>
    <w:rsid w:val="003855A5"/>
    <w:rsid w:val="003A7D6C"/>
    <w:rsid w:val="003B0EE6"/>
    <w:rsid w:val="003B15EB"/>
    <w:rsid w:val="003D0429"/>
    <w:rsid w:val="003D22B7"/>
    <w:rsid w:val="003D5E71"/>
    <w:rsid w:val="003E0EDA"/>
    <w:rsid w:val="003E12FE"/>
    <w:rsid w:val="003E3CB4"/>
    <w:rsid w:val="00415973"/>
    <w:rsid w:val="004204CB"/>
    <w:rsid w:val="00427387"/>
    <w:rsid w:val="00433EE7"/>
    <w:rsid w:val="00435270"/>
    <w:rsid w:val="00453D6F"/>
    <w:rsid w:val="00463A2C"/>
    <w:rsid w:val="004729AA"/>
    <w:rsid w:val="004745DD"/>
    <w:rsid w:val="00474987"/>
    <w:rsid w:val="00477D30"/>
    <w:rsid w:val="00485408"/>
    <w:rsid w:val="0048648D"/>
    <w:rsid w:val="004A0E36"/>
    <w:rsid w:val="004A2123"/>
    <w:rsid w:val="004C0979"/>
    <w:rsid w:val="004C3D8F"/>
    <w:rsid w:val="004C5B09"/>
    <w:rsid w:val="004C6EA9"/>
    <w:rsid w:val="004D6C72"/>
    <w:rsid w:val="004E47D9"/>
    <w:rsid w:val="004F1457"/>
    <w:rsid w:val="004F4530"/>
    <w:rsid w:val="004F53D8"/>
    <w:rsid w:val="004F5A23"/>
    <w:rsid w:val="00500BE1"/>
    <w:rsid w:val="00511F92"/>
    <w:rsid w:val="0051437A"/>
    <w:rsid w:val="005200DD"/>
    <w:rsid w:val="00526286"/>
    <w:rsid w:val="005269AC"/>
    <w:rsid w:val="0055522F"/>
    <w:rsid w:val="005835D2"/>
    <w:rsid w:val="00583CA8"/>
    <w:rsid w:val="0058579D"/>
    <w:rsid w:val="005B60B7"/>
    <w:rsid w:val="005B6A35"/>
    <w:rsid w:val="005C1ADC"/>
    <w:rsid w:val="005C6FA6"/>
    <w:rsid w:val="005C7C3B"/>
    <w:rsid w:val="005D5A7E"/>
    <w:rsid w:val="005E2A99"/>
    <w:rsid w:val="005E41E8"/>
    <w:rsid w:val="005E5253"/>
    <w:rsid w:val="005F6841"/>
    <w:rsid w:val="0060025F"/>
    <w:rsid w:val="00602BA1"/>
    <w:rsid w:val="00611464"/>
    <w:rsid w:val="00614745"/>
    <w:rsid w:val="00617991"/>
    <w:rsid w:val="00621AE4"/>
    <w:rsid w:val="00627D37"/>
    <w:rsid w:val="00630C17"/>
    <w:rsid w:val="00635B02"/>
    <w:rsid w:val="0063722B"/>
    <w:rsid w:val="006627EE"/>
    <w:rsid w:val="00662808"/>
    <w:rsid w:val="006710F0"/>
    <w:rsid w:val="006738AA"/>
    <w:rsid w:val="0068034D"/>
    <w:rsid w:val="00697860"/>
    <w:rsid w:val="006A78B5"/>
    <w:rsid w:val="006B248A"/>
    <w:rsid w:val="006B2790"/>
    <w:rsid w:val="006D62CF"/>
    <w:rsid w:val="006D7A32"/>
    <w:rsid w:val="006E2735"/>
    <w:rsid w:val="006E7671"/>
    <w:rsid w:val="006F1C7E"/>
    <w:rsid w:val="007007FE"/>
    <w:rsid w:val="00701D29"/>
    <w:rsid w:val="00702E69"/>
    <w:rsid w:val="00702EB8"/>
    <w:rsid w:val="00703AA9"/>
    <w:rsid w:val="00705048"/>
    <w:rsid w:val="0072021D"/>
    <w:rsid w:val="00724B8A"/>
    <w:rsid w:val="0072785D"/>
    <w:rsid w:val="0073016A"/>
    <w:rsid w:val="00737EC6"/>
    <w:rsid w:val="00743EA8"/>
    <w:rsid w:val="00747F2D"/>
    <w:rsid w:val="00751075"/>
    <w:rsid w:val="00756E6F"/>
    <w:rsid w:val="00761D4F"/>
    <w:rsid w:val="0076782B"/>
    <w:rsid w:val="0078045D"/>
    <w:rsid w:val="00783475"/>
    <w:rsid w:val="00785C31"/>
    <w:rsid w:val="007B042C"/>
    <w:rsid w:val="007B5296"/>
    <w:rsid w:val="007C26AC"/>
    <w:rsid w:val="007C7AF2"/>
    <w:rsid w:val="007D04B0"/>
    <w:rsid w:val="007E5FC2"/>
    <w:rsid w:val="007F42FD"/>
    <w:rsid w:val="007F6ECB"/>
    <w:rsid w:val="0081634E"/>
    <w:rsid w:val="0082396F"/>
    <w:rsid w:val="00843688"/>
    <w:rsid w:val="00845B5A"/>
    <w:rsid w:val="00852DF8"/>
    <w:rsid w:val="008550E3"/>
    <w:rsid w:val="008714D1"/>
    <w:rsid w:val="00887D28"/>
    <w:rsid w:val="00892B73"/>
    <w:rsid w:val="008A186C"/>
    <w:rsid w:val="008A77FF"/>
    <w:rsid w:val="008B5066"/>
    <w:rsid w:val="008B6FD3"/>
    <w:rsid w:val="008B7971"/>
    <w:rsid w:val="008C5459"/>
    <w:rsid w:val="008D1657"/>
    <w:rsid w:val="008E3D53"/>
    <w:rsid w:val="008F17A3"/>
    <w:rsid w:val="008F3A3E"/>
    <w:rsid w:val="008F5BBC"/>
    <w:rsid w:val="0091123D"/>
    <w:rsid w:val="00920CB7"/>
    <w:rsid w:val="00924ECB"/>
    <w:rsid w:val="009261DF"/>
    <w:rsid w:val="009375D0"/>
    <w:rsid w:val="00942D4E"/>
    <w:rsid w:val="00974685"/>
    <w:rsid w:val="0097678A"/>
    <w:rsid w:val="009839E1"/>
    <w:rsid w:val="00993EF5"/>
    <w:rsid w:val="009A0ED3"/>
    <w:rsid w:val="009B3D4E"/>
    <w:rsid w:val="009C62C2"/>
    <w:rsid w:val="009D1594"/>
    <w:rsid w:val="009D1D14"/>
    <w:rsid w:val="009E5268"/>
    <w:rsid w:val="009F1910"/>
    <w:rsid w:val="009F19F1"/>
    <w:rsid w:val="00A21D15"/>
    <w:rsid w:val="00A34F76"/>
    <w:rsid w:val="00A509A9"/>
    <w:rsid w:val="00A56330"/>
    <w:rsid w:val="00A84BC2"/>
    <w:rsid w:val="00A86B94"/>
    <w:rsid w:val="00A91843"/>
    <w:rsid w:val="00A953B5"/>
    <w:rsid w:val="00AA54D5"/>
    <w:rsid w:val="00AB7396"/>
    <w:rsid w:val="00AB7959"/>
    <w:rsid w:val="00AD4C22"/>
    <w:rsid w:val="00AE0A87"/>
    <w:rsid w:val="00AE2080"/>
    <w:rsid w:val="00AE6A49"/>
    <w:rsid w:val="00AF06B1"/>
    <w:rsid w:val="00B05A5F"/>
    <w:rsid w:val="00B073CC"/>
    <w:rsid w:val="00B11414"/>
    <w:rsid w:val="00B147FE"/>
    <w:rsid w:val="00B15B6E"/>
    <w:rsid w:val="00B37D6F"/>
    <w:rsid w:val="00B424E0"/>
    <w:rsid w:val="00B4636A"/>
    <w:rsid w:val="00B70C50"/>
    <w:rsid w:val="00B86FFE"/>
    <w:rsid w:val="00BA653D"/>
    <w:rsid w:val="00BB59A0"/>
    <w:rsid w:val="00BB75C8"/>
    <w:rsid w:val="00BD22D5"/>
    <w:rsid w:val="00BD68D4"/>
    <w:rsid w:val="00BD7959"/>
    <w:rsid w:val="00BF72BB"/>
    <w:rsid w:val="00C116E6"/>
    <w:rsid w:val="00C13DC8"/>
    <w:rsid w:val="00C26CFE"/>
    <w:rsid w:val="00C32FEF"/>
    <w:rsid w:val="00C45947"/>
    <w:rsid w:val="00C50C38"/>
    <w:rsid w:val="00C51563"/>
    <w:rsid w:val="00C52EF6"/>
    <w:rsid w:val="00C561BA"/>
    <w:rsid w:val="00C64650"/>
    <w:rsid w:val="00C66197"/>
    <w:rsid w:val="00C83A8F"/>
    <w:rsid w:val="00C86E9D"/>
    <w:rsid w:val="00C949F8"/>
    <w:rsid w:val="00CA430E"/>
    <w:rsid w:val="00CA4EEB"/>
    <w:rsid w:val="00CA745C"/>
    <w:rsid w:val="00CB47E4"/>
    <w:rsid w:val="00CC681C"/>
    <w:rsid w:val="00CE023F"/>
    <w:rsid w:val="00CE4811"/>
    <w:rsid w:val="00D000E3"/>
    <w:rsid w:val="00D034D8"/>
    <w:rsid w:val="00D22783"/>
    <w:rsid w:val="00D2420B"/>
    <w:rsid w:val="00D25455"/>
    <w:rsid w:val="00D43E88"/>
    <w:rsid w:val="00D4584B"/>
    <w:rsid w:val="00D57362"/>
    <w:rsid w:val="00D71113"/>
    <w:rsid w:val="00D7249C"/>
    <w:rsid w:val="00D76F9D"/>
    <w:rsid w:val="00D97D19"/>
    <w:rsid w:val="00DA0673"/>
    <w:rsid w:val="00DC0DC3"/>
    <w:rsid w:val="00DC10C7"/>
    <w:rsid w:val="00DC1671"/>
    <w:rsid w:val="00DD065F"/>
    <w:rsid w:val="00DD284C"/>
    <w:rsid w:val="00DD53A2"/>
    <w:rsid w:val="00DD77A2"/>
    <w:rsid w:val="00DE14B6"/>
    <w:rsid w:val="00DE68FA"/>
    <w:rsid w:val="00DF77B3"/>
    <w:rsid w:val="00E0554C"/>
    <w:rsid w:val="00E149E3"/>
    <w:rsid w:val="00E1681A"/>
    <w:rsid w:val="00E269E5"/>
    <w:rsid w:val="00E26A80"/>
    <w:rsid w:val="00E352EB"/>
    <w:rsid w:val="00E434DB"/>
    <w:rsid w:val="00E45ED0"/>
    <w:rsid w:val="00E53444"/>
    <w:rsid w:val="00E54835"/>
    <w:rsid w:val="00E54E39"/>
    <w:rsid w:val="00E60FCE"/>
    <w:rsid w:val="00E6591A"/>
    <w:rsid w:val="00E66167"/>
    <w:rsid w:val="00E86BEE"/>
    <w:rsid w:val="00E93822"/>
    <w:rsid w:val="00EA2DD0"/>
    <w:rsid w:val="00EB5363"/>
    <w:rsid w:val="00EC0BDC"/>
    <w:rsid w:val="00EC1C8C"/>
    <w:rsid w:val="00EC3B3A"/>
    <w:rsid w:val="00ED5215"/>
    <w:rsid w:val="00EE0E62"/>
    <w:rsid w:val="00EE6A28"/>
    <w:rsid w:val="00EF5531"/>
    <w:rsid w:val="00F1589F"/>
    <w:rsid w:val="00F16DA0"/>
    <w:rsid w:val="00F20ECD"/>
    <w:rsid w:val="00F31B98"/>
    <w:rsid w:val="00F50407"/>
    <w:rsid w:val="00F5332C"/>
    <w:rsid w:val="00F63FB1"/>
    <w:rsid w:val="00F65453"/>
    <w:rsid w:val="00F76435"/>
    <w:rsid w:val="00F91B40"/>
    <w:rsid w:val="00F95C42"/>
    <w:rsid w:val="00FA43FA"/>
    <w:rsid w:val="00FB6DF9"/>
    <w:rsid w:val="00FC402A"/>
    <w:rsid w:val="00FC5594"/>
    <w:rsid w:val="00FD1489"/>
    <w:rsid w:val="00FD4AAA"/>
    <w:rsid w:val="00FE29F4"/>
    <w:rsid w:val="00FF1EFC"/>
    <w:rsid w:val="00FF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A80F9"/>
  <w15:chartTrackingRefBased/>
  <w15:docId w15:val="{E3E49AB0-6566-47D9-867F-01F95A0B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3B0EE6"/>
    <w:pPr>
      <w:tabs>
        <w:tab w:val="right" w:leader="dot" w:pos="12950"/>
      </w:tabs>
    </w:pPr>
    <w:rPr>
      <w:rFonts w:ascii="Verdana" w:hAnsi="Verdana"/>
      <w:b/>
      <w:color w:val="000000"/>
      <w:sz w:val="36"/>
    </w:rPr>
  </w:style>
  <w:style w:type="paragraph" w:styleId="Revision">
    <w:name w:val="Revision"/>
    <w:hidden/>
    <w:uiPriority w:val="99"/>
    <w:semiHidden/>
    <w:rsid w:val="00E86BEE"/>
    <w:rPr>
      <w:sz w:val="24"/>
      <w:szCs w:val="24"/>
    </w:rPr>
  </w:style>
  <w:style w:type="paragraph" w:styleId="ListParagraph">
    <w:name w:val="List Paragraph"/>
    <w:basedOn w:val="Normal"/>
    <w:uiPriority w:val="34"/>
    <w:qFormat/>
    <w:rsid w:val="006E2735"/>
    <w:pPr>
      <w:ind w:left="720"/>
      <w:contextualSpacing/>
    </w:pPr>
  </w:style>
  <w:style w:type="character" w:styleId="UnresolvedMention">
    <w:name w:val="Unresolved Mention"/>
    <w:basedOn w:val="DefaultParagraphFont"/>
    <w:uiPriority w:val="99"/>
    <w:semiHidden/>
    <w:unhideWhenUsed/>
    <w:rsid w:val="00F5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66365">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icy.corp.cvscaremark.com/pnp/faces/DocRenderer?documentId=CALL-004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63A21-B21A-4667-8ACF-32173C74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5</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4664</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5242885</vt:i4>
      </vt:variant>
      <vt:variant>
        <vt:i4>21</vt:i4>
      </vt:variant>
      <vt:variant>
        <vt:i4>0</vt:i4>
      </vt:variant>
      <vt:variant>
        <vt:i4>5</vt:i4>
      </vt:variant>
      <vt:variant>
        <vt:lpwstr>../AppData/Local/Microsoft/Windows/Temporary Internet Files/Content.Outlook/KO24OB18/CMS-2-017428</vt:lpwstr>
      </vt:variant>
      <vt:variant>
        <vt:lpwstr/>
      </vt:variant>
      <vt:variant>
        <vt:i4>2424887</vt:i4>
      </vt:variant>
      <vt:variant>
        <vt:i4>18</vt:i4>
      </vt:variant>
      <vt:variant>
        <vt:i4>0</vt:i4>
      </vt:variant>
      <vt:variant>
        <vt:i4>5</vt:i4>
      </vt:variant>
      <vt:variant>
        <vt:lpwstr>https://policy.corp.cvscaremark.com/pnp/faces/DocRenderer?documentId=CALL-0049</vt:lpwstr>
      </vt:variant>
      <vt:variant>
        <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1638458</vt:i4>
      </vt:variant>
      <vt:variant>
        <vt:i4>8</vt:i4>
      </vt:variant>
      <vt:variant>
        <vt:i4>0</vt:i4>
      </vt:variant>
      <vt:variant>
        <vt:i4>5</vt:i4>
      </vt:variant>
      <vt:variant>
        <vt:lpwstr/>
      </vt:variant>
      <vt:variant>
        <vt:lpwstr>_Toc10628559</vt:lpwstr>
      </vt:variant>
      <vt:variant>
        <vt:i4>1572922</vt:i4>
      </vt:variant>
      <vt:variant>
        <vt:i4>5</vt:i4>
      </vt:variant>
      <vt:variant>
        <vt:i4>0</vt:i4>
      </vt:variant>
      <vt:variant>
        <vt:i4>5</vt:i4>
      </vt:variant>
      <vt:variant>
        <vt:lpwstr/>
      </vt:variant>
      <vt:variant>
        <vt:lpwstr>_Toc10628558</vt:lpwstr>
      </vt:variant>
      <vt:variant>
        <vt:i4>1507386</vt:i4>
      </vt:variant>
      <vt:variant>
        <vt:i4>2</vt:i4>
      </vt:variant>
      <vt:variant>
        <vt:i4>0</vt:i4>
      </vt:variant>
      <vt:variant>
        <vt:i4>5</vt:i4>
      </vt:variant>
      <vt:variant>
        <vt:lpwstr/>
      </vt:variant>
      <vt:variant>
        <vt:lpwstr>_Toc10628557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2025-09-08T15:56:00Z</dcterms:created>
  <dcterms:modified xsi:type="dcterms:W3CDTF">2025-09-08T15:56:00Z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2022-07-01T19:44:36Z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e4e9a13f-7a1e-415c-8c47-351d1c37bef8</vt:lpwstr>
  </property>
  <property fmtid="{D5CDD505-2E9C-101B-9397-08002B2CF9AE}" pid="8" name="MSIP_Label_67599526-06ca-49cc-9fa9-5307800a949a_ContentBits">
    <vt:lpwstr>0</vt:lpwstr>
  </property>
</Properties>
</file>