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2A84" w14:textId="5D96281E" w:rsidR="00255C6B" w:rsidRPr="0058134F" w:rsidRDefault="001F22BC" w:rsidP="00255C6B">
      <w:pPr>
        <w:pStyle w:val="Heading1"/>
        <w:rPr>
          <w:rFonts w:ascii="Verdana" w:hAnsi="Verdana"/>
          <w:color w:val="000000"/>
          <w:sz w:val="36"/>
          <w:szCs w:val="36"/>
        </w:rPr>
      </w:pPr>
      <w:bookmarkStart w:id="0" w:name="TOPofDocument"/>
      <w:bookmarkStart w:id="1" w:name="OLE_LINK1"/>
      <w:r>
        <w:rPr>
          <w:rFonts w:ascii="Verdana" w:hAnsi="Verdana"/>
          <w:color w:val="000000"/>
          <w:sz w:val="36"/>
          <w:szCs w:val="36"/>
        </w:rPr>
        <w:t>M</w:t>
      </w:r>
      <w:bookmarkEnd w:id="0"/>
      <w:r>
        <w:rPr>
          <w:rFonts w:ascii="Verdana" w:hAnsi="Verdana"/>
          <w:color w:val="000000"/>
          <w:sz w:val="36"/>
          <w:szCs w:val="36"/>
        </w:rPr>
        <w:t>aintenance Choice</w:t>
      </w:r>
      <w:r w:rsidR="00135BB3" w:rsidRPr="00135BB3">
        <w:rPr>
          <w:rFonts w:ascii="Verdana" w:hAnsi="Verdana"/>
          <w:color w:val="000000"/>
          <w:sz w:val="36"/>
          <w:szCs w:val="36"/>
        </w:rPr>
        <w:t>®</w:t>
      </w:r>
      <w:r>
        <w:rPr>
          <w:rFonts w:ascii="Verdana" w:hAnsi="Verdana"/>
          <w:color w:val="000000"/>
          <w:sz w:val="36"/>
          <w:szCs w:val="36"/>
        </w:rPr>
        <w:t xml:space="preserve"> </w:t>
      </w:r>
      <w:r w:rsidR="00DC795D">
        <w:rPr>
          <w:rFonts w:ascii="Verdana" w:hAnsi="Verdana"/>
          <w:color w:val="000000"/>
          <w:sz w:val="36"/>
          <w:szCs w:val="36"/>
        </w:rPr>
        <w:t xml:space="preserve">Program Overcoming Objections </w:t>
      </w:r>
      <w:r w:rsidR="00E95565">
        <w:rPr>
          <w:rFonts w:ascii="Verdana" w:hAnsi="Verdana"/>
          <w:color w:val="000000"/>
          <w:sz w:val="36"/>
          <w:szCs w:val="36"/>
        </w:rPr>
        <w:t xml:space="preserve"> </w:t>
      </w:r>
    </w:p>
    <w:bookmarkEnd w:id="1"/>
    <w:p w14:paraId="2082434D" w14:textId="18579089" w:rsidR="00D10E4E" w:rsidRDefault="005A30F7">
      <w:pPr>
        <w:pStyle w:val="TOC2"/>
        <w:rPr>
          <w:rFonts w:asciiTheme="minorHAnsi" w:eastAsiaTheme="minorEastAsia" w:hAnsiTheme="minorHAnsi" w:cstheme="minorBidi"/>
          <w:bCs w:val="0"/>
          <w:noProof/>
          <w:color w:val="auto"/>
          <w:kern w:val="2"/>
          <w14:ligatures w14:val="standardContextual"/>
        </w:rPr>
      </w:pPr>
      <w:r>
        <w:rPr>
          <w:rFonts w:cs="Arial"/>
        </w:rPr>
        <w:fldChar w:fldCharType="begin"/>
      </w:r>
      <w:r>
        <w:rPr>
          <w:rFonts w:cs="Arial"/>
        </w:rPr>
        <w:instrText xml:space="preserve"> TOC \o "2-2" \n \p " " \h \z \u </w:instrText>
      </w:r>
      <w:r>
        <w:rPr>
          <w:rFonts w:cs="Arial"/>
        </w:rPr>
        <w:fldChar w:fldCharType="separate"/>
      </w:r>
      <w:hyperlink w:anchor="_Toc188011198" w:history="1">
        <w:r w:rsidR="00D10E4E" w:rsidRPr="007A588B">
          <w:rPr>
            <w:rStyle w:val="Hyperlink"/>
            <w:noProof/>
          </w:rPr>
          <w:t>Key Message Points</w:t>
        </w:r>
      </w:hyperlink>
    </w:p>
    <w:p w14:paraId="405CA216" w14:textId="1B253195" w:rsidR="00D10E4E" w:rsidRDefault="00D10E4E">
      <w:pPr>
        <w:pStyle w:val="TOC2"/>
        <w:rPr>
          <w:rFonts w:asciiTheme="minorHAnsi" w:eastAsiaTheme="minorEastAsia" w:hAnsiTheme="minorHAnsi" w:cstheme="minorBidi"/>
          <w:bCs w:val="0"/>
          <w:noProof/>
          <w:color w:val="auto"/>
          <w:kern w:val="2"/>
          <w14:ligatures w14:val="standardContextual"/>
        </w:rPr>
      </w:pPr>
      <w:hyperlink w:anchor="_Toc188011199" w:history="1">
        <w:r w:rsidRPr="007A588B">
          <w:rPr>
            <w:rStyle w:val="Hyperlink"/>
            <w:noProof/>
          </w:rPr>
          <w:t>Suggested Script</w:t>
        </w:r>
      </w:hyperlink>
    </w:p>
    <w:p w14:paraId="3CC2F9EA" w14:textId="7F1146ED" w:rsidR="00D10E4E" w:rsidRDefault="00D10E4E">
      <w:pPr>
        <w:pStyle w:val="TOC2"/>
        <w:rPr>
          <w:rFonts w:asciiTheme="minorHAnsi" w:eastAsiaTheme="minorEastAsia" w:hAnsiTheme="minorHAnsi" w:cstheme="minorBidi"/>
          <w:bCs w:val="0"/>
          <w:noProof/>
          <w:color w:val="auto"/>
          <w:kern w:val="2"/>
          <w14:ligatures w14:val="standardContextual"/>
        </w:rPr>
      </w:pPr>
      <w:hyperlink w:anchor="_Toc188011200" w:history="1">
        <w:r w:rsidRPr="007A588B">
          <w:rPr>
            <w:rStyle w:val="Hyperlink"/>
            <w:noProof/>
          </w:rPr>
          <w:t>Objections about the Hassle</w:t>
        </w:r>
      </w:hyperlink>
    </w:p>
    <w:p w14:paraId="1EFA4A45" w14:textId="6B8068E5" w:rsidR="00D10E4E" w:rsidRDefault="00D10E4E">
      <w:pPr>
        <w:pStyle w:val="TOC2"/>
        <w:rPr>
          <w:rFonts w:asciiTheme="minorHAnsi" w:eastAsiaTheme="minorEastAsia" w:hAnsiTheme="minorHAnsi" w:cstheme="minorBidi"/>
          <w:bCs w:val="0"/>
          <w:noProof/>
          <w:color w:val="auto"/>
          <w:kern w:val="2"/>
          <w14:ligatures w14:val="standardContextual"/>
        </w:rPr>
      </w:pPr>
      <w:hyperlink w:anchor="_Toc188011201" w:history="1">
        <w:r w:rsidRPr="007A588B">
          <w:rPr>
            <w:rStyle w:val="Hyperlink"/>
            <w:noProof/>
          </w:rPr>
          <w:t>Objections about Prescription Changes</w:t>
        </w:r>
      </w:hyperlink>
    </w:p>
    <w:p w14:paraId="02FFFEC1" w14:textId="4A6851FE" w:rsidR="00D10E4E" w:rsidRDefault="00D10E4E">
      <w:pPr>
        <w:pStyle w:val="TOC2"/>
        <w:rPr>
          <w:rFonts w:asciiTheme="minorHAnsi" w:eastAsiaTheme="minorEastAsia" w:hAnsiTheme="minorHAnsi" w:cstheme="minorBidi"/>
          <w:bCs w:val="0"/>
          <w:noProof/>
          <w:color w:val="auto"/>
          <w:kern w:val="2"/>
          <w14:ligatures w14:val="standardContextual"/>
        </w:rPr>
      </w:pPr>
      <w:hyperlink w:anchor="_Toc188011202" w:history="1">
        <w:r w:rsidRPr="007A588B">
          <w:rPr>
            <w:rStyle w:val="Hyperlink"/>
            <w:noProof/>
          </w:rPr>
          <w:t>Objections about Cost</w:t>
        </w:r>
      </w:hyperlink>
    </w:p>
    <w:p w14:paraId="31DCE2BE" w14:textId="69DB66E3" w:rsidR="00D10E4E" w:rsidRDefault="00D10E4E">
      <w:pPr>
        <w:pStyle w:val="TOC2"/>
        <w:rPr>
          <w:rFonts w:asciiTheme="minorHAnsi" w:eastAsiaTheme="minorEastAsia" w:hAnsiTheme="minorHAnsi" w:cstheme="minorBidi"/>
          <w:bCs w:val="0"/>
          <w:noProof/>
          <w:color w:val="auto"/>
          <w:kern w:val="2"/>
          <w14:ligatures w14:val="standardContextual"/>
        </w:rPr>
      </w:pPr>
      <w:hyperlink w:anchor="_Toc188011203" w:history="1">
        <w:r w:rsidRPr="007A588B">
          <w:rPr>
            <w:rStyle w:val="Hyperlink"/>
            <w:noProof/>
          </w:rPr>
          <w:t>Related Document</w:t>
        </w:r>
      </w:hyperlink>
    </w:p>
    <w:p w14:paraId="594D52DC" w14:textId="01F36873" w:rsidR="00FA22EA" w:rsidRPr="00FA22EA" w:rsidRDefault="005A30F7" w:rsidP="00F0729C">
      <w:pPr>
        <w:textAlignment w:val="top"/>
      </w:pPr>
      <w:r>
        <w:rPr>
          <w:rFonts w:cs="Arial"/>
          <w:bCs/>
          <w:color w:val="333333"/>
        </w:rPr>
        <w:fldChar w:fldCharType="end"/>
      </w:r>
    </w:p>
    <w:p w14:paraId="06709C84" w14:textId="77777777" w:rsidR="00FA22EA" w:rsidRPr="008D32CD" w:rsidRDefault="00832D44" w:rsidP="00070082">
      <w:pPr>
        <w:textAlignment w:val="top"/>
      </w:pPr>
      <w:r w:rsidRPr="008D32CD">
        <w:rPr>
          <w:rFonts w:cs="Arial"/>
          <w:b/>
        </w:rPr>
        <w:t>Description:</w:t>
      </w:r>
      <w:r w:rsidRPr="008D32CD">
        <w:rPr>
          <w:rFonts w:cs="Arial"/>
          <w:bCs/>
        </w:rPr>
        <w:t xml:space="preserve">  </w:t>
      </w:r>
      <w:bookmarkStart w:id="2" w:name="OLE_LINK2"/>
      <w:r w:rsidR="00DC795D" w:rsidRPr="008D32CD">
        <w:rPr>
          <w:rFonts w:cs="Arial"/>
          <w:bCs/>
        </w:rPr>
        <w:t>Members may have objections to signing up for programs. The table below provides examples of appropriate responses for these objections</w:t>
      </w:r>
      <w:r w:rsidR="00E121A2" w:rsidRPr="008D32CD">
        <w:rPr>
          <w:rFonts w:cs="Arial"/>
          <w:bCs/>
        </w:rPr>
        <w:t xml:space="preserve"> to be discussed after successful authentication</w:t>
      </w:r>
      <w:r w:rsidR="00DC795D" w:rsidRPr="008D32CD">
        <w:rPr>
          <w:rFonts w:cs="Arial"/>
          <w:bCs/>
        </w:rPr>
        <w:t>.</w:t>
      </w:r>
      <w:bookmarkEnd w:id="2"/>
      <w:r w:rsidR="00FA22EA" w:rsidRPr="008D32CD">
        <w:rPr>
          <w:rFonts w:cs="Arial"/>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A22EA" w:rsidRPr="000A79E6" w14:paraId="5B7AF2E2" w14:textId="77777777" w:rsidTr="008D32C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11838" w14:textId="0FA2857F" w:rsidR="00FA22EA" w:rsidRPr="00FA22EA" w:rsidRDefault="00FA22EA" w:rsidP="00070082">
            <w:pPr>
              <w:pStyle w:val="Heading2"/>
              <w:spacing w:before="120" w:after="120"/>
              <w:rPr>
                <w:rFonts w:ascii="Verdana" w:hAnsi="Verdana"/>
                <w:i w:val="0"/>
              </w:rPr>
            </w:pPr>
            <w:bookmarkStart w:id="3" w:name="_top"/>
            <w:bookmarkStart w:id="4" w:name="_Toc384277169"/>
            <w:bookmarkStart w:id="5" w:name="_Toc387314243"/>
            <w:bookmarkStart w:id="6" w:name="_Toc20132846"/>
            <w:bookmarkStart w:id="7" w:name="_Toc188011198"/>
            <w:bookmarkEnd w:id="3"/>
            <w:r w:rsidRPr="00FA22EA">
              <w:rPr>
                <w:rFonts w:ascii="Verdana" w:hAnsi="Verdana"/>
                <w:i w:val="0"/>
              </w:rPr>
              <w:t>Key Message Points</w:t>
            </w:r>
            <w:bookmarkEnd w:id="4"/>
            <w:bookmarkEnd w:id="5"/>
            <w:bookmarkEnd w:id="6"/>
            <w:bookmarkEnd w:id="7"/>
          </w:p>
        </w:tc>
      </w:tr>
    </w:tbl>
    <w:p w14:paraId="16C4C070" w14:textId="393E7655" w:rsidR="00832D44" w:rsidRPr="008D32CD" w:rsidRDefault="00832D44" w:rsidP="00070082">
      <w:pPr>
        <w:textAlignment w:val="top"/>
        <w:rPr>
          <w:rFonts w:cs="Arial"/>
          <w:bCs/>
        </w:rPr>
      </w:pPr>
      <w:r w:rsidRPr="008D32CD">
        <w:rPr>
          <w:rFonts w:cs="Arial"/>
          <w:bCs/>
        </w:rPr>
        <w:t xml:space="preserve">If the right opportunity doesn’t present itself then use the </w:t>
      </w:r>
      <w:hyperlink r:id="rId11" w:anchor="!/view?docid=bcb8da72-5501-4631-b9fd-fe675bc4a1fd" w:history="1">
        <w:r w:rsidR="00616873">
          <w:rPr>
            <w:rStyle w:val="Hyperlink"/>
          </w:rPr>
          <w:t>Universal Care – Caller Authentication (004568)</w:t>
        </w:r>
      </w:hyperlink>
      <w:r w:rsidR="00616873">
        <w:t xml:space="preserve"> and </w:t>
      </w:r>
      <w:hyperlink r:id="rId12" w:anchor="!/view?docid=c954b131-7884-494c-b4bb-dfc12fdc846f" w:history="1">
        <w:r w:rsidR="00616873">
          <w:rPr>
            <w:rStyle w:val="Hyperlink"/>
            <w:shd w:val="clear" w:color="auto" w:fill="FFFFFF"/>
          </w:rPr>
          <w:t>Universal Care – Consultative Call Flow (CCF) Process (095822)</w:t>
        </w:r>
      </w:hyperlink>
      <w:r w:rsidRPr="003735E2">
        <w:rPr>
          <w:rFonts w:cs="Arial"/>
          <w:bCs/>
          <w:color w:val="333333"/>
        </w:rPr>
        <w:t xml:space="preserve"> </w:t>
      </w:r>
      <w:r w:rsidRPr="008D32CD">
        <w:rPr>
          <w:rFonts w:cs="Arial"/>
          <w:bCs/>
        </w:rPr>
        <w:t>as your guide</w:t>
      </w:r>
      <w:r w:rsidR="00543216">
        <w:rPr>
          <w:rFonts w:cs="Arial"/>
          <w:bCs/>
        </w:rPr>
        <w:t>s</w:t>
      </w:r>
      <w:r w:rsidRPr="008D32CD">
        <w:rPr>
          <w:rFonts w:cs="Arial"/>
          <w:bCs/>
        </w:rPr>
        <w:t xml:space="preserve"> to consult with members by educating them on products and services.</w:t>
      </w:r>
    </w:p>
    <w:p w14:paraId="15175797" w14:textId="77777777" w:rsidR="00832D44" w:rsidRDefault="00832D44" w:rsidP="004354AC">
      <w:pPr>
        <w:pStyle w:val="TOC2"/>
      </w:pPr>
    </w:p>
    <w:p w14:paraId="3B87F999" w14:textId="2DA96B7F" w:rsidR="005A30F7" w:rsidRPr="005A30F7" w:rsidRDefault="00FA22EA" w:rsidP="00DE0146">
      <w:r w:rsidRPr="00FA22EA">
        <w:t xml:space="preserve">The following are key message points </w:t>
      </w:r>
      <w:r w:rsidR="00543216">
        <w:t>to state</w:t>
      </w:r>
      <w:r w:rsidRPr="00FA22EA">
        <w:t xml:space="preserve"> to the member: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6"/>
        <w:gridCol w:w="9394"/>
      </w:tblGrid>
      <w:tr w:rsidR="005A30F7" w:rsidRPr="000A79E6" w14:paraId="35B53C0A" w14:textId="77777777" w:rsidTr="004354AC">
        <w:tc>
          <w:tcPr>
            <w:tcW w:w="1373" w:type="pct"/>
            <w:shd w:val="clear" w:color="auto" w:fill="D9D9D9" w:themeFill="background1" w:themeFillShade="D9"/>
          </w:tcPr>
          <w:p w14:paraId="6A7F2FD5" w14:textId="77777777" w:rsidR="005A30F7" w:rsidRPr="00F028F5" w:rsidRDefault="005A30F7" w:rsidP="00F028F5">
            <w:pPr>
              <w:jc w:val="center"/>
              <w:rPr>
                <w:b/>
                <w:bCs/>
              </w:rPr>
            </w:pPr>
            <w:r w:rsidRPr="00F028F5">
              <w:rPr>
                <w:b/>
                <w:bCs/>
              </w:rPr>
              <w:t>Message Points</w:t>
            </w:r>
          </w:p>
        </w:tc>
        <w:tc>
          <w:tcPr>
            <w:tcW w:w="3627" w:type="pct"/>
            <w:shd w:val="clear" w:color="auto" w:fill="D9D9D9" w:themeFill="background1" w:themeFillShade="D9"/>
          </w:tcPr>
          <w:p w14:paraId="2C5AE2A2" w14:textId="77777777" w:rsidR="005A30F7" w:rsidRPr="00F028F5" w:rsidRDefault="005A30F7" w:rsidP="00F028F5">
            <w:pPr>
              <w:jc w:val="center"/>
              <w:rPr>
                <w:b/>
                <w:bCs/>
              </w:rPr>
            </w:pPr>
            <w:r w:rsidRPr="00F028F5">
              <w:rPr>
                <w:b/>
                <w:bCs/>
              </w:rPr>
              <w:t>State to the Member</w:t>
            </w:r>
          </w:p>
        </w:tc>
      </w:tr>
      <w:tr w:rsidR="005A30F7" w:rsidRPr="000A79E6" w14:paraId="19BBFB30" w14:textId="77777777" w:rsidTr="004354AC">
        <w:tc>
          <w:tcPr>
            <w:tcW w:w="1373" w:type="pct"/>
            <w:shd w:val="clear" w:color="auto" w:fill="auto"/>
          </w:tcPr>
          <w:p w14:paraId="04CD27A6" w14:textId="77777777" w:rsidR="005A30F7" w:rsidRPr="000A79E6" w:rsidRDefault="005A30F7" w:rsidP="00F028F5">
            <w:r w:rsidRPr="000A79E6">
              <w:t>Opportunity</w:t>
            </w:r>
          </w:p>
        </w:tc>
        <w:tc>
          <w:tcPr>
            <w:tcW w:w="3627" w:type="pct"/>
            <w:shd w:val="clear" w:color="auto" w:fill="auto"/>
          </w:tcPr>
          <w:p w14:paraId="4D76C0E1" w14:textId="3F1B2026" w:rsidR="005A30F7" w:rsidRPr="000A79E6" w:rsidRDefault="007A7F42" w:rsidP="00F028F5">
            <w:r w:rsidRPr="000A79E6">
              <w:rPr>
                <w:noProof/>
              </w:rPr>
              <w:drawing>
                <wp:inline distT="0" distB="0" distL="0" distR="0" wp14:anchorId="32AFCF1E" wp14:editId="34E2682E">
                  <wp:extent cx="230505" cy="214630"/>
                  <wp:effectExtent l="0" t="0" r="0" b="0"/>
                  <wp:docPr id="23" name="Picture 23"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5A30F7" w:rsidRPr="000A79E6">
              <w:t xml:space="preserve"> You may be able to save money just by having your long-term medications filled in three</w:t>
            </w:r>
            <w:r w:rsidR="008D32CD">
              <w:t>-</w:t>
            </w:r>
            <w:r w:rsidR="005A30F7" w:rsidRPr="000A79E6">
              <w:t>month supplies. Let me calculate the estimated savings for you.</w:t>
            </w:r>
          </w:p>
          <w:p w14:paraId="5FD24CB5" w14:textId="77777777" w:rsidR="005A30F7" w:rsidRPr="000A79E6" w:rsidRDefault="005A30F7" w:rsidP="00F028F5"/>
          <w:p w14:paraId="21D594D9" w14:textId="0B68545A" w:rsidR="005A30F7" w:rsidRPr="000A79E6" w:rsidRDefault="005A30F7" w:rsidP="00F028F5">
            <w:r w:rsidRPr="000A79E6">
              <w:rPr>
                <w:b/>
              </w:rPr>
              <w:t>CCR</w:t>
            </w:r>
            <w:r w:rsidRPr="00EF287D">
              <w:rPr>
                <w:b/>
              </w:rPr>
              <w:t>:</w:t>
            </w:r>
            <w:r w:rsidRPr="000A79E6">
              <w:t xml:space="preserve">  Run a </w:t>
            </w:r>
            <w:hyperlink r:id="rId14" w:anchor="!/view?docid=59c4e7fa-4a87-43c4-89cd-5d4f8c6c3421" w:history="1">
              <w:r w:rsidR="00F9780F">
                <w:rPr>
                  <w:rStyle w:val="Hyperlink"/>
                </w:rPr>
                <w:t>Test Claim (004573)</w:t>
              </w:r>
            </w:hyperlink>
            <w:r w:rsidRPr="000A79E6">
              <w:t xml:space="preserve"> for the member to calculate their estimated savings. </w:t>
            </w:r>
          </w:p>
        </w:tc>
      </w:tr>
      <w:tr w:rsidR="005A30F7" w14:paraId="5DC36484" w14:textId="77777777" w:rsidTr="004354AC">
        <w:tc>
          <w:tcPr>
            <w:tcW w:w="1373" w:type="pct"/>
            <w:shd w:val="clear" w:color="auto" w:fill="auto"/>
          </w:tcPr>
          <w:p w14:paraId="5BA0164F" w14:textId="77777777" w:rsidR="005A30F7" w:rsidRPr="008F63A0" w:rsidRDefault="005A30F7" w:rsidP="00F028F5">
            <w:r w:rsidRPr="008F63A0">
              <w:t>Benefits</w:t>
            </w:r>
          </w:p>
        </w:tc>
        <w:tc>
          <w:tcPr>
            <w:tcW w:w="3627" w:type="pct"/>
            <w:shd w:val="clear" w:color="auto" w:fill="auto"/>
          </w:tcPr>
          <w:p w14:paraId="2784C58B" w14:textId="2ABCC340" w:rsidR="005A30F7" w:rsidRPr="008F63A0" w:rsidRDefault="007A7F42" w:rsidP="00F028F5">
            <w:r w:rsidRPr="008F63A0">
              <w:rPr>
                <w:noProof/>
              </w:rPr>
              <w:drawing>
                <wp:inline distT="0" distB="0" distL="0" distR="0" wp14:anchorId="0A9C77C5" wp14:editId="5A6FCEFE">
                  <wp:extent cx="230505" cy="214630"/>
                  <wp:effectExtent l="0" t="0" r="0" b="0"/>
                  <wp:docPr id="24" name="Picture 24"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5A30F7" w:rsidRPr="008F63A0">
              <w:t xml:space="preserve"> Choose where to fill maintenance prescriptions either by Home Delivery or at </w:t>
            </w:r>
            <w:r w:rsidR="007A2BE0" w:rsidRPr="008F63A0">
              <w:t>Select Participating Pharmacies.</w:t>
            </w:r>
            <w:r w:rsidR="005A30F7" w:rsidRPr="008F63A0">
              <w:t xml:space="preserve"> </w:t>
            </w:r>
          </w:p>
          <w:p w14:paraId="2B9B2E1A" w14:textId="77777777" w:rsidR="005A30F7" w:rsidRPr="008F63A0" w:rsidRDefault="005A30F7" w:rsidP="00F028F5"/>
          <w:p w14:paraId="7B4475A8" w14:textId="45543AEE" w:rsidR="005A30F7" w:rsidRPr="008F63A0" w:rsidRDefault="007A7F42" w:rsidP="00F028F5">
            <w:r w:rsidRPr="008F63A0">
              <w:rPr>
                <w:noProof/>
              </w:rPr>
              <w:drawing>
                <wp:inline distT="0" distB="0" distL="0" distR="0" wp14:anchorId="5F561E41" wp14:editId="0B187BDB">
                  <wp:extent cx="230505" cy="214630"/>
                  <wp:effectExtent l="0" t="0" r="0" b="0"/>
                  <wp:docPr id="25" name="Picture 25"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5A30F7" w:rsidRPr="008F63A0">
              <w:t xml:space="preserve"> When you fill your long-term medicines every month at your current retail pharmacy, you’re paying more than you need. </w:t>
            </w:r>
          </w:p>
          <w:p w14:paraId="0C62A28C" w14:textId="77777777" w:rsidR="005A30F7" w:rsidRPr="008F63A0" w:rsidRDefault="005A30F7" w:rsidP="00F028F5"/>
          <w:p w14:paraId="3F0299B8" w14:textId="3E564393" w:rsidR="005A30F7" w:rsidRPr="008F63A0" w:rsidRDefault="007A7F42" w:rsidP="00F028F5">
            <w:r w:rsidRPr="008F63A0">
              <w:rPr>
                <w:noProof/>
              </w:rPr>
              <w:drawing>
                <wp:inline distT="0" distB="0" distL="0" distR="0" wp14:anchorId="1E49D3C3" wp14:editId="4188F61B">
                  <wp:extent cx="230505" cy="214630"/>
                  <wp:effectExtent l="0" t="0" r="0" b="0"/>
                  <wp:docPr id="26" name="Picture 26"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5A30F7" w:rsidRPr="008F63A0">
              <w:t xml:space="preserve"> No more </w:t>
            </w:r>
            <w:r w:rsidR="005A30F7" w:rsidRPr="008F63A0">
              <w:rPr>
                <w:iCs/>
              </w:rPr>
              <w:t xml:space="preserve">monthly </w:t>
            </w:r>
            <w:r w:rsidR="005A30F7" w:rsidRPr="008F63A0">
              <w:t xml:space="preserve">pharmacy trips. Plus, with mail service, your medicine is delivered right to you. That means fewer trips to the pharmacy and the gas pump. </w:t>
            </w:r>
          </w:p>
          <w:p w14:paraId="61CFFEE9" w14:textId="77777777" w:rsidR="005A30F7" w:rsidRPr="008F63A0" w:rsidRDefault="005A30F7" w:rsidP="00F028F5"/>
          <w:p w14:paraId="03730D09" w14:textId="46453177" w:rsidR="005A30F7" w:rsidRPr="008F63A0" w:rsidRDefault="007A7F42" w:rsidP="00F028F5">
            <w:r w:rsidRPr="008F63A0">
              <w:rPr>
                <w:noProof/>
              </w:rPr>
              <w:drawing>
                <wp:inline distT="0" distB="0" distL="0" distR="0" wp14:anchorId="6ACB3D0F" wp14:editId="669E3697">
                  <wp:extent cx="230505" cy="214630"/>
                  <wp:effectExtent l="0" t="0" r="0" b="0"/>
                  <wp:docPr id="27" name="Picture 27"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5A30F7" w:rsidRPr="008F63A0">
              <w:t xml:space="preserve"> We will contact your doctor for you for a three</w:t>
            </w:r>
            <w:r w:rsidR="00F9780F" w:rsidRPr="008F63A0">
              <w:t>-</w:t>
            </w:r>
            <w:r w:rsidR="005A30F7" w:rsidRPr="008F63A0">
              <w:t xml:space="preserve">month prescription of your current medicine. </w:t>
            </w:r>
          </w:p>
          <w:p w14:paraId="6FC7C452" w14:textId="77777777" w:rsidR="005A30F7" w:rsidRPr="008F63A0" w:rsidRDefault="005A30F7" w:rsidP="00F028F5"/>
        </w:tc>
      </w:tr>
      <w:tr w:rsidR="005A30F7" w:rsidRPr="000A79E6" w14:paraId="32B30683" w14:textId="77777777" w:rsidTr="004354AC">
        <w:tc>
          <w:tcPr>
            <w:tcW w:w="1373" w:type="pct"/>
            <w:shd w:val="clear" w:color="auto" w:fill="auto"/>
          </w:tcPr>
          <w:p w14:paraId="2BF3F6FE" w14:textId="77777777" w:rsidR="005A30F7" w:rsidRPr="008F63A0" w:rsidRDefault="005A30F7" w:rsidP="00F028F5">
            <w:r w:rsidRPr="008F63A0">
              <w:t>Call to Action</w:t>
            </w:r>
          </w:p>
        </w:tc>
        <w:tc>
          <w:tcPr>
            <w:tcW w:w="3627" w:type="pct"/>
            <w:shd w:val="clear" w:color="auto" w:fill="auto"/>
          </w:tcPr>
          <w:p w14:paraId="49573C59" w14:textId="2413BA53" w:rsidR="005A30F7" w:rsidRPr="008F63A0" w:rsidRDefault="007A7F42" w:rsidP="00F028F5">
            <w:r w:rsidRPr="008F63A0">
              <w:rPr>
                <w:noProof/>
              </w:rPr>
              <w:drawing>
                <wp:inline distT="0" distB="0" distL="0" distR="0" wp14:anchorId="171694ED" wp14:editId="58722B65">
                  <wp:extent cx="230505" cy="214630"/>
                  <wp:effectExtent l="0" t="0" r="0" b="0"/>
                  <wp:docPr id="28" name="Picture 28"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5A30F7" w:rsidRPr="008F63A0">
              <w:t xml:space="preserve"> Changing to a three</w:t>
            </w:r>
            <w:r w:rsidR="00E66EB7" w:rsidRPr="008F63A0">
              <w:t>-</w:t>
            </w:r>
            <w:r w:rsidR="005A30F7" w:rsidRPr="008F63A0">
              <w:t>month supply is easy. We’ll do all the work for you by contacting your doctor. I just need to verify some information with you. Shall we get you started now?</w:t>
            </w:r>
          </w:p>
        </w:tc>
      </w:tr>
      <w:tr w:rsidR="006E36FE" w:rsidRPr="000A79E6" w14:paraId="6BF7871E" w14:textId="77777777" w:rsidTr="004354AC">
        <w:tc>
          <w:tcPr>
            <w:tcW w:w="1373" w:type="pct"/>
            <w:shd w:val="clear" w:color="auto" w:fill="auto"/>
          </w:tcPr>
          <w:p w14:paraId="70E79E71" w14:textId="2B356E0B" w:rsidR="006E36FE" w:rsidRPr="008F63A0" w:rsidRDefault="006E36FE" w:rsidP="00F028F5">
            <w:r w:rsidRPr="008F63A0">
              <w:t xml:space="preserve">Locating Select Participating Pharmacies  </w:t>
            </w:r>
          </w:p>
        </w:tc>
        <w:tc>
          <w:tcPr>
            <w:tcW w:w="3627" w:type="pct"/>
            <w:shd w:val="clear" w:color="auto" w:fill="auto"/>
          </w:tcPr>
          <w:p w14:paraId="00B64812" w14:textId="6EAB6C50" w:rsidR="006E36FE" w:rsidRPr="008F63A0" w:rsidRDefault="006E36FE" w:rsidP="00F028F5">
            <w:pPr>
              <w:rPr>
                <w:noProof/>
              </w:rPr>
            </w:pPr>
            <w:r w:rsidRPr="008F63A0">
              <w:rPr>
                <w:noProof/>
              </w:rPr>
              <w:drawing>
                <wp:inline distT="0" distB="0" distL="0" distR="0" wp14:anchorId="0B917449" wp14:editId="65AC4A3C">
                  <wp:extent cx="238158"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306CC9" w:rsidRPr="008F63A0">
              <w:rPr>
                <w:noProof/>
              </w:rPr>
              <w:t xml:space="preserve"> </w:t>
            </w:r>
            <w:r w:rsidR="00306CC9" w:rsidRPr="008F63A0">
              <w:t>You can log into Caremark.com to find Select Participating Pharmacies covered under your plan by using the pharmacy locator tool or to start home delivery by mail. (Aetna members can log into the Aetna Member Website).</w:t>
            </w:r>
          </w:p>
        </w:tc>
      </w:tr>
    </w:tbl>
    <w:p w14:paraId="3D41CC5A" w14:textId="4B971BFD" w:rsidR="0062254A" w:rsidRDefault="0062254A" w:rsidP="0062254A">
      <w:pPr>
        <w:jc w:val="right"/>
      </w:pPr>
    </w:p>
    <w:p w14:paraId="5C74B0B8" w14:textId="1D5E9407" w:rsidR="00B82D55" w:rsidRPr="0058134F" w:rsidRDefault="00D10E4E" w:rsidP="0062254A">
      <w:pPr>
        <w:jc w:val="right"/>
      </w:pPr>
      <w:hyperlink w:anchor="_top" w:history="1">
        <w:r w:rsidR="00A37B93" w:rsidRPr="00D10E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A22EA" w:rsidRPr="00FA22EA" w14:paraId="5747CAD4" w14:textId="77777777" w:rsidTr="008D32CD">
        <w:tc>
          <w:tcPr>
            <w:tcW w:w="5000" w:type="pct"/>
            <w:shd w:val="clear" w:color="auto" w:fill="BFBFBF" w:themeFill="background1" w:themeFillShade="BF"/>
          </w:tcPr>
          <w:p w14:paraId="561DFB8A" w14:textId="677CA231" w:rsidR="00FA22EA" w:rsidRPr="00FA22EA" w:rsidRDefault="00FA22EA" w:rsidP="00070082">
            <w:pPr>
              <w:pStyle w:val="Heading2"/>
              <w:spacing w:before="120" w:after="120"/>
              <w:rPr>
                <w:rFonts w:ascii="Verdana" w:hAnsi="Verdana"/>
                <w:i w:val="0"/>
              </w:rPr>
            </w:pPr>
            <w:bookmarkStart w:id="8" w:name="_Suggested_Script"/>
            <w:bookmarkStart w:id="9" w:name="_Toc387314244"/>
            <w:bookmarkStart w:id="10" w:name="_Toc20132847"/>
            <w:bookmarkStart w:id="11" w:name="_Toc188011199"/>
            <w:bookmarkEnd w:id="8"/>
            <w:r w:rsidRPr="00FA22EA">
              <w:rPr>
                <w:rFonts w:ascii="Verdana" w:hAnsi="Verdana"/>
                <w:i w:val="0"/>
              </w:rPr>
              <w:t>Suggested Script</w:t>
            </w:r>
            <w:bookmarkEnd w:id="9"/>
            <w:bookmarkEnd w:id="10"/>
            <w:bookmarkEnd w:id="11"/>
          </w:p>
        </w:tc>
      </w:tr>
    </w:tbl>
    <w:p w14:paraId="783CFDDB" w14:textId="77777777" w:rsidR="00FA22EA" w:rsidRPr="00FA22EA" w:rsidRDefault="00FA22EA" w:rsidP="00343C6D">
      <w:r w:rsidRPr="00FA22EA">
        <w:t>The following suggested script may be discussed after successful authentication.</w:t>
      </w:r>
    </w:p>
    <w:p w14:paraId="56E3A867" w14:textId="77777777" w:rsidR="00FA22EA" w:rsidRPr="00FA22EA" w:rsidRDefault="00FA22EA" w:rsidP="004354AC">
      <w:pPr>
        <w:pStyle w:val="TOC2"/>
      </w:pPr>
    </w:p>
    <w:p w14:paraId="76C05C58" w14:textId="2AA3BE43" w:rsidR="00FA22EA" w:rsidRPr="00E66EB7" w:rsidRDefault="00FA22EA" w:rsidP="00343C6D">
      <w:pPr>
        <w:rPr>
          <w:bCs/>
        </w:rPr>
      </w:pPr>
      <w:r w:rsidRPr="00E66EB7">
        <w:t>Transitional Statement</w:t>
      </w:r>
      <w:r w:rsidR="0002525B" w:rsidRPr="00E66EB7">
        <w:t>:</w:t>
      </w:r>
    </w:p>
    <w:p w14:paraId="4CA38F82" w14:textId="57F2D701" w:rsidR="00FA22EA" w:rsidRPr="00FA22EA" w:rsidRDefault="007A7F42" w:rsidP="00343C6D">
      <w:r w:rsidRPr="00FA22EA">
        <w:rPr>
          <w:noProof/>
        </w:rPr>
        <w:drawing>
          <wp:inline distT="0" distB="0" distL="0" distR="0" wp14:anchorId="5A8FF66E" wp14:editId="1202F096">
            <wp:extent cx="230505" cy="214630"/>
            <wp:effectExtent l="0" t="0" r="0" b="0"/>
            <wp:docPr id="8" name="Picture 8"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FA22EA" w:rsidRPr="00FA22EA">
        <w:t xml:space="preserve"> According to my records, you are not currently taking advantage of a benefit that could save you money just by having your long-term medications filled in three</w:t>
      </w:r>
      <w:r w:rsidR="006B54FF">
        <w:t>-</w:t>
      </w:r>
      <w:r w:rsidR="00FA22EA" w:rsidRPr="00FA22EA">
        <w:t>month supplies. Let me calculate the estimated savings for you.</w:t>
      </w:r>
    </w:p>
    <w:p w14:paraId="39C54BAA" w14:textId="77777777" w:rsidR="00FA22EA" w:rsidRPr="00FA22EA" w:rsidRDefault="00FA22EA" w:rsidP="00343C6D"/>
    <w:p w14:paraId="60F47FA3" w14:textId="26DFEEDE" w:rsidR="00FA22EA" w:rsidRPr="00FA22EA" w:rsidRDefault="00FA22EA" w:rsidP="00343C6D">
      <w:r w:rsidRPr="00FA22EA">
        <w:t xml:space="preserve">CCR:  Run a </w:t>
      </w:r>
      <w:hyperlink r:id="rId16" w:anchor="!/view?docid=59c4e7fa-4a87-43c4-89cd-5d4f8c6c3421" w:history="1">
        <w:r w:rsidR="00E66EB7">
          <w:rPr>
            <w:rStyle w:val="Hyperlink"/>
          </w:rPr>
          <w:t>Test Claim (004573)</w:t>
        </w:r>
      </w:hyperlink>
      <w:r w:rsidRPr="00FA22EA">
        <w:t xml:space="preserve"> for the member to calculate their estimated savings. </w:t>
      </w:r>
    </w:p>
    <w:p w14:paraId="1ED189FA" w14:textId="77777777" w:rsidR="00FA22EA" w:rsidRPr="00FA22EA" w:rsidRDefault="00FA22EA" w:rsidP="00343C6D"/>
    <w:p w14:paraId="67A6F5AA" w14:textId="77777777" w:rsidR="00FA22EA" w:rsidRPr="00FA22EA" w:rsidRDefault="00FA22EA" w:rsidP="00343C6D">
      <w:r w:rsidRPr="00FA22EA">
        <w:t xml:space="preserve"> </w:t>
      </w:r>
    </w:p>
    <w:p w14:paraId="19A6B441" w14:textId="1BBB5806" w:rsidR="00FA22EA" w:rsidRPr="00E66EB7" w:rsidRDefault="00FA22EA" w:rsidP="00343C6D">
      <w:pPr>
        <w:rPr>
          <w:bCs/>
        </w:rPr>
      </w:pPr>
      <w:r w:rsidRPr="00E66EB7">
        <w:t>Benefits</w:t>
      </w:r>
      <w:r w:rsidR="0002525B" w:rsidRPr="00E66EB7">
        <w:t>:</w:t>
      </w:r>
    </w:p>
    <w:p w14:paraId="2B5DE952" w14:textId="17C28FE0" w:rsidR="00FA22EA" w:rsidRPr="00FA22EA" w:rsidRDefault="007A7F42" w:rsidP="00343C6D">
      <w:r w:rsidRPr="00FA22EA">
        <w:rPr>
          <w:noProof/>
        </w:rPr>
        <w:drawing>
          <wp:inline distT="0" distB="0" distL="0" distR="0" wp14:anchorId="3C9636F7" wp14:editId="06EFA4A0">
            <wp:extent cx="230505" cy="214630"/>
            <wp:effectExtent l="0" t="0" r="0" b="0"/>
            <wp:docPr id="7" name="Picture 7"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FA22EA" w:rsidRPr="00FA22EA">
        <w:t xml:space="preserve"> There are two ways you can take advantage of these great savings. </w:t>
      </w:r>
      <w:r w:rsidR="00832D44">
        <w:t xml:space="preserve"> </w:t>
      </w:r>
      <w:r w:rsidR="00FA22EA" w:rsidRPr="00FA22EA">
        <w:t>Fill your three</w:t>
      </w:r>
      <w:r w:rsidR="00E66EB7">
        <w:t>-</w:t>
      </w:r>
      <w:r w:rsidR="00FA22EA" w:rsidRPr="00FA22EA">
        <w:t xml:space="preserve">month supply at any </w:t>
      </w:r>
      <w:r w:rsidR="002D3AB9" w:rsidRPr="002D3AB9">
        <w:t>Select Participating Pharmacies</w:t>
      </w:r>
      <w:r w:rsidR="00023713">
        <w:t xml:space="preserve"> </w:t>
      </w:r>
      <w:r w:rsidR="00FA22EA" w:rsidRPr="00FA22EA">
        <w:t xml:space="preserve">or have them shipped to your home at no additional cost through our Home Delivery service pharmacy. </w:t>
      </w:r>
    </w:p>
    <w:p w14:paraId="4CCCC21C" w14:textId="77777777" w:rsidR="00FA22EA" w:rsidRPr="00FA22EA" w:rsidRDefault="00FA22EA" w:rsidP="00343C6D"/>
    <w:p w14:paraId="663F8569" w14:textId="663771FC" w:rsidR="00FA22EA" w:rsidRPr="00FA22EA" w:rsidRDefault="007A7F42" w:rsidP="00343C6D">
      <w:r w:rsidRPr="00FA22EA">
        <w:rPr>
          <w:noProof/>
        </w:rPr>
        <w:drawing>
          <wp:inline distT="0" distB="0" distL="0" distR="0" wp14:anchorId="23D6CD7B" wp14:editId="07050257">
            <wp:extent cx="230505" cy="214630"/>
            <wp:effectExtent l="0" t="0" r="0" b="0"/>
            <wp:docPr id="4" name="Picture 4"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FA22EA" w:rsidRPr="00FA22EA">
        <w:t xml:space="preserve"> When you fill your long-term medicines every month at your current retail pharmacy, you may be paying more than you need! We can also help you avoid monthly trips to the pharmacy. Which choice do you think would work out better for you?</w:t>
      </w:r>
    </w:p>
    <w:p w14:paraId="2DEDF3CC" w14:textId="77777777" w:rsidR="00FA22EA" w:rsidRPr="00FA22EA" w:rsidRDefault="00FA22EA" w:rsidP="00343C6D">
      <w:r w:rsidRPr="00FA22EA">
        <w:t xml:space="preserve"> </w:t>
      </w:r>
    </w:p>
    <w:p w14:paraId="1CAEAD1B" w14:textId="77777777" w:rsidR="00FA22EA" w:rsidRPr="00FA22EA" w:rsidRDefault="00FA22EA" w:rsidP="00343C6D"/>
    <w:p w14:paraId="7DF53131" w14:textId="4B291F88" w:rsidR="00FA22EA" w:rsidRPr="00E66EB7" w:rsidRDefault="00FA22EA" w:rsidP="00343C6D">
      <w:pPr>
        <w:rPr>
          <w:bCs/>
        </w:rPr>
      </w:pPr>
      <w:r w:rsidRPr="00E66EB7">
        <w:t>Program Education</w:t>
      </w:r>
      <w:r w:rsidR="0002525B" w:rsidRPr="00E66EB7">
        <w:t>:</w:t>
      </w:r>
    </w:p>
    <w:p w14:paraId="426D229B" w14:textId="5BA22887" w:rsidR="00FA22EA" w:rsidRPr="00FA22EA" w:rsidRDefault="007A7F42" w:rsidP="00343C6D">
      <w:r w:rsidRPr="00FA22EA">
        <w:rPr>
          <w:noProof/>
        </w:rPr>
        <w:drawing>
          <wp:inline distT="0" distB="0" distL="0" distR="0" wp14:anchorId="44D23300" wp14:editId="4E0307C0">
            <wp:extent cx="230505" cy="214630"/>
            <wp:effectExtent l="0" t="0" r="0" b="0"/>
            <wp:docPr id="6" name="Picture 6"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FA22EA" w:rsidRPr="00FA22EA">
        <w:t xml:space="preserve"> Changing to three</w:t>
      </w:r>
      <w:r w:rsidR="00E66EB7">
        <w:t>-</w:t>
      </w:r>
      <w:r w:rsidR="00FA22EA" w:rsidRPr="00FA22EA">
        <w:t>month supply is easy. It will only take a few minutes to enroll you in the program. Shall we get you started now?</w:t>
      </w:r>
    </w:p>
    <w:p w14:paraId="6FD56D3F" w14:textId="77777777" w:rsidR="00FA22EA" w:rsidRPr="00FA22EA" w:rsidRDefault="00FA22EA" w:rsidP="00343C6D"/>
    <w:p w14:paraId="69CCFB07" w14:textId="0F276F80" w:rsidR="00FA22EA" w:rsidRPr="00FA22EA" w:rsidRDefault="007A7F42" w:rsidP="00343C6D">
      <w:r w:rsidRPr="00FA22EA">
        <w:rPr>
          <w:noProof/>
        </w:rPr>
        <w:drawing>
          <wp:inline distT="0" distB="0" distL="0" distR="0" wp14:anchorId="1CAAE1B0" wp14:editId="1B59387D">
            <wp:extent cx="230505" cy="214630"/>
            <wp:effectExtent l="0" t="0" r="0" b="0"/>
            <wp:docPr id="5" name="Picture 5"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FA22EA" w:rsidRPr="00FA22EA">
        <w:t xml:space="preserve"> If your doctor has written a prescription for a three</w:t>
      </w:r>
      <w:r w:rsidR="00E66EB7">
        <w:t>-</w:t>
      </w:r>
      <w:r w:rsidR="00FA22EA" w:rsidRPr="00FA22EA">
        <w:t xml:space="preserve">month supply, you may take it to any </w:t>
      </w:r>
      <w:r w:rsidR="00A53D35" w:rsidRPr="00A53D35">
        <w:t>Select Participating Pharmacies</w:t>
      </w:r>
      <w:r w:rsidR="00FA22EA" w:rsidRPr="00FA22EA">
        <w:t xml:space="preserve"> to have it filled or it can be filled through our Home Delivery service; </w:t>
      </w:r>
      <w:r w:rsidR="00FA22EA" w:rsidRPr="00A31964">
        <w:t>or</w:t>
      </w:r>
      <w:r w:rsidR="00FA22EA" w:rsidRPr="00FA22EA">
        <w:t xml:space="preserve"> if you have existing Home Delivery service prescriptions</w:t>
      </w:r>
      <w:r w:rsidR="002D3F12">
        <w:t>,</w:t>
      </w:r>
      <w:r w:rsidR="00FA22EA" w:rsidRPr="00FA22EA">
        <w:t xml:space="preserve"> I can assist you with having the three</w:t>
      </w:r>
      <w:r w:rsidR="0045072E">
        <w:t>-</w:t>
      </w:r>
      <w:r w:rsidR="00FA22EA" w:rsidRPr="00FA22EA">
        <w:t xml:space="preserve">month supply filled at your local </w:t>
      </w:r>
      <w:r w:rsidR="00514DBD" w:rsidRPr="00514DBD">
        <w:t>Select Participating Pharmacies.</w:t>
      </w:r>
    </w:p>
    <w:p w14:paraId="77C7202B" w14:textId="77777777" w:rsidR="00FA22EA" w:rsidRPr="00FA22EA" w:rsidRDefault="00FA22EA" w:rsidP="00343C6D"/>
    <w:p w14:paraId="2D2A0FA7" w14:textId="3007AD16" w:rsidR="00FA22EA" w:rsidRPr="00FA22EA" w:rsidRDefault="007A7F42" w:rsidP="00343C6D">
      <w:r w:rsidRPr="00FA22EA">
        <w:rPr>
          <w:noProof/>
        </w:rPr>
        <w:drawing>
          <wp:inline distT="0" distB="0" distL="0" distR="0" wp14:anchorId="514DE2D0" wp14:editId="427ADA46">
            <wp:extent cx="230505" cy="214630"/>
            <wp:effectExtent l="0" t="0" r="0" b="0"/>
            <wp:docPr id="3" name="Picture 3" descr="Icon - Ca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all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 cy="214630"/>
                    </a:xfrm>
                    <a:prstGeom prst="rect">
                      <a:avLst/>
                    </a:prstGeom>
                    <a:noFill/>
                    <a:ln>
                      <a:noFill/>
                    </a:ln>
                  </pic:spPr>
                </pic:pic>
              </a:graphicData>
            </a:graphic>
          </wp:inline>
        </w:drawing>
      </w:r>
      <w:r w:rsidR="00FA22EA" w:rsidRPr="00FA22EA">
        <w:t xml:space="preserve"> If not, we can reach out to your doctor to assist you with obtaining a three</w:t>
      </w:r>
      <w:r w:rsidR="00E66EB7">
        <w:t>-</w:t>
      </w:r>
      <w:r w:rsidR="00FA22EA" w:rsidRPr="00FA22EA">
        <w:t xml:space="preserve">month supply of your prescription. </w:t>
      </w:r>
    </w:p>
    <w:p w14:paraId="41A7413A" w14:textId="77777777" w:rsidR="00FA22EA" w:rsidRPr="00FA22EA" w:rsidRDefault="00FA22EA" w:rsidP="00343C6D"/>
    <w:p w14:paraId="487E1374" w14:textId="7268F397" w:rsidR="00FA22EA" w:rsidRPr="00FA22EA" w:rsidRDefault="00FA22EA" w:rsidP="00343C6D">
      <w:r w:rsidRPr="00FA22EA">
        <w:t xml:space="preserve">CCR:  Wait for member to acknowledge permission to enroll and register outcome in HEE. Refer to </w:t>
      </w:r>
      <w:hyperlink r:id="rId17" w:anchor="!/view?docid=c2732a43-0453-4dab-a245-537dbe97d1e0" w:history="1">
        <w:r w:rsidR="00BD61AA">
          <w:rPr>
            <w:rStyle w:val="Hyperlink"/>
          </w:rPr>
          <w:t>Health Engagement Engine (HEE) - View Opportunities (022708)</w:t>
        </w:r>
      </w:hyperlink>
      <w:r w:rsidRPr="00FA22EA">
        <w:t>.</w:t>
      </w:r>
    </w:p>
    <w:p w14:paraId="27BD2AA0" w14:textId="77777777" w:rsidR="00FA22EA" w:rsidRPr="00FA22EA" w:rsidRDefault="00FA22EA" w:rsidP="00343C6D"/>
    <w:p w14:paraId="1F18FBAB" w14:textId="77777777" w:rsidR="00FA22EA" w:rsidRPr="00FA22EA" w:rsidRDefault="00FA22EA" w:rsidP="00343C6D"/>
    <w:p w14:paraId="1C7B83CC" w14:textId="1D18B359" w:rsidR="005A30F7" w:rsidRDefault="00FA22EA" w:rsidP="00343C6D">
      <w:r w:rsidRPr="00FA22EA">
        <w:t>Refer to</w:t>
      </w:r>
      <w:r w:rsidR="005A30F7">
        <w:t xml:space="preserve"> </w:t>
      </w:r>
      <w:r w:rsidRPr="00FA22EA">
        <w:t>Initial Enrollment</w:t>
      </w:r>
      <w:r w:rsidR="00A31964">
        <w:t xml:space="preserve"> within </w:t>
      </w:r>
      <w:hyperlink r:id="rId18" w:anchor="!/view?docid=e0d014db-0726-40a1-bf1b-c48f9fbdabb3" w:history="1">
        <w:r w:rsidR="001A2F88">
          <w:rPr>
            <w:rStyle w:val="Hyperlink"/>
          </w:rPr>
          <w:t>Handling Maintenance Choice Calls (021863)</w:t>
        </w:r>
      </w:hyperlink>
      <w:r w:rsidRPr="00FA22EA">
        <w:t>.</w:t>
      </w:r>
      <w:r w:rsidR="005A30F7">
        <w:t xml:space="preserve"> </w:t>
      </w:r>
    </w:p>
    <w:p w14:paraId="497BF72F" w14:textId="50691683" w:rsidR="00FA22EA" w:rsidRDefault="00FA22EA" w:rsidP="00343C6D">
      <w:r w:rsidRPr="00FA22EA">
        <w:t>Initiating a mail to retail Maintenance Choice prescription transfer</w:t>
      </w:r>
      <w:r w:rsidR="00A31964">
        <w:t>, r</w:t>
      </w:r>
      <w:r w:rsidRPr="00FA22EA">
        <w:t xml:space="preserve">efer to </w:t>
      </w:r>
      <w:hyperlink r:id="rId19" w:anchor="!/view?docid=0a402678-3e98-4204-b4cf-08a5e9d5f68b" w:history="1">
        <w:r w:rsidR="001A2F88">
          <w:rPr>
            <w:rStyle w:val="Hyperlink"/>
          </w:rPr>
          <w:t>Create Opportunity and Maintenance Choice (</w:t>
        </w:r>
        <w:proofErr w:type="spellStart"/>
        <w:r w:rsidR="001A2F88">
          <w:rPr>
            <w:rStyle w:val="Hyperlink"/>
          </w:rPr>
          <w:t>MChoice</w:t>
        </w:r>
        <w:proofErr w:type="spellEnd"/>
        <w:r w:rsidR="001A2F88">
          <w:rPr>
            <w:rStyle w:val="Hyperlink"/>
          </w:rPr>
          <w:t>) Transfer (021315)</w:t>
        </w:r>
      </w:hyperlink>
      <w:r w:rsidRPr="00FA22EA">
        <w:t>.</w:t>
      </w:r>
    </w:p>
    <w:bookmarkStart w:id="12" w:name="_Hlk175039472"/>
    <w:bookmarkStart w:id="13" w:name="_Hlk175038357"/>
    <w:p w14:paraId="796B0FC6" w14:textId="1F4A81E6" w:rsidR="00A37B93" w:rsidRPr="0058134F" w:rsidRDefault="00D10E4E" w:rsidP="00A37B93">
      <w:pPr>
        <w:jc w:val="right"/>
      </w:pPr>
      <w:r>
        <w:fldChar w:fldCharType="begin"/>
      </w:r>
      <w:r>
        <w:instrText>HYPERLINK  \l "_top"</w:instrText>
      </w:r>
      <w:r>
        <w:fldChar w:fldCharType="separate"/>
      </w:r>
      <w:r w:rsidR="00A37B93" w:rsidRPr="00D10E4E">
        <w:rPr>
          <w:rStyle w:val="Hyperlink"/>
        </w:rPr>
        <w:t>Top of the Document</w:t>
      </w:r>
      <w:bookmarkEnd w:id="12"/>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608B4" w:rsidRPr="0058134F" w14:paraId="12FE6728" w14:textId="77777777" w:rsidTr="008D32CD">
        <w:tc>
          <w:tcPr>
            <w:tcW w:w="5000" w:type="pct"/>
            <w:shd w:val="clear" w:color="auto" w:fill="BFBFBF" w:themeFill="background1" w:themeFillShade="BF"/>
          </w:tcPr>
          <w:p w14:paraId="7462F282" w14:textId="483DC2B5" w:rsidR="00D608B4" w:rsidRPr="0058134F" w:rsidRDefault="00D608B4" w:rsidP="00F0729C">
            <w:pPr>
              <w:pStyle w:val="Heading2"/>
              <w:tabs>
                <w:tab w:val="left" w:pos="11985"/>
              </w:tabs>
              <w:spacing w:before="120" w:after="120"/>
              <w:rPr>
                <w:rFonts w:ascii="Verdana" w:hAnsi="Verdana"/>
                <w:i w:val="0"/>
                <w:iCs w:val="0"/>
              </w:rPr>
            </w:pPr>
            <w:bookmarkStart w:id="14" w:name="_Toc460439557"/>
            <w:bookmarkStart w:id="15" w:name="_Toc188011200"/>
            <w:bookmarkEnd w:id="13"/>
            <w:r>
              <w:rPr>
                <w:rFonts w:ascii="Verdana" w:hAnsi="Verdana"/>
                <w:i w:val="0"/>
                <w:iCs w:val="0"/>
              </w:rPr>
              <w:t>Objections about the Hassle</w:t>
            </w:r>
            <w:bookmarkEnd w:id="14"/>
            <w:bookmarkEnd w:id="15"/>
          </w:p>
        </w:tc>
      </w:tr>
    </w:tbl>
    <w:p w14:paraId="44C81BCF" w14:textId="77777777" w:rsidR="00D608B4" w:rsidRDefault="00D608B4" w:rsidP="00F0729C">
      <w:r>
        <w:t xml:space="preserve">In the </w:t>
      </w:r>
      <w:r w:rsidR="00CA2A6F" w:rsidRPr="00CA2A6F">
        <w:rPr>
          <w:b/>
        </w:rPr>
        <w:t>E</w:t>
      </w:r>
      <w:r w:rsidRPr="00CA2A6F">
        <w:rPr>
          <w:b/>
        </w:rPr>
        <w:t>xamples</w:t>
      </w:r>
      <w:r>
        <w:t xml:space="preserve"> below, the member is expressing concerns about the complexity and difficulty of mail service that may prevent them from moving their prescriptions from </w:t>
      </w:r>
      <w:r w:rsidR="00432DCF">
        <w:t>Maintenance Choice</w:t>
      </w:r>
      <w:r w:rsidR="00E121A2" w:rsidRPr="00E121A2">
        <w:t>®</w:t>
      </w:r>
      <w:r w:rsidR="00432DCF">
        <w:t xml:space="preserve"> Voluntary</w:t>
      </w:r>
      <w:r>
        <w:t xml:space="preserve">. </w:t>
      </w:r>
    </w:p>
    <w:p w14:paraId="4BDFA978" w14:textId="77777777" w:rsidR="0049433E" w:rsidRDefault="0049433E" w:rsidP="00F0729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9"/>
        <w:gridCol w:w="7801"/>
      </w:tblGrid>
      <w:tr w:rsidR="00DC795D" w:rsidRPr="0058134F" w14:paraId="3292556E" w14:textId="77777777" w:rsidTr="00120571">
        <w:tc>
          <w:tcPr>
            <w:tcW w:w="1988" w:type="pct"/>
            <w:shd w:val="clear" w:color="auto" w:fill="D9D9D9" w:themeFill="background1" w:themeFillShade="D9"/>
          </w:tcPr>
          <w:p w14:paraId="5E752F31" w14:textId="77777777" w:rsidR="00DC795D" w:rsidRPr="008F63A0" w:rsidRDefault="00DC795D" w:rsidP="00F0729C">
            <w:pPr>
              <w:spacing w:line="240" w:lineRule="atLeast"/>
              <w:jc w:val="center"/>
              <w:textAlignment w:val="top"/>
              <w:rPr>
                <w:rFonts w:cs="Arial"/>
                <w:b/>
                <w:bCs/>
              </w:rPr>
            </w:pPr>
            <w:r w:rsidRPr="008F63A0">
              <w:rPr>
                <w:rFonts w:cs="Arial"/>
                <w:b/>
                <w:bCs/>
              </w:rPr>
              <w:t>Objection</w:t>
            </w:r>
          </w:p>
        </w:tc>
        <w:tc>
          <w:tcPr>
            <w:tcW w:w="3012" w:type="pct"/>
            <w:shd w:val="clear" w:color="auto" w:fill="D9D9D9" w:themeFill="background1" w:themeFillShade="D9"/>
          </w:tcPr>
          <w:p w14:paraId="50A05965" w14:textId="77777777" w:rsidR="00DC795D" w:rsidRPr="008F63A0" w:rsidRDefault="00DC795D" w:rsidP="00F0729C">
            <w:pPr>
              <w:spacing w:line="240" w:lineRule="atLeast"/>
              <w:jc w:val="center"/>
              <w:textAlignment w:val="top"/>
              <w:rPr>
                <w:rFonts w:cs="Arial"/>
                <w:b/>
                <w:bCs/>
              </w:rPr>
            </w:pPr>
            <w:r w:rsidRPr="008F63A0">
              <w:rPr>
                <w:rFonts w:cs="Arial"/>
                <w:b/>
                <w:bCs/>
              </w:rPr>
              <w:t>Response</w:t>
            </w:r>
          </w:p>
        </w:tc>
      </w:tr>
      <w:tr w:rsidR="0049433E" w:rsidRPr="0058134F" w14:paraId="61535DCC" w14:textId="77777777" w:rsidTr="00120571">
        <w:trPr>
          <w:trHeight w:val="20"/>
        </w:trPr>
        <w:tc>
          <w:tcPr>
            <w:tcW w:w="1988" w:type="pct"/>
          </w:tcPr>
          <w:p w14:paraId="32E4195B" w14:textId="77777777" w:rsidR="0049433E" w:rsidRPr="008F63A0" w:rsidRDefault="00432DCF" w:rsidP="00F0729C">
            <w:bookmarkStart w:id="16" w:name="_I_prefer_to"/>
            <w:bookmarkEnd w:id="16"/>
            <w:r w:rsidRPr="008F63A0">
              <w:t>Process to change my medications is confusing and hard.</w:t>
            </w:r>
          </w:p>
        </w:tc>
        <w:tc>
          <w:tcPr>
            <w:tcW w:w="3012" w:type="pct"/>
          </w:tcPr>
          <w:p w14:paraId="73AD7AF7" w14:textId="13832EBD" w:rsidR="0049433E" w:rsidRPr="008F63A0" w:rsidRDefault="007A7F42" w:rsidP="00F0729C">
            <w:pPr>
              <w:spacing w:line="240" w:lineRule="atLeast"/>
              <w:textAlignment w:val="top"/>
              <w:rPr>
                <w:rFonts w:cs="Arial"/>
                <w:bCs/>
              </w:rPr>
            </w:pPr>
            <w:r w:rsidRPr="008F63A0">
              <w:rPr>
                <w:rFonts w:cs="Arial"/>
                <w:bCs/>
                <w:noProof/>
              </w:rPr>
              <w:drawing>
                <wp:inline distT="0" distB="0" distL="0" distR="0" wp14:anchorId="340329E4" wp14:editId="0E84B0E6">
                  <wp:extent cx="238125" cy="20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32DCF" w:rsidRPr="008F63A0">
              <w:rPr>
                <w:rFonts w:cs="Arial"/>
                <w:bCs/>
              </w:rPr>
              <w:t xml:space="preserve"> We want to make it quick and easy for people to sign up for this service.  We can walk you through the process now, and it will only take a few minutes of your time.</w:t>
            </w:r>
          </w:p>
        </w:tc>
      </w:tr>
      <w:tr w:rsidR="00040D99" w:rsidRPr="0058134F" w14:paraId="3A3A868F" w14:textId="77777777" w:rsidTr="00120571">
        <w:trPr>
          <w:trHeight w:val="20"/>
        </w:trPr>
        <w:tc>
          <w:tcPr>
            <w:tcW w:w="1988" w:type="pct"/>
          </w:tcPr>
          <w:p w14:paraId="564255EA" w14:textId="77777777" w:rsidR="00040D99" w:rsidRPr="008F63A0" w:rsidRDefault="00040D99" w:rsidP="00F0729C">
            <w:r w:rsidRPr="008F63A0">
              <w:t>I’ve used mail service before and I don’t like it.  I prefer to go to a local pharmacy.</w:t>
            </w:r>
          </w:p>
        </w:tc>
        <w:tc>
          <w:tcPr>
            <w:tcW w:w="3012" w:type="pct"/>
          </w:tcPr>
          <w:p w14:paraId="49E6E70C" w14:textId="75F78428" w:rsidR="00040D99" w:rsidRPr="008F63A0" w:rsidRDefault="007A7F42" w:rsidP="00F0729C">
            <w:pPr>
              <w:spacing w:line="240" w:lineRule="atLeast"/>
              <w:textAlignment w:val="top"/>
              <w:rPr>
                <w:rFonts w:cs="Arial"/>
                <w:bCs/>
              </w:rPr>
            </w:pPr>
            <w:r w:rsidRPr="008F63A0">
              <w:rPr>
                <w:rFonts w:cs="Arial"/>
                <w:bCs/>
                <w:noProof/>
              </w:rPr>
              <w:drawing>
                <wp:inline distT="0" distB="0" distL="0" distR="0" wp14:anchorId="786AF1FB" wp14:editId="7880B4C3">
                  <wp:extent cx="238125"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6640F" w:rsidRPr="008F63A0">
              <w:rPr>
                <w:rFonts w:cs="Arial"/>
                <w:bCs/>
              </w:rPr>
              <w:t xml:space="preserve"> </w:t>
            </w:r>
            <w:r w:rsidR="00040D99" w:rsidRPr="008F63A0">
              <w:rPr>
                <w:rFonts w:cs="Arial"/>
                <w:bCs/>
              </w:rPr>
              <w:t xml:space="preserve">One of the benefits of Maintenance Choice is that in addition to mail service, you also have the option of receiving a </w:t>
            </w:r>
            <w:r w:rsidR="00912CDB" w:rsidRPr="008F63A0">
              <w:rPr>
                <w:rFonts w:cs="Arial"/>
                <w:bCs/>
              </w:rPr>
              <w:t>three</w:t>
            </w:r>
            <w:r w:rsidR="002D3F12" w:rsidRPr="008F63A0">
              <w:rPr>
                <w:rFonts w:cs="Arial"/>
                <w:bCs/>
              </w:rPr>
              <w:t>-</w:t>
            </w:r>
            <w:r w:rsidR="00912CDB" w:rsidRPr="008F63A0">
              <w:rPr>
                <w:rFonts w:cs="Arial"/>
                <w:bCs/>
              </w:rPr>
              <w:t>month</w:t>
            </w:r>
            <w:r w:rsidR="00040D99" w:rsidRPr="008F63A0">
              <w:rPr>
                <w:rFonts w:cs="Arial"/>
                <w:bCs/>
              </w:rPr>
              <w:t xml:space="preserve"> supply at </w:t>
            </w:r>
            <w:r w:rsidR="00AB0C30" w:rsidRPr="008F63A0">
              <w:rPr>
                <w:rFonts w:cs="Arial"/>
                <w:bCs/>
              </w:rPr>
              <w:t>Select Participating Pharmacies</w:t>
            </w:r>
            <w:r w:rsidR="00C21A31" w:rsidRPr="008F63A0">
              <w:rPr>
                <w:rFonts w:cs="Arial"/>
                <w:bCs/>
              </w:rPr>
              <w:t xml:space="preserve"> </w:t>
            </w:r>
            <w:r w:rsidR="00040D99" w:rsidRPr="008F63A0">
              <w:rPr>
                <w:rFonts w:cs="Arial"/>
                <w:bCs/>
              </w:rPr>
              <w:t xml:space="preserve">at the same </w:t>
            </w:r>
            <w:r w:rsidR="00A31964" w:rsidRPr="008F63A0">
              <w:rPr>
                <w:rFonts w:cs="Arial"/>
                <w:bCs/>
              </w:rPr>
              <w:t>Home Delivery</w:t>
            </w:r>
            <w:r w:rsidR="00040D99" w:rsidRPr="008F63A0">
              <w:rPr>
                <w:rFonts w:cs="Arial"/>
                <w:bCs/>
              </w:rPr>
              <w:t xml:space="preserve"> copay.  </w:t>
            </w:r>
            <w:r w:rsidR="00832D44" w:rsidRPr="008F63A0">
              <w:rPr>
                <w:rFonts w:cs="Arial"/>
                <w:bCs/>
              </w:rPr>
              <w:t>Y</w:t>
            </w:r>
            <w:r w:rsidR="00040D99" w:rsidRPr="008F63A0">
              <w:rPr>
                <w:rFonts w:cs="Arial"/>
                <w:bCs/>
              </w:rPr>
              <w:t xml:space="preserve">ou can continue to go to a local </w:t>
            </w:r>
            <w:r w:rsidR="00C21A31" w:rsidRPr="008F63A0">
              <w:rPr>
                <w:rFonts w:cs="Arial"/>
                <w:bCs/>
              </w:rPr>
              <w:t xml:space="preserve">Select Participating Pharmacy </w:t>
            </w:r>
            <w:r w:rsidR="00040D99" w:rsidRPr="008F63A0">
              <w:rPr>
                <w:rFonts w:cs="Arial"/>
                <w:bCs/>
              </w:rPr>
              <w:t xml:space="preserve">while still </w:t>
            </w:r>
            <w:r w:rsidR="007E3635" w:rsidRPr="008F63A0">
              <w:rPr>
                <w:rFonts w:cs="Arial"/>
                <w:bCs/>
              </w:rPr>
              <w:t xml:space="preserve">taking advantage of </w:t>
            </w:r>
            <w:r w:rsidR="00040D99" w:rsidRPr="008F63A0">
              <w:rPr>
                <w:rFonts w:cs="Arial"/>
                <w:bCs/>
              </w:rPr>
              <w:t>the cost benefits of the program.</w:t>
            </w:r>
            <w:r w:rsidR="00CA2A6F" w:rsidRPr="008F63A0">
              <w:rPr>
                <w:rFonts w:cs="Arial"/>
                <w:bCs/>
              </w:rPr>
              <w:t xml:space="preserve"> </w:t>
            </w:r>
            <w:r w:rsidR="005A30F7" w:rsidRPr="008F63A0">
              <w:rPr>
                <w:noProof/>
              </w:rPr>
              <w:t xml:space="preserve"> </w:t>
            </w:r>
          </w:p>
        </w:tc>
      </w:tr>
      <w:tr w:rsidR="00FA22EA" w14:paraId="77766CE0" w14:textId="77777777" w:rsidTr="00120571">
        <w:trPr>
          <w:trHeight w:val="20"/>
        </w:trPr>
        <w:tc>
          <w:tcPr>
            <w:tcW w:w="1988" w:type="pct"/>
            <w:tcBorders>
              <w:top w:val="single" w:sz="4" w:space="0" w:color="auto"/>
              <w:left w:val="single" w:sz="4" w:space="0" w:color="auto"/>
              <w:bottom w:val="single" w:sz="4" w:space="0" w:color="auto"/>
              <w:right w:val="single" w:sz="4" w:space="0" w:color="auto"/>
            </w:tcBorders>
            <w:shd w:val="clear" w:color="auto" w:fill="auto"/>
          </w:tcPr>
          <w:p w14:paraId="7248F590" w14:textId="77777777" w:rsidR="00FA22EA" w:rsidRPr="008F63A0" w:rsidRDefault="00FA22EA" w:rsidP="00F0729C">
            <w:bookmarkStart w:id="17" w:name="_I_don’t_want"/>
            <w:bookmarkEnd w:id="17"/>
            <w:r w:rsidRPr="008F63A0">
              <w:t>What is the relationship between you and my health plan/employer?</w:t>
            </w:r>
          </w:p>
        </w:tc>
        <w:tc>
          <w:tcPr>
            <w:tcW w:w="3012" w:type="pct"/>
            <w:tcBorders>
              <w:top w:val="single" w:sz="4" w:space="0" w:color="auto"/>
              <w:left w:val="single" w:sz="4" w:space="0" w:color="auto"/>
              <w:bottom w:val="single" w:sz="4" w:space="0" w:color="auto"/>
              <w:right w:val="single" w:sz="4" w:space="0" w:color="auto"/>
            </w:tcBorders>
            <w:shd w:val="clear" w:color="auto" w:fill="auto"/>
          </w:tcPr>
          <w:p w14:paraId="74017871" w14:textId="7F161B10" w:rsidR="00FA22EA" w:rsidRPr="008F63A0" w:rsidRDefault="007A7F42" w:rsidP="005A30F7">
            <w:pPr>
              <w:spacing w:line="240" w:lineRule="atLeast"/>
              <w:textAlignment w:val="top"/>
              <w:rPr>
                <w:rFonts w:cs="Arial"/>
                <w:bCs/>
              </w:rPr>
            </w:pPr>
            <w:r w:rsidRPr="008F63A0">
              <w:rPr>
                <w:rFonts w:cs="Arial"/>
                <w:bCs/>
                <w:noProof/>
              </w:rPr>
              <w:drawing>
                <wp:inline distT="0" distB="0" distL="0" distR="0" wp14:anchorId="39D22870" wp14:editId="79B3BAE7">
                  <wp:extent cx="238125" cy="209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24ED5" w:rsidRPr="008F63A0">
              <w:rPr>
                <w:rFonts w:cs="Arial"/>
                <w:bCs/>
              </w:rPr>
              <w:t xml:space="preserve"> </w:t>
            </w:r>
            <w:r w:rsidR="00FA22EA" w:rsidRPr="008F63A0">
              <w:rPr>
                <w:rFonts w:cs="Arial"/>
                <w:bCs/>
              </w:rPr>
              <w:t>Your employer or health insurance provider hired us to administer your prescription benefits.</w:t>
            </w:r>
          </w:p>
        </w:tc>
      </w:tr>
      <w:tr w:rsidR="00FA22EA" w:rsidRPr="008260DD" w14:paraId="478EF180" w14:textId="77777777" w:rsidTr="00120571">
        <w:trPr>
          <w:trHeight w:val="20"/>
        </w:trPr>
        <w:tc>
          <w:tcPr>
            <w:tcW w:w="1988" w:type="pct"/>
            <w:tcBorders>
              <w:top w:val="single" w:sz="4" w:space="0" w:color="auto"/>
              <w:left w:val="single" w:sz="4" w:space="0" w:color="auto"/>
              <w:bottom w:val="single" w:sz="4" w:space="0" w:color="auto"/>
              <w:right w:val="single" w:sz="4" w:space="0" w:color="auto"/>
            </w:tcBorders>
            <w:shd w:val="clear" w:color="auto" w:fill="auto"/>
          </w:tcPr>
          <w:p w14:paraId="4D8E79F8" w14:textId="77777777" w:rsidR="00FA22EA" w:rsidRPr="008F63A0" w:rsidRDefault="00FA22EA" w:rsidP="00F0729C">
            <w:r w:rsidRPr="008F63A0">
              <w:t>Do I have the option to change back from 90-day to 30-day?</w:t>
            </w:r>
          </w:p>
        </w:tc>
        <w:tc>
          <w:tcPr>
            <w:tcW w:w="3012" w:type="pct"/>
            <w:tcBorders>
              <w:top w:val="single" w:sz="4" w:space="0" w:color="auto"/>
              <w:left w:val="single" w:sz="4" w:space="0" w:color="auto"/>
              <w:bottom w:val="single" w:sz="4" w:space="0" w:color="auto"/>
              <w:right w:val="single" w:sz="4" w:space="0" w:color="auto"/>
            </w:tcBorders>
            <w:shd w:val="clear" w:color="auto" w:fill="auto"/>
          </w:tcPr>
          <w:p w14:paraId="6DEA10AF" w14:textId="65276CDF" w:rsidR="00FA22EA" w:rsidRPr="008F63A0" w:rsidRDefault="007A7F42" w:rsidP="00F0729C">
            <w:pPr>
              <w:spacing w:line="240" w:lineRule="atLeast"/>
              <w:textAlignment w:val="top"/>
              <w:rPr>
                <w:rFonts w:cs="Arial"/>
                <w:bCs/>
              </w:rPr>
            </w:pPr>
            <w:r w:rsidRPr="008F63A0">
              <w:rPr>
                <w:rFonts w:cs="Arial"/>
                <w:bCs/>
                <w:noProof/>
              </w:rPr>
              <w:drawing>
                <wp:inline distT="0" distB="0" distL="0" distR="0" wp14:anchorId="40DC0A51" wp14:editId="03D03254">
                  <wp:extent cx="238125" cy="209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24ED5" w:rsidRPr="008F63A0">
              <w:rPr>
                <w:rFonts w:cs="Arial"/>
                <w:bCs/>
              </w:rPr>
              <w:t xml:space="preserve"> </w:t>
            </w:r>
            <w:r w:rsidR="00FA22EA" w:rsidRPr="008F63A0">
              <w:rPr>
                <w:rFonts w:cs="Arial"/>
                <w:bCs/>
              </w:rPr>
              <w:t xml:space="preserve">Yes, you have the option to change back to a monthly prescription. </w:t>
            </w:r>
          </w:p>
        </w:tc>
      </w:tr>
      <w:tr w:rsidR="00FA22EA" w:rsidRPr="008260DD" w14:paraId="7D2617CF" w14:textId="77777777" w:rsidTr="00120571">
        <w:trPr>
          <w:trHeight w:val="20"/>
        </w:trPr>
        <w:tc>
          <w:tcPr>
            <w:tcW w:w="1988" w:type="pct"/>
            <w:tcBorders>
              <w:top w:val="single" w:sz="4" w:space="0" w:color="auto"/>
              <w:left w:val="single" w:sz="4" w:space="0" w:color="auto"/>
              <w:bottom w:val="single" w:sz="4" w:space="0" w:color="auto"/>
              <w:right w:val="single" w:sz="4" w:space="0" w:color="auto"/>
            </w:tcBorders>
            <w:shd w:val="clear" w:color="auto" w:fill="auto"/>
          </w:tcPr>
          <w:p w14:paraId="51D392F1" w14:textId="77777777" w:rsidR="00FA22EA" w:rsidRPr="008F63A0" w:rsidRDefault="00FA22EA" w:rsidP="005A30F7">
            <w:r w:rsidRPr="008F63A0">
              <w:t>What should I do if I cannot pick up my prescription on time at the pharmacy?</w:t>
            </w:r>
          </w:p>
          <w:p w14:paraId="3CB9006B" w14:textId="77777777" w:rsidR="00FA22EA" w:rsidRPr="008F63A0" w:rsidRDefault="00FA22EA" w:rsidP="005A30F7"/>
        </w:tc>
        <w:tc>
          <w:tcPr>
            <w:tcW w:w="3012" w:type="pct"/>
            <w:tcBorders>
              <w:top w:val="single" w:sz="4" w:space="0" w:color="auto"/>
              <w:left w:val="single" w:sz="4" w:space="0" w:color="auto"/>
              <w:bottom w:val="single" w:sz="4" w:space="0" w:color="auto"/>
              <w:right w:val="single" w:sz="4" w:space="0" w:color="auto"/>
            </w:tcBorders>
            <w:shd w:val="clear" w:color="auto" w:fill="auto"/>
          </w:tcPr>
          <w:p w14:paraId="2051CCAF" w14:textId="17DEE6E1" w:rsidR="00FA22EA" w:rsidRPr="008F63A0" w:rsidRDefault="007A7F42" w:rsidP="00F0729C">
            <w:pPr>
              <w:spacing w:line="240" w:lineRule="atLeast"/>
              <w:textAlignment w:val="top"/>
              <w:rPr>
                <w:rFonts w:cs="Arial"/>
                <w:bCs/>
              </w:rPr>
            </w:pPr>
            <w:r w:rsidRPr="008F63A0">
              <w:rPr>
                <w:rFonts w:cs="Arial"/>
                <w:bCs/>
                <w:noProof/>
              </w:rPr>
              <w:drawing>
                <wp:inline distT="0" distB="0" distL="0" distR="0" wp14:anchorId="5484AC27" wp14:editId="09614985">
                  <wp:extent cx="238125" cy="209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24ED5" w:rsidRPr="008F63A0">
              <w:rPr>
                <w:rFonts w:cs="Arial"/>
                <w:bCs/>
              </w:rPr>
              <w:t xml:space="preserve"> </w:t>
            </w:r>
            <w:r w:rsidR="00FA22EA" w:rsidRPr="008F63A0">
              <w:rPr>
                <w:rFonts w:cs="Arial"/>
                <w:bCs/>
              </w:rPr>
              <w:t xml:space="preserve">The Pharmacy will hold your prescription for a certain number of days. After that it will be taken off </w:t>
            </w:r>
            <w:r w:rsidR="007A3BAB" w:rsidRPr="008F63A0">
              <w:rPr>
                <w:rFonts w:cs="Arial"/>
                <w:bCs/>
              </w:rPr>
              <w:t xml:space="preserve">the </w:t>
            </w:r>
            <w:r w:rsidR="00FA22EA" w:rsidRPr="008F63A0">
              <w:rPr>
                <w:rFonts w:cs="Arial"/>
                <w:bCs/>
              </w:rPr>
              <w:t>shelves. Once you come into the pharmacy to pick up your prescription, your pharmacist will refill it for you.</w:t>
            </w:r>
          </w:p>
        </w:tc>
      </w:tr>
    </w:tbl>
    <w:p w14:paraId="396C4FEB" w14:textId="77777777" w:rsidR="00DC795D" w:rsidRDefault="00DC795D"/>
    <w:p w14:paraId="044BD2C7" w14:textId="7ECEFC7D" w:rsidR="00890E3E" w:rsidRDefault="001D703B" w:rsidP="006760B4">
      <w:r>
        <w:t>Refer to</w:t>
      </w:r>
      <w:r w:rsidR="00D10E4E">
        <w:t xml:space="preserve"> </w:t>
      </w:r>
      <w:hyperlink r:id="rId20" w:anchor="!/view?docid=de0bd783-679e-4ecb-8663-59ae37e26e21" w:history="1">
        <w:r w:rsidR="00890E3E" w:rsidRPr="00890E3E">
          <w:rPr>
            <w:rStyle w:val="Hyperlink"/>
          </w:rPr>
          <w:t xml:space="preserve">State of Minnesota </w:t>
        </w:r>
        <w:proofErr w:type="spellStart"/>
        <w:r w:rsidR="00890E3E" w:rsidRPr="00890E3E">
          <w:rPr>
            <w:rStyle w:val="Hyperlink"/>
          </w:rPr>
          <w:t>MChoice</w:t>
        </w:r>
        <w:proofErr w:type="spellEnd"/>
        <w:r w:rsidR="00890E3E" w:rsidRPr="00890E3E">
          <w:rPr>
            <w:rStyle w:val="Hyperlink"/>
          </w:rPr>
          <w:t>/Maintenance Choice Benefit allows Filling at Other Network Pharmacies (059164)</w:t>
        </w:r>
      </w:hyperlink>
      <w:r w:rsidR="00D10E4E">
        <w:t>.</w:t>
      </w:r>
    </w:p>
    <w:p w14:paraId="0ACEA537" w14:textId="77777777" w:rsidR="00887CA1" w:rsidRDefault="00887CA1"/>
    <w:p w14:paraId="7BC1ECDD" w14:textId="33083D47" w:rsidR="00A37B93" w:rsidRPr="0058134F" w:rsidRDefault="00D10E4E" w:rsidP="00A37B93">
      <w:pPr>
        <w:jc w:val="right"/>
      </w:pPr>
      <w:hyperlink w:anchor="_top" w:history="1">
        <w:r w:rsidR="00A37B93" w:rsidRPr="00D10E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608B4" w:rsidRPr="0058134F" w14:paraId="023212E6" w14:textId="77777777" w:rsidTr="008D32CD">
        <w:tc>
          <w:tcPr>
            <w:tcW w:w="5000" w:type="pct"/>
            <w:shd w:val="clear" w:color="auto" w:fill="BFBFBF" w:themeFill="background1" w:themeFillShade="BF"/>
          </w:tcPr>
          <w:p w14:paraId="1A7128AC" w14:textId="4A72F8CF" w:rsidR="00D608B4" w:rsidRPr="0058134F" w:rsidRDefault="00D608B4" w:rsidP="00F0729C">
            <w:pPr>
              <w:pStyle w:val="Heading2"/>
              <w:tabs>
                <w:tab w:val="left" w:pos="11985"/>
              </w:tabs>
              <w:spacing w:before="120" w:after="120"/>
              <w:rPr>
                <w:rFonts w:ascii="Verdana" w:hAnsi="Verdana"/>
                <w:i w:val="0"/>
                <w:iCs w:val="0"/>
              </w:rPr>
            </w:pPr>
            <w:bookmarkStart w:id="18" w:name="_Toc460439558"/>
            <w:bookmarkStart w:id="19" w:name="_Toc188011201"/>
            <w:r>
              <w:rPr>
                <w:rFonts w:ascii="Verdana" w:hAnsi="Verdana"/>
                <w:i w:val="0"/>
                <w:iCs w:val="0"/>
              </w:rPr>
              <w:t>Objections about Prescription Changes</w:t>
            </w:r>
            <w:bookmarkEnd w:id="18"/>
            <w:bookmarkEnd w:id="19"/>
          </w:p>
        </w:tc>
      </w:tr>
    </w:tbl>
    <w:p w14:paraId="560BAECF" w14:textId="77777777" w:rsidR="00D608B4" w:rsidRPr="00DC795D" w:rsidRDefault="00D608B4" w:rsidP="00F0729C">
      <w:r>
        <w:t xml:space="preserve">In the </w:t>
      </w:r>
      <w:r w:rsidR="00CA2A6F" w:rsidRPr="00CA2A6F">
        <w:rPr>
          <w:b/>
        </w:rPr>
        <w:t>E</w:t>
      </w:r>
      <w:r w:rsidRPr="00CA2A6F">
        <w:rPr>
          <w:b/>
        </w:rPr>
        <w:t>xamples</w:t>
      </w:r>
      <w:r>
        <w:t xml:space="preserve"> below, the member is expressing concerns about potential changes that may impact their prescriptions and prevent them from participating in </w:t>
      </w:r>
      <w:r w:rsidR="00432DCF">
        <w:t>Maintenance Choice Voluntary</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9"/>
        <w:gridCol w:w="7801"/>
      </w:tblGrid>
      <w:tr w:rsidR="00DC795D" w:rsidRPr="0058134F" w14:paraId="31227C3A" w14:textId="77777777" w:rsidTr="00120571">
        <w:tc>
          <w:tcPr>
            <w:tcW w:w="1988" w:type="pct"/>
            <w:shd w:val="clear" w:color="auto" w:fill="D9D9D9" w:themeFill="background1" w:themeFillShade="D9"/>
          </w:tcPr>
          <w:p w14:paraId="193E3051" w14:textId="77777777" w:rsidR="00DC795D" w:rsidRPr="008D32CD" w:rsidRDefault="00DC795D" w:rsidP="00F0729C">
            <w:pPr>
              <w:spacing w:line="240" w:lineRule="atLeast"/>
              <w:jc w:val="center"/>
              <w:textAlignment w:val="top"/>
              <w:rPr>
                <w:rFonts w:cs="Arial"/>
                <w:b/>
                <w:bCs/>
              </w:rPr>
            </w:pPr>
            <w:r w:rsidRPr="008D32CD">
              <w:rPr>
                <w:rFonts w:cs="Arial"/>
                <w:b/>
                <w:bCs/>
              </w:rPr>
              <w:t>Objection</w:t>
            </w:r>
          </w:p>
        </w:tc>
        <w:tc>
          <w:tcPr>
            <w:tcW w:w="3012" w:type="pct"/>
            <w:shd w:val="clear" w:color="auto" w:fill="D9D9D9" w:themeFill="background1" w:themeFillShade="D9"/>
          </w:tcPr>
          <w:p w14:paraId="01D05A3D" w14:textId="77777777" w:rsidR="00DC795D" w:rsidRPr="008D32CD" w:rsidRDefault="00DC795D" w:rsidP="00F0729C">
            <w:pPr>
              <w:spacing w:line="240" w:lineRule="atLeast"/>
              <w:jc w:val="center"/>
              <w:textAlignment w:val="top"/>
              <w:rPr>
                <w:rFonts w:cs="Arial"/>
                <w:b/>
                <w:bCs/>
              </w:rPr>
            </w:pPr>
            <w:r w:rsidRPr="008D32CD">
              <w:rPr>
                <w:rFonts w:cs="Arial"/>
                <w:b/>
                <w:bCs/>
              </w:rPr>
              <w:t>Response</w:t>
            </w:r>
          </w:p>
        </w:tc>
      </w:tr>
      <w:tr w:rsidR="00DC795D" w:rsidRPr="0058134F" w14:paraId="5115D3CC" w14:textId="77777777" w:rsidTr="00120571">
        <w:tc>
          <w:tcPr>
            <w:tcW w:w="1988" w:type="pct"/>
          </w:tcPr>
          <w:p w14:paraId="13047B0B" w14:textId="77777777" w:rsidR="00DC795D" w:rsidRPr="008F63A0" w:rsidRDefault="00432DCF" w:rsidP="009A1326">
            <w:r w:rsidRPr="008F63A0">
              <w:t>My doctor may change my medication.</w:t>
            </w:r>
          </w:p>
        </w:tc>
        <w:tc>
          <w:tcPr>
            <w:tcW w:w="3012" w:type="pct"/>
          </w:tcPr>
          <w:p w14:paraId="2DF1016E" w14:textId="2D4B93F8" w:rsidR="00DC795D" w:rsidRPr="008F63A0" w:rsidRDefault="007A7F42" w:rsidP="005A30F7">
            <w:pPr>
              <w:spacing w:line="240" w:lineRule="atLeast"/>
              <w:textAlignment w:val="top"/>
              <w:rPr>
                <w:rFonts w:cs="Arial"/>
                <w:bCs/>
              </w:rPr>
            </w:pPr>
            <w:r w:rsidRPr="008F63A0">
              <w:rPr>
                <w:rFonts w:cs="Arial"/>
                <w:bCs/>
                <w:noProof/>
              </w:rPr>
              <w:drawing>
                <wp:inline distT="0" distB="0" distL="0" distR="0" wp14:anchorId="00CD2F23" wp14:editId="004D3735">
                  <wp:extent cx="238125" cy="20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32DCF" w:rsidRPr="008F63A0">
              <w:rPr>
                <w:rFonts w:cs="Arial"/>
                <w:bCs/>
              </w:rPr>
              <w:t xml:space="preserve"> You can remove the previous prescription and replace it with the new one</w:t>
            </w:r>
            <w:r w:rsidR="00F0729C" w:rsidRPr="008F63A0">
              <w:rPr>
                <w:rFonts w:cs="Arial"/>
                <w:bCs/>
              </w:rPr>
              <w:t>.</w:t>
            </w:r>
          </w:p>
          <w:p w14:paraId="11D0A7CA" w14:textId="77777777" w:rsidR="00A04270" w:rsidRPr="008F63A0" w:rsidRDefault="00A04270" w:rsidP="005A30F7">
            <w:pPr>
              <w:spacing w:line="240" w:lineRule="atLeast"/>
              <w:textAlignment w:val="top"/>
              <w:rPr>
                <w:rFonts w:cs="Arial"/>
                <w:bCs/>
              </w:rPr>
            </w:pPr>
          </w:p>
          <w:p w14:paraId="0CC1A729" w14:textId="7709388C" w:rsidR="00A31964" w:rsidRPr="008F63A0" w:rsidRDefault="00A04270" w:rsidP="00A31964">
            <w:pPr>
              <w:spacing w:line="240" w:lineRule="atLeast"/>
              <w:textAlignment w:val="top"/>
              <w:rPr>
                <w:rFonts w:cs="Arial"/>
                <w:bCs/>
              </w:rPr>
            </w:pPr>
            <w:r w:rsidRPr="008F63A0">
              <w:rPr>
                <w:rFonts w:cs="Arial"/>
                <w:b/>
                <w:bCs/>
              </w:rPr>
              <w:t>Example:</w:t>
            </w:r>
            <w:r w:rsidRPr="008F63A0">
              <w:rPr>
                <w:rFonts w:cs="Arial"/>
                <w:bCs/>
              </w:rPr>
              <w:t xml:space="preserve">  One of the benefits of Maintenance Choice is that you can fill your maintenance prescriptions for a </w:t>
            </w:r>
            <w:r w:rsidR="00912CDB" w:rsidRPr="008F63A0">
              <w:rPr>
                <w:rFonts w:cs="Arial"/>
                <w:bCs/>
              </w:rPr>
              <w:t>three</w:t>
            </w:r>
            <w:r w:rsidR="002D3F12" w:rsidRPr="008F63A0">
              <w:rPr>
                <w:rFonts w:cs="Arial"/>
                <w:bCs/>
              </w:rPr>
              <w:t>-</w:t>
            </w:r>
            <w:r w:rsidR="00912CDB" w:rsidRPr="008F63A0">
              <w:rPr>
                <w:rFonts w:cs="Arial"/>
                <w:bCs/>
              </w:rPr>
              <w:t>month</w:t>
            </w:r>
            <w:r w:rsidRPr="008F63A0">
              <w:rPr>
                <w:rFonts w:cs="Arial"/>
                <w:bCs/>
              </w:rPr>
              <w:t xml:space="preserve"> supply at </w:t>
            </w:r>
            <w:r w:rsidR="00A31964" w:rsidRPr="008F63A0">
              <w:rPr>
                <w:rFonts w:cs="Arial"/>
                <w:bCs/>
              </w:rPr>
              <w:t xml:space="preserve">Home Delivery </w:t>
            </w:r>
            <w:r w:rsidRPr="008F63A0">
              <w:rPr>
                <w:rFonts w:cs="Arial"/>
                <w:bCs/>
              </w:rPr>
              <w:t xml:space="preserve">or </w:t>
            </w:r>
            <w:r w:rsidR="007A3BAB" w:rsidRPr="008F63A0">
              <w:rPr>
                <w:rFonts w:cs="Arial"/>
                <w:bCs/>
              </w:rPr>
              <w:t>Select Participating Pharmacies</w:t>
            </w:r>
            <w:r w:rsidRPr="008F63A0">
              <w:rPr>
                <w:rFonts w:cs="Arial"/>
                <w:bCs/>
              </w:rPr>
              <w:t xml:space="preserve">, for the same mail service copay.  </w:t>
            </w:r>
          </w:p>
          <w:p w14:paraId="7C367AE6" w14:textId="4243F49A" w:rsidR="00A04270" w:rsidRPr="008F63A0" w:rsidRDefault="00A04270" w:rsidP="00A31964">
            <w:pPr>
              <w:spacing w:line="240" w:lineRule="atLeast"/>
              <w:textAlignment w:val="top"/>
              <w:rPr>
                <w:rFonts w:cs="Arial"/>
                <w:bCs/>
              </w:rPr>
            </w:pPr>
            <w:r w:rsidRPr="008F63A0">
              <w:rPr>
                <w:rFonts w:cs="Arial"/>
                <w:bCs/>
              </w:rPr>
              <w:t xml:space="preserve">If your doctor changes your medication and you need your new prescription right away, you can fill it at any </w:t>
            </w:r>
            <w:r w:rsidR="00062644" w:rsidRPr="008F63A0">
              <w:rPr>
                <w:rFonts w:cs="Arial"/>
                <w:bCs/>
              </w:rPr>
              <w:t>Select Participating Pharmacies</w:t>
            </w:r>
            <w:r w:rsidR="00062644" w:rsidRPr="008F63A0">
              <w:rPr>
                <w:noProof/>
              </w:rPr>
              <w:t>.</w:t>
            </w:r>
          </w:p>
        </w:tc>
      </w:tr>
      <w:tr w:rsidR="00DC795D" w:rsidRPr="0058134F" w14:paraId="7C582172" w14:textId="77777777" w:rsidTr="00120571">
        <w:tc>
          <w:tcPr>
            <w:tcW w:w="1988" w:type="pct"/>
          </w:tcPr>
          <w:p w14:paraId="4D6B17E5" w14:textId="77777777" w:rsidR="00DC795D" w:rsidRPr="008F63A0" w:rsidRDefault="00432DCF" w:rsidP="009A1326">
            <w:r w:rsidRPr="008F63A0">
              <w:t>My doctor may tell me there is a chance I can stop taking my medication.</w:t>
            </w:r>
          </w:p>
        </w:tc>
        <w:tc>
          <w:tcPr>
            <w:tcW w:w="3012" w:type="pct"/>
          </w:tcPr>
          <w:p w14:paraId="20807D6A" w14:textId="38C68022" w:rsidR="00DC795D" w:rsidRPr="008F63A0" w:rsidRDefault="007A7F42" w:rsidP="005A30F7">
            <w:pPr>
              <w:spacing w:line="240" w:lineRule="atLeast"/>
              <w:textAlignment w:val="top"/>
              <w:rPr>
                <w:rFonts w:cs="Arial"/>
                <w:bCs/>
              </w:rPr>
            </w:pPr>
            <w:r w:rsidRPr="008F63A0">
              <w:rPr>
                <w:rFonts w:cs="Arial"/>
                <w:bCs/>
                <w:noProof/>
              </w:rPr>
              <w:drawing>
                <wp:inline distT="0" distB="0" distL="0" distR="0" wp14:anchorId="5A95F275" wp14:editId="29478BAF">
                  <wp:extent cx="238125" cy="20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C37E6" w:rsidRPr="008F63A0">
              <w:rPr>
                <w:rFonts w:cs="Arial"/>
                <w:bCs/>
              </w:rPr>
              <w:t xml:space="preserve"> </w:t>
            </w:r>
            <w:r w:rsidR="00432DCF" w:rsidRPr="008F63A0">
              <w:rPr>
                <w:rFonts w:cs="Arial"/>
                <w:bCs/>
              </w:rPr>
              <w:t xml:space="preserve">You should speak with your doctor on a regular basis to find out if this is the appropriate medicine for you. You can discontinue getting the prescription in the mail at any time and refill your short-term prescriptions at the retail pharmacy.  </w:t>
            </w:r>
          </w:p>
        </w:tc>
      </w:tr>
      <w:tr w:rsidR="00432DCF" w:rsidRPr="0058134F" w14:paraId="69F3F389" w14:textId="77777777" w:rsidTr="00120571">
        <w:tc>
          <w:tcPr>
            <w:tcW w:w="1988" w:type="pct"/>
          </w:tcPr>
          <w:p w14:paraId="5C081FBA" w14:textId="17CD0F87" w:rsidR="00432DCF" w:rsidRPr="008F63A0" w:rsidRDefault="00A04270" w:rsidP="009A1326">
            <w:r w:rsidRPr="008F63A0">
              <w:t>My d</w:t>
            </w:r>
            <w:r w:rsidR="00432DCF" w:rsidRPr="008F63A0">
              <w:t xml:space="preserve">octor is changing </w:t>
            </w:r>
            <w:r w:rsidRPr="008F63A0">
              <w:t xml:space="preserve">my </w:t>
            </w:r>
            <w:r w:rsidR="00432DCF" w:rsidRPr="008F63A0">
              <w:t>prescription strength</w:t>
            </w:r>
            <w:r w:rsidRPr="008F63A0">
              <w:t>/dosage</w:t>
            </w:r>
            <w:r w:rsidR="005040CF">
              <w:t>.</w:t>
            </w:r>
          </w:p>
        </w:tc>
        <w:tc>
          <w:tcPr>
            <w:tcW w:w="3012" w:type="pct"/>
          </w:tcPr>
          <w:p w14:paraId="3EB61297" w14:textId="0E891B33" w:rsidR="00432DCF" w:rsidRPr="008F63A0" w:rsidRDefault="007A7F42" w:rsidP="00A31964">
            <w:pPr>
              <w:spacing w:line="240" w:lineRule="atLeast"/>
              <w:textAlignment w:val="top"/>
              <w:rPr>
                <w:rFonts w:cs="Arial"/>
                <w:bCs/>
              </w:rPr>
            </w:pPr>
            <w:r w:rsidRPr="008F63A0">
              <w:rPr>
                <w:rFonts w:cs="Arial"/>
                <w:bCs/>
                <w:noProof/>
              </w:rPr>
              <w:drawing>
                <wp:inline distT="0" distB="0" distL="0" distR="0" wp14:anchorId="45835ACE" wp14:editId="7FEDBB1F">
                  <wp:extent cx="238125"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32DCF" w:rsidRPr="008F63A0">
              <w:rPr>
                <w:rFonts w:cs="Arial"/>
                <w:bCs/>
              </w:rPr>
              <w:t xml:space="preserve"> </w:t>
            </w:r>
            <w:r w:rsidR="00F0729C" w:rsidRPr="008F63A0">
              <w:rPr>
                <w:rFonts w:cs="Arial"/>
                <w:bCs/>
              </w:rPr>
              <w:t>Y</w:t>
            </w:r>
            <w:r w:rsidR="00432DCF" w:rsidRPr="008F63A0">
              <w:rPr>
                <w:rFonts w:cs="Arial"/>
                <w:bCs/>
              </w:rPr>
              <w:t xml:space="preserve">ou </w:t>
            </w:r>
            <w:r w:rsidR="00F0729C" w:rsidRPr="008F63A0">
              <w:rPr>
                <w:rFonts w:cs="Arial"/>
                <w:bCs/>
              </w:rPr>
              <w:t xml:space="preserve">would </w:t>
            </w:r>
            <w:r w:rsidR="00432DCF" w:rsidRPr="008F63A0">
              <w:rPr>
                <w:rFonts w:cs="Arial"/>
                <w:bCs/>
              </w:rPr>
              <w:t xml:space="preserve">probably want to wait </w:t>
            </w:r>
            <w:r w:rsidR="008A364E" w:rsidRPr="008F63A0">
              <w:rPr>
                <w:rFonts w:cs="Arial"/>
                <w:bCs/>
              </w:rPr>
              <w:t xml:space="preserve">until your doctor changes your prescription.  Once you have your new prescription, you can receive it either through </w:t>
            </w:r>
            <w:r w:rsidR="00A31964" w:rsidRPr="008F63A0">
              <w:rPr>
                <w:rFonts w:cs="Arial"/>
                <w:bCs/>
              </w:rPr>
              <w:t xml:space="preserve">Home Delivery pharmacy </w:t>
            </w:r>
            <w:r w:rsidR="008A364E" w:rsidRPr="008F63A0">
              <w:rPr>
                <w:rFonts w:cs="Arial"/>
                <w:bCs/>
              </w:rPr>
              <w:t xml:space="preserve">or take it to </w:t>
            </w:r>
            <w:r w:rsidR="00E859F4" w:rsidRPr="008F63A0">
              <w:rPr>
                <w:rFonts w:cs="Arial"/>
                <w:bCs/>
              </w:rPr>
              <w:t xml:space="preserve">a Select Participating Pharmacies </w:t>
            </w:r>
            <w:r w:rsidR="008A364E" w:rsidRPr="008F63A0">
              <w:rPr>
                <w:rFonts w:cs="Arial"/>
                <w:bCs/>
              </w:rPr>
              <w:t xml:space="preserve">to fill for a </w:t>
            </w:r>
            <w:r w:rsidR="00912CDB" w:rsidRPr="008F63A0">
              <w:rPr>
                <w:rFonts w:cs="Arial"/>
                <w:bCs/>
              </w:rPr>
              <w:t>three</w:t>
            </w:r>
            <w:r w:rsidR="00AE652F" w:rsidRPr="008F63A0">
              <w:rPr>
                <w:rFonts w:cs="Arial"/>
                <w:bCs/>
              </w:rPr>
              <w:t>-</w:t>
            </w:r>
            <w:r w:rsidR="00912CDB" w:rsidRPr="008F63A0">
              <w:rPr>
                <w:rFonts w:cs="Arial"/>
                <w:bCs/>
              </w:rPr>
              <w:t>month</w:t>
            </w:r>
            <w:r w:rsidR="008A364E" w:rsidRPr="008F63A0">
              <w:rPr>
                <w:rFonts w:cs="Arial"/>
                <w:bCs/>
              </w:rPr>
              <w:t xml:space="preserve"> supply at the mail service copay.</w:t>
            </w:r>
            <w:r w:rsidR="00432DCF" w:rsidRPr="008F63A0">
              <w:rPr>
                <w:rFonts w:cs="Arial"/>
                <w:bCs/>
              </w:rPr>
              <w:t xml:space="preserve"> If you </w:t>
            </w:r>
            <w:r w:rsidR="008A364E" w:rsidRPr="008F63A0">
              <w:rPr>
                <w:rFonts w:cs="Arial"/>
                <w:bCs/>
              </w:rPr>
              <w:t xml:space="preserve">have other prescriptions that are not changing, I can walk you through how to fill those at </w:t>
            </w:r>
            <w:r w:rsidR="00A31964" w:rsidRPr="008F63A0">
              <w:rPr>
                <w:rFonts w:cs="Arial"/>
                <w:bCs/>
              </w:rPr>
              <w:t>Home Delivery pharmacy s</w:t>
            </w:r>
            <w:r w:rsidR="008A364E" w:rsidRPr="008F63A0">
              <w:rPr>
                <w:rFonts w:cs="Arial"/>
                <w:bCs/>
              </w:rPr>
              <w:t xml:space="preserve">ervice or a </w:t>
            </w:r>
            <w:r w:rsidR="00E859F4" w:rsidRPr="008F63A0">
              <w:rPr>
                <w:rFonts w:cs="Arial"/>
                <w:bCs/>
              </w:rPr>
              <w:t>Select Participating Pharmacies</w:t>
            </w:r>
            <w:r w:rsidR="008A364E" w:rsidRPr="008F63A0">
              <w:rPr>
                <w:rFonts w:cs="Arial"/>
                <w:bCs/>
              </w:rPr>
              <w:t xml:space="preserve"> for the </w:t>
            </w:r>
            <w:r w:rsidR="00912CDB" w:rsidRPr="008F63A0">
              <w:rPr>
                <w:rFonts w:cs="Arial"/>
                <w:bCs/>
              </w:rPr>
              <w:t>three</w:t>
            </w:r>
            <w:r w:rsidR="00AE652F" w:rsidRPr="008F63A0">
              <w:rPr>
                <w:rFonts w:cs="Arial"/>
                <w:bCs/>
              </w:rPr>
              <w:t>-</w:t>
            </w:r>
            <w:r w:rsidR="00912CDB" w:rsidRPr="008F63A0">
              <w:rPr>
                <w:rFonts w:cs="Arial"/>
                <w:bCs/>
              </w:rPr>
              <w:t>month</w:t>
            </w:r>
            <w:r w:rsidR="008A364E" w:rsidRPr="008F63A0">
              <w:rPr>
                <w:rFonts w:cs="Arial"/>
                <w:bCs/>
              </w:rPr>
              <w:t xml:space="preserve"> supply at the mail service copay. </w:t>
            </w:r>
            <w:r w:rsidR="005A30F7" w:rsidRPr="008F63A0">
              <w:rPr>
                <w:noProof/>
              </w:rPr>
              <w:t xml:space="preserve"> </w:t>
            </w:r>
          </w:p>
        </w:tc>
      </w:tr>
    </w:tbl>
    <w:p w14:paraId="4ED2AFF3" w14:textId="77777777" w:rsidR="00DC795D" w:rsidRDefault="00DC795D" w:rsidP="00DC795D"/>
    <w:p w14:paraId="7F84CB03" w14:textId="3764712A" w:rsidR="00AE17A6" w:rsidRPr="0058134F" w:rsidRDefault="00D10E4E" w:rsidP="00AE17A6">
      <w:pPr>
        <w:jc w:val="right"/>
      </w:pPr>
      <w:hyperlink w:anchor="_top" w:history="1">
        <w:r w:rsidR="00A37B93" w:rsidRPr="00D10E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608B4" w:rsidRPr="0058134F" w14:paraId="7FCF1A84" w14:textId="77777777" w:rsidTr="00EF287D">
        <w:tc>
          <w:tcPr>
            <w:tcW w:w="5000" w:type="pct"/>
            <w:shd w:val="clear" w:color="auto" w:fill="BFBFBF" w:themeFill="background1" w:themeFillShade="BF"/>
          </w:tcPr>
          <w:p w14:paraId="4F0EA4A5" w14:textId="77777777" w:rsidR="00D608B4" w:rsidRPr="0058134F" w:rsidRDefault="00D608B4" w:rsidP="00F0729C">
            <w:pPr>
              <w:pStyle w:val="Heading2"/>
              <w:tabs>
                <w:tab w:val="left" w:pos="11985"/>
              </w:tabs>
              <w:spacing w:before="120" w:after="120"/>
              <w:rPr>
                <w:rFonts w:ascii="Verdana" w:hAnsi="Verdana"/>
                <w:i w:val="0"/>
                <w:iCs w:val="0"/>
              </w:rPr>
            </w:pPr>
            <w:bookmarkStart w:id="20" w:name="_Toc460439559"/>
            <w:bookmarkStart w:id="21" w:name="_Toc188011202"/>
            <w:r>
              <w:rPr>
                <w:rFonts w:ascii="Verdana" w:hAnsi="Verdana"/>
                <w:i w:val="0"/>
                <w:iCs w:val="0"/>
              </w:rPr>
              <w:t>Objections about Cost</w:t>
            </w:r>
            <w:bookmarkEnd w:id="20"/>
            <w:bookmarkEnd w:id="21"/>
            <w:r w:rsidR="00A31964">
              <w:rPr>
                <w:rFonts w:ascii="Verdana" w:hAnsi="Verdana"/>
                <w:i w:val="0"/>
                <w:iCs w:val="0"/>
              </w:rPr>
              <w:t xml:space="preserve"> </w:t>
            </w:r>
            <w:r w:rsidR="00832D44">
              <w:rPr>
                <w:rFonts w:ascii="Verdana" w:hAnsi="Verdana"/>
                <w:b w:val="0"/>
                <w:i w:val="0"/>
                <w:iCs w:val="0"/>
              </w:rPr>
              <w:t xml:space="preserve"> </w:t>
            </w:r>
          </w:p>
        </w:tc>
      </w:tr>
    </w:tbl>
    <w:p w14:paraId="47392C38" w14:textId="77777777" w:rsidR="00DC795D" w:rsidRPr="00DC795D" w:rsidRDefault="00D608B4" w:rsidP="00F0729C">
      <w:r>
        <w:t xml:space="preserve">In the </w:t>
      </w:r>
      <w:r w:rsidR="00CA2A6F" w:rsidRPr="00CA2A6F">
        <w:rPr>
          <w:b/>
        </w:rPr>
        <w:t>E</w:t>
      </w:r>
      <w:r w:rsidRPr="00CA2A6F">
        <w:rPr>
          <w:b/>
        </w:rPr>
        <w:t>xamples</w:t>
      </w:r>
      <w:r>
        <w:t xml:space="preserve"> below, the member is expressing concerns about the cost of moving their prescriptions from </w:t>
      </w:r>
      <w:r w:rsidR="00432DCF">
        <w:t>Maintenance Choice Voluntary</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9"/>
        <w:gridCol w:w="7801"/>
      </w:tblGrid>
      <w:tr w:rsidR="00DC795D" w:rsidRPr="0058134F" w14:paraId="4786C28F" w14:textId="77777777" w:rsidTr="00EF287D">
        <w:tc>
          <w:tcPr>
            <w:tcW w:w="1988" w:type="pct"/>
            <w:shd w:val="clear" w:color="auto" w:fill="D9D9D9" w:themeFill="background1" w:themeFillShade="D9"/>
          </w:tcPr>
          <w:p w14:paraId="77623A54" w14:textId="77777777" w:rsidR="00DC795D" w:rsidRPr="008F63A0" w:rsidRDefault="00DC795D" w:rsidP="00F0729C">
            <w:pPr>
              <w:spacing w:line="240" w:lineRule="atLeast"/>
              <w:jc w:val="center"/>
              <w:textAlignment w:val="top"/>
              <w:rPr>
                <w:rFonts w:cs="Arial"/>
                <w:b/>
                <w:bCs/>
              </w:rPr>
            </w:pPr>
            <w:r w:rsidRPr="008F63A0">
              <w:rPr>
                <w:rFonts w:cs="Arial"/>
                <w:b/>
                <w:bCs/>
              </w:rPr>
              <w:t>Objection</w:t>
            </w:r>
          </w:p>
        </w:tc>
        <w:tc>
          <w:tcPr>
            <w:tcW w:w="3012" w:type="pct"/>
            <w:shd w:val="clear" w:color="auto" w:fill="D9D9D9" w:themeFill="background1" w:themeFillShade="D9"/>
          </w:tcPr>
          <w:p w14:paraId="0E64AE7E" w14:textId="77777777" w:rsidR="00DC795D" w:rsidRPr="008F63A0" w:rsidRDefault="00DC795D" w:rsidP="00F0729C">
            <w:pPr>
              <w:spacing w:line="240" w:lineRule="atLeast"/>
              <w:jc w:val="center"/>
              <w:textAlignment w:val="top"/>
              <w:rPr>
                <w:rFonts w:cs="Arial"/>
                <w:b/>
                <w:bCs/>
              </w:rPr>
            </w:pPr>
            <w:r w:rsidRPr="008F63A0">
              <w:rPr>
                <w:rFonts w:cs="Arial"/>
                <w:b/>
                <w:bCs/>
              </w:rPr>
              <w:t>Response</w:t>
            </w:r>
          </w:p>
        </w:tc>
      </w:tr>
      <w:tr w:rsidR="00DC795D" w:rsidRPr="0058134F" w14:paraId="4FC4EBC7" w14:textId="77777777" w:rsidTr="00F0729C">
        <w:trPr>
          <w:trHeight w:val="3950"/>
        </w:trPr>
        <w:tc>
          <w:tcPr>
            <w:tcW w:w="1988" w:type="pct"/>
          </w:tcPr>
          <w:p w14:paraId="17E2B6ED" w14:textId="649AB188" w:rsidR="00DC795D" w:rsidRPr="00DC795D" w:rsidRDefault="00432DCF" w:rsidP="009A1326">
            <w:r w:rsidRPr="00432DCF">
              <w:t xml:space="preserve">I don’t like paying for a </w:t>
            </w:r>
            <w:r w:rsidR="00912CDB">
              <w:t>three</w:t>
            </w:r>
            <w:r w:rsidR="00AE652F">
              <w:t>-</w:t>
            </w:r>
            <w:r w:rsidR="00912CDB">
              <w:t>month</w:t>
            </w:r>
            <w:r w:rsidRPr="00432DCF">
              <w:t xml:space="preserve"> supply four times a year versus paying each month for a </w:t>
            </w:r>
            <w:r w:rsidR="00912CDB">
              <w:t>one</w:t>
            </w:r>
            <w:r w:rsidR="009A1326">
              <w:t>-</w:t>
            </w:r>
            <w:r w:rsidR="00912CDB">
              <w:t>month</w:t>
            </w:r>
            <w:r w:rsidRPr="00432DCF">
              <w:t xml:space="preserve"> supply.</w:t>
            </w:r>
          </w:p>
        </w:tc>
        <w:tc>
          <w:tcPr>
            <w:tcW w:w="3012" w:type="pct"/>
          </w:tcPr>
          <w:p w14:paraId="6F9066CE" w14:textId="4471B8E3" w:rsidR="00E95565" w:rsidRPr="008F63A0" w:rsidRDefault="007A7F42" w:rsidP="00F0729C">
            <w:pPr>
              <w:spacing w:line="240" w:lineRule="atLeast"/>
              <w:textAlignment w:val="top"/>
              <w:rPr>
                <w:rFonts w:cs="Arial"/>
                <w:bCs/>
              </w:rPr>
            </w:pPr>
            <w:r>
              <w:rPr>
                <w:rFonts w:cs="Arial"/>
                <w:bCs/>
                <w:noProof/>
                <w:color w:val="333333"/>
              </w:rPr>
              <w:drawing>
                <wp:inline distT="0" distB="0" distL="0" distR="0" wp14:anchorId="5B3F7025" wp14:editId="187E683D">
                  <wp:extent cx="238125" cy="209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0729C">
              <w:rPr>
                <w:rFonts w:cs="Arial"/>
                <w:bCs/>
                <w:color w:val="333333"/>
              </w:rPr>
              <w:t xml:space="preserve"> </w:t>
            </w:r>
            <w:r w:rsidR="00E95565" w:rsidRPr="008F63A0">
              <w:rPr>
                <w:rFonts w:cs="Arial"/>
                <w:bCs/>
              </w:rPr>
              <w:t xml:space="preserve">When you fill your long-term medicines every month at your current retail pharmacy, you may be paying more than you need! </w:t>
            </w:r>
          </w:p>
          <w:p w14:paraId="11C4DC55" w14:textId="77777777" w:rsidR="00E95565" w:rsidRPr="008F63A0" w:rsidRDefault="00E95565" w:rsidP="00F0729C">
            <w:pPr>
              <w:spacing w:line="240" w:lineRule="atLeast"/>
              <w:ind w:left="720"/>
              <w:textAlignment w:val="top"/>
              <w:rPr>
                <w:rFonts w:cs="Arial"/>
                <w:bCs/>
              </w:rPr>
            </w:pPr>
          </w:p>
          <w:p w14:paraId="48456725" w14:textId="65C69DFF" w:rsidR="00E95565" w:rsidRPr="008F63A0" w:rsidRDefault="007A7F42" w:rsidP="00F0729C">
            <w:pPr>
              <w:spacing w:line="240" w:lineRule="atLeast"/>
              <w:textAlignment w:val="top"/>
              <w:rPr>
                <w:rFonts w:cs="Arial"/>
                <w:bCs/>
              </w:rPr>
            </w:pPr>
            <w:r w:rsidRPr="008F63A0">
              <w:rPr>
                <w:rFonts w:cs="Arial"/>
                <w:bCs/>
                <w:noProof/>
              </w:rPr>
              <w:drawing>
                <wp:inline distT="0" distB="0" distL="0" distR="0" wp14:anchorId="2BBE1715" wp14:editId="0F8E6BB4">
                  <wp:extent cx="238125" cy="209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0729C" w:rsidRPr="008F63A0">
              <w:rPr>
                <w:rFonts w:cs="Arial"/>
                <w:bCs/>
              </w:rPr>
              <w:t xml:space="preserve"> </w:t>
            </w:r>
            <w:r w:rsidR="00E95565" w:rsidRPr="008F63A0">
              <w:rPr>
                <w:rFonts w:cs="Arial"/>
                <w:bCs/>
              </w:rPr>
              <w:t xml:space="preserve">You can save gas when you avoid monthly trips to the pharmacy. I can perform a price estimate to show you how much you’ll save then you can decide which choice would work out better for you? </w:t>
            </w:r>
          </w:p>
          <w:p w14:paraId="2992CE1C" w14:textId="77777777" w:rsidR="00E95565" w:rsidRPr="008F63A0" w:rsidRDefault="00E95565" w:rsidP="00F0729C">
            <w:pPr>
              <w:pStyle w:val="ListParagraph"/>
              <w:rPr>
                <w:rFonts w:cs="Arial"/>
                <w:bCs/>
              </w:rPr>
            </w:pPr>
          </w:p>
          <w:p w14:paraId="7FF9CF93" w14:textId="664143BF" w:rsidR="00DC795D" w:rsidRPr="008F63A0" w:rsidRDefault="007A7F42" w:rsidP="00F0729C">
            <w:pPr>
              <w:spacing w:line="240" w:lineRule="atLeast"/>
              <w:textAlignment w:val="top"/>
              <w:rPr>
                <w:rFonts w:cs="Arial"/>
                <w:bCs/>
              </w:rPr>
            </w:pPr>
            <w:r w:rsidRPr="008F63A0">
              <w:rPr>
                <w:rFonts w:cs="Arial"/>
                <w:bCs/>
                <w:noProof/>
              </w:rPr>
              <w:drawing>
                <wp:inline distT="0" distB="0" distL="0" distR="0" wp14:anchorId="368839BA" wp14:editId="6A309E99">
                  <wp:extent cx="238125" cy="209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0729C" w:rsidRPr="008F63A0">
              <w:rPr>
                <w:rFonts w:cs="Arial"/>
                <w:bCs/>
              </w:rPr>
              <w:t xml:space="preserve"> </w:t>
            </w:r>
            <w:r w:rsidR="00E95565" w:rsidRPr="008F63A0">
              <w:rPr>
                <w:rFonts w:cs="Arial"/>
                <w:bCs/>
              </w:rPr>
              <w:t>We also accept all major credit cards and electronic checks</w:t>
            </w:r>
            <w:r w:rsidR="005E27C7" w:rsidRPr="008F63A0">
              <w:rPr>
                <w:rFonts w:cs="Arial"/>
                <w:bCs/>
              </w:rPr>
              <w:t>.</w:t>
            </w:r>
            <w:r w:rsidR="00FA22EA" w:rsidRPr="008F63A0">
              <w:rPr>
                <w:rFonts w:cs="Arial"/>
                <w:bCs/>
              </w:rPr>
              <w:t xml:space="preserve"> </w:t>
            </w:r>
          </w:p>
          <w:p w14:paraId="2D9D3E94" w14:textId="77777777" w:rsidR="005C443D" w:rsidRDefault="005C443D" w:rsidP="00F0729C">
            <w:pPr>
              <w:spacing w:line="240" w:lineRule="atLeast"/>
              <w:ind w:left="360"/>
              <w:textAlignment w:val="top"/>
              <w:rPr>
                <w:rFonts w:cs="Arial"/>
                <w:bCs/>
                <w:color w:val="333333"/>
              </w:rPr>
            </w:pPr>
          </w:p>
          <w:p w14:paraId="04767721" w14:textId="37E12036" w:rsidR="005C443D" w:rsidRDefault="005C443D" w:rsidP="00F0729C">
            <w:pPr>
              <w:spacing w:line="240" w:lineRule="atLeast"/>
              <w:textAlignment w:val="top"/>
              <w:rPr>
                <w:rFonts w:cs="Arial"/>
                <w:bCs/>
                <w:color w:val="333333"/>
              </w:rPr>
            </w:pPr>
            <w:r w:rsidRPr="008F63A0">
              <w:rPr>
                <w:rFonts w:cs="Arial"/>
                <w:b/>
                <w:bCs/>
              </w:rPr>
              <w:t>CCR</w:t>
            </w:r>
            <w:r w:rsidR="00F0729C" w:rsidRPr="008F63A0">
              <w:rPr>
                <w:rFonts w:cs="Arial"/>
                <w:b/>
                <w:bCs/>
              </w:rPr>
              <w:t>:</w:t>
            </w:r>
            <w:r w:rsidRPr="008F63A0">
              <w:rPr>
                <w:rFonts w:cs="Arial"/>
                <w:bCs/>
              </w:rPr>
              <w:t xml:space="preserve">  Review the CIF for Opt Out options.  If available follow the instructions in </w:t>
            </w:r>
            <w:hyperlink r:id="rId21" w:anchor="!/view?docid=20791340-d563-44f1-a4ef-e7d39a495112" w:history="1">
              <w:r w:rsidR="002266AD">
                <w:rPr>
                  <w:rStyle w:val="Hyperlink"/>
                  <w:rFonts w:cs="Arial"/>
                  <w:bCs/>
                </w:rPr>
                <w:t>Maintenance Choice Opt Out (058982)</w:t>
              </w:r>
            </w:hyperlink>
            <w:r w:rsidR="00A31964">
              <w:rPr>
                <w:rFonts w:cs="Arial"/>
                <w:bCs/>
                <w:color w:val="333333"/>
              </w:rPr>
              <w:t xml:space="preserve">. </w:t>
            </w:r>
            <w:r w:rsidR="00832D44">
              <w:rPr>
                <w:rFonts w:cs="Arial"/>
                <w:bCs/>
                <w:color w:val="333333"/>
              </w:rPr>
              <w:t xml:space="preserve"> </w:t>
            </w:r>
          </w:p>
        </w:tc>
      </w:tr>
      <w:tr w:rsidR="00FA22EA" w:rsidRPr="003735E2" w14:paraId="1A5FCB06" w14:textId="77777777" w:rsidTr="00F0729C">
        <w:tc>
          <w:tcPr>
            <w:tcW w:w="1988" w:type="pct"/>
            <w:tcBorders>
              <w:top w:val="single" w:sz="4" w:space="0" w:color="auto"/>
              <w:left w:val="single" w:sz="4" w:space="0" w:color="auto"/>
              <w:bottom w:val="single" w:sz="4" w:space="0" w:color="auto"/>
              <w:right w:val="single" w:sz="4" w:space="0" w:color="auto"/>
            </w:tcBorders>
          </w:tcPr>
          <w:p w14:paraId="50961360" w14:textId="77777777" w:rsidR="00FA22EA" w:rsidRPr="00FA22EA" w:rsidRDefault="00FA22EA" w:rsidP="0056124A">
            <w:r w:rsidRPr="00FA22EA">
              <w:t>Why can’t I buy in bulk?</w:t>
            </w:r>
          </w:p>
          <w:p w14:paraId="28721ACD" w14:textId="77777777" w:rsidR="00FA22EA" w:rsidRPr="00FA22EA" w:rsidRDefault="00FA22EA" w:rsidP="00F0729C">
            <w:pPr>
              <w:pStyle w:val="Heading4"/>
            </w:pPr>
          </w:p>
          <w:p w14:paraId="3C7AE48B" w14:textId="30D960FF" w:rsidR="00FA22EA" w:rsidRPr="00FA22EA" w:rsidRDefault="00FA22EA" w:rsidP="0056124A">
            <w:pPr>
              <w:numPr>
                <w:ilvl w:val="0"/>
                <w:numId w:val="20"/>
              </w:numPr>
            </w:pPr>
            <w:r w:rsidRPr="00FA22EA">
              <w:t>I really like my local pharmacist</w:t>
            </w:r>
            <w:r w:rsidR="005040CF">
              <w:t>.</w:t>
            </w:r>
          </w:p>
          <w:p w14:paraId="519E7991" w14:textId="77777777" w:rsidR="00FA22EA" w:rsidRPr="00FA22EA" w:rsidRDefault="00FA22EA" w:rsidP="0056124A"/>
          <w:p w14:paraId="47AA9E0C" w14:textId="1E6ADDE5" w:rsidR="00FA22EA" w:rsidRPr="00FA22EA" w:rsidRDefault="00FA22EA" w:rsidP="0056124A">
            <w:pPr>
              <w:numPr>
                <w:ilvl w:val="0"/>
                <w:numId w:val="20"/>
              </w:numPr>
            </w:pPr>
            <w:r w:rsidRPr="00FA22EA">
              <w:t>Even with your automated reminders, I always forget to (mail) order my medication on time</w:t>
            </w:r>
            <w:r w:rsidR="005040CF">
              <w:t>.</w:t>
            </w:r>
          </w:p>
          <w:p w14:paraId="777DFB30" w14:textId="77777777" w:rsidR="00FA22EA" w:rsidRPr="00FA22EA" w:rsidRDefault="00FA22EA" w:rsidP="0056124A"/>
          <w:p w14:paraId="371A4F8F" w14:textId="04CF6A12" w:rsidR="00FA22EA" w:rsidRPr="00FA22EA" w:rsidRDefault="00FA22EA" w:rsidP="0056124A">
            <w:pPr>
              <w:numPr>
                <w:ilvl w:val="0"/>
                <w:numId w:val="20"/>
              </w:numPr>
            </w:pPr>
            <w:r w:rsidRPr="00FA22EA">
              <w:t>My plan is limiting my refills (30</w:t>
            </w:r>
            <w:r w:rsidR="002266AD">
              <w:t>-</w:t>
            </w:r>
            <w:r w:rsidRPr="00FA22EA">
              <w:t>days refill limitation), but I don’t want to have to wait for the mail</w:t>
            </w:r>
            <w:r w:rsidR="005040CF">
              <w:t>.</w:t>
            </w:r>
          </w:p>
          <w:p w14:paraId="076AE2D1" w14:textId="77777777" w:rsidR="00FA22EA" w:rsidRPr="00FA22EA" w:rsidRDefault="00FA22EA" w:rsidP="0056124A"/>
          <w:p w14:paraId="2A8C1271" w14:textId="2424D9C8" w:rsidR="00FA22EA" w:rsidRPr="00FA22EA" w:rsidRDefault="00FA22EA" w:rsidP="0056124A">
            <w:pPr>
              <w:numPr>
                <w:ilvl w:val="0"/>
                <w:numId w:val="20"/>
              </w:numPr>
            </w:pPr>
            <w:r w:rsidRPr="00FA22EA">
              <w:t>Taking the time to call you to get my 90</w:t>
            </w:r>
            <w:r w:rsidR="002266AD">
              <w:t>-</w:t>
            </w:r>
            <w:r w:rsidRPr="00FA22EA">
              <w:t>day refill is frustrating</w:t>
            </w:r>
            <w:r w:rsidR="005040CF">
              <w:t>.</w:t>
            </w:r>
          </w:p>
          <w:p w14:paraId="5AAC3A76" w14:textId="77777777" w:rsidR="00FA22EA" w:rsidRPr="00FA22EA" w:rsidRDefault="00FA22EA" w:rsidP="0056124A"/>
          <w:p w14:paraId="1C4BB0AA" w14:textId="34C38BB3" w:rsidR="00FA22EA" w:rsidRPr="00FA22EA" w:rsidRDefault="00FA22EA" w:rsidP="0056124A">
            <w:pPr>
              <w:numPr>
                <w:ilvl w:val="0"/>
                <w:numId w:val="20"/>
              </w:numPr>
            </w:pPr>
            <w:r w:rsidRPr="00FA22EA">
              <w:t>When it snows it is hard for me to get out of the house to pick up my prescriptions</w:t>
            </w:r>
            <w:r w:rsidR="005040CF">
              <w:t>.</w:t>
            </w:r>
          </w:p>
          <w:p w14:paraId="1EC51D89" w14:textId="77777777" w:rsidR="00FA22EA" w:rsidRPr="00FA22EA" w:rsidRDefault="00FA22EA" w:rsidP="0056124A"/>
          <w:p w14:paraId="0B0AD7F4" w14:textId="77777777" w:rsidR="00FA22EA" w:rsidRPr="00FA22EA" w:rsidRDefault="00FA22EA" w:rsidP="0056124A">
            <w:pPr>
              <w:numPr>
                <w:ilvl w:val="0"/>
                <w:numId w:val="20"/>
              </w:numPr>
            </w:pPr>
            <w:r w:rsidRPr="00FA22EA">
              <w:t>My (retail) copay is too high!</w:t>
            </w:r>
          </w:p>
          <w:p w14:paraId="3A0B748C" w14:textId="77777777" w:rsidR="00FA22EA" w:rsidRPr="00FA22EA" w:rsidRDefault="00FA22EA" w:rsidP="0056124A"/>
          <w:p w14:paraId="6482EE95" w14:textId="4CD314CA" w:rsidR="00FA22EA" w:rsidRPr="00FA22EA" w:rsidRDefault="00FA22EA" w:rsidP="0056124A">
            <w:pPr>
              <w:numPr>
                <w:ilvl w:val="0"/>
                <w:numId w:val="20"/>
              </w:numPr>
            </w:pPr>
            <w:r w:rsidRPr="00FA22EA">
              <w:t xml:space="preserve">It takes so long to fill prescriptions at my pharmacy, I always </w:t>
            </w:r>
            <w:proofErr w:type="gramStart"/>
            <w:r w:rsidRPr="00FA22EA">
              <w:t>have to</w:t>
            </w:r>
            <w:proofErr w:type="gramEnd"/>
            <w:r w:rsidRPr="00FA22EA">
              <w:t xml:space="preserve"> wait in line</w:t>
            </w:r>
            <w:r w:rsidR="005040CF">
              <w:t>.</w:t>
            </w:r>
          </w:p>
        </w:tc>
        <w:tc>
          <w:tcPr>
            <w:tcW w:w="3012" w:type="pct"/>
            <w:tcBorders>
              <w:top w:val="single" w:sz="4" w:space="0" w:color="auto"/>
              <w:left w:val="single" w:sz="4" w:space="0" w:color="auto"/>
              <w:bottom w:val="single" w:sz="4" w:space="0" w:color="auto"/>
              <w:right w:val="single" w:sz="4" w:space="0" w:color="auto"/>
            </w:tcBorders>
          </w:tcPr>
          <w:p w14:paraId="0E07AE29" w14:textId="2EDFF26D" w:rsidR="00FA22EA" w:rsidRPr="008F63A0" w:rsidRDefault="007A7F42" w:rsidP="00F0729C">
            <w:pPr>
              <w:tabs>
                <w:tab w:val="num" w:pos="720"/>
              </w:tabs>
              <w:spacing w:line="240" w:lineRule="atLeast"/>
              <w:ind w:left="360" w:hanging="360"/>
              <w:textAlignment w:val="top"/>
              <w:rPr>
                <w:rFonts w:cs="Arial"/>
                <w:bCs/>
              </w:rPr>
            </w:pPr>
            <w:r>
              <w:rPr>
                <w:rFonts w:cs="Arial"/>
                <w:bCs/>
                <w:noProof/>
                <w:color w:val="333333"/>
              </w:rPr>
              <w:drawing>
                <wp:inline distT="0" distB="0" distL="0" distR="0" wp14:anchorId="231B57C8" wp14:editId="37CD9353">
                  <wp:extent cx="238760" cy="207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00FA22EA" w:rsidRPr="003735E2">
              <w:rPr>
                <w:rFonts w:cs="Arial"/>
                <w:bCs/>
                <w:color w:val="333333"/>
              </w:rPr>
              <w:t xml:space="preserve"> </w:t>
            </w:r>
            <w:r w:rsidR="00FA22EA" w:rsidRPr="008F63A0">
              <w:rPr>
                <w:rFonts w:cs="Arial"/>
                <w:bCs/>
              </w:rPr>
              <w:t xml:space="preserve">Well, let me tell you about our Maintenance Choice program… </w:t>
            </w:r>
          </w:p>
          <w:p w14:paraId="57B1212D" w14:textId="77777777" w:rsidR="00FA22EA" w:rsidRPr="003735E2" w:rsidRDefault="00FA22EA" w:rsidP="00F0729C">
            <w:pPr>
              <w:tabs>
                <w:tab w:val="num" w:pos="720"/>
              </w:tabs>
              <w:spacing w:line="240" w:lineRule="atLeast"/>
              <w:ind w:left="720" w:hanging="360"/>
              <w:textAlignment w:val="top"/>
              <w:rPr>
                <w:rFonts w:cs="Arial"/>
                <w:bCs/>
                <w:color w:val="333333"/>
              </w:rPr>
            </w:pPr>
          </w:p>
          <w:p w14:paraId="4152A3B9" w14:textId="77777777" w:rsidR="00FA22EA" w:rsidRPr="003735E2" w:rsidRDefault="00FA22EA" w:rsidP="0056124A">
            <w:pPr>
              <w:rPr>
                <w:color w:val="333333"/>
              </w:rPr>
            </w:pPr>
            <w:r w:rsidRPr="008F63A0">
              <w:rPr>
                <w:b/>
              </w:rPr>
              <w:t>CCR:</w:t>
            </w:r>
            <w:r w:rsidRPr="008F63A0">
              <w:t xml:space="preserve">  Refer to </w:t>
            </w:r>
            <w:hyperlink w:anchor="_Suggested_Script" w:history="1">
              <w:r w:rsidRPr="00FA22EA">
                <w:rPr>
                  <w:rStyle w:val="Hyperlink"/>
                  <w:rFonts w:cs="Arial"/>
                  <w:bCs/>
                </w:rPr>
                <w:t>Suggested Script</w:t>
              </w:r>
            </w:hyperlink>
            <w:r>
              <w:rPr>
                <w:color w:val="333333"/>
              </w:rPr>
              <w:t xml:space="preserve"> </w:t>
            </w:r>
            <w:r w:rsidRPr="008F63A0">
              <w:t>for information on presenting this opportunity.</w:t>
            </w:r>
          </w:p>
        </w:tc>
      </w:tr>
    </w:tbl>
    <w:p w14:paraId="67FC5E59" w14:textId="77777777" w:rsidR="00F81783" w:rsidRPr="0058134F" w:rsidRDefault="00F81783" w:rsidP="00F81783"/>
    <w:p w14:paraId="3884F6A8" w14:textId="65DA8904" w:rsidR="00AE17A6" w:rsidRPr="0058134F" w:rsidRDefault="00D10E4E" w:rsidP="00AE17A6">
      <w:pPr>
        <w:jc w:val="right"/>
      </w:pPr>
      <w:hyperlink w:anchor="_top" w:history="1">
        <w:r w:rsidR="00A37B93" w:rsidRPr="00D10E4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5A30F7" w:rsidRPr="0058134F" w14:paraId="707E064A" w14:textId="77777777" w:rsidTr="00EF287D">
        <w:tc>
          <w:tcPr>
            <w:tcW w:w="5000" w:type="pct"/>
            <w:shd w:val="clear" w:color="auto" w:fill="BFBFBF" w:themeFill="background1" w:themeFillShade="BF"/>
          </w:tcPr>
          <w:p w14:paraId="72A9A078" w14:textId="77777777" w:rsidR="005A30F7" w:rsidRPr="0058134F" w:rsidRDefault="005A30F7" w:rsidP="00F0729C">
            <w:pPr>
              <w:pStyle w:val="Heading2"/>
              <w:tabs>
                <w:tab w:val="left" w:pos="11985"/>
              </w:tabs>
              <w:spacing w:before="120" w:after="120"/>
              <w:rPr>
                <w:rFonts w:ascii="Verdana" w:hAnsi="Verdana"/>
                <w:i w:val="0"/>
                <w:iCs w:val="0"/>
              </w:rPr>
            </w:pPr>
            <w:bookmarkStart w:id="22" w:name="_Toc188011203"/>
            <w:r>
              <w:rPr>
                <w:rFonts w:ascii="Verdana" w:hAnsi="Verdana"/>
                <w:i w:val="0"/>
                <w:iCs w:val="0"/>
              </w:rPr>
              <w:t>Related Document</w:t>
            </w:r>
            <w:bookmarkEnd w:id="22"/>
          </w:p>
        </w:tc>
      </w:tr>
    </w:tbl>
    <w:p w14:paraId="2DC437E6" w14:textId="6F33D658" w:rsidR="007A403E" w:rsidRDefault="00832D44" w:rsidP="00F0729C">
      <w:r>
        <w:rPr>
          <w:b/>
        </w:rPr>
        <w:t xml:space="preserve"> </w:t>
      </w:r>
      <w:hyperlink r:id="rId22" w:anchor="!/view?docid=c1f1028b-e42c-4b4f-a4cf-cc0b42c91606" w:history="1">
        <w:r w:rsidR="00841F54">
          <w:rPr>
            <w:rStyle w:val="Hyperlink"/>
          </w:rPr>
          <w:t>Customer Care Abbreviations, Definitions and Terms Index (017428)</w:t>
        </w:r>
      </w:hyperlink>
    </w:p>
    <w:p w14:paraId="54F41C43" w14:textId="765755A6" w:rsidR="005A30F7" w:rsidRPr="0058134F" w:rsidRDefault="00D10E4E" w:rsidP="007A403E">
      <w:pPr>
        <w:jc w:val="right"/>
      </w:pPr>
      <w:hyperlink w:anchor="_top" w:history="1">
        <w:r w:rsidR="00A37B93" w:rsidRPr="00D10E4E">
          <w:rPr>
            <w:rStyle w:val="Hyperlink"/>
          </w:rPr>
          <w:t>Top of the Document</w:t>
        </w:r>
      </w:hyperlink>
    </w:p>
    <w:p w14:paraId="33ED0B3C" w14:textId="77777777" w:rsidR="00710E68" w:rsidRPr="0058134F" w:rsidRDefault="00710E68" w:rsidP="00C247CB">
      <w:pPr>
        <w:jc w:val="center"/>
        <w:rPr>
          <w:sz w:val="16"/>
          <w:szCs w:val="16"/>
        </w:rPr>
      </w:pPr>
      <w:r w:rsidRPr="0058134F">
        <w:rPr>
          <w:sz w:val="16"/>
          <w:szCs w:val="16"/>
        </w:rPr>
        <w:t xml:space="preserve">Not </w:t>
      </w:r>
      <w:r w:rsidR="00CA2A6F" w:rsidRPr="0058134F">
        <w:rPr>
          <w:sz w:val="16"/>
          <w:szCs w:val="16"/>
        </w:rPr>
        <w:t>to</w:t>
      </w:r>
      <w:r w:rsidRPr="0058134F">
        <w:rPr>
          <w:sz w:val="16"/>
          <w:szCs w:val="16"/>
        </w:rPr>
        <w:t xml:space="preserve"> Be Reproduced </w:t>
      </w:r>
      <w:r w:rsidR="00CA2A6F" w:rsidRPr="0058134F">
        <w:rPr>
          <w:sz w:val="16"/>
          <w:szCs w:val="16"/>
        </w:rPr>
        <w:t>or</w:t>
      </w:r>
      <w:r w:rsidRPr="0058134F">
        <w:rPr>
          <w:sz w:val="16"/>
          <w:szCs w:val="16"/>
        </w:rPr>
        <w:t xml:space="preserve"> Disclosed to Others </w:t>
      </w:r>
      <w:r w:rsidR="00CA2A6F" w:rsidRPr="0058134F">
        <w:rPr>
          <w:sz w:val="16"/>
          <w:szCs w:val="16"/>
        </w:rPr>
        <w:t>without</w:t>
      </w:r>
      <w:r w:rsidRPr="0058134F">
        <w:rPr>
          <w:sz w:val="16"/>
          <w:szCs w:val="16"/>
        </w:rPr>
        <w:t xml:space="preserve"> Prior Written Approval</w:t>
      </w:r>
    </w:p>
    <w:p w14:paraId="27D4CEEC" w14:textId="77777777" w:rsidR="00710E68" w:rsidRPr="0058134F" w:rsidRDefault="00710E68" w:rsidP="00C247CB">
      <w:pPr>
        <w:jc w:val="center"/>
        <w:rPr>
          <w:b/>
          <w:color w:val="000000"/>
          <w:sz w:val="16"/>
          <w:szCs w:val="16"/>
        </w:rPr>
      </w:pPr>
      <w:r w:rsidRPr="0058134F">
        <w:rPr>
          <w:b/>
          <w:color w:val="000000"/>
          <w:sz w:val="16"/>
          <w:szCs w:val="16"/>
        </w:rPr>
        <w:t xml:space="preserve">ELECTRONIC DATA = OFFICIAL VERSION </w:t>
      </w:r>
      <w:r w:rsidR="0076640F">
        <w:rPr>
          <w:b/>
          <w:color w:val="000000"/>
          <w:sz w:val="16"/>
          <w:szCs w:val="16"/>
        </w:rPr>
        <w:t>-</w:t>
      </w:r>
      <w:r w:rsidRPr="0058134F">
        <w:rPr>
          <w:b/>
          <w:color w:val="000000"/>
          <w:sz w:val="16"/>
          <w:szCs w:val="16"/>
        </w:rPr>
        <w:t xml:space="preserve"> PAPER COPY </w:t>
      </w:r>
      <w:r w:rsidR="0076640F">
        <w:rPr>
          <w:b/>
          <w:color w:val="000000"/>
          <w:sz w:val="16"/>
          <w:szCs w:val="16"/>
        </w:rPr>
        <w:t>-</w:t>
      </w:r>
      <w:r w:rsidRPr="0058134F">
        <w:rPr>
          <w:b/>
          <w:color w:val="000000"/>
          <w:sz w:val="16"/>
          <w:szCs w:val="16"/>
        </w:rPr>
        <w:t xml:space="preserve"> INFORMATIONAL ONLY</w:t>
      </w:r>
    </w:p>
    <w:p w14:paraId="2A12EA35" w14:textId="77777777" w:rsidR="005A64DA" w:rsidRPr="0058134F" w:rsidRDefault="005A64DA" w:rsidP="00C247CB">
      <w:pPr>
        <w:jc w:val="center"/>
        <w:rPr>
          <w:sz w:val="16"/>
          <w:szCs w:val="16"/>
        </w:rPr>
      </w:pPr>
    </w:p>
    <w:sectPr w:rsidR="005A64DA" w:rsidRPr="0058134F" w:rsidSect="00EB1F94">
      <w:footerReference w:type="default" r:id="rId23"/>
      <w:headerReference w:type="first" r:id="rId24"/>
      <w:footerReference w:type="first" r:id="rId2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08F1A" w14:textId="77777777" w:rsidR="000C708F" w:rsidRDefault="000C708F">
      <w:r>
        <w:separator/>
      </w:r>
    </w:p>
  </w:endnote>
  <w:endnote w:type="continuationSeparator" w:id="0">
    <w:p w14:paraId="1AC522AE" w14:textId="77777777" w:rsidR="000C708F" w:rsidRDefault="000C708F">
      <w:r>
        <w:continuationSeparator/>
      </w:r>
    </w:p>
  </w:endnote>
  <w:endnote w:type="continuationNotice" w:id="1">
    <w:p w14:paraId="296B501E" w14:textId="77777777" w:rsidR="000C708F" w:rsidRDefault="000C7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538CE"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5C443D">
      <w:rPr>
        <w:rStyle w:val="PageNumber"/>
        <w:noProof/>
      </w:rPr>
      <w:t>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80BEF"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A44E9" w14:textId="77777777" w:rsidR="000C708F" w:rsidRDefault="000C708F">
      <w:r>
        <w:separator/>
      </w:r>
    </w:p>
  </w:footnote>
  <w:footnote w:type="continuationSeparator" w:id="0">
    <w:p w14:paraId="6CAEA190" w14:textId="77777777" w:rsidR="000C708F" w:rsidRDefault="000C708F">
      <w:r>
        <w:continuationSeparator/>
      </w:r>
    </w:p>
  </w:footnote>
  <w:footnote w:type="continuationNotice" w:id="1">
    <w:p w14:paraId="7903ADBC" w14:textId="77777777" w:rsidR="000C708F" w:rsidRDefault="000C70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EE896"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 o:bullet="t">
        <v:imagedata r:id="rId1" o:title="Icon - Callout"/>
      </v:shape>
    </w:pict>
  </w:numPicBullet>
  <w:abstractNum w:abstractNumId="0"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C12779"/>
    <w:multiLevelType w:val="hybridMultilevel"/>
    <w:tmpl w:val="EE6C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A2531F"/>
    <w:multiLevelType w:val="hybridMultilevel"/>
    <w:tmpl w:val="0CE2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E917D1"/>
    <w:multiLevelType w:val="multilevel"/>
    <w:tmpl w:val="797A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03F703A"/>
    <w:multiLevelType w:val="hybridMultilevel"/>
    <w:tmpl w:val="6A884358"/>
    <w:lvl w:ilvl="0" w:tplc="F3AC9E14">
      <w:start w:val="1"/>
      <w:numFmt w:val="bullet"/>
      <w:lvlText w:val=""/>
      <w:lvlPicBulletId w:val="0"/>
      <w:lvlJc w:val="left"/>
      <w:pPr>
        <w:tabs>
          <w:tab w:val="num" w:pos="720"/>
        </w:tabs>
        <w:ind w:left="720" w:hanging="360"/>
      </w:pPr>
      <w:rPr>
        <w:rFonts w:ascii="Symbol" w:hAnsi="Symbol" w:hint="default"/>
      </w:rPr>
    </w:lvl>
    <w:lvl w:ilvl="1" w:tplc="D2AA6670" w:tentative="1">
      <w:start w:val="1"/>
      <w:numFmt w:val="bullet"/>
      <w:lvlText w:val=""/>
      <w:lvlJc w:val="left"/>
      <w:pPr>
        <w:tabs>
          <w:tab w:val="num" w:pos="1440"/>
        </w:tabs>
        <w:ind w:left="1440" w:hanging="360"/>
      </w:pPr>
      <w:rPr>
        <w:rFonts w:ascii="Symbol" w:hAnsi="Symbol" w:hint="default"/>
      </w:rPr>
    </w:lvl>
    <w:lvl w:ilvl="2" w:tplc="7278DA6A" w:tentative="1">
      <w:start w:val="1"/>
      <w:numFmt w:val="bullet"/>
      <w:lvlText w:val=""/>
      <w:lvlJc w:val="left"/>
      <w:pPr>
        <w:tabs>
          <w:tab w:val="num" w:pos="2160"/>
        </w:tabs>
        <w:ind w:left="2160" w:hanging="360"/>
      </w:pPr>
      <w:rPr>
        <w:rFonts w:ascii="Symbol" w:hAnsi="Symbol" w:hint="default"/>
      </w:rPr>
    </w:lvl>
    <w:lvl w:ilvl="3" w:tplc="8D929856" w:tentative="1">
      <w:start w:val="1"/>
      <w:numFmt w:val="bullet"/>
      <w:lvlText w:val=""/>
      <w:lvlJc w:val="left"/>
      <w:pPr>
        <w:tabs>
          <w:tab w:val="num" w:pos="2880"/>
        </w:tabs>
        <w:ind w:left="2880" w:hanging="360"/>
      </w:pPr>
      <w:rPr>
        <w:rFonts w:ascii="Symbol" w:hAnsi="Symbol" w:hint="default"/>
      </w:rPr>
    </w:lvl>
    <w:lvl w:ilvl="4" w:tplc="8996CFB8" w:tentative="1">
      <w:start w:val="1"/>
      <w:numFmt w:val="bullet"/>
      <w:lvlText w:val=""/>
      <w:lvlJc w:val="left"/>
      <w:pPr>
        <w:tabs>
          <w:tab w:val="num" w:pos="3600"/>
        </w:tabs>
        <w:ind w:left="3600" w:hanging="360"/>
      </w:pPr>
      <w:rPr>
        <w:rFonts w:ascii="Symbol" w:hAnsi="Symbol" w:hint="default"/>
      </w:rPr>
    </w:lvl>
    <w:lvl w:ilvl="5" w:tplc="708E99AC" w:tentative="1">
      <w:start w:val="1"/>
      <w:numFmt w:val="bullet"/>
      <w:lvlText w:val=""/>
      <w:lvlJc w:val="left"/>
      <w:pPr>
        <w:tabs>
          <w:tab w:val="num" w:pos="4320"/>
        </w:tabs>
        <w:ind w:left="4320" w:hanging="360"/>
      </w:pPr>
      <w:rPr>
        <w:rFonts w:ascii="Symbol" w:hAnsi="Symbol" w:hint="default"/>
      </w:rPr>
    </w:lvl>
    <w:lvl w:ilvl="6" w:tplc="E62A6F7A" w:tentative="1">
      <w:start w:val="1"/>
      <w:numFmt w:val="bullet"/>
      <w:lvlText w:val=""/>
      <w:lvlJc w:val="left"/>
      <w:pPr>
        <w:tabs>
          <w:tab w:val="num" w:pos="5040"/>
        </w:tabs>
        <w:ind w:left="5040" w:hanging="360"/>
      </w:pPr>
      <w:rPr>
        <w:rFonts w:ascii="Symbol" w:hAnsi="Symbol" w:hint="default"/>
      </w:rPr>
    </w:lvl>
    <w:lvl w:ilvl="7" w:tplc="0726980C" w:tentative="1">
      <w:start w:val="1"/>
      <w:numFmt w:val="bullet"/>
      <w:lvlText w:val=""/>
      <w:lvlJc w:val="left"/>
      <w:pPr>
        <w:tabs>
          <w:tab w:val="num" w:pos="5760"/>
        </w:tabs>
        <w:ind w:left="5760" w:hanging="360"/>
      </w:pPr>
      <w:rPr>
        <w:rFonts w:ascii="Symbol" w:hAnsi="Symbol" w:hint="default"/>
      </w:rPr>
    </w:lvl>
    <w:lvl w:ilvl="8" w:tplc="6910253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02C63FB"/>
    <w:multiLevelType w:val="hybridMultilevel"/>
    <w:tmpl w:val="C37A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69873772">
    <w:abstractNumId w:val="14"/>
  </w:num>
  <w:num w:numId="2" w16cid:durableId="1500391737">
    <w:abstractNumId w:val="3"/>
  </w:num>
  <w:num w:numId="3" w16cid:durableId="735248424">
    <w:abstractNumId w:val="16"/>
  </w:num>
  <w:num w:numId="4" w16cid:durableId="533735302">
    <w:abstractNumId w:val="17"/>
  </w:num>
  <w:num w:numId="5" w16cid:durableId="2120374357">
    <w:abstractNumId w:val="1"/>
  </w:num>
  <w:num w:numId="6" w16cid:durableId="225529810">
    <w:abstractNumId w:val="18"/>
  </w:num>
  <w:num w:numId="7" w16cid:durableId="1689984124">
    <w:abstractNumId w:val="11"/>
  </w:num>
  <w:num w:numId="8" w16cid:durableId="17652981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7774038">
    <w:abstractNumId w:val="7"/>
  </w:num>
  <w:num w:numId="10" w16cid:durableId="2113013154">
    <w:abstractNumId w:val="0"/>
  </w:num>
  <w:num w:numId="11" w16cid:durableId="1254820449">
    <w:abstractNumId w:val="5"/>
  </w:num>
  <w:num w:numId="12" w16cid:durableId="1446005100">
    <w:abstractNumId w:val="2"/>
  </w:num>
  <w:num w:numId="13" w16cid:durableId="2121953404">
    <w:abstractNumId w:val="9"/>
  </w:num>
  <w:num w:numId="14" w16cid:durableId="535581606">
    <w:abstractNumId w:val="8"/>
  </w:num>
  <w:num w:numId="15" w16cid:durableId="1221207625">
    <w:abstractNumId w:val="15"/>
  </w:num>
  <w:num w:numId="16" w16cid:durableId="2034770512">
    <w:abstractNumId w:val="12"/>
  </w:num>
  <w:num w:numId="17" w16cid:durableId="483744373">
    <w:abstractNumId w:val="6"/>
  </w:num>
  <w:num w:numId="18" w16cid:durableId="141970368">
    <w:abstractNumId w:val="13"/>
  </w:num>
  <w:num w:numId="19" w16cid:durableId="1201095209">
    <w:abstractNumId w:val="10"/>
  </w:num>
  <w:num w:numId="20" w16cid:durableId="599794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23713"/>
    <w:rsid w:val="0002525B"/>
    <w:rsid w:val="000277CE"/>
    <w:rsid w:val="00035BED"/>
    <w:rsid w:val="00040D99"/>
    <w:rsid w:val="00061AD2"/>
    <w:rsid w:val="00062644"/>
    <w:rsid w:val="00067F97"/>
    <w:rsid w:val="00070082"/>
    <w:rsid w:val="00072B98"/>
    <w:rsid w:val="00077558"/>
    <w:rsid w:val="000863D4"/>
    <w:rsid w:val="0008665F"/>
    <w:rsid w:val="00095AB5"/>
    <w:rsid w:val="000A328B"/>
    <w:rsid w:val="000A6B88"/>
    <w:rsid w:val="000A79E6"/>
    <w:rsid w:val="000B3C4C"/>
    <w:rsid w:val="000B4386"/>
    <w:rsid w:val="000B656F"/>
    <w:rsid w:val="000B72DF"/>
    <w:rsid w:val="000C708F"/>
    <w:rsid w:val="000D1870"/>
    <w:rsid w:val="000D2E81"/>
    <w:rsid w:val="000D4BA2"/>
    <w:rsid w:val="000D6714"/>
    <w:rsid w:val="000D7F94"/>
    <w:rsid w:val="000E7F1F"/>
    <w:rsid w:val="000F0D1B"/>
    <w:rsid w:val="000F54AF"/>
    <w:rsid w:val="0010411D"/>
    <w:rsid w:val="00104CDE"/>
    <w:rsid w:val="00115944"/>
    <w:rsid w:val="001174CD"/>
    <w:rsid w:val="00120571"/>
    <w:rsid w:val="0012373E"/>
    <w:rsid w:val="00135BB3"/>
    <w:rsid w:val="001360A5"/>
    <w:rsid w:val="00144693"/>
    <w:rsid w:val="0016273A"/>
    <w:rsid w:val="00181B1A"/>
    <w:rsid w:val="0019130B"/>
    <w:rsid w:val="001A2F88"/>
    <w:rsid w:val="001A5256"/>
    <w:rsid w:val="001B3879"/>
    <w:rsid w:val="001C5B53"/>
    <w:rsid w:val="001D703B"/>
    <w:rsid w:val="001E19F4"/>
    <w:rsid w:val="001E548D"/>
    <w:rsid w:val="001E7746"/>
    <w:rsid w:val="001F0774"/>
    <w:rsid w:val="001F1218"/>
    <w:rsid w:val="001F22BC"/>
    <w:rsid w:val="001F5947"/>
    <w:rsid w:val="002016B4"/>
    <w:rsid w:val="002055CF"/>
    <w:rsid w:val="00220812"/>
    <w:rsid w:val="002266AD"/>
    <w:rsid w:val="00243EBB"/>
    <w:rsid w:val="00255C6B"/>
    <w:rsid w:val="00265D86"/>
    <w:rsid w:val="002750DC"/>
    <w:rsid w:val="00280162"/>
    <w:rsid w:val="00291CE8"/>
    <w:rsid w:val="00296127"/>
    <w:rsid w:val="00296542"/>
    <w:rsid w:val="00296765"/>
    <w:rsid w:val="002A13C3"/>
    <w:rsid w:val="002B593E"/>
    <w:rsid w:val="002C5930"/>
    <w:rsid w:val="002C7CA4"/>
    <w:rsid w:val="002D0E97"/>
    <w:rsid w:val="002D1DBA"/>
    <w:rsid w:val="002D3AB9"/>
    <w:rsid w:val="002D3F12"/>
    <w:rsid w:val="002E6E58"/>
    <w:rsid w:val="002F1F92"/>
    <w:rsid w:val="002F6F9E"/>
    <w:rsid w:val="00306CC9"/>
    <w:rsid w:val="0033143E"/>
    <w:rsid w:val="0034318F"/>
    <w:rsid w:val="00343C6D"/>
    <w:rsid w:val="0034552B"/>
    <w:rsid w:val="003725A1"/>
    <w:rsid w:val="00382937"/>
    <w:rsid w:val="003868A2"/>
    <w:rsid w:val="00392A5B"/>
    <w:rsid w:val="003A6D70"/>
    <w:rsid w:val="003B193C"/>
    <w:rsid w:val="003B1F86"/>
    <w:rsid w:val="003C2B58"/>
    <w:rsid w:val="003C4627"/>
    <w:rsid w:val="003E26CD"/>
    <w:rsid w:val="003E6C1A"/>
    <w:rsid w:val="003F778E"/>
    <w:rsid w:val="0040640A"/>
    <w:rsid w:val="00406DB5"/>
    <w:rsid w:val="0042336D"/>
    <w:rsid w:val="00432DCF"/>
    <w:rsid w:val="004354AC"/>
    <w:rsid w:val="0045072E"/>
    <w:rsid w:val="00457EAE"/>
    <w:rsid w:val="004768BE"/>
    <w:rsid w:val="00477F73"/>
    <w:rsid w:val="0048355A"/>
    <w:rsid w:val="00484781"/>
    <w:rsid w:val="00486108"/>
    <w:rsid w:val="0048611D"/>
    <w:rsid w:val="0049433E"/>
    <w:rsid w:val="004A468F"/>
    <w:rsid w:val="004C19C9"/>
    <w:rsid w:val="004C37E6"/>
    <w:rsid w:val="004C760C"/>
    <w:rsid w:val="004D0AF2"/>
    <w:rsid w:val="004D3C53"/>
    <w:rsid w:val="004D58D6"/>
    <w:rsid w:val="004E6C6D"/>
    <w:rsid w:val="004F5DBE"/>
    <w:rsid w:val="004F7F34"/>
    <w:rsid w:val="005040CF"/>
    <w:rsid w:val="00505588"/>
    <w:rsid w:val="00507D1A"/>
    <w:rsid w:val="00512486"/>
    <w:rsid w:val="00514DBD"/>
    <w:rsid w:val="0052465B"/>
    <w:rsid w:val="00524CDD"/>
    <w:rsid w:val="00532501"/>
    <w:rsid w:val="005371F0"/>
    <w:rsid w:val="00543216"/>
    <w:rsid w:val="00543838"/>
    <w:rsid w:val="00547C68"/>
    <w:rsid w:val="0056124A"/>
    <w:rsid w:val="00565A58"/>
    <w:rsid w:val="00577909"/>
    <w:rsid w:val="0058134F"/>
    <w:rsid w:val="00582E85"/>
    <w:rsid w:val="00587EE4"/>
    <w:rsid w:val="005910B5"/>
    <w:rsid w:val="005A30F7"/>
    <w:rsid w:val="005A6118"/>
    <w:rsid w:val="005A64DA"/>
    <w:rsid w:val="005B446E"/>
    <w:rsid w:val="005C1D83"/>
    <w:rsid w:val="005C443D"/>
    <w:rsid w:val="005D095C"/>
    <w:rsid w:val="005E27C7"/>
    <w:rsid w:val="005E650E"/>
    <w:rsid w:val="00616873"/>
    <w:rsid w:val="0062203F"/>
    <w:rsid w:val="0062254A"/>
    <w:rsid w:val="00622D77"/>
    <w:rsid w:val="00627F34"/>
    <w:rsid w:val="00635713"/>
    <w:rsid w:val="00636B18"/>
    <w:rsid w:val="00637CA1"/>
    <w:rsid w:val="00640B0C"/>
    <w:rsid w:val="00647CDD"/>
    <w:rsid w:val="00660012"/>
    <w:rsid w:val="00662334"/>
    <w:rsid w:val="0066617F"/>
    <w:rsid w:val="00674A16"/>
    <w:rsid w:val="006760B4"/>
    <w:rsid w:val="00691E10"/>
    <w:rsid w:val="006A0481"/>
    <w:rsid w:val="006A49F6"/>
    <w:rsid w:val="006A57C9"/>
    <w:rsid w:val="006B54FF"/>
    <w:rsid w:val="006C653F"/>
    <w:rsid w:val="006E36FE"/>
    <w:rsid w:val="006F4508"/>
    <w:rsid w:val="006F7DFC"/>
    <w:rsid w:val="00704AF2"/>
    <w:rsid w:val="0070776C"/>
    <w:rsid w:val="00710E68"/>
    <w:rsid w:val="00714BA0"/>
    <w:rsid w:val="00724ED5"/>
    <w:rsid w:val="00725122"/>
    <w:rsid w:val="00725B82"/>
    <w:rsid w:val="007269B6"/>
    <w:rsid w:val="00726E7A"/>
    <w:rsid w:val="0073294A"/>
    <w:rsid w:val="00732E52"/>
    <w:rsid w:val="00736607"/>
    <w:rsid w:val="00746769"/>
    <w:rsid w:val="00752801"/>
    <w:rsid w:val="0076640F"/>
    <w:rsid w:val="00785118"/>
    <w:rsid w:val="00785C47"/>
    <w:rsid w:val="00786BEB"/>
    <w:rsid w:val="007938CB"/>
    <w:rsid w:val="007A2BE0"/>
    <w:rsid w:val="007A3BAB"/>
    <w:rsid w:val="007A403E"/>
    <w:rsid w:val="007A75EA"/>
    <w:rsid w:val="007A7F42"/>
    <w:rsid w:val="007B0715"/>
    <w:rsid w:val="007B710F"/>
    <w:rsid w:val="007C5D36"/>
    <w:rsid w:val="007C77DD"/>
    <w:rsid w:val="007E3635"/>
    <w:rsid w:val="007E3EA6"/>
    <w:rsid w:val="007F04AB"/>
    <w:rsid w:val="00803AE3"/>
    <w:rsid w:val="008042E1"/>
    <w:rsid w:val="00804D63"/>
    <w:rsid w:val="00806B9D"/>
    <w:rsid w:val="00812777"/>
    <w:rsid w:val="008230FA"/>
    <w:rsid w:val="00832D44"/>
    <w:rsid w:val="0084129E"/>
    <w:rsid w:val="00841F54"/>
    <w:rsid w:val="00843390"/>
    <w:rsid w:val="00846373"/>
    <w:rsid w:val="00846ECB"/>
    <w:rsid w:val="008568AE"/>
    <w:rsid w:val="00860590"/>
    <w:rsid w:val="00861316"/>
    <w:rsid w:val="008614E8"/>
    <w:rsid w:val="00867EDF"/>
    <w:rsid w:val="008734D7"/>
    <w:rsid w:val="00875F0D"/>
    <w:rsid w:val="00877414"/>
    <w:rsid w:val="008825E7"/>
    <w:rsid w:val="00887CA1"/>
    <w:rsid w:val="00890E3E"/>
    <w:rsid w:val="008A03B7"/>
    <w:rsid w:val="008A364E"/>
    <w:rsid w:val="008C2197"/>
    <w:rsid w:val="008C3493"/>
    <w:rsid w:val="008D11A6"/>
    <w:rsid w:val="008D1F7B"/>
    <w:rsid w:val="008D2D64"/>
    <w:rsid w:val="008D32CD"/>
    <w:rsid w:val="008D6E5D"/>
    <w:rsid w:val="008E21BE"/>
    <w:rsid w:val="008F63A0"/>
    <w:rsid w:val="009028A2"/>
    <w:rsid w:val="00902E07"/>
    <w:rsid w:val="00912CDB"/>
    <w:rsid w:val="00913B1B"/>
    <w:rsid w:val="00927861"/>
    <w:rsid w:val="0093349B"/>
    <w:rsid w:val="0094148C"/>
    <w:rsid w:val="00947783"/>
    <w:rsid w:val="00954FE8"/>
    <w:rsid w:val="009726E0"/>
    <w:rsid w:val="00990822"/>
    <w:rsid w:val="00995F45"/>
    <w:rsid w:val="0099782B"/>
    <w:rsid w:val="009A058A"/>
    <w:rsid w:val="009A1326"/>
    <w:rsid w:val="009A7FBB"/>
    <w:rsid w:val="009C4A31"/>
    <w:rsid w:val="009E00C2"/>
    <w:rsid w:val="009F1A15"/>
    <w:rsid w:val="009F6FD2"/>
    <w:rsid w:val="009F78D3"/>
    <w:rsid w:val="00A04270"/>
    <w:rsid w:val="00A31964"/>
    <w:rsid w:val="00A31F37"/>
    <w:rsid w:val="00A37B93"/>
    <w:rsid w:val="00A4732A"/>
    <w:rsid w:val="00A53D35"/>
    <w:rsid w:val="00A548BC"/>
    <w:rsid w:val="00A57D26"/>
    <w:rsid w:val="00A61432"/>
    <w:rsid w:val="00A7166B"/>
    <w:rsid w:val="00A72DEB"/>
    <w:rsid w:val="00A816B8"/>
    <w:rsid w:val="00A83BA0"/>
    <w:rsid w:val="00A84ACA"/>
    <w:rsid w:val="00A84F18"/>
    <w:rsid w:val="00A85045"/>
    <w:rsid w:val="00A95738"/>
    <w:rsid w:val="00A97B7D"/>
    <w:rsid w:val="00AA2252"/>
    <w:rsid w:val="00AA4825"/>
    <w:rsid w:val="00AB0C30"/>
    <w:rsid w:val="00AB33E1"/>
    <w:rsid w:val="00AB6104"/>
    <w:rsid w:val="00AC11CB"/>
    <w:rsid w:val="00AC1C3B"/>
    <w:rsid w:val="00AC4214"/>
    <w:rsid w:val="00AC5F95"/>
    <w:rsid w:val="00AC6E70"/>
    <w:rsid w:val="00AD1646"/>
    <w:rsid w:val="00AD2C20"/>
    <w:rsid w:val="00AD7AB4"/>
    <w:rsid w:val="00AE17A6"/>
    <w:rsid w:val="00AE652F"/>
    <w:rsid w:val="00AF038B"/>
    <w:rsid w:val="00AF283F"/>
    <w:rsid w:val="00AF78FA"/>
    <w:rsid w:val="00B078F6"/>
    <w:rsid w:val="00B15AD1"/>
    <w:rsid w:val="00B17913"/>
    <w:rsid w:val="00B26045"/>
    <w:rsid w:val="00B27586"/>
    <w:rsid w:val="00B44C55"/>
    <w:rsid w:val="00B46A95"/>
    <w:rsid w:val="00B5114C"/>
    <w:rsid w:val="00B5123C"/>
    <w:rsid w:val="00B544C2"/>
    <w:rsid w:val="00B5566F"/>
    <w:rsid w:val="00B630A6"/>
    <w:rsid w:val="00B70CC4"/>
    <w:rsid w:val="00B82D55"/>
    <w:rsid w:val="00B900F2"/>
    <w:rsid w:val="00B9386E"/>
    <w:rsid w:val="00BB02DE"/>
    <w:rsid w:val="00BB371A"/>
    <w:rsid w:val="00BD5E06"/>
    <w:rsid w:val="00BD61AA"/>
    <w:rsid w:val="00BD7B25"/>
    <w:rsid w:val="00BE1AFF"/>
    <w:rsid w:val="00BE5EFD"/>
    <w:rsid w:val="00BF74E9"/>
    <w:rsid w:val="00C16AE2"/>
    <w:rsid w:val="00C21A31"/>
    <w:rsid w:val="00C247CB"/>
    <w:rsid w:val="00C32D18"/>
    <w:rsid w:val="00C360BD"/>
    <w:rsid w:val="00C476E1"/>
    <w:rsid w:val="00C52E77"/>
    <w:rsid w:val="00C566B3"/>
    <w:rsid w:val="00C65249"/>
    <w:rsid w:val="00C67B32"/>
    <w:rsid w:val="00C72007"/>
    <w:rsid w:val="00C75C83"/>
    <w:rsid w:val="00C80F5D"/>
    <w:rsid w:val="00C837BA"/>
    <w:rsid w:val="00C873B2"/>
    <w:rsid w:val="00C95346"/>
    <w:rsid w:val="00CA0924"/>
    <w:rsid w:val="00CA2A6F"/>
    <w:rsid w:val="00CA3B23"/>
    <w:rsid w:val="00CA62F6"/>
    <w:rsid w:val="00CB0C1D"/>
    <w:rsid w:val="00CC2DB2"/>
    <w:rsid w:val="00CC5AA2"/>
    <w:rsid w:val="00CC721A"/>
    <w:rsid w:val="00CD0963"/>
    <w:rsid w:val="00CD5C71"/>
    <w:rsid w:val="00CE3D42"/>
    <w:rsid w:val="00CE53E6"/>
    <w:rsid w:val="00CE66B6"/>
    <w:rsid w:val="00CF2B0A"/>
    <w:rsid w:val="00CF539A"/>
    <w:rsid w:val="00CF6131"/>
    <w:rsid w:val="00D06EAA"/>
    <w:rsid w:val="00D10E4E"/>
    <w:rsid w:val="00D273C5"/>
    <w:rsid w:val="00D36733"/>
    <w:rsid w:val="00D471B5"/>
    <w:rsid w:val="00D571DB"/>
    <w:rsid w:val="00D608B4"/>
    <w:rsid w:val="00D6774D"/>
    <w:rsid w:val="00D75191"/>
    <w:rsid w:val="00D76195"/>
    <w:rsid w:val="00D80929"/>
    <w:rsid w:val="00D85254"/>
    <w:rsid w:val="00D92FCF"/>
    <w:rsid w:val="00DB5DA5"/>
    <w:rsid w:val="00DC1D2F"/>
    <w:rsid w:val="00DC4FFC"/>
    <w:rsid w:val="00DC795D"/>
    <w:rsid w:val="00DD0386"/>
    <w:rsid w:val="00DE0146"/>
    <w:rsid w:val="00DE79F7"/>
    <w:rsid w:val="00DF6BE4"/>
    <w:rsid w:val="00DF7082"/>
    <w:rsid w:val="00E118DB"/>
    <w:rsid w:val="00E121A2"/>
    <w:rsid w:val="00E157BC"/>
    <w:rsid w:val="00E20744"/>
    <w:rsid w:val="00E20F33"/>
    <w:rsid w:val="00E414EC"/>
    <w:rsid w:val="00E4346B"/>
    <w:rsid w:val="00E44761"/>
    <w:rsid w:val="00E50E4A"/>
    <w:rsid w:val="00E650D0"/>
    <w:rsid w:val="00E66EB7"/>
    <w:rsid w:val="00E67AA1"/>
    <w:rsid w:val="00E76334"/>
    <w:rsid w:val="00E859F4"/>
    <w:rsid w:val="00E91F5F"/>
    <w:rsid w:val="00E95565"/>
    <w:rsid w:val="00EB04C0"/>
    <w:rsid w:val="00EB12DD"/>
    <w:rsid w:val="00EB153E"/>
    <w:rsid w:val="00EB1F94"/>
    <w:rsid w:val="00EB57EB"/>
    <w:rsid w:val="00ED50CF"/>
    <w:rsid w:val="00EE52C1"/>
    <w:rsid w:val="00EF0FA4"/>
    <w:rsid w:val="00EF287D"/>
    <w:rsid w:val="00F028F5"/>
    <w:rsid w:val="00F0729C"/>
    <w:rsid w:val="00F1152F"/>
    <w:rsid w:val="00F207B3"/>
    <w:rsid w:val="00F20836"/>
    <w:rsid w:val="00F5486B"/>
    <w:rsid w:val="00F62BC4"/>
    <w:rsid w:val="00F658E0"/>
    <w:rsid w:val="00F6686D"/>
    <w:rsid w:val="00F7587A"/>
    <w:rsid w:val="00F81783"/>
    <w:rsid w:val="00F859B7"/>
    <w:rsid w:val="00F87181"/>
    <w:rsid w:val="00F877B4"/>
    <w:rsid w:val="00F9780F"/>
    <w:rsid w:val="00FA0DD3"/>
    <w:rsid w:val="00FA22EA"/>
    <w:rsid w:val="00FA64DC"/>
    <w:rsid w:val="00FB0924"/>
    <w:rsid w:val="00FB2D67"/>
    <w:rsid w:val="00FB3DBC"/>
    <w:rsid w:val="00FC1C44"/>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553083FE"/>
  <w15:chartTrackingRefBased/>
  <w15:docId w15:val="{A083A66A-9FE0-459C-99BC-8BABC264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B93"/>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C795D"/>
    <w:pPr>
      <w:keepNext/>
      <w:outlineLvl w:val="2"/>
    </w:pPr>
    <w:rPr>
      <w:rFonts w:cs="Arial"/>
      <w:bCs/>
      <w:szCs w:val="26"/>
    </w:rPr>
  </w:style>
  <w:style w:type="paragraph" w:styleId="Heading4">
    <w:name w:val="heading 4"/>
    <w:basedOn w:val="Normal"/>
    <w:next w:val="Normal"/>
    <w:qFormat/>
    <w:rsid w:val="00DC795D"/>
    <w:pPr>
      <w:keepNext/>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DC795D"/>
    <w:rPr>
      <w:rFonts w:ascii="Verdana" w:hAnsi="Verdana" w:cs="Arial"/>
      <w:bCs/>
      <w:sz w:val="24"/>
      <w:szCs w:val="26"/>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DC795D"/>
    <w:rPr>
      <w:rFonts w:ascii="Tahoma" w:hAnsi="Tahoma" w:cs="Tahoma"/>
      <w:sz w:val="16"/>
      <w:szCs w:val="16"/>
    </w:rPr>
  </w:style>
  <w:style w:type="paragraph" w:styleId="TOC2">
    <w:name w:val="toc 2"/>
    <w:basedOn w:val="Normal"/>
    <w:next w:val="Normal"/>
    <w:autoRedefine/>
    <w:uiPriority w:val="39"/>
    <w:rsid w:val="004354AC"/>
    <w:pPr>
      <w:tabs>
        <w:tab w:val="right" w:leader="dot" w:pos="12950"/>
      </w:tabs>
    </w:pPr>
    <w:rPr>
      <w:bCs/>
      <w:color w:val="000000"/>
    </w:rPr>
  </w:style>
  <w:style w:type="character" w:customStyle="1" w:styleId="BalloonTextChar">
    <w:name w:val="Balloon Text Char"/>
    <w:link w:val="BalloonText"/>
    <w:rsid w:val="00DC795D"/>
    <w:rPr>
      <w:rFonts w:ascii="Tahoma" w:hAnsi="Tahoma" w:cs="Tahoma"/>
      <w:sz w:val="16"/>
      <w:szCs w:val="16"/>
    </w:rPr>
  </w:style>
  <w:style w:type="paragraph" w:styleId="ListParagraph">
    <w:name w:val="List Paragraph"/>
    <w:basedOn w:val="Normal"/>
    <w:uiPriority w:val="34"/>
    <w:qFormat/>
    <w:rsid w:val="00E95565"/>
    <w:pPr>
      <w:ind w:left="720"/>
    </w:pPr>
  </w:style>
  <w:style w:type="paragraph" w:styleId="TOC3">
    <w:name w:val="toc 3"/>
    <w:basedOn w:val="Normal"/>
    <w:next w:val="Normal"/>
    <w:autoRedefine/>
    <w:uiPriority w:val="39"/>
    <w:rsid w:val="00DC795D"/>
    <w:rPr>
      <w:color w:val="0000FF"/>
      <w:u w:val="single"/>
    </w:rPr>
  </w:style>
  <w:style w:type="paragraph" w:styleId="TOC4">
    <w:name w:val="toc 4"/>
    <w:basedOn w:val="Normal"/>
    <w:next w:val="Normal"/>
    <w:autoRedefine/>
    <w:uiPriority w:val="39"/>
    <w:rsid w:val="00DC795D"/>
    <w:pPr>
      <w:ind w:left="360"/>
    </w:pPr>
    <w:rPr>
      <w:color w:val="0000FF"/>
      <w:u w:val="single"/>
    </w:rPr>
  </w:style>
  <w:style w:type="paragraph" w:styleId="TOC1">
    <w:name w:val="toc 1"/>
    <w:basedOn w:val="Normal"/>
    <w:next w:val="Normal"/>
    <w:autoRedefine/>
    <w:rsid w:val="00D608B4"/>
  </w:style>
  <w:style w:type="character" w:styleId="UnresolvedMention">
    <w:name w:val="Unresolved Mention"/>
    <w:uiPriority w:val="99"/>
    <w:semiHidden/>
    <w:unhideWhenUsed/>
    <w:rsid w:val="00070082"/>
    <w:rPr>
      <w:color w:val="605E5C"/>
      <w:shd w:val="clear" w:color="auto" w:fill="E1DFDD"/>
    </w:rPr>
  </w:style>
  <w:style w:type="paragraph" w:styleId="Revision">
    <w:name w:val="Revision"/>
    <w:hidden/>
    <w:uiPriority w:val="99"/>
    <w:semiHidden/>
    <w:rsid w:val="007A7F42"/>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64765907">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hesource.cvshealth.com/nuxeo/thesourc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0" ma:contentTypeDescription="Create a new document." ma:contentTypeScope="" ma:versionID="6fe1c39461f18dbfb2d207ee7d0906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2.xml><?xml version="1.0" encoding="utf-8"?>
<ds:datastoreItem xmlns:ds="http://schemas.openxmlformats.org/officeDocument/2006/customXml" ds:itemID="{418F1C3F-1D36-43DB-AB2D-E9FF74FDAB28}">
  <ds:schemaRefs>
    <ds:schemaRef ds:uri="http://schemas.openxmlformats.org/officeDocument/2006/bibliography"/>
  </ds:schemaRefs>
</ds:datastoreItem>
</file>

<file path=customXml/itemProps3.xml><?xml version="1.0" encoding="utf-8"?>
<ds:datastoreItem xmlns:ds="http://schemas.openxmlformats.org/officeDocument/2006/customXml" ds:itemID="{F4EA1072-7976-4279-9E07-E5A0DBD8FF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48F0C9-B5B7-428F-9B8F-928FA25F6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3</TotalTime>
  <Pages>1</Pages>
  <Words>1442</Words>
  <Characters>9171</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10592</CharactersWithSpaces>
  <SharedDoc>false</SharedDoc>
  <HLinks>
    <vt:vector size="126" baseType="variant">
      <vt:variant>
        <vt:i4>262192</vt:i4>
      </vt:variant>
      <vt:variant>
        <vt:i4>63</vt:i4>
      </vt:variant>
      <vt:variant>
        <vt:i4>0</vt:i4>
      </vt:variant>
      <vt:variant>
        <vt:i4>5</vt:i4>
      </vt:variant>
      <vt:variant>
        <vt:lpwstr/>
      </vt:variant>
      <vt:variant>
        <vt:lpwstr>_top</vt:lpwstr>
      </vt:variant>
      <vt:variant>
        <vt:i4>1376333</vt:i4>
      </vt:variant>
      <vt:variant>
        <vt:i4>60</vt:i4>
      </vt:variant>
      <vt:variant>
        <vt:i4>0</vt:i4>
      </vt:variant>
      <vt:variant>
        <vt:i4>5</vt:i4>
      </vt:variant>
      <vt:variant>
        <vt:lpwstr>https://thesource.cvshealth.com/nuxeo/thesource/</vt:lpwstr>
      </vt:variant>
      <vt:variant>
        <vt:lpwstr>!/view?docid=c1f1028b-e42c-4b4f-a4cf-cc0b42c91606</vt:lpwstr>
      </vt:variant>
      <vt:variant>
        <vt:i4>262192</vt:i4>
      </vt:variant>
      <vt:variant>
        <vt:i4>57</vt:i4>
      </vt:variant>
      <vt:variant>
        <vt:i4>0</vt:i4>
      </vt:variant>
      <vt:variant>
        <vt:i4>5</vt:i4>
      </vt:variant>
      <vt:variant>
        <vt:lpwstr/>
      </vt:variant>
      <vt:variant>
        <vt:lpwstr>_top</vt:lpwstr>
      </vt:variant>
      <vt:variant>
        <vt:i4>1048590</vt:i4>
      </vt:variant>
      <vt:variant>
        <vt:i4>54</vt:i4>
      </vt:variant>
      <vt:variant>
        <vt:i4>0</vt:i4>
      </vt:variant>
      <vt:variant>
        <vt:i4>5</vt:i4>
      </vt:variant>
      <vt:variant>
        <vt:lpwstr/>
      </vt:variant>
      <vt:variant>
        <vt:lpwstr>_Suggested_Script</vt:lpwstr>
      </vt:variant>
      <vt:variant>
        <vt:i4>1441860</vt:i4>
      </vt:variant>
      <vt:variant>
        <vt:i4>51</vt:i4>
      </vt:variant>
      <vt:variant>
        <vt:i4>0</vt:i4>
      </vt:variant>
      <vt:variant>
        <vt:i4>5</vt:i4>
      </vt:variant>
      <vt:variant>
        <vt:lpwstr>https://thesource.cvshealth.com/nuxeo/thesource/</vt:lpwstr>
      </vt:variant>
      <vt:variant>
        <vt:lpwstr>!/view?docid=20791340-d563-44f1-a4ef-e7d39a495112</vt:lpwstr>
      </vt:variant>
      <vt:variant>
        <vt:i4>262192</vt:i4>
      </vt:variant>
      <vt:variant>
        <vt:i4>48</vt:i4>
      </vt:variant>
      <vt:variant>
        <vt:i4>0</vt:i4>
      </vt:variant>
      <vt:variant>
        <vt:i4>5</vt:i4>
      </vt:variant>
      <vt:variant>
        <vt:lpwstr/>
      </vt:variant>
      <vt:variant>
        <vt:lpwstr>_top</vt:lpwstr>
      </vt:variant>
      <vt:variant>
        <vt:i4>262192</vt:i4>
      </vt:variant>
      <vt:variant>
        <vt:i4>45</vt:i4>
      </vt:variant>
      <vt:variant>
        <vt:i4>0</vt:i4>
      </vt:variant>
      <vt:variant>
        <vt:i4>5</vt:i4>
      </vt:variant>
      <vt:variant>
        <vt:lpwstr/>
      </vt:variant>
      <vt:variant>
        <vt:lpwstr>_top</vt:lpwstr>
      </vt:variant>
      <vt:variant>
        <vt:i4>262192</vt:i4>
      </vt:variant>
      <vt:variant>
        <vt:i4>42</vt:i4>
      </vt:variant>
      <vt:variant>
        <vt:i4>0</vt:i4>
      </vt:variant>
      <vt:variant>
        <vt:i4>5</vt:i4>
      </vt:variant>
      <vt:variant>
        <vt:lpwstr/>
      </vt:variant>
      <vt:variant>
        <vt:lpwstr>_top</vt:lpwstr>
      </vt:variant>
      <vt:variant>
        <vt:i4>1835029</vt:i4>
      </vt:variant>
      <vt:variant>
        <vt:i4>39</vt:i4>
      </vt:variant>
      <vt:variant>
        <vt:i4>0</vt:i4>
      </vt:variant>
      <vt:variant>
        <vt:i4>5</vt:i4>
      </vt:variant>
      <vt:variant>
        <vt:lpwstr>https://thesource.cvshealth.com/nuxeo/thesource/</vt:lpwstr>
      </vt:variant>
      <vt:variant>
        <vt:lpwstr>!/view?docid=0a402678-3e98-4204-b4cf-08a5e9d5f68b</vt:lpwstr>
      </vt:variant>
      <vt:variant>
        <vt:i4>2031684</vt:i4>
      </vt:variant>
      <vt:variant>
        <vt:i4>36</vt:i4>
      </vt:variant>
      <vt:variant>
        <vt:i4>0</vt:i4>
      </vt:variant>
      <vt:variant>
        <vt:i4>5</vt:i4>
      </vt:variant>
      <vt:variant>
        <vt:lpwstr>https://thesource.cvshealth.com/nuxeo/thesource/</vt:lpwstr>
      </vt:variant>
      <vt:variant>
        <vt:lpwstr>!/view?docid=e0d014db-0726-40a1-bf1b-c48f9fbdabb3</vt:lpwstr>
      </vt:variant>
      <vt:variant>
        <vt:i4>4653121</vt:i4>
      </vt:variant>
      <vt:variant>
        <vt:i4>33</vt:i4>
      </vt:variant>
      <vt:variant>
        <vt:i4>0</vt:i4>
      </vt:variant>
      <vt:variant>
        <vt:i4>5</vt:i4>
      </vt:variant>
      <vt:variant>
        <vt:lpwstr>https://thesource.cvshealth.com/nuxeo/thesource/</vt:lpwstr>
      </vt:variant>
      <vt:variant>
        <vt:lpwstr>!/view?docid=c2732a43-0453-4dab-a245-537dbe97d1e0</vt:lpwstr>
      </vt:variant>
      <vt:variant>
        <vt:i4>2031693</vt:i4>
      </vt:variant>
      <vt:variant>
        <vt:i4>30</vt:i4>
      </vt:variant>
      <vt:variant>
        <vt:i4>0</vt:i4>
      </vt:variant>
      <vt:variant>
        <vt:i4>5</vt:i4>
      </vt:variant>
      <vt:variant>
        <vt:lpwstr>https://thesource.cvshealth.com/nuxeo/thesource/</vt:lpwstr>
      </vt:variant>
      <vt:variant>
        <vt:lpwstr>!/view?docid=59c4e7fa-4a87-43c4-89cd-5d4f8c6c3421</vt:lpwstr>
      </vt:variant>
      <vt:variant>
        <vt:i4>262192</vt:i4>
      </vt:variant>
      <vt:variant>
        <vt:i4>27</vt:i4>
      </vt:variant>
      <vt:variant>
        <vt:i4>0</vt:i4>
      </vt:variant>
      <vt:variant>
        <vt:i4>5</vt:i4>
      </vt:variant>
      <vt:variant>
        <vt:lpwstr/>
      </vt:variant>
      <vt:variant>
        <vt:lpwstr>_top</vt:lpwstr>
      </vt:variant>
      <vt:variant>
        <vt:i4>2031693</vt:i4>
      </vt:variant>
      <vt:variant>
        <vt:i4>24</vt:i4>
      </vt:variant>
      <vt:variant>
        <vt:i4>0</vt:i4>
      </vt:variant>
      <vt:variant>
        <vt:i4>5</vt:i4>
      </vt:variant>
      <vt:variant>
        <vt:lpwstr>https://thesource.cvshealth.com/nuxeo/thesource/</vt:lpwstr>
      </vt:variant>
      <vt:variant>
        <vt:lpwstr>!/view?docid=59c4e7fa-4a87-43c4-89cd-5d4f8c6c3421</vt:lpwstr>
      </vt:variant>
      <vt:variant>
        <vt:i4>4587597</vt:i4>
      </vt:variant>
      <vt:variant>
        <vt:i4>21</vt:i4>
      </vt:variant>
      <vt:variant>
        <vt:i4>0</vt:i4>
      </vt:variant>
      <vt:variant>
        <vt:i4>5</vt:i4>
      </vt:variant>
      <vt:variant>
        <vt:lpwstr>https://thesource.cvshealth.com/nuxeo/thesource/</vt:lpwstr>
      </vt:variant>
      <vt:variant>
        <vt:lpwstr>!/view?docid=15c87ef7-855f-4e6a-9404-9035b415ff3c</vt:lpwstr>
      </vt:variant>
      <vt:variant>
        <vt:i4>1310775</vt:i4>
      </vt:variant>
      <vt:variant>
        <vt:i4>17</vt:i4>
      </vt:variant>
      <vt:variant>
        <vt:i4>0</vt:i4>
      </vt:variant>
      <vt:variant>
        <vt:i4>5</vt:i4>
      </vt:variant>
      <vt:variant>
        <vt:lpwstr/>
      </vt:variant>
      <vt:variant>
        <vt:lpwstr>_Toc140567054</vt:lpwstr>
      </vt:variant>
      <vt:variant>
        <vt:i4>1310775</vt:i4>
      </vt:variant>
      <vt:variant>
        <vt:i4>14</vt:i4>
      </vt:variant>
      <vt:variant>
        <vt:i4>0</vt:i4>
      </vt:variant>
      <vt:variant>
        <vt:i4>5</vt:i4>
      </vt:variant>
      <vt:variant>
        <vt:lpwstr/>
      </vt:variant>
      <vt:variant>
        <vt:lpwstr>_Toc140567053</vt:lpwstr>
      </vt:variant>
      <vt:variant>
        <vt:i4>1310775</vt:i4>
      </vt:variant>
      <vt:variant>
        <vt:i4>11</vt:i4>
      </vt:variant>
      <vt:variant>
        <vt:i4>0</vt:i4>
      </vt:variant>
      <vt:variant>
        <vt:i4>5</vt:i4>
      </vt:variant>
      <vt:variant>
        <vt:lpwstr/>
      </vt:variant>
      <vt:variant>
        <vt:lpwstr>_Toc140567052</vt:lpwstr>
      </vt:variant>
      <vt:variant>
        <vt:i4>1310775</vt:i4>
      </vt:variant>
      <vt:variant>
        <vt:i4>8</vt:i4>
      </vt:variant>
      <vt:variant>
        <vt:i4>0</vt:i4>
      </vt:variant>
      <vt:variant>
        <vt:i4>5</vt:i4>
      </vt:variant>
      <vt:variant>
        <vt:lpwstr/>
      </vt:variant>
      <vt:variant>
        <vt:lpwstr>_Toc140567051</vt:lpwstr>
      </vt:variant>
      <vt:variant>
        <vt:i4>1310775</vt:i4>
      </vt:variant>
      <vt:variant>
        <vt:i4>5</vt:i4>
      </vt:variant>
      <vt:variant>
        <vt:i4>0</vt:i4>
      </vt:variant>
      <vt:variant>
        <vt:i4>5</vt:i4>
      </vt:variant>
      <vt:variant>
        <vt:lpwstr/>
      </vt:variant>
      <vt:variant>
        <vt:lpwstr>_Toc140567050</vt:lpwstr>
      </vt:variant>
      <vt:variant>
        <vt:i4>1376311</vt:i4>
      </vt:variant>
      <vt:variant>
        <vt:i4>2</vt:i4>
      </vt:variant>
      <vt:variant>
        <vt:i4>0</vt:i4>
      </vt:variant>
      <vt:variant>
        <vt:i4>5</vt:i4>
      </vt:variant>
      <vt:variant>
        <vt:lpwstr/>
      </vt:variant>
      <vt:variant>
        <vt:lpwstr>_Toc140567049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2</cp:revision>
  <cp:lastPrinted>2007-01-03T17:56:00Z</cp:lastPrinted>
  <dcterms:created xsi:type="dcterms:W3CDTF">2025-01-17T19:00:00Z</dcterms:created>
  <dcterms:modified xsi:type="dcterms:W3CDTF">2025-01-17T19:00:00Z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2023-05-31T16:48:56Z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55021fde-095b-46a3-9af4-c4b5fa42ee4c</vt:lpwstr>
  </property>
  <property fmtid="{D5CDD505-2E9C-101B-9397-08002B2CF9AE}" pid="8" name="MSIP_Label_67599526-06ca-49cc-9fa9-5307800a949a_ContentBits">
    <vt:lpwstr>0</vt:lpwstr>
  </property>
</Properties>
</file>