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C4FC7" w14:textId="257A90DC" w:rsidR="001912C4" w:rsidRDefault="00E43F63" w:rsidP="00F22588">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MED D </w:t>
      </w:r>
      <w:r w:rsidR="00C24253">
        <w:rPr>
          <w:rFonts w:ascii="Verdana" w:hAnsi="Verdana"/>
          <w:color w:val="000000"/>
          <w:sz w:val="36"/>
          <w:szCs w:val="36"/>
        </w:rPr>
        <w:t xml:space="preserve">– ESRD ILC </w:t>
      </w:r>
    </w:p>
    <w:p w14:paraId="19572DA6" w14:textId="77777777" w:rsidR="00F22588" w:rsidRPr="00F22588" w:rsidRDefault="00F22588" w:rsidP="00F22588">
      <w:pPr>
        <w:pStyle w:val="Heading4"/>
      </w:pPr>
    </w:p>
    <w:p w14:paraId="49AFBF99" w14:textId="6D6F6617" w:rsidR="009D1067" w:rsidRDefault="007170CA">
      <w:pPr>
        <w:pStyle w:val="TOC2"/>
        <w:tabs>
          <w:tab w:val="right" w:leader="dot" w:pos="12950"/>
        </w:tabs>
        <w:rPr>
          <w:rFonts w:asciiTheme="minorHAnsi" w:eastAsiaTheme="minorEastAsia" w:hAnsiTheme="minorHAnsi" w:cstheme="minorBidi"/>
          <w:noProof/>
          <w:kern w:val="2"/>
          <w14:ligatures w14:val="standardContextual"/>
        </w:rPr>
      </w:pPr>
      <w:r>
        <w:rPr>
          <w:rFonts w:ascii="Verdana" w:hAnsi="Verdana"/>
        </w:rPr>
        <w:fldChar w:fldCharType="begin"/>
      </w:r>
      <w:r>
        <w:rPr>
          <w:rFonts w:ascii="Verdana" w:hAnsi="Verdana"/>
        </w:rPr>
        <w:instrText xml:space="preserve"> TOC \o "2-2" \n \p " " \h \z \u </w:instrText>
      </w:r>
      <w:r>
        <w:rPr>
          <w:rFonts w:ascii="Verdana" w:hAnsi="Verdana"/>
        </w:rPr>
        <w:fldChar w:fldCharType="separate"/>
      </w:r>
      <w:hyperlink w:anchor="_Toc187140435" w:history="1">
        <w:r w:rsidR="009D1067" w:rsidRPr="00A70100">
          <w:rPr>
            <w:rStyle w:val="Hyperlink"/>
            <w:rFonts w:ascii="Verdana" w:hAnsi="Verdana"/>
            <w:noProof/>
          </w:rPr>
          <w:t>End Stage Renal Disease Prospective Payment System (ESRD PPS)</w:t>
        </w:r>
      </w:hyperlink>
    </w:p>
    <w:p w14:paraId="765623D3" w14:textId="23545C26" w:rsidR="009D1067" w:rsidRDefault="009D1067">
      <w:pPr>
        <w:pStyle w:val="TOC2"/>
        <w:tabs>
          <w:tab w:val="right" w:leader="dot" w:pos="12950"/>
        </w:tabs>
        <w:rPr>
          <w:rFonts w:asciiTheme="minorHAnsi" w:eastAsiaTheme="minorEastAsia" w:hAnsiTheme="minorHAnsi" w:cstheme="minorBidi"/>
          <w:noProof/>
          <w:kern w:val="2"/>
          <w14:ligatures w14:val="standardContextual"/>
        </w:rPr>
      </w:pPr>
      <w:hyperlink w:anchor="_Toc187140436" w:history="1">
        <w:r w:rsidRPr="00A70100">
          <w:rPr>
            <w:rStyle w:val="Hyperlink"/>
            <w:rFonts w:ascii="Verdana" w:hAnsi="Verdana"/>
            <w:noProof/>
          </w:rPr>
          <w:t>Process</w:t>
        </w:r>
      </w:hyperlink>
    </w:p>
    <w:p w14:paraId="61A94E49" w14:textId="5989F3AD" w:rsidR="009D1067" w:rsidRDefault="009D1067">
      <w:pPr>
        <w:pStyle w:val="TOC2"/>
        <w:tabs>
          <w:tab w:val="right" w:leader="dot" w:pos="12950"/>
        </w:tabs>
        <w:rPr>
          <w:rFonts w:asciiTheme="minorHAnsi" w:eastAsiaTheme="minorEastAsia" w:hAnsiTheme="minorHAnsi" w:cstheme="minorBidi"/>
          <w:noProof/>
          <w:kern w:val="2"/>
          <w14:ligatures w14:val="standardContextual"/>
        </w:rPr>
      </w:pPr>
      <w:hyperlink w:anchor="_Toc187140437" w:history="1">
        <w:r w:rsidRPr="00A70100">
          <w:rPr>
            <w:rStyle w:val="Hyperlink"/>
            <w:rFonts w:ascii="Verdana" w:hAnsi="Verdana"/>
            <w:noProof/>
          </w:rPr>
          <w:t>FAQs</w:t>
        </w:r>
      </w:hyperlink>
    </w:p>
    <w:p w14:paraId="6E620C2A" w14:textId="045FFDBB" w:rsidR="004A33DF" w:rsidRDefault="007170CA" w:rsidP="00F51BE1">
      <w:pPr>
        <w:rPr>
          <w:rStyle w:val="Hyperlink"/>
          <w:rFonts w:ascii="Verdana" w:hAnsi="Verdana"/>
        </w:rPr>
      </w:pPr>
      <w:r>
        <w:rPr>
          <w:rFonts w:ascii="Verdana" w:hAnsi="Verdana"/>
        </w:rPr>
        <w:fldChar w:fldCharType="end"/>
      </w:r>
    </w:p>
    <w:p w14:paraId="641376B0" w14:textId="77777777" w:rsidR="00711B47" w:rsidRDefault="00711B47" w:rsidP="00F51BE1">
      <w:pPr>
        <w:rPr>
          <w:rFonts w:ascii="Verdana" w:hAnsi="Verdana"/>
        </w:rPr>
      </w:pPr>
      <w:bookmarkStart w:id="1" w:name="_Diagnosis_Required_-_1"/>
      <w:bookmarkStart w:id="2" w:name="_ESRD_Only_Questions"/>
      <w:bookmarkStart w:id="3" w:name="_Diagnosis_Required,_MD"/>
      <w:bookmarkStart w:id="4" w:name="_Diagnosis_Required_-"/>
      <w:bookmarkStart w:id="5" w:name="_Clinical_Requirement_–"/>
      <w:bookmarkStart w:id="6" w:name="_ESRD_Only_Questions_1"/>
      <w:bookmarkStart w:id="7" w:name="_ESRD_Question_and"/>
      <w:bookmarkEnd w:id="1"/>
      <w:bookmarkEnd w:id="2"/>
      <w:bookmarkEnd w:id="3"/>
      <w:bookmarkEnd w:id="4"/>
      <w:bookmarkEnd w:id="5"/>
      <w:bookmarkEnd w:id="6"/>
      <w:bookmarkEnd w:id="7"/>
    </w:p>
    <w:p w14:paraId="5E65FE13" w14:textId="77777777" w:rsidR="00711B47" w:rsidRDefault="00711B47" w:rsidP="00F51BE1">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11B47" w:rsidRPr="00BF74E9" w14:paraId="0FB87A15" w14:textId="77777777" w:rsidTr="00EB75B3">
        <w:tc>
          <w:tcPr>
            <w:tcW w:w="5000" w:type="pct"/>
            <w:shd w:val="clear" w:color="auto" w:fill="C0C0C0"/>
          </w:tcPr>
          <w:p w14:paraId="0265A004" w14:textId="77777777" w:rsidR="00711B47" w:rsidRPr="00D32D37" w:rsidRDefault="00711B47" w:rsidP="00647F3E">
            <w:pPr>
              <w:pStyle w:val="Heading2"/>
              <w:rPr>
                <w:rFonts w:ascii="Verdana" w:hAnsi="Verdana"/>
                <w:i w:val="0"/>
                <w:iCs w:val="0"/>
              </w:rPr>
            </w:pPr>
            <w:bookmarkStart w:id="8" w:name="_Toc187140435"/>
            <w:r w:rsidRPr="0036409E">
              <w:rPr>
                <w:rFonts w:ascii="Verdana" w:hAnsi="Verdana"/>
                <w:i w:val="0"/>
                <w:iCs w:val="0"/>
              </w:rPr>
              <w:t>End Stage Renal Disease Prospective Payment System (ESRD PPS)</w:t>
            </w:r>
            <w:bookmarkEnd w:id="8"/>
          </w:p>
        </w:tc>
      </w:tr>
    </w:tbl>
    <w:p w14:paraId="33303171" w14:textId="77777777" w:rsidR="00711B47" w:rsidRDefault="00711B47" w:rsidP="00711B47">
      <w:pPr>
        <w:rPr>
          <w:rFonts w:ascii="Verdana" w:hAnsi="Verdana"/>
        </w:rPr>
      </w:pPr>
    </w:p>
    <w:p w14:paraId="5AE5788E" w14:textId="632A1F1F" w:rsidR="00711B47" w:rsidRDefault="00711B47" w:rsidP="00711B47">
      <w:pPr>
        <w:rPr>
          <w:rFonts w:ascii="Verdana" w:hAnsi="Verdana"/>
        </w:rPr>
      </w:pPr>
      <w:r>
        <w:rPr>
          <w:rFonts w:ascii="Verdana" w:hAnsi="Verdana"/>
          <w:noProof/>
        </w:rPr>
        <w:drawing>
          <wp:inline distT="0" distB="0" distL="0" distR="0" wp14:anchorId="1F602E37" wp14:editId="47D9BF0F">
            <wp:extent cx="238095" cy="209524"/>
            <wp:effectExtent l="0" t="0" r="0" b="635"/>
            <wp:docPr id="171918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01851" name="Picture 174680185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001C1C62">
        <w:rPr>
          <w:rFonts w:ascii="Verdana" w:hAnsi="Verdana"/>
        </w:rPr>
        <w:t>As of</w:t>
      </w:r>
      <w:r w:rsidR="001C1C62" w:rsidRPr="0036409E">
        <w:rPr>
          <w:rFonts w:ascii="Verdana" w:hAnsi="Verdana"/>
        </w:rPr>
        <w:t xml:space="preserve"> </w:t>
      </w:r>
      <w:r w:rsidRPr="00647F3E">
        <w:rPr>
          <w:rFonts w:ascii="Verdana" w:hAnsi="Verdana"/>
          <w:b/>
          <w:bCs/>
        </w:rPr>
        <w:t>January 1, 2025</w:t>
      </w:r>
      <w:r w:rsidRPr="0036409E">
        <w:rPr>
          <w:rFonts w:ascii="Verdana" w:hAnsi="Verdana"/>
        </w:rPr>
        <w:t xml:space="preserve">, the Centers for Medicare &amp; Medicaid Services (CMS) will transition coverage of oral-only drugs from Medicare Part D to the </w:t>
      </w:r>
      <w:r w:rsidRPr="00647F3E">
        <w:rPr>
          <w:rFonts w:ascii="Verdana" w:hAnsi="Verdana"/>
          <w:b/>
          <w:bCs/>
        </w:rPr>
        <w:t>End Stage Renal Disease Prospective Payment System (ESRD PPS)</w:t>
      </w:r>
      <w:r w:rsidRPr="0036409E">
        <w:rPr>
          <w:rFonts w:ascii="Verdana" w:hAnsi="Verdana"/>
        </w:rPr>
        <w:t>. Pharmacies cannot dispense and bill the patient’s Medicare Part B plan (F</w:t>
      </w:r>
      <w:r w:rsidR="00EB75B3">
        <w:rPr>
          <w:rFonts w:ascii="Verdana" w:hAnsi="Verdana"/>
        </w:rPr>
        <w:t>ee-</w:t>
      </w:r>
      <w:r w:rsidRPr="0036409E">
        <w:rPr>
          <w:rFonts w:ascii="Verdana" w:hAnsi="Verdana"/>
        </w:rPr>
        <w:t>F</w:t>
      </w:r>
      <w:r w:rsidR="00EB75B3">
        <w:rPr>
          <w:rFonts w:ascii="Verdana" w:hAnsi="Verdana"/>
        </w:rPr>
        <w:t>or-</w:t>
      </w:r>
      <w:r w:rsidRPr="0036409E">
        <w:rPr>
          <w:rFonts w:ascii="Verdana" w:hAnsi="Verdana"/>
        </w:rPr>
        <w:t>S</w:t>
      </w:r>
      <w:r w:rsidR="00EB75B3">
        <w:rPr>
          <w:rFonts w:ascii="Verdana" w:hAnsi="Verdana"/>
        </w:rPr>
        <w:t>ervice</w:t>
      </w:r>
      <w:r w:rsidRPr="0036409E">
        <w:rPr>
          <w:rFonts w:ascii="Verdana" w:hAnsi="Verdana"/>
        </w:rPr>
        <w:t xml:space="preserve"> or Medicare Advantage) for these medications.</w:t>
      </w:r>
      <w:r>
        <w:rPr>
          <w:rFonts w:ascii="Verdana" w:hAnsi="Verdana"/>
        </w:rPr>
        <w:t xml:space="preserve"> </w:t>
      </w:r>
    </w:p>
    <w:p w14:paraId="304EC022" w14:textId="77777777" w:rsidR="00711B47" w:rsidRDefault="00711B47" w:rsidP="00711B47">
      <w:pPr>
        <w:rPr>
          <w:rFonts w:ascii="Verdana" w:hAnsi="Verdana"/>
        </w:rPr>
      </w:pPr>
    </w:p>
    <w:p w14:paraId="582DA0BB" w14:textId="2AD0D53F" w:rsidR="00711B47" w:rsidRPr="0036409E" w:rsidRDefault="00711B47" w:rsidP="00711B47">
      <w:pPr>
        <w:rPr>
          <w:rFonts w:ascii="Verdana" w:hAnsi="Verdana"/>
        </w:rPr>
      </w:pPr>
      <w:r>
        <w:rPr>
          <w:rFonts w:ascii="Verdana" w:hAnsi="Verdana"/>
        </w:rPr>
        <w:t xml:space="preserve">Members receiving dialysis are expected to obtain the medications listed below from their dialysis facility. </w:t>
      </w:r>
    </w:p>
    <w:p w14:paraId="57BC41D2" w14:textId="77777777" w:rsidR="00711B47" w:rsidRDefault="00711B47" w:rsidP="00711B47">
      <w:pPr>
        <w:rPr>
          <w:rFonts w:ascii="Verdana" w:hAnsi="Verdana"/>
        </w:rPr>
      </w:pPr>
    </w:p>
    <w:p w14:paraId="6C35FF4F" w14:textId="77777777" w:rsidR="00711B47" w:rsidRDefault="00711B47" w:rsidP="00711B47">
      <w:pPr>
        <w:rPr>
          <w:rFonts w:ascii="Verdana" w:hAnsi="Verdana"/>
        </w:rPr>
      </w:pPr>
    </w:p>
    <w:tbl>
      <w:tblPr>
        <w:tblStyle w:val="TableGrid"/>
        <w:tblW w:w="0" w:type="auto"/>
        <w:jc w:val="center"/>
        <w:tblLook w:val="04A0" w:firstRow="1" w:lastRow="0" w:firstColumn="1" w:lastColumn="0" w:noHBand="0" w:noVBand="1"/>
      </w:tblPr>
      <w:tblGrid>
        <w:gridCol w:w="4670"/>
      </w:tblGrid>
      <w:tr w:rsidR="00711B47" w:rsidRPr="00F26D0D" w14:paraId="37C10351" w14:textId="77777777" w:rsidTr="00647F3E">
        <w:trPr>
          <w:trHeight w:val="309"/>
          <w:jc w:val="center"/>
        </w:trPr>
        <w:tc>
          <w:tcPr>
            <w:tcW w:w="4670" w:type="dxa"/>
          </w:tcPr>
          <w:p w14:paraId="6E907AB9" w14:textId="77777777" w:rsidR="00711B47" w:rsidRPr="00F26D0D" w:rsidRDefault="00711B47" w:rsidP="00647F3E">
            <w:pPr>
              <w:rPr>
                <w:rFonts w:ascii="Verdana" w:hAnsi="Verdana"/>
              </w:rPr>
            </w:pPr>
            <w:r w:rsidRPr="00647F3E">
              <w:rPr>
                <w:rFonts w:ascii="Verdana" w:hAnsi="Verdana"/>
              </w:rPr>
              <w:t>AURYXIA    TAB 210MG</w:t>
            </w:r>
          </w:p>
        </w:tc>
      </w:tr>
      <w:tr w:rsidR="00711B47" w:rsidRPr="00F26D0D" w14:paraId="2C783AFF" w14:textId="77777777" w:rsidTr="00647F3E">
        <w:trPr>
          <w:trHeight w:val="299"/>
          <w:jc w:val="center"/>
        </w:trPr>
        <w:tc>
          <w:tcPr>
            <w:tcW w:w="4670" w:type="dxa"/>
          </w:tcPr>
          <w:p w14:paraId="02A91ADD" w14:textId="77777777" w:rsidR="00711B47" w:rsidRPr="00F26D0D" w:rsidRDefault="00711B47" w:rsidP="00647F3E">
            <w:pPr>
              <w:rPr>
                <w:rFonts w:ascii="Verdana" w:hAnsi="Verdana"/>
              </w:rPr>
            </w:pPr>
            <w:r w:rsidRPr="00647F3E">
              <w:rPr>
                <w:rFonts w:ascii="Verdana" w:hAnsi="Verdana"/>
              </w:rPr>
              <w:t>CALCIUM ACETATE CAP 667MG</w:t>
            </w:r>
          </w:p>
        </w:tc>
      </w:tr>
      <w:tr w:rsidR="00711B47" w:rsidRPr="00F26D0D" w14:paraId="019769C7" w14:textId="77777777" w:rsidTr="00647F3E">
        <w:trPr>
          <w:trHeight w:val="309"/>
          <w:jc w:val="center"/>
        </w:trPr>
        <w:tc>
          <w:tcPr>
            <w:tcW w:w="4670" w:type="dxa"/>
          </w:tcPr>
          <w:p w14:paraId="1B7C10A6" w14:textId="77777777" w:rsidR="00711B47" w:rsidRPr="00F26D0D" w:rsidRDefault="00711B47" w:rsidP="00647F3E">
            <w:pPr>
              <w:rPr>
                <w:rFonts w:ascii="Verdana" w:hAnsi="Verdana"/>
              </w:rPr>
            </w:pPr>
            <w:r w:rsidRPr="00647F3E">
              <w:rPr>
                <w:rFonts w:ascii="Verdana" w:hAnsi="Verdana"/>
              </w:rPr>
              <w:t>FOSRENOL   CHW 500MG</w:t>
            </w:r>
          </w:p>
        </w:tc>
      </w:tr>
      <w:tr w:rsidR="00711B47" w:rsidRPr="00F26D0D" w14:paraId="2A95A429" w14:textId="77777777" w:rsidTr="00647F3E">
        <w:trPr>
          <w:trHeight w:val="299"/>
          <w:jc w:val="center"/>
        </w:trPr>
        <w:tc>
          <w:tcPr>
            <w:tcW w:w="4670" w:type="dxa"/>
          </w:tcPr>
          <w:p w14:paraId="28C1B6FC" w14:textId="77777777" w:rsidR="00711B47" w:rsidRPr="00F26D0D" w:rsidRDefault="00711B47" w:rsidP="00647F3E">
            <w:pPr>
              <w:rPr>
                <w:rFonts w:ascii="Verdana" w:hAnsi="Verdana"/>
              </w:rPr>
            </w:pPr>
            <w:r w:rsidRPr="00647F3E">
              <w:rPr>
                <w:rFonts w:ascii="Verdana" w:hAnsi="Verdana"/>
              </w:rPr>
              <w:t>FOSRENOL   CHW 1000MG</w:t>
            </w:r>
          </w:p>
        </w:tc>
      </w:tr>
      <w:tr w:rsidR="00711B47" w:rsidRPr="00F26D0D" w14:paraId="070EC6A7" w14:textId="77777777" w:rsidTr="00647F3E">
        <w:trPr>
          <w:trHeight w:val="309"/>
          <w:jc w:val="center"/>
        </w:trPr>
        <w:tc>
          <w:tcPr>
            <w:tcW w:w="4670" w:type="dxa"/>
          </w:tcPr>
          <w:p w14:paraId="49C78A3B" w14:textId="77777777" w:rsidR="00711B47" w:rsidRPr="00F26D0D" w:rsidRDefault="00711B47" w:rsidP="00647F3E">
            <w:pPr>
              <w:rPr>
                <w:rFonts w:ascii="Verdana" w:hAnsi="Verdana"/>
              </w:rPr>
            </w:pPr>
            <w:r w:rsidRPr="00647F3E">
              <w:rPr>
                <w:rFonts w:ascii="Verdana" w:hAnsi="Verdana"/>
              </w:rPr>
              <w:t>FOSRENOL   CHW 750MG</w:t>
            </w:r>
          </w:p>
        </w:tc>
      </w:tr>
      <w:tr w:rsidR="00711B47" w:rsidRPr="00F26D0D" w14:paraId="3C55DA32" w14:textId="77777777" w:rsidTr="00647F3E">
        <w:trPr>
          <w:trHeight w:val="309"/>
          <w:jc w:val="center"/>
        </w:trPr>
        <w:tc>
          <w:tcPr>
            <w:tcW w:w="4670" w:type="dxa"/>
          </w:tcPr>
          <w:p w14:paraId="5CE79BEE" w14:textId="77777777" w:rsidR="00711B47" w:rsidRPr="00F26D0D" w:rsidRDefault="00711B47" w:rsidP="00647F3E">
            <w:pPr>
              <w:rPr>
                <w:rFonts w:ascii="Verdana" w:hAnsi="Verdana"/>
              </w:rPr>
            </w:pPr>
            <w:r w:rsidRPr="00647F3E">
              <w:rPr>
                <w:rFonts w:ascii="Verdana" w:hAnsi="Verdana"/>
              </w:rPr>
              <w:t>FOSRENOL   POW 750MG</w:t>
            </w:r>
          </w:p>
        </w:tc>
      </w:tr>
      <w:tr w:rsidR="00711B47" w:rsidRPr="00F26D0D" w14:paraId="5AF85B45" w14:textId="77777777" w:rsidTr="00647F3E">
        <w:trPr>
          <w:trHeight w:val="299"/>
          <w:jc w:val="center"/>
        </w:trPr>
        <w:tc>
          <w:tcPr>
            <w:tcW w:w="4670" w:type="dxa"/>
          </w:tcPr>
          <w:p w14:paraId="44A076BF" w14:textId="77777777" w:rsidR="00711B47" w:rsidRPr="00F26D0D" w:rsidRDefault="00711B47" w:rsidP="00647F3E">
            <w:pPr>
              <w:rPr>
                <w:rFonts w:ascii="Verdana" w:hAnsi="Verdana"/>
              </w:rPr>
            </w:pPr>
            <w:r w:rsidRPr="00647F3E">
              <w:rPr>
                <w:rFonts w:ascii="Verdana" w:hAnsi="Verdana"/>
              </w:rPr>
              <w:t>FOSRENOL   POW 1000MG</w:t>
            </w:r>
          </w:p>
        </w:tc>
      </w:tr>
      <w:tr w:rsidR="00711B47" w:rsidRPr="00F26D0D" w14:paraId="14573183" w14:textId="77777777" w:rsidTr="00647F3E">
        <w:trPr>
          <w:trHeight w:val="309"/>
          <w:jc w:val="center"/>
        </w:trPr>
        <w:tc>
          <w:tcPr>
            <w:tcW w:w="4670" w:type="dxa"/>
          </w:tcPr>
          <w:p w14:paraId="04D256C3" w14:textId="77777777" w:rsidR="00711B47" w:rsidRPr="00F26D0D" w:rsidRDefault="00711B47" w:rsidP="00647F3E">
            <w:pPr>
              <w:rPr>
                <w:rFonts w:ascii="Verdana" w:hAnsi="Verdana"/>
              </w:rPr>
            </w:pPr>
            <w:r w:rsidRPr="00647F3E">
              <w:rPr>
                <w:rFonts w:ascii="Verdana" w:hAnsi="Verdana"/>
              </w:rPr>
              <w:t>LANTHANUM   CHW 500MG</w:t>
            </w:r>
          </w:p>
        </w:tc>
      </w:tr>
      <w:tr w:rsidR="00711B47" w:rsidRPr="00F26D0D" w14:paraId="2A5948FA" w14:textId="77777777" w:rsidTr="00647F3E">
        <w:trPr>
          <w:trHeight w:val="299"/>
          <w:jc w:val="center"/>
        </w:trPr>
        <w:tc>
          <w:tcPr>
            <w:tcW w:w="4670" w:type="dxa"/>
          </w:tcPr>
          <w:p w14:paraId="70132AAE" w14:textId="77777777" w:rsidR="00711B47" w:rsidRPr="00F26D0D" w:rsidRDefault="00711B47" w:rsidP="00647F3E">
            <w:pPr>
              <w:rPr>
                <w:rFonts w:ascii="Verdana" w:hAnsi="Verdana"/>
              </w:rPr>
            </w:pPr>
            <w:r w:rsidRPr="00647F3E">
              <w:rPr>
                <w:rFonts w:ascii="Verdana" w:hAnsi="Verdana"/>
              </w:rPr>
              <w:t>LANTHANUM   CHW 750MG</w:t>
            </w:r>
          </w:p>
        </w:tc>
      </w:tr>
      <w:tr w:rsidR="00711B47" w:rsidRPr="00F26D0D" w14:paraId="5478151F" w14:textId="77777777" w:rsidTr="00647F3E">
        <w:trPr>
          <w:trHeight w:val="309"/>
          <w:jc w:val="center"/>
        </w:trPr>
        <w:tc>
          <w:tcPr>
            <w:tcW w:w="4670" w:type="dxa"/>
          </w:tcPr>
          <w:p w14:paraId="3E516AB9" w14:textId="77777777" w:rsidR="00711B47" w:rsidRPr="00F26D0D" w:rsidRDefault="00711B47" w:rsidP="00647F3E">
            <w:pPr>
              <w:rPr>
                <w:rFonts w:ascii="Verdana" w:hAnsi="Verdana"/>
              </w:rPr>
            </w:pPr>
            <w:r w:rsidRPr="00647F3E">
              <w:rPr>
                <w:rFonts w:ascii="Verdana" w:hAnsi="Verdana"/>
              </w:rPr>
              <w:t>LANTHANUM   CHW 1000MG</w:t>
            </w:r>
          </w:p>
        </w:tc>
      </w:tr>
      <w:tr w:rsidR="00711B47" w:rsidRPr="00F26D0D" w14:paraId="2DE15930" w14:textId="77777777" w:rsidTr="00647F3E">
        <w:trPr>
          <w:trHeight w:val="309"/>
          <w:jc w:val="center"/>
        </w:trPr>
        <w:tc>
          <w:tcPr>
            <w:tcW w:w="4670" w:type="dxa"/>
          </w:tcPr>
          <w:p w14:paraId="1DCF1EE8" w14:textId="77777777" w:rsidR="00711B47" w:rsidRPr="00F26D0D" w:rsidRDefault="00711B47" w:rsidP="00647F3E">
            <w:pPr>
              <w:rPr>
                <w:rFonts w:ascii="Verdana" w:hAnsi="Verdana"/>
              </w:rPr>
            </w:pPr>
            <w:r w:rsidRPr="00647F3E">
              <w:rPr>
                <w:rFonts w:ascii="Verdana" w:hAnsi="Verdana"/>
              </w:rPr>
              <w:t>RENVELA    TAB 800MG</w:t>
            </w:r>
          </w:p>
        </w:tc>
      </w:tr>
      <w:tr w:rsidR="00711B47" w:rsidRPr="00F26D0D" w14:paraId="34F628DD" w14:textId="77777777" w:rsidTr="00647F3E">
        <w:trPr>
          <w:trHeight w:val="299"/>
          <w:jc w:val="center"/>
        </w:trPr>
        <w:tc>
          <w:tcPr>
            <w:tcW w:w="4670" w:type="dxa"/>
          </w:tcPr>
          <w:p w14:paraId="3927550A" w14:textId="77777777" w:rsidR="00711B47" w:rsidRPr="00F26D0D" w:rsidRDefault="00711B47" w:rsidP="00647F3E">
            <w:pPr>
              <w:rPr>
                <w:rFonts w:ascii="Verdana" w:hAnsi="Verdana"/>
              </w:rPr>
            </w:pPr>
            <w:r w:rsidRPr="00647F3E">
              <w:rPr>
                <w:rFonts w:ascii="Verdana" w:hAnsi="Verdana"/>
              </w:rPr>
              <w:t>RENVELA    POW 0.8GM</w:t>
            </w:r>
          </w:p>
        </w:tc>
      </w:tr>
      <w:tr w:rsidR="00711B47" w:rsidRPr="00F26D0D" w14:paraId="76F79692" w14:textId="77777777" w:rsidTr="00647F3E">
        <w:trPr>
          <w:trHeight w:val="309"/>
          <w:jc w:val="center"/>
        </w:trPr>
        <w:tc>
          <w:tcPr>
            <w:tcW w:w="4670" w:type="dxa"/>
          </w:tcPr>
          <w:p w14:paraId="628A8405" w14:textId="77777777" w:rsidR="00711B47" w:rsidRPr="00F26D0D" w:rsidRDefault="00711B47" w:rsidP="00647F3E">
            <w:pPr>
              <w:rPr>
                <w:rFonts w:ascii="Verdana" w:hAnsi="Verdana"/>
              </w:rPr>
            </w:pPr>
            <w:r w:rsidRPr="00647F3E">
              <w:rPr>
                <w:rFonts w:ascii="Verdana" w:hAnsi="Verdana"/>
              </w:rPr>
              <w:t>RENVELA    POW 2.4GM</w:t>
            </w:r>
          </w:p>
        </w:tc>
      </w:tr>
      <w:tr w:rsidR="00711B47" w:rsidRPr="00F26D0D" w14:paraId="3CDB06D8" w14:textId="77777777" w:rsidTr="00647F3E">
        <w:trPr>
          <w:trHeight w:val="299"/>
          <w:jc w:val="center"/>
        </w:trPr>
        <w:tc>
          <w:tcPr>
            <w:tcW w:w="4670" w:type="dxa"/>
          </w:tcPr>
          <w:p w14:paraId="13584851" w14:textId="77777777" w:rsidR="00711B47" w:rsidRPr="00F26D0D" w:rsidRDefault="00711B47" w:rsidP="00647F3E">
            <w:pPr>
              <w:rPr>
                <w:rFonts w:ascii="Verdana" w:hAnsi="Verdana"/>
              </w:rPr>
            </w:pPr>
            <w:r w:rsidRPr="00647F3E">
              <w:rPr>
                <w:rFonts w:ascii="Verdana" w:hAnsi="Verdana"/>
              </w:rPr>
              <w:t>SEVELAMER CARB TAB 800MG</w:t>
            </w:r>
          </w:p>
        </w:tc>
      </w:tr>
      <w:tr w:rsidR="00711B47" w:rsidRPr="00F26D0D" w14:paraId="267813A8" w14:textId="77777777" w:rsidTr="00647F3E">
        <w:trPr>
          <w:trHeight w:val="309"/>
          <w:jc w:val="center"/>
        </w:trPr>
        <w:tc>
          <w:tcPr>
            <w:tcW w:w="4670" w:type="dxa"/>
          </w:tcPr>
          <w:p w14:paraId="39A267E2" w14:textId="77777777" w:rsidR="00711B47" w:rsidRPr="00F26D0D" w:rsidRDefault="00711B47" w:rsidP="00647F3E">
            <w:pPr>
              <w:rPr>
                <w:rFonts w:ascii="Verdana" w:hAnsi="Verdana"/>
              </w:rPr>
            </w:pPr>
            <w:r w:rsidRPr="00647F3E">
              <w:rPr>
                <w:rFonts w:ascii="Verdana" w:hAnsi="Verdana"/>
              </w:rPr>
              <w:t>SEVELAMER CARB POW 0.8GM</w:t>
            </w:r>
          </w:p>
        </w:tc>
      </w:tr>
      <w:tr w:rsidR="00711B47" w:rsidRPr="00F26D0D" w14:paraId="22A68767" w14:textId="77777777" w:rsidTr="00647F3E">
        <w:trPr>
          <w:trHeight w:val="309"/>
          <w:jc w:val="center"/>
        </w:trPr>
        <w:tc>
          <w:tcPr>
            <w:tcW w:w="4670" w:type="dxa"/>
          </w:tcPr>
          <w:p w14:paraId="6796E39A" w14:textId="77777777" w:rsidR="00711B47" w:rsidRPr="00F26D0D" w:rsidRDefault="00711B47" w:rsidP="00647F3E">
            <w:pPr>
              <w:rPr>
                <w:rFonts w:ascii="Verdana" w:hAnsi="Verdana"/>
              </w:rPr>
            </w:pPr>
            <w:r w:rsidRPr="00647F3E">
              <w:rPr>
                <w:rFonts w:ascii="Verdana" w:hAnsi="Verdana"/>
              </w:rPr>
              <w:t>SEVELAMER CARB POW 2.4GM</w:t>
            </w:r>
          </w:p>
        </w:tc>
      </w:tr>
      <w:tr w:rsidR="00711B47" w:rsidRPr="00F26D0D" w14:paraId="04EC2D2E" w14:textId="77777777" w:rsidTr="00647F3E">
        <w:trPr>
          <w:trHeight w:val="299"/>
          <w:jc w:val="center"/>
        </w:trPr>
        <w:tc>
          <w:tcPr>
            <w:tcW w:w="4670" w:type="dxa"/>
          </w:tcPr>
          <w:p w14:paraId="69A548F1" w14:textId="77777777" w:rsidR="00711B47" w:rsidRPr="00F26D0D" w:rsidRDefault="00711B47" w:rsidP="00647F3E">
            <w:pPr>
              <w:rPr>
                <w:rFonts w:ascii="Verdana" w:hAnsi="Verdana"/>
              </w:rPr>
            </w:pPr>
            <w:r w:rsidRPr="00647F3E">
              <w:rPr>
                <w:rFonts w:ascii="Verdana" w:hAnsi="Verdana"/>
              </w:rPr>
              <w:t>SEVELAMER HCL TAB 400MG</w:t>
            </w:r>
          </w:p>
        </w:tc>
      </w:tr>
      <w:tr w:rsidR="00711B47" w:rsidRPr="00F26D0D" w14:paraId="289E2246" w14:textId="77777777" w:rsidTr="00647F3E">
        <w:trPr>
          <w:trHeight w:val="309"/>
          <w:jc w:val="center"/>
        </w:trPr>
        <w:tc>
          <w:tcPr>
            <w:tcW w:w="4670" w:type="dxa"/>
          </w:tcPr>
          <w:p w14:paraId="738DF934" w14:textId="77777777" w:rsidR="00711B47" w:rsidRPr="00F26D0D" w:rsidRDefault="00711B47" w:rsidP="00647F3E">
            <w:pPr>
              <w:rPr>
                <w:rFonts w:ascii="Verdana" w:hAnsi="Verdana"/>
              </w:rPr>
            </w:pPr>
            <w:r w:rsidRPr="00647F3E">
              <w:rPr>
                <w:rFonts w:ascii="Verdana" w:hAnsi="Verdana"/>
              </w:rPr>
              <w:t>SEVELAMER HCL TAB 800MG</w:t>
            </w:r>
          </w:p>
        </w:tc>
      </w:tr>
      <w:tr w:rsidR="00711B47" w:rsidRPr="00F26D0D" w14:paraId="67D8D71A" w14:textId="77777777" w:rsidTr="00647F3E">
        <w:trPr>
          <w:trHeight w:val="299"/>
          <w:jc w:val="center"/>
        </w:trPr>
        <w:tc>
          <w:tcPr>
            <w:tcW w:w="4670" w:type="dxa"/>
          </w:tcPr>
          <w:p w14:paraId="55959DF0" w14:textId="77777777" w:rsidR="00711B47" w:rsidRPr="00F26D0D" w:rsidRDefault="00711B47" w:rsidP="00647F3E">
            <w:pPr>
              <w:rPr>
                <w:rFonts w:ascii="Verdana" w:hAnsi="Verdana"/>
              </w:rPr>
            </w:pPr>
            <w:r w:rsidRPr="00647F3E">
              <w:rPr>
                <w:rFonts w:ascii="Verdana" w:hAnsi="Verdana"/>
              </w:rPr>
              <w:t>VELPHORO   CHW 500MG</w:t>
            </w:r>
          </w:p>
        </w:tc>
      </w:tr>
      <w:tr w:rsidR="00711B47" w:rsidRPr="00F26D0D" w14:paraId="798DC5A2" w14:textId="77777777" w:rsidTr="00647F3E">
        <w:trPr>
          <w:trHeight w:val="309"/>
          <w:jc w:val="center"/>
        </w:trPr>
        <w:tc>
          <w:tcPr>
            <w:tcW w:w="4670" w:type="dxa"/>
          </w:tcPr>
          <w:p w14:paraId="04C0F543" w14:textId="77777777" w:rsidR="00711B47" w:rsidRPr="00F26D0D" w:rsidRDefault="00711B47" w:rsidP="00647F3E">
            <w:pPr>
              <w:rPr>
                <w:rFonts w:ascii="Verdana" w:hAnsi="Verdana"/>
              </w:rPr>
            </w:pPr>
            <w:r w:rsidRPr="00647F3E">
              <w:rPr>
                <w:rFonts w:ascii="Verdana" w:hAnsi="Verdana"/>
              </w:rPr>
              <w:t>XPHOZAH    TAB 20MG</w:t>
            </w:r>
          </w:p>
        </w:tc>
      </w:tr>
      <w:tr w:rsidR="00711B47" w:rsidRPr="00F26D0D" w14:paraId="11F6501A" w14:textId="77777777" w:rsidTr="00647F3E">
        <w:trPr>
          <w:trHeight w:val="309"/>
          <w:jc w:val="center"/>
        </w:trPr>
        <w:tc>
          <w:tcPr>
            <w:tcW w:w="4670" w:type="dxa"/>
          </w:tcPr>
          <w:p w14:paraId="4EE3BDD4" w14:textId="77777777" w:rsidR="00711B47" w:rsidRPr="00F26D0D" w:rsidRDefault="00711B47" w:rsidP="00647F3E">
            <w:pPr>
              <w:rPr>
                <w:rFonts w:ascii="Verdana" w:hAnsi="Verdana"/>
              </w:rPr>
            </w:pPr>
            <w:r w:rsidRPr="00647F3E">
              <w:rPr>
                <w:rFonts w:ascii="Verdana" w:hAnsi="Verdana"/>
              </w:rPr>
              <w:t>XPHOZAH    TAB 30MG</w:t>
            </w:r>
          </w:p>
        </w:tc>
      </w:tr>
    </w:tbl>
    <w:p w14:paraId="316BA001" w14:textId="77777777" w:rsidR="00711B47" w:rsidRPr="0049216E" w:rsidRDefault="00711B47" w:rsidP="00711B47">
      <w:pPr>
        <w:rPr>
          <w:rFonts w:ascii="Verdana" w:hAnsi="Verdana"/>
        </w:rPr>
      </w:pPr>
    </w:p>
    <w:p w14:paraId="08E626CD" w14:textId="72457472" w:rsidR="00711B47" w:rsidRPr="005035BD" w:rsidRDefault="00EB75B3" w:rsidP="00711B47">
      <w:pPr>
        <w:rPr>
          <w:rStyle w:val="Hyperlink"/>
        </w:rPr>
      </w:pPr>
      <w:r>
        <w:rPr>
          <w:rFonts w:ascii="Verdana" w:hAnsi="Verdana"/>
        </w:rPr>
        <w:fldChar w:fldCharType="begin"/>
      </w:r>
      <w:r w:rsidR="00653A9D">
        <w:rPr>
          <w:rFonts w:ascii="Verdana" w:hAnsi="Verdana"/>
        </w:rPr>
        <w:instrText>HYPERLINK  \l "_top"</w:instrText>
      </w:r>
      <w:r>
        <w:rPr>
          <w:rFonts w:ascii="Verdana" w:hAnsi="Verdana"/>
        </w:rPr>
      </w:r>
      <w:r>
        <w:rPr>
          <w:rFonts w:ascii="Verdana" w:hAnsi="Verdana"/>
        </w:rPr>
        <w:fldChar w:fldCharType="separate"/>
      </w:r>
    </w:p>
    <w:p w14:paraId="006B3130" w14:textId="684DC9DD" w:rsidR="00711B47" w:rsidRDefault="00EB75B3" w:rsidP="00655646">
      <w:pPr>
        <w:jc w:val="right"/>
        <w:rPr>
          <w:rFonts w:ascii="Verdana" w:hAnsi="Verdana"/>
          <w:b/>
          <w:bCs/>
        </w:rPr>
      </w:pPr>
      <w:r w:rsidRPr="00655646">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B75B3" w:rsidRPr="00BF74E9" w14:paraId="63E039DF" w14:textId="77777777" w:rsidTr="00EB75B3">
        <w:tc>
          <w:tcPr>
            <w:tcW w:w="5000" w:type="pct"/>
            <w:shd w:val="clear" w:color="auto" w:fill="C0C0C0"/>
          </w:tcPr>
          <w:p w14:paraId="7F3308A9" w14:textId="0B46060B" w:rsidR="00EB75B3" w:rsidRPr="00D32D37" w:rsidRDefault="00EB75B3" w:rsidP="00CA4BD9">
            <w:pPr>
              <w:pStyle w:val="Heading2"/>
              <w:rPr>
                <w:rFonts w:ascii="Verdana" w:hAnsi="Verdana"/>
                <w:i w:val="0"/>
                <w:iCs w:val="0"/>
              </w:rPr>
            </w:pPr>
            <w:bookmarkStart w:id="9" w:name="_Process"/>
            <w:bookmarkStart w:id="10" w:name="_Toc187140436"/>
            <w:bookmarkEnd w:id="9"/>
            <w:r w:rsidRPr="00EB75B3">
              <w:rPr>
                <w:rFonts w:ascii="Verdana" w:hAnsi="Verdana"/>
                <w:i w:val="0"/>
                <w:iCs w:val="0"/>
              </w:rPr>
              <w:t>Process</w:t>
            </w:r>
            <w:bookmarkEnd w:id="10"/>
          </w:p>
        </w:tc>
      </w:tr>
    </w:tbl>
    <w:p w14:paraId="68EC0E75" w14:textId="328556CD" w:rsidR="00711B47" w:rsidRDefault="00711B47" w:rsidP="00711B47">
      <w:pPr>
        <w:rPr>
          <w:rFonts w:ascii="Verdana" w:hAnsi="Verdana"/>
        </w:rPr>
      </w:pPr>
      <w:r w:rsidRPr="00647F3E">
        <w:rPr>
          <w:rFonts w:ascii="Verdana" w:hAnsi="Verdana"/>
        </w:rPr>
        <w:t xml:space="preserve">Refer to the process below when handling impacted Part D covered medications: </w:t>
      </w:r>
    </w:p>
    <w:p w14:paraId="193B1668" w14:textId="77777777" w:rsidR="009805A1" w:rsidRDefault="009805A1" w:rsidP="00711B47">
      <w:pPr>
        <w:rPr>
          <w:rFonts w:ascii="Verdana" w:hAnsi="Verdana"/>
        </w:rPr>
      </w:pPr>
    </w:p>
    <w:p w14:paraId="7B76C377" w14:textId="741432E1" w:rsidR="00D112F3" w:rsidRPr="008A71E2" w:rsidRDefault="00D112F3" w:rsidP="00D112F3">
      <w:pPr>
        <w:rPr>
          <w:rFonts w:ascii="Verdana" w:hAnsi="Verdana"/>
          <w:b/>
          <w:bCs/>
        </w:rPr>
      </w:pPr>
      <w:r>
        <w:rPr>
          <w:rFonts w:ascii="Verdana" w:hAnsi="Verdana"/>
          <w:b/>
          <w:bCs/>
          <w:noProof/>
        </w:rPr>
        <w:drawing>
          <wp:inline distT="0" distB="0" distL="0" distR="0" wp14:anchorId="16359BE0" wp14:editId="21A9ACBB">
            <wp:extent cx="238095" cy="209524"/>
            <wp:effectExtent l="0" t="0" r="0" b="635"/>
            <wp:docPr id="1418914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3855" name="Picture 62156385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rPr>
        <w:t xml:space="preserve"> </w:t>
      </w:r>
      <w:r w:rsidRPr="00647F3E">
        <w:rPr>
          <w:rFonts w:ascii="Verdana" w:hAnsi="Verdana"/>
          <w:b/>
          <w:bCs/>
        </w:rPr>
        <w:t>DO NOT</w:t>
      </w:r>
      <w:r>
        <w:rPr>
          <w:rFonts w:ascii="Verdana" w:hAnsi="Verdana"/>
        </w:rPr>
        <w:t xml:space="preserve"> submit an</w:t>
      </w:r>
      <w:r w:rsidRPr="00647F3E">
        <w:rPr>
          <w:rFonts w:ascii="Verdana" w:hAnsi="Verdana"/>
        </w:rPr>
        <w:t xml:space="preserve"> ESRD overrid</w:t>
      </w:r>
      <w:r>
        <w:rPr>
          <w:rFonts w:ascii="Verdana" w:hAnsi="Verdana"/>
        </w:rPr>
        <w:t>e</w:t>
      </w:r>
      <w:r w:rsidRPr="00647F3E">
        <w:rPr>
          <w:rFonts w:ascii="Verdana" w:hAnsi="Verdana"/>
        </w:rPr>
        <w:t xml:space="preserve"> for </w:t>
      </w:r>
      <w:r>
        <w:rPr>
          <w:rFonts w:ascii="Verdana" w:hAnsi="Verdana"/>
        </w:rPr>
        <w:t>these</w:t>
      </w:r>
      <w:r w:rsidRPr="00647F3E">
        <w:rPr>
          <w:rFonts w:ascii="Verdana" w:hAnsi="Verdana"/>
        </w:rPr>
        <w:t xml:space="preserve"> dialysis changes. Please follow the process </w:t>
      </w:r>
      <w:r>
        <w:rPr>
          <w:rFonts w:ascii="Verdana" w:hAnsi="Verdana"/>
        </w:rPr>
        <w:t>below</w:t>
      </w:r>
      <w:r w:rsidRPr="00647F3E">
        <w:rPr>
          <w:rFonts w:ascii="Verdana" w:hAnsi="Verdana"/>
        </w:rPr>
        <w:t xml:space="preserve"> when handling these impacted medications. </w:t>
      </w:r>
    </w:p>
    <w:p w14:paraId="6BC8D2E1" w14:textId="77777777" w:rsidR="00D112F3" w:rsidRDefault="00D112F3" w:rsidP="00711B47">
      <w:pPr>
        <w:rPr>
          <w:rFonts w:ascii="Verdana" w:hAnsi="Verdana"/>
        </w:rPr>
      </w:pPr>
    </w:p>
    <w:p w14:paraId="42F39920" w14:textId="456C6E1B" w:rsidR="00711B47" w:rsidRDefault="009805A1" w:rsidP="00711B47">
      <w:pPr>
        <w:rPr>
          <w:rFonts w:ascii="Verdana" w:hAnsi="Verdana"/>
        </w:rPr>
      </w:pPr>
      <w:r w:rsidRPr="009805A1">
        <w:rPr>
          <w:rFonts w:ascii="Verdana" w:hAnsi="Verdana"/>
        </w:rPr>
        <w:t>Determine if the Medication is impacted and refer to the scenarios below</w:t>
      </w:r>
      <w:r>
        <w:rPr>
          <w:rFonts w:ascii="Verdana" w:hAnsi="Verdana"/>
        </w:rPr>
        <w:t>.</w:t>
      </w:r>
    </w:p>
    <w:tbl>
      <w:tblPr>
        <w:tblStyle w:val="TableGrid"/>
        <w:tblW w:w="5000" w:type="pct"/>
        <w:tblLook w:val="04A0" w:firstRow="1" w:lastRow="0" w:firstColumn="1" w:lastColumn="0" w:noHBand="0" w:noVBand="1"/>
      </w:tblPr>
      <w:tblGrid>
        <w:gridCol w:w="6474"/>
        <w:gridCol w:w="3238"/>
        <w:gridCol w:w="3238"/>
      </w:tblGrid>
      <w:tr w:rsidR="00711B47" w14:paraId="0706C1BB" w14:textId="77777777" w:rsidTr="00653A9D">
        <w:tc>
          <w:tcPr>
            <w:tcW w:w="2500" w:type="pct"/>
            <w:shd w:val="clear" w:color="auto" w:fill="D9D9D9" w:themeFill="background1" w:themeFillShade="D9"/>
          </w:tcPr>
          <w:p w14:paraId="45899AF9" w14:textId="77777777" w:rsidR="00711B47" w:rsidRPr="00D201BC" w:rsidRDefault="00711B47" w:rsidP="00655646">
            <w:pPr>
              <w:jc w:val="center"/>
              <w:rPr>
                <w:rFonts w:ascii="Verdana" w:hAnsi="Verdana"/>
                <w:b/>
                <w:bCs/>
              </w:rPr>
            </w:pPr>
            <w:r w:rsidRPr="00D201BC">
              <w:rPr>
                <w:rFonts w:ascii="Verdana" w:hAnsi="Verdana"/>
                <w:b/>
                <w:bCs/>
              </w:rPr>
              <w:t xml:space="preserve">If </w:t>
            </w:r>
            <w:r>
              <w:rPr>
                <w:rFonts w:ascii="Verdana" w:hAnsi="Verdana"/>
                <w:b/>
                <w:bCs/>
              </w:rPr>
              <w:t>…</w:t>
            </w:r>
          </w:p>
        </w:tc>
        <w:tc>
          <w:tcPr>
            <w:tcW w:w="2500" w:type="pct"/>
            <w:gridSpan w:val="2"/>
            <w:shd w:val="clear" w:color="auto" w:fill="D9D9D9" w:themeFill="background1" w:themeFillShade="D9"/>
          </w:tcPr>
          <w:p w14:paraId="4B0B2E94" w14:textId="77777777" w:rsidR="00711B47" w:rsidRPr="00D201BC" w:rsidRDefault="00711B47" w:rsidP="00655646">
            <w:pPr>
              <w:jc w:val="center"/>
              <w:rPr>
                <w:rFonts w:ascii="Verdana" w:hAnsi="Verdana"/>
                <w:b/>
                <w:bCs/>
              </w:rPr>
            </w:pPr>
            <w:r>
              <w:rPr>
                <w:rFonts w:ascii="Verdana" w:hAnsi="Verdana"/>
                <w:b/>
                <w:bCs/>
              </w:rPr>
              <w:t>Then…</w:t>
            </w:r>
          </w:p>
        </w:tc>
      </w:tr>
      <w:tr w:rsidR="00711B47" w14:paraId="4FFB1D0B" w14:textId="77777777" w:rsidTr="00653A9D">
        <w:tc>
          <w:tcPr>
            <w:tcW w:w="2500" w:type="pct"/>
            <w:shd w:val="clear" w:color="auto" w:fill="auto"/>
          </w:tcPr>
          <w:p w14:paraId="2942CDDF" w14:textId="77777777" w:rsidR="00711B47" w:rsidRDefault="00711B47" w:rsidP="00647F3E">
            <w:r w:rsidRPr="00647F3E">
              <w:rPr>
                <w:rFonts w:ascii="Verdana" w:hAnsi="Verdana"/>
              </w:rPr>
              <w:t>The member’s dialysis indicator has been populated in the system, the claim for the non-Part D drug will reject with the following reject codes and message:</w:t>
            </w:r>
            <w:r w:rsidRPr="00D201BC">
              <w:t xml:space="preserve"> </w:t>
            </w:r>
          </w:p>
          <w:p w14:paraId="02E09A90" w14:textId="77777777" w:rsidR="00711B47" w:rsidRPr="00647F3E" w:rsidRDefault="00711B47" w:rsidP="00647F3E">
            <w:pPr>
              <w:pStyle w:val="ListParagraph"/>
              <w:numPr>
                <w:ilvl w:val="0"/>
                <w:numId w:val="28"/>
              </w:numPr>
              <w:rPr>
                <w:rFonts w:ascii="Verdana" w:hAnsi="Verdana"/>
                <w:b/>
                <w:bCs/>
              </w:rPr>
            </w:pPr>
            <w:r w:rsidRPr="00647F3E">
              <w:rPr>
                <w:rFonts w:ascii="Verdana" w:hAnsi="Verdana"/>
                <w:b/>
                <w:bCs/>
              </w:rPr>
              <w:t>75: Prior Authorization Required</w:t>
            </w:r>
          </w:p>
          <w:p w14:paraId="7D9642C7" w14:textId="77777777" w:rsidR="00711B47" w:rsidRPr="00647F3E" w:rsidRDefault="00711B47" w:rsidP="00647F3E">
            <w:pPr>
              <w:pStyle w:val="ListParagraph"/>
              <w:numPr>
                <w:ilvl w:val="0"/>
                <w:numId w:val="28"/>
              </w:numPr>
              <w:rPr>
                <w:rFonts w:ascii="Verdana" w:hAnsi="Verdana"/>
                <w:b/>
                <w:bCs/>
              </w:rPr>
            </w:pPr>
            <w:r w:rsidRPr="00647F3E">
              <w:rPr>
                <w:rFonts w:ascii="Verdana" w:hAnsi="Verdana"/>
                <w:b/>
                <w:bCs/>
              </w:rPr>
              <w:t>A4 THIS PRODUCT MAY BE COVERED UNDER THE MEDICARE - B BUNDLED PAYMENT TO AN ESRD DIALYSIS FACILITY</w:t>
            </w:r>
          </w:p>
          <w:p w14:paraId="088CBC8B" w14:textId="45F0C77E" w:rsidR="00711B47" w:rsidRPr="00BF27F5" w:rsidRDefault="00711B47" w:rsidP="00647F3E">
            <w:pPr>
              <w:pStyle w:val="ListParagraph"/>
              <w:numPr>
                <w:ilvl w:val="0"/>
                <w:numId w:val="28"/>
              </w:numPr>
            </w:pPr>
            <w:r w:rsidRPr="00647F3E">
              <w:rPr>
                <w:rFonts w:ascii="Verdana" w:hAnsi="Verdana"/>
                <w:b/>
                <w:bCs/>
              </w:rPr>
              <w:t xml:space="preserve">Message: PARTBVD: TO RESOLVE RPH CALL </w:t>
            </w:r>
            <w:r w:rsidR="00EB75B3">
              <w:rPr>
                <w:rFonts w:ascii="Verdana" w:hAnsi="Verdana"/>
                <w:b/>
                <w:bCs/>
              </w:rPr>
              <w:t>&lt;Toll-free Number&gt;</w:t>
            </w:r>
          </w:p>
        </w:tc>
        <w:tc>
          <w:tcPr>
            <w:tcW w:w="2500" w:type="pct"/>
            <w:gridSpan w:val="2"/>
            <w:shd w:val="clear" w:color="auto" w:fill="auto"/>
          </w:tcPr>
          <w:p w14:paraId="1A29C86F" w14:textId="77777777" w:rsidR="00711B47" w:rsidRPr="00647F3E" w:rsidRDefault="00711B47" w:rsidP="00647F3E">
            <w:pPr>
              <w:rPr>
                <w:rFonts w:ascii="Verdana" w:hAnsi="Verdana"/>
              </w:rPr>
            </w:pPr>
            <w:r w:rsidRPr="00647F3E">
              <w:rPr>
                <w:rFonts w:ascii="Verdana" w:hAnsi="Verdana"/>
              </w:rPr>
              <w:t xml:space="preserve">The </w:t>
            </w:r>
            <w:r>
              <w:rPr>
                <w:rFonts w:ascii="Verdana" w:hAnsi="Verdana"/>
              </w:rPr>
              <w:t>m</w:t>
            </w:r>
            <w:r w:rsidRPr="00647F3E">
              <w:rPr>
                <w:rFonts w:ascii="Verdana" w:hAnsi="Verdana"/>
              </w:rPr>
              <w:t>ember should contact their dialysis facility to obtain the medication.</w:t>
            </w:r>
          </w:p>
        </w:tc>
      </w:tr>
      <w:tr w:rsidR="00711B47" w14:paraId="1494276E" w14:textId="77777777" w:rsidTr="00653A9D">
        <w:tc>
          <w:tcPr>
            <w:tcW w:w="2500" w:type="pct"/>
            <w:vMerge w:val="restart"/>
            <w:shd w:val="clear" w:color="auto" w:fill="auto"/>
          </w:tcPr>
          <w:p w14:paraId="6F961D37" w14:textId="4121FA06" w:rsidR="00711B47" w:rsidRPr="00647F3E" w:rsidRDefault="00711B47" w:rsidP="00647F3E">
            <w:pPr>
              <w:rPr>
                <w:rFonts w:ascii="Verdana" w:hAnsi="Verdana"/>
              </w:rPr>
            </w:pPr>
            <w:r w:rsidRPr="00D201BC">
              <w:rPr>
                <w:rFonts w:ascii="Verdana" w:hAnsi="Verdana"/>
              </w:rPr>
              <w:t>The</w:t>
            </w:r>
            <w:r w:rsidRPr="00647F3E">
              <w:rPr>
                <w:rFonts w:ascii="Verdana" w:hAnsi="Verdana"/>
              </w:rPr>
              <w:t xml:space="preserve"> member’s dialysis indicator </w:t>
            </w:r>
            <w:r w:rsidR="00EB75B3">
              <w:rPr>
                <w:rFonts w:ascii="Verdana" w:hAnsi="Verdana"/>
              </w:rPr>
              <w:t>has not been populated in the system</w:t>
            </w:r>
            <w:r w:rsidRPr="00647F3E">
              <w:rPr>
                <w:rFonts w:ascii="Verdana" w:hAnsi="Verdana"/>
              </w:rPr>
              <w:t xml:space="preserve">, the claim for the non-Part D drug will reject with the following reject codes and message:  </w:t>
            </w:r>
          </w:p>
          <w:p w14:paraId="6CEBA83C" w14:textId="77777777" w:rsidR="00711B47" w:rsidRPr="00647F3E" w:rsidRDefault="00711B47" w:rsidP="00647F3E">
            <w:pPr>
              <w:pStyle w:val="ListParagraph"/>
              <w:numPr>
                <w:ilvl w:val="0"/>
                <w:numId w:val="53"/>
              </w:numPr>
              <w:rPr>
                <w:rFonts w:ascii="Verdana" w:hAnsi="Verdana"/>
                <w:b/>
                <w:bCs/>
              </w:rPr>
            </w:pPr>
            <w:r w:rsidRPr="00647F3E">
              <w:rPr>
                <w:rFonts w:ascii="Verdana" w:hAnsi="Verdana"/>
                <w:b/>
                <w:bCs/>
              </w:rPr>
              <w:t xml:space="preserve">70: Product/Service Not Covered- Plan/Benefit Exclusion </w:t>
            </w:r>
          </w:p>
          <w:p w14:paraId="27A1FD4F" w14:textId="77777777" w:rsidR="00711B47" w:rsidRPr="00647F3E" w:rsidRDefault="00711B47" w:rsidP="00647F3E">
            <w:pPr>
              <w:pStyle w:val="ListParagraph"/>
              <w:numPr>
                <w:ilvl w:val="0"/>
                <w:numId w:val="53"/>
              </w:numPr>
              <w:rPr>
                <w:rFonts w:ascii="Verdana" w:hAnsi="Verdana"/>
                <w:b/>
                <w:bCs/>
              </w:rPr>
            </w:pPr>
            <w:r w:rsidRPr="00647F3E">
              <w:rPr>
                <w:rFonts w:ascii="Verdana" w:hAnsi="Verdana"/>
                <w:b/>
                <w:bCs/>
              </w:rPr>
              <w:t>A5 Not covered under Med D law</w:t>
            </w:r>
          </w:p>
        </w:tc>
        <w:tc>
          <w:tcPr>
            <w:tcW w:w="2500" w:type="pct"/>
            <w:gridSpan w:val="2"/>
            <w:shd w:val="clear" w:color="auto" w:fill="auto"/>
          </w:tcPr>
          <w:p w14:paraId="1E8F2740" w14:textId="77777777" w:rsidR="00711B47" w:rsidRDefault="00711B47" w:rsidP="00647F3E">
            <w:pPr>
              <w:rPr>
                <w:rFonts w:ascii="Verdana" w:hAnsi="Verdana"/>
              </w:rPr>
            </w:pPr>
            <w:r w:rsidRPr="00647F3E">
              <w:rPr>
                <w:rFonts w:ascii="Verdana" w:hAnsi="Verdana"/>
              </w:rPr>
              <w:t xml:space="preserve">Confirm that the member is receiving </w:t>
            </w:r>
            <w:r>
              <w:rPr>
                <w:rFonts w:ascii="Verdana" w:hAnsi="Verdana"/>
              </w:rPr>
              <w:t>d</w:t>
            </w:r>
            <w:r w:rsidRPr="00647F3E">
              <w:rPr>
                <w:rFonts w:ascii="Verdana" w:hAnsi="Verdana"/>
              </w:rPr>
              <w:t>ialysis:</w:t>
            </w:r>
          </w:p>
          <w:p w14:paraId="0C7F8EC1" w14:textId="77777777" w:rsidR="009805A1" w:rsidRPr="00647F3E" w:rsidRDefault="009805A1" w:rsidP="00647F3E">
            <w:pPr>
              <w:rPr>
                <w:rFonts w:ascii="Verdana" w:hAnsi="Verdana"/>
              </w:rPr>
            </w:pPr>
          </w:p>
        </w:tc>
      </w:tr>
      <w:tr w:rsidR="00711B47" w14:paraId="5084CF4F" w14:textId="77777777" w:rsidTr="00653A9D">
        <w:tc>
          <w:tcPr>
            <w:tcW w:w="2500" w:type="pct"/>
            <w:vMerge/>
            <w:shd w:val="clear" w:color="auto" w:fill="auto"/>
          </w:tcPr>
          <w:p w14:paraId="12B96BF9" w14:textId="77777777" w:rsidR="00711B47" w:rsidRPr="00D201BC" w:rsidRDefault="00711B47" w:rsidP="00647F3E">
            <w:pPr>
              <w:rPr>
                <w:rFonts w:ascii="Verdana" w:hAnsi="Verdana"/>
              </w:rPr>
            </w:pPr>
          </w:p>
        </w:tc>
        <w:tc>
          <w:tcPr>
            <w:tcW w:w="1250" w:type="pct"/>
            <w:shd w:val="clear" w:color="auto" w:fill="D9D9D9" w:themeFill="background1" w:themeFillShade="D9"/>
          </w:tcPr>
          <w:p w14:paraId="6E6FEE18" w14:textId="77777777" w:rsidR="00711B47" w:rsidRDefault="00711B47" w:rsidP="00655646">
            <w:pPr>
              <w:jc w:val="center"/>
              <w:rPr>
                <w:rFonts w:ascii="Verdana" w:hAnsi="Verdana"/>
                <w:b/>
                <w:bCs/>
              </w:rPr>
            </w:pPr>
            <w:r>
              <w:rPr>
                <w:rFonts w:ascii="Verdana" w:hAnsi="Verdana"/>
                <w:b/>
                <w:bCs/>
              </w:rPr>
              <w:t>If…</w:t>
            </w:r>
          </w:p>
        </w:tc>
        <w:tc>
          <w:tcPr>
            <w:tcW w:w="1250" w:type="pct"/>
            <w:shd w:val="clear" w:color="auto" w:fill="D9D9D9" w:themeFill="background1" w:themeFillShade="D9"/>
          </w:tcPr>
          <w:p w14:paraId="570E093A" w14:textId="77777777" w:rsidR="00711B47" w:rsidRDefault="00711B47" w:rsidP="00655646">
            <w:pPr>
              <w:jc w:val="center"/>
              <w:rPr>
                <w:rFonts w:ascii="Verdana" w:hAnsi="Verdana"/>
                <w:b/>
                <w:bCs/>
              </w:rPr>
            </w:pPr>
            <w:r>
              <w:rPr>
                <w:rFonts w:ascii="Verdana" w:hAnsi="Verdana"/>
                <w:b/>
                <w:bCs/>
              </w:rPr>
              <w:t>Then…</w:t>
            </w:r>
          </w:p>
        </w:tc>
      </w:tr>
      <w:tr w:rsidR="00711B47" w14:paraId="61020FF8" w14:textId="77777777" w:rsidTr="00653A9D">
        <w:tc>
          <w:tcPr>
            <w:tcW w:w="2500" w:type="pct"/>
            <w:vMerge/>
            <w:shd w:val="clear" w:color="auto" w:fill="auto"/>
          </w:tcPr>
          <w:p w14:paraId="1211F05B" w14:textId="77777777" w:rsidR="00711B47" w:rsidRPr="00D201BC" w:rsidRDefault="00711B47" w:rsidP="00647F3E">
            <w:pPr>
              <w:rPr>
                <w:rFonts w:ascii="Verdana" w:hAnsi="Verdana"/>
              </w:rPr>
            </w:pPr>
          </w:p>
        </w:tc>
        <w:tc>
          <w:tcPr>
            <w:tcW w:w="1250" w:type="pct"/>
            <w:shd w:val="clear" w:color="auto" w:fill="auto"/>
          </w:tcPr>
          <w:p w14:paraId="2AABA661" w14:textId="77777777" w:rsidR="00711B47" w:rsidRDefault="00711B47" w:rsidP="00647F3E">
            <w:pPr>
              <w:rPr>
                <w:rFonts w:ascii="Verdana" w:hAnsi="Verdana"/>
              </w:rPr>
            </w:pPr>
            <w:r w:rsidRPr="00647F3E">
              <w:rPr>
                <w:rFonts w:ascii="Verdana" w:hAnsi="Verdana"/>
              </w:rPr>
              <w:t xml:space="preserve">The member or prescriber </w:t>
            </w:r>
            <w:r w:rsidRPr="00D201BC">
              <w:rPr>
                <w:rFonts w:ascii="Verdana" w:hAnsi="Verdana"/>
                <w:b/>
                <w:bCs/>
              </w:rPr>
              <w:t>confirms</w:t>
            </w:r>
            <w:r w:rsidRPr="00647F3E">
              <w:rPr>
                <w:rFonts w:ascii="Verdana" w:hAnsi="Verdana"/>
              </w:rPr>
              <w:t xml:space="preserve"> they are receiving dialysis</w:t>
            </w:r>
            <w:r>
              <w:rPr>
                <w:rFonts w:ascii="Verdana" w:hAnsi="Verdana"/>
              </w:rPr>
              <w:t>…</w:t>
            </w:r>
          </w:p>
          <w:p w14:paraId="553E80B0" w14:textId="77777777" w:rsidR="009805A1" w:rsidRPr="00647F3E" w:rsidRDefault="009805A1" w:rsidP="00647F3E">
            <w:pPr>
              <w:rPr>
                <w:rFonts w:ascii="Verdana" w:hAnsi="Verdana"/>
              </w:rPr>
            </w:pPr>
          </w:p>
        </w:tc>
        <w:tc>
          <w:tcPr>
            <w:tcW w:w="1250" w:type="pct"/>
            <w:shd w:val="clear" w:color="auto" w:fill="auto"/>
          </w:tcPr>
          <w:p w14:paraId="59DBD187" w14:textId="77777777" w:rsidR="00711B47" w:rsidRPr="00647F3E" w:rsidRDefault="00711B47" w:rsidP="00647F3E">
            <w:pPr>
              <w:rPr>
                <w:rFonts w:ascii="Verdana" w:hAnsi="Verdana"/>
              </w:rPr>
            </w:pPr>
            <w:r w:rsidRPr="00647F3E">
              <w:rPr>
                <w:rFonts w:ascii="Verdana" w:hAnsi="Verdana"/>
              </w:rPr>
              <w:t xml:space="preserve">The </w:t>
            </w:r>
            <w:r>
              <w:rPr>
                <w:rFonts w:ascii="Verdana" w:hAnsi="Verdana"/>
              </w:rPr>
              <w:t>m</w:t>
            </w:r>
            <w:r w:rsidRPr="00647F3E">
              <w:rPr>
                <w:rFonts w:ascii="Verdana" w:hAnsi="Verdana"/>
              </w:rPr>
              <w:t>ember should contact their dialysis facility to obtain the medication.</w:t>
            </w:r>
          </w:p>
        </w:tc>
      </w:tr>
      <w:tr w:rsidR="00711B47" w14:paraId="5D17EF93" w14:textId="77777777" w:rsidTr="00653A9D">
        <w:tc>
          <w:tcPr>
            <w:tcW w:w="2500" w:type="pct"/>
            <w:vMerge/>
            <w:shd w:val="clear" w:color="auto" w:fill="auto"/>
          </w:tcPr>
          <w:p w14:paraId="272B7476" w14:textId="77777777" w:rsidR="00711B47" w:rsidRPr="00D201BC" w:rsidRDefault="00711B47" w:rsidP="00647F3E">
            <w:pPr>
              <w:rPr>
                <w:rFonts w:ascii="Verdana" w:hAnsi="Verdana"/>
              </w:rPr>
            </w:pPr>
          </w:p>
        </w:tc>
        <w:tc>
          <w:tcPr>
            <w:tcW w:w="1250" w:type="pct"/>
            <w:shd w:val="clear" w:color="auto" w:fill="auto"/>
          </w:tcPr>
          <w:p w14:paraId="050206FF" w14:textId="77777777" w:rsidR="00711B47" w:rsidRDefault="00711B47" w:rsidP="00647F3E">
            <w:pPr>
              <w:rPr>
                <w:rFonts w:ascii="Verdana" w:hAnsi="Verdana"/>
              </w:rPr>
            </w:pPr>
            <w:r>
              <w:rPr>
                <w:rFonts w:ascii="Verdana" w:hAnsi="Verdana"/>
              </w:rPr>
              <w:t>T</w:t>
            </w:r>
            <w:r w:rsidRPr="00D201BC">
              <w:rPr>
                <w:rFonts w:ascii="Verdana" w:hAnsi="Verdana"/>
              </w:rPr>
              <w:t xml:space="preserve">he member is </w:t>
            </w:r>
            <w:r w:rsidRPr="00647F3E">
              <w:rPr>
                <w:rFonts w:ascii="Verdana" w:hAnsi="Verdana"/>
                <w:b/>
                <w:bCs/>
              </w:rPr>
              <w:t>NOT</w:t>
            </w:r>
            <w:r w:rsidRPr="00D201BC">
              <w:rPr>
                <w:rFonts w:ascii="Verdana" w:hAnsi="Verdana"/>
              </w:rPr>
              <w:t xml:space="preserve"> receiving dialysis</w:t>
            </w:r>
            <w:r>
              <w:rPr>
                <w:rFonts w:ascii="Verdana" w:hAnsi="Verdana"/>
              </w:rPr>
              <w:t>…</w:t>
            </w:r>
          </w:p>
          <w:p w14:paraId="491FA4C3" w14:textId="77777777" w:rsidR="009805A1" w:rsidRPr="00D201BC" w:rsidRDefault="009805A1" w:rsidP="00647F3E">
            <w:pPr>
              <w:rPr>
                <w:rFonts w:ascii="Verdana" w:hAnsi="Verdana"/>
              </w:rPr>
            </w:pPr>
          </w:p>
        </w:tc>
        <w:tc>
          <w:tcPr>
            <w:tcW w:w="1250" w:type="pct"/>
            <w:shd w:val="clear" w:color="auto" w:fill="auto"/>
          </w:tcPr>
          <w:p w14:paraId="285B25ED" w14:textId="3A5B2983" w:rsidR="00711B47" w:rsidRDefault="00D112F3" w:rsidP="00647F3E">
            <w:pPr>
              <w:rPr>
                <w:rFonts w:ascii="Verdana" w:hAnsi="Verdana"/>
              </w:rPr>
            </w:pPr>
            <w:r>
              <w:rPr>
                <w:rFonts w:ascii="Verdana" w:hAnsi="Verdana"/>
              </w:rPr>
              <w:t>Follow the plan’s Coverage Determination process.</w:t>
            </w:r>
          </w:p>
          <w:p w14:paraId="5E00BB22" w14:textId="77777777" w:rsidR="009805A1" w:rsidRPr="00D201BC" w:rsidRDefault="009805A1" w:rsidP="00647F3E">
            <w:pPr>
              <w:rPr>
                <w:rFonts w:ascii="Verdana" w:hAnsi="Verdana"/>
              </w:rPr>
            </w:pPr>
          </w:p>
        </w:tc>
      </w:tr>
    </w:tbl>
    <w:p w14:paraId="7A4ECDA4" w14:textId="77777777" w:rsidR="00711B47" w:rsidRPr="00647F3E" w:rsidRDefault="00711B47" w:rsidP="00711B47">
      <w:pPr>
        <w:rPr>
          <w:rFonts w:ascii="Verdana" w:hAnsi="Verdana"/>
        </w:rPr>
      </w:pPr>
    </w:p>
    <w:p w14:paraId="30321091" w14:textId="77777777" w:rsidR="00711B47" w:rsidRDefault="00711B47" w:rsidP="00711B47">
      <w:pPr>
        <w:rPr>
          <w:rFonts w:ascii="Verdana" w:hAnsi="Verdana"/>
          <w:b/>
          <w:bCs/>
        </w:rPr>
      </w:pPr>
    </w:p>
    <w:p w14:paraId="4DAB0D63" w14:textId="1FB2BE6F" w:rsidR="00D112F3" w:rsidRPr="005035BD" w:rsidRDefault="00D112F3" w:rsidP="00D112F3">
      <w:pPr>
        <w:rPr>
          <w:rStyle w:val="Hyperlink"/>
        </w:rPr>
      </w:pPr>
      <w:r>
        <w:rPr>
          <w:rFonts w:ascii="Verdana" w:hAnsi="Verdana"/>
        </w:rPr>
        <w:fldChar w:fldCharType="begin"/>
      </w:r>
      <w:r w:rsidR="00653A9D">
        <w:rPr>
          <w:rFonts w:ascii="Verdana" w:hAnsi="Verdana"/>
        </w:rPr>
        <w:instrText>HYPERLINK  \l "_top"</w:instrText>
      </w:r>
      <w:r>
        <w:rPr>
          <w:rFonts w:ascii="Verdana" w:hAnsi="Verdana"/>
        </w:rPr>
      </w:r>
      <w:r>
        <w:rPr>
          <w:rFonts w:ascii="Verdana" w:hAnsi="Verdana"/>
        </w:rPr>
        <w:fldChar w:fldCharType="separate"/>
      </w:r>
    </w:p>
    <w:p w14:paraId="362D710C" w14:textId="77777777" w:rsidR="00D112F3" w:rsidRDefault="00D112F3" w:rsidP="00D112F3">
      <w:pPr>
        <w:jc w:val="right"/>
        <w:rPr>
          <w:rFonts w:ascii="Verdana" w:hAnsi="Verdana"/>
          <w:b/>
          <w:bCs/>
        </w:rPr>
      </w:pPr>
      <w:r w:rsidRPr="00CA4BD9">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112F3" w:rsidRPr="00BF74E9" w14:paraId="7FCF6C96" w14:textId="77777777" w:rsidTr="00D112F3">
        <w:tc>
          <w:tcPr>
            <w:tcW w:w="5000" w:type="pct"/>
            <w:shd w:val="clear" w:color="auto" w:fill="C0C0C0"/>
          </w:tcPr>
          <w:p w14:paraId="0856AA49" w14:textId="4FCB81A2" w:rsidR="00D112F3" w:rsidRPr="00D32D37" w:rsidRDefault="00D112F3" w:rsidP="00CA4BD9">
            <w:pPr>
              <w:pStyle w:val="Heading2"/>
              <w:rPr>
                <w:rFonts w:ascii="Verdana" w:hAnsi="Verdana"/>
                <w:i w:val="0"/>
                <w:iCs w:val="0"/>
              </w:rPr>
            </w:pPr>
            <w:bookmarkStart w:id="11" w:name="_Toc187140437"/>
            <w:r w:rsidRPr="00D112F3">
              <w:rPr>
                <w:rFonts w:ascii="Verdana" w:hAnsi="Verdana"/>
                <w:i w:val="0"/>
                <w:iCs w:val="0"/>
              </w:rPr>
              <w:t>FAQs</w:t>
            </w:r>
            <w:bookmarkEnd w:id="11"/>
          </w:p>
        </w:tc>
      </w:tr>
    </w:tbl>
    <w:p w14:paraId="4DDCAD18" w14:textId="77777777" w:rsidR="009D1067" w:rsidRDefault="009D1067" w:rsidP="00711B47">
      <w:pPr>
        <w:rPr>
          <w:rFonts w:ascii="Verdana" w:hAnsi="Verdana"/>
        </w:rPr>
      </w:pPr>
    </w:p>
    <w:p w14:paraId="511E034B" w14:textId="791FA3D2" w:rsidR="00711B47" w:rsidRPr="00655646" w:rsidRDefault="009D1067" w:rsidP="00711B47">
      <w:pPr>
        <w:rPr>
          <w:rFonts w:ascii="Verdana" w:hAnsi="Verdana"/>
        </w:rPr>
      </w:pPr>
      <w:r w:rsidRPr="00655646">
        <w:rPr>
          <w:rFonts w:ascii="Verdana" w:hAnsi="Verdana"/>
        </w:rPr>
        <w:t>Refer to the following Frequently Asked Questions:</w:t>
      </w:r>
    </w:p>
    <w:tbl>
      <w:tblPr>
        <w:tblStyle w:val="TableGrid"/>
        <w:tblW w:w="5000" w:type="pct"/>
        <w:tblLook w:val="04A0" w:firstRow="1" w:lastRow="0" w:firstColumn="1" w:lastColumn="0" w:noHBand="0" w:noVBand="1"/>
      </w:tblPr>
      <w:tblGrid>
        <w:gridCol w:w="1056"/>
        <w:gridCol w:w="5187"/>
        <w:gridCol w:w="6707"/>
      </w:tblGrid>
      <w:tr w:rsidR="005035BD" w14:paraId="56308EFE" w14:textId="77777777" w:rsidTr="00C56B8B">
        <w:tc>
          <w:tcPr>
            <w:tcW w:w="235" w:type="pct"/>
            <w:shd w:val="clear" w:color="auto" w:fill="D9D9D9" w:themeFill="background1" w:themeFillShade="D9"/>
          </w:tcPr>
          <w:p w14:paraId="602895D9" w14:textId="0D03C63C" w:rsidR="009D1067" w:rsidRDefault="009D1067" w:rsidP="00655646">
            <w:pPr>
              <w:jc w:val="center"/>
              <w:rPr>
                <w:rFonts w:ascii="Verdana" w:hAnsi="Verdana"/>
                <w:b/>
                <w:bCs/>
              </w:rPr>
            </w:pPr>
            <w:r>
              <w:rPr>
                <w:rFonts w:ascii="Verdana" w:hAnsi="Verdana"/>
                <w:b/>
                <w:bCs/>
              </w:rPr>
              <w:t>#</w:t>
            </w:r>
          </w:p>
        </w:tc>
        <w:tc>
          <w:tcPr>
            <w:tcW w:w="2089" w:type="pct"/>
            <w:shd w:val="clear" w:color="auto" w:fill="D9D9D9" w:themeFill="background1" w:themeFillShade="D9"/>
          </w:tcPr>
          <w:p w14:paraId="1009958E" w14:textId="3ADA91F5" w:rsidR="009D1067" w:rsidRDefault="009D1067" w:rsidP="00655646">
            <w:pPr>
              <w:jc w:val="center"/>
              <w:rPr>
                <w:rFonts w:ascii="Verdana" w:hAnsi="Verdana"/>
                <w:b/>
                <w:bCs/>
              </w:rPr>
            </w:pPr>
            <w:r>
              <w:rPr>
                <w:rFonts w:ascii="Verdana" w:hAnsi="Verdana"/>
                <w:b/>
                <w:bCs/>
              </w:rPr>
              <w:t>Question</w:t>
            </w:r>
          </w:p>
        </w:tc>
        <w:tc>
          <w:tcPr>
            <w:tcW w:w="2676" w:type="pct"/>
            <w:shd w:val="clear" w:color="auto" w:fill="D9D9D9" w:themeFill="background1" w:themeFillShade="D9"/>
          </w:tcPr>
          <w:p w14:paraId="5ABB1564" w14:textId="5409D6C5" w:rsidR="009D1067" w:rsidRDefault="009D1067" w:rsidP="00655646">
            <w:pPr>
              <w:jc w:val="center"/>
              <w:rPr>
                <w:rFonts w:ascii="Verdana" w:hAnsi="Verdana"/>
                <w:b/>
                <w:bCs/>
              </w:rPr>
            </w:pPr>
            <w:r>
              <w:rPr>
                <w:rFonts w:ascii="Verdana" w:hAnsi="Verdana"/>
                <w:b/>
                <w:bCs/>
              </w:rPr>
              <w:t>Answer</w:t>
            </w:r>
          </w:p>
        </w:tc>
      </w:tr>
      <w:tr w:rsidR="005035BD" w14:paraId="3C836D25" w14:textId="77777777" w:rsidTr="00C56B8B">
        <w:tc>
          <w:tcPr>
            <w:tcW w:w="235" w:type="pct"/>
          </w:tcPr>
          <w:p w14:paraId="1FEA952B" w14:textId="10AD1FFE" w:rsidR="009D1067" w:rsidRPr="00655646" w:rsidRDefault="009D1067" w:rsidP="00655646">
            <w:pPr>
              <w:pStyle w:val="ListParagraph"/>
              <w:numPr>
                <w:ilvl w:val="0"/>
                <w:numId w:val="57"/>
              </w:numPr>
              <w:rPr>
                <w:rFonts w:ascii="Verdana" w:hAnsi="Verdana"/>
                <w:b/>
                <w:bCs/>
              </w:rPr>
            </w:pPr>
          </w:p>
        </w:tc>
        <w:tc>
          <w:tcPr>
            <w:tcW w:w="2089" w:type="pct"/>
          </w:tcPr>
          <w:p w14:paraId="056965DF" w14:textId="392553AE" w:rsidR="009D1067" w:rsidRPr="005035BD" w:rsidRDefault="005035BD" w:rsidP="00711B47">
            <w:pPr>
              <w:rPr>
                <w:rFonts w:ascii="Verdana" w:hAnsi="Verdana"/>
                <w:b/>
                <w:bCs/>
              </w:rPr>
            </w:pPr>
            <w:r w:rsidRPr="005035BD">
              <w:rPr>
                <w:rFonts w:ascii="Verdana" w:hAnsi="Verdana"/>
                <w:b/>
                <w:bCs/>
              </w:rPr>
              <w:t>How will this impact my drug coverage starting January 1, 2025?</w:t>
            </w:r>
          </w:p>
        </w:tc>
        <w:tc>
          <w:tcPr>
            <w:tcW w:w="2676" w:type="pct"/>
          </w:tcPr>
          <w:p w14:paraId="3B3711C6" w14:textId="77777777" w:rsidR="005035BD" w:rsidRPr="00655646" w:rsidRDefault="005035BD" w:rsidP="005035BD">
            <w:pPr>
              <w:pStyle w:val="ListParagraph"/>
              <w:numPr>
                <w:ilvl w:val="0"/>
                <w:numId w:val="54"/>
              </w:numPr>
              <w:rPr>
                <w:rFonts w:ascii="Verdana" w:hAnsi="Verdana"/>
                <w:b/>
                <w:bCs/>
                <w:sz w:val="24"/>
                <w:szCs w:val="24"/>
              </w:rPr>
            </w:pPr>
            <w:r w:rsidRPr="00655646">
              <w:rPr>
                <w:rFonts w:ascii="Verdana" w:hAnsi="Verdana"/>
                <w:sz w:val="24"/>
                <w:szCs w:val="24"/>
              </w:rPr>
              <w:t xml:space="preserve">These drugs will no longer be Part D covered drugs when prescribed for an ESRD member who is receiving renal dialysis services. Coverage will instead be through the ESRD PPS. The pharmacy will not be able to bill traditional Medicare Part B (red, white, and blue card) or Medicare Advantage plans for these drugs. </w:t>
            </w:r>
          </w:p>
          <w:p w14:paraId="73C0055C" w14:textId="77777777" w:rsidR="005035BD" w:rsidRPr="00655646" w:rsidRDefault="005035BD" w:rsidP="00655646">
            <w:pPr>
              <w:pStyle w:val="ListParagraph"/>
              <w:rPr>
                <w:rFonts w:ascii="Verdana" w:hAnsi="Verdana"/>
                <w:b/>
                <w:bCs/>
                <w:sz w:val="24"/>
                <w:szCs w:val="24"/>
              </w:rPr>
            </w:pPr>
          </w:p>
          <w:p w14:paraId="3775C7EC" w14:textId="11EC8F03" w:rsidR="009D1067" w:rsidRPr="00655646" w:rsidRDefault="005035BD" w:rsidP="00655646">
            <w:pPr>
              <w:pStyle w:val="ListParagraph"/>
              <w:numPr>
                <w:ilvl w:val="0"/>
                <w:numId w:val="54"/>
              </w:numPr>
              <w:rPr>
                <w:rFonts w:ascii="Verdana" w:hAnsi="Verdana"/>
                <w:b/>
                <w:bCs/>
                <w:sz w:val="24"/>
                <w:szCs w:val="24"/>
              </w:rPr>
            </w:pPr>
            <w:r w:rsidRPr="00655646">
              <w:rPr>
                <w:rFonts w:ascii="Verdana" w:hAnsi="Verdana"/>
                <w:sz w:val="24"/>
                <w:szCs w:val="24"/>
              </w:rPr>
              <w:t>The dialysis facility is expected to provide these medications to the patient, where coverage is incorporated under their ESRD bundled payment.</w:t>
            </w:r>
          </w:p>
        </w:tc>
      </w:tr>
      <w:tr w:rsidR="005035BD" w14:paraId="6D6A722D" w14:textId="77777777" w:rsidTr="00C56B8B">
        <w:tc>
          <w:tcPr>
            <w:tcW w:w="235" w:type="pct"/>
          </w:tcPr>
          <w:p w14:paraId="18FEF810" w14:textId="57D4465E" w:rsidR="009D1067" w:rsidRPr="00655646" w:rsidRDefault="009D1067" w:rsidP="00655646">
            <w:pPr>
              <w:pStyle w:val="ListParagraph"/>
              <w:numPr>
                <w:ilvl w:val="0"/>
                <w:numId w:val="57"/>
              </w:numPr>
              <w:rPr>
                <w:rFonts w:ascii="Verdana" w:hAnsi="Verdana"/>
                <w:b/>
                <w:bCs/>
              </w:rPr>
            </w:pPr>
          </w:p>
        </w:tc>
        <w:tc>
          <w:tcPr>
            <w:tcW w:w="2089" w:type="pct"/>
          </w:tcPr>
          <w:p w14:paraId="087F4C91" w14:textId="42B4C2BC" w:rsidR="009D1067" w:rsidRDefault="005035BD" w:rsidP="00711B47">
            <w:pPr>
              <w:rPr>
                <w:rFonts w:ascii="Verdana" w:hAnsi="Verdana"/>
                <w:b/>
                <w:bCs/>
              </w:rPr>
            </w:pPr>
            <w:r w:rsidRPr="005035BD">
              <w:rPr>
                <w:rFonts w:ascii="Verdana" w:hAnsi="Verdana"/>
                <w:b/>
                <w:bCs/>
              </w:rPr>
              <w:t>I have chronic kidney disease (CKD</w:t>
            </w:r>
            <w:proofErr w:type="gramStart"/>
            <w:r w:rsidRPr="005035BD">
              <w:rPr>
                <w:rFonts w:ascii="Verdana" w:hAnsi="Verdana"/>
                <w:b/>
                <w:bCs/>
              </w:rPr>
              <w:t>)</w:t>
            </w:r>
            <w:proofErr w:type="gramEnd"/>
            <w:r w:rsidRPr="005035BD">
              <w:rPr>
                <w:rFonts w:ascii="Verdana" w:hAnsi="Verdana"/>
                <w:b/>
                <w:bCs/>
              </w:rPr>
              <w:t xml:space="preserve"> but I am not on dialysis and am using one of these drugs for hyperphosphatemia. What does this coverage transition mean for me?</w:t>
            </w:r>
          </w:p>
        </w:tc>
        <w:tc>
          <w:tcPr>
            <w:tcW w:w="2676" w:type="pct"/>
          </w:tcPr>
          <w:p w14:paraId="567C0E8E" w14:textId="66080057" w:rsidR="005035BD" w:rsidRDefault="005035BD" w:rsidP="005035BD">
            <w:pPr>
              <w:pStyle w:val="ListParagraph"/>
              <w:numPr>
                <w:ilvl w:val="0"/>
                <w:numId w:val="55"/>
              </w:numPr>
              <w:rPr>
                <w:rFonts w:ascii="Verdana" w:hAnsi="Verdana"/>
                <w:sz w:val="24"/>
                <w:szCs w:val="24"/>
              </w:rPr>
            </w:pPr>
            <w:r w:rsidRPr="00655646">
              <w:rPr>
                <w:rFonts w:ascii="Verdana" w:hAnsi="Verdana"/>
                <w:sz w:val="24"/>
                <w:szCs w:val="24"/>
              </w:rPr>
              <w:t>The ESRD PPS will only cover the drug if the patient is receiving dialysis. Therefore, the patient or their prescriber may request a Coverage Determination (CD) asking the Part D plan for coverage. Assist the caller with initiating the coverage determination process.</w:t>
            </w:r>
          </w:p>
          <w:p w14:paraId="2A0BA251" w14:textId="77777777" w:rsidR="005035BD" w:rsidRPr="00655646" w:rsidRDefault="005035BD" w:rsidP="00655646">
            <w:pPr>
              <w:pStyle w:val="ListParagraph"/>
              <w:rPr>
                <w:rFonts w:ascii="Verdana" w:hAnsi="Verdana"/>
                <w:sz w:val="24"/>
                <w:szCs w:val="24"/>
              </w:rPr>
            </w:pPr>
          </w:p>
          <w:p w14:paraId="16A9067C" w14:textId="5ACF32BA" w:rsidR="009D1067" w:rsidRPr="00655646" w:rsidRDefault="005035BD" w:rsidP="00655646">
            <w:pPr>
              <w:pStyle w:val="ListParagraph"/>
              <w:numPr>
                <w:ilvl w:val="0"/>
                <w:numId w:val="55"/>
              </w:numPr>
              <w:rPr>
                <w:rFonts w:ascii="Verdana" w:hAnsi="Verdana"/>
                <w:b/>
                <w:bCs/>
              </w:rPr>
            </w:pPr>
            <w:r w:rsidRPr="00655646">
              <w:rPr>
                <w:rFonts w:ascii="Verdana" w:hAnsi="Verdana"/>
                <w:sz w:val="24"/>
                <w:szCs w:val="24"/>
              </w:rPr>
              <w:t xml:space="preserve">The Part D benefit can only cover these drugs when prescribed for a medically accepted indication unrelated to dialysis. For coverage to be approved, the drug would need to be prescribed for an FDA-approved purpose or for a purpose that is supported in a Medicare-recognized drug compendium (i.e., </w:t>
            </w:r>
            <w:proofErr w:type="spellStart"/>
            <w:r w:rsidRPr="00655646">
              <w:rPr>
                <w:rFonts w:ascii="Verdana" w:hAnsi="Verdana"/>
                <w:sz w:val="24"/>
                <w:szCs w:val="24"/>
              </w:rPr>
              <w:t>DrugDex</w:t>
            </w:r>
            <w:proofErr w:type="spellEnd"/>
            <w:r w:rsidRPr="00655646">
              <w:rPr>
                <w:rFonts w:ascii="Verdana" w:hAnsi="Verdana"/>
                <w:sz w:val="24"/>
                <w:szCs w:val="24"/>
              </w:rPr>
              <w:t xml:space="preserve"> via </w:t>
            </w:r>
            <w:proofErr w:type="spellStart"/>
            <w:r w:rsidRPr="00655646">
              <w:rPr>
                <w:rFonts w:ascii="Verdana" w:hAnsi="Verdana"/>
                <w:sz w:val="24"/>
                <w:szCs w:val="24"/>
              </w:rPr>
              <w:t>MicroMedex</w:t>
            </w:r>
            <w:proofErr w:type="spellEnd"/>
            <w:r w:rsidRPr="00655646">
              <w:rPr>
                <w:rFonts w:ascii="Verdana" w:hAnsi="Verdana"/>
                <w:sz w:val="24"/>
                <w:szCs w:val="24"/>
              </w:rPr>
              <w:t xml:space="preserve"> or American Hospital Formulary Systems database) that is eligible for part D coverage. If the request is denied, the patient or prescriber may file an appeal.</w:t>
            </w:r>
          </w:p>
        </w:tc>
      </w:tr>
      <w:tr w:rsidR="001C1C62" w14:paraId="29B7B93F" w14:textId="77777777" w:rsidTr="00C56B8B">
        <w:tc>
          <w:tcPr>
            <w:tcW w:w="235" w:type="pct"/>
          </w:tcPr>
          <w:p w14:paraId="7DC7192C" w14:textId="77777777" w:rsidR="00C56B8B" w:rsidRDefault="00C56B8B" w:rsidP="001C1C62">
            <w:pPr>
              <w:pStyle w:val="ListParagraph"/>
              <w:numPr>
                <w:ilvl w:val="0"/>
                <w:numId w:val="57"/>
              </w:numPr>
              <w:rPr>
                <w:rFonts w:ascii="Verdana" w:hAnsi="Verdana"/>
                <w:b/>
                <w:bCs/>
              </w:rPr>
            </w:pPr>
          </w:p>
          <w:p w14:paraId="0E5D1917" w14:textId="7E9D90C0" w:rsidR="001C1C62" w:rsidRPr="00843D1E" w:rsidRDefault="00C56B8B" w:rsidP="00843D1E">
            <w:pPr>
              <w:ind w:left="360"/>
              <w:rPr>
                <w:rFonts w:ascii="Verdana" w:hAnsi="Verdana"/>
                <w:b/>
                <w:bCs/>
              </w:rPr>
            </w:pPr>
            <w:r>
              <w:rPr>
                <w:noProof/>
              </w:rPr>
              <w:drawing>
                <wp:inline distT="0" distB="0" distL="0" distR="0" wp14:anchorId="2CAE67C8" wp14:editId="0B858094">
                  <wp:extent cx="304800" cy="304800"/>
                  <wp:effectExtent l="0" t="0" r="0" b="0"/>
                  <wp:docPr id="153304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089" w:type="pct"/>
          </w:tcPr>
          <w:p w14:paraId="249849D2" w14:textId="445A41E7" w:rsidR="001C1C62" w:rsidRPr="005035BD" w:rsidRDefault="001C1C62" w:rsidP="001C1C62">
            <w:pPr>
              <w:rPr>
                <w:rFonts w:ascii="Verdana" w:hAnsi="Verdana"/>
                <w:b/>
                <w:bCs/>
              </w:rPr>
            </w:pPr>
            <w:r w:rsidRPr="005035BD">
              <w:rPr>
                <w:rFonts w:ascii="Verdana" w:hAnsi="Verdana"/>
                <w:b/>
                <w:bCs/>
              </w:rPr>
              <w:t xml:space="preserve">I have </w:t>
            </w:r>
            <w:r>
              <w:rPr>
                <w:rFonts w:ascii="Verdana" w:hAnsi="Verdana"/>
                <w:b/>
                <w:bCs/>
              </w:rPr>
              <w:t>an acute</w:t>
            </w:r>
            <w:r w:rsidRPr="005035BD">
              <w:rPr>
                <w:rFonts w:ascii="Verdana" w:hAnsi="Verdana"/>
                <w:b/>
                <w:bCs/>
              </w:rPr>
              <w:t xml:space="preserve"> kidney </w:t>
            </w:r>
            <w:r>
              <w:rPr>
                <w:rFonts w:ascii="Verdana" w:hAnsi="Verdana"/>
                <w:b/>
                <w:bCs/>
              </w:rPr>
              <w:t>injury</w:t>
            </w:r>
            <w:r w:rsidRPr="005035BD">
              <w:rPr>
                <w:rFonts w:ascii="Verdana" w:hAnsi="Verdana"/>
                <w:b/>
                <w:bCs/>
              </w:rPr>
              <w:t xml:space="preserve"> (</w:t>
            </w:r>
            <w:r>
              <w:rPr>
                <w:rFonts w:ascii="Verdana" w:hAnsi="Verdana"/>
                <w:b/>
                <w:bCs/>
              </w:rPr>
              <w:t>AKI</w:t>
            </w:r>
            <w:proofErr w:type="gramStart"/>
            <w:r w:rsidRPr="005035BD">
              <w:rPr>
                <w:rFonts w:ascii="Verdana" w:hAnsi="Verdana"/>
                <w:b/>
                <w:bCs/>
              </w:rPr>
              <w:t>)</w:t>
            </w:r>
            <w:proofErr w:type="gramEnd"/>
            <w:r w:rsidRPr="005035BD">
              <w:rPr>
                <w:rFonts w:ascii="Verdana" w:hAnsi="Verdana"/>
                <w:b/>
                <w:bCs/>
              </w:rPr>
              <w:t xml:space="preserve"> but I am not on dialysis and am using one of these drugs. What does this coverage transition mean for me?</w:t>
            </w:r>
          </w:p>
        </w:tc>
        <w:tc>
          <w:tcPr>
            <w:tcW w:w="2676" w:type="pct"/>
          </w:tcPr>
          <w:p w14:paraId="02B93726" w14:textId="0E390B66" w:rsidR="001C1C62" w:rsidRDefault="001C1C62" w:rsidP="001C1C62">
            <w:pPr>
              <w:pStyle w:val="ListParagraph"/>
              <w:numPr>
                <w:ilvl w:val="0"/>
                <w:numId w:val="55"/>
              </w:numPr>
              <w:rPr>
                <w:rFonts w:ascii="Verdana" w:hAnsi="Verdana"/>
                <w:sz w:val="24"/>
                <w:szCs w:val="24"/>
              </w:rPr>
            </w:pPr>
            <w:bookmarkStart w:id="12" w:name="_Hlk192242090"/>
            <w:r>
              <w:rPr>
                <w:rFonts w:ascii="Verdana" w:hAnsi="Verdana"/>
                <w:sz w:val="24"/>
                <w:szCs w:val="24"/>
              </w:rPr>
              <w:t xml:space="preserve">Run a test claim for the medication and refer to the </w:t>
            </w:r>
            <w:r w:rsidRPr="00135218">
              <w:rPr>
                <w:rFonts w:ascii="Verdana" w:hAnsi="Verdana"/>
                <w:b/>
                <w:bCs/>
                <w:sz w:val="24"/>
                <w:szCs w:val="24"/>
              </w:rPr>
              <w:t>Additional Messaging</w:t>
            </w:r>
            <w:r>
              <w:rPr>
                <w:rFonts w:ascii="Verdana" w:hAnsi="Verdana"/>
                <w:sz w:val="24"/>
                <w:szCs w:val="24"/>
              </w:rPr>
              <w:t xml:space="preserve"> section for the following message: </w:t>
            </w:r>
            <w:r w:rsidRPr="001C1C62">
              <w:rPr>
                <w:rFonts w:ascii="Verdana" w:hAnsi="Verdana"/>
                <w:sz w:val="24"/>
                <w:szCs w:val="24"/>
              </w:rPr>
              <w:t>SUBMIT REQUEST FOR PART D; LIMITED CVG</w:t>
            </w:r>
            <w:r>
              <w:rPr>
                <w:rFonts w:ascii="Verdana" w:hAnsi="Verdana"/>
                <w:sz w:val="24"/>
                <w:szCs w:val="24"/>
              </w:rPr>
              <w:t>.</w:t>
            </w:r>
          </w:p>
          <w:bookmarkEnd w:id="12"/>
          <w:p w14:paraId="2247B964" w14:textId="77777777" w:rsidR="001C1C62" w:rsidRDefault="001C1C62" w:rsidP="00843D1E">
            <w:pPr>
              <w:pStyle w:val="ListParagraph"/>
              <w:rPr>
                <w:rFonts w:ascii="Verdana" w:hAnsi="Verdana"/>
                <w:sz w:val="24"/>
                <w:szCs w:val="24"/>
              </w:rPr>
            </w:pPr>
          </w:p>
          <w:p w14:paraId="1FA704E1" w14:textId="1DA3718C" w:rsidR="001C1C62" w:rsidRDefault="001C1C62" w:rsidP="001C1C62">
            <w:pPr>
              <w:pStyle w:val="ListParagraph"/>
              <w:numPr>
                <w:ilvl w:val="0"/>
                <w:numId w:val="55"/>
              </w:numPr>
              <w:rPr>
                <w:rFonts w:ascii="Verdana" w:hAnsi="Verdana"/>
                <w:sz w:val="24"/>
                <w:szCs w:val="24"/>
              </w:rPr>
            </w:pPr>
            <w:r>
              <w:rPr>
                <w:rFonts w:ascii="Verdana" w:hAnsi="Verdana"/>
                <w:sz w:val="24"/>
                <w:szCs w:val="24"/>
              </w:rPr>
              <w:t>T</w:t>
            </w:r>
            <w:r w:rsidRPr="00655646">
              <w:rPr>
                <w:rFonts w:ascii="Verdana" w:hAnsi="Verdana"/>
                <w:sz w:val="24"/>
                <w:szCs w:val="24"/>
              </w:rPr>
              <w:t xml:space="preserve">he patient or their prescriber may request a Coverage Determination (CD) </w:t>
            </w:r>
            <w:proofErr w:type="gramStart"/>
            <w:r w:rsidRPr="00655646">
              <w:rPr>
                <w:rFonts w:ascii="Verdana" w:hAnsi="Verdana"/>
                <w:sz w:val="24"/>
                <w:szCs w:val="24"/>
              </w:rPr>
              <w:t>asking</w:t>
            </w:r>
            <w:proofErr w:type="gramEnd"/>
            <w:r w:rsidRPr="00655646">
              <w:rPr>
                <w:rFonts w:ascii="Verdana" w:hAnsi="Verdana"/>
                <w:sz w:val="24"/>
                <w:szCs w:val="24"/>
              </w:rPr>
              <w:t xml:space="preserve"> the Part D plan for coverage. Assist the caller with initiating the coverage determination process.</w:t>
            </w:r>
            <w:r>
              <w:rPr>
                <w:rFonts w:ascii="Verdana" w:hAnsi="Verdana"/>
                <w:sz w:val="24"/>
                <w:szCs w:val="24"/>
              </w:rPr>
              <w:t xml:space="preserve"> </w:t>
            </w:r>
          </w:p>
          <w:p w14:paraId="0154B531" w14:textId="7BB517C1" w:rsidR="001C1C62" w:rsidRPr="00843D1E" w:rsidRDefault="001C1C62" w:rsidP="00843D1E">
            <w:pPr>
              <w:rPr>
                <w:rFonts w:ascii="Verdana" w:hAnsi="Verdana"/>
              </w:rPr>
            </w:pPr>
          </w:p>
        </w:tc>
      </w:tr>
      <w:tr w:rsidR="005035BD" w14:paraId="6D3E30B1" w14:textId="77777777" w:rsidTr="00C56B8B">
        <w:tc>
          <w:tcPr>
            <w:tcW w:w="235" w:type="pct"/>
          </w:tcPr>
          <w:p w14:paraId="27AB0BDB" w14:textId="3D34D7E9" w:rsidR="009D1067" w:rsidRPr="00655646" w:rsidRDefault="009D1067" w:rsidP="00655646">
            <w:pPr>
              <w:pStyle w:val="ListParagraph"/>
              <w:numPr>
                <w:ilvl w:val="0"/>
                <w:numId w:val="57"/>
              </w:numPr>
              <w:rPr>
                <w:rFonts w:ascii="Verdana" w:hAnsi="Verdana"/>
                <w:b/>
                <w:bCs/>
              </w:rPr>
            </w:pPr>
          </w:p>
        </w:tc>
        <w:tc>
          <w:tcPr>
            <w:tcW w:w="2089" w:type="pct"/>
          </w:tcPr>
          <w:p w14:paraId="67F28C6D" w14:textId="01F5E37D" w:rsidR="009D1067" w:rsidRDefault="005035BD" w:rsidP="00711B47">
            <w:pPr>
              <w:rPr>
                <w:rFonts w:ascii="Verdana" w:hAnsi="Verdana"/>
                <w:b/>
                <w:bCs/>
              </w:rPr>
            </w:pPr>
            <w:r w:rsidRPr="005035BD">
              <w:rPr>
                <w:rFonts w:ascii="Verdana" w:hAnsi="Verdana"/>
                <w:b/>
                <w:bCs/>
              </w:rPr>
              <w:t>If the claim is submitted to the members’ Part D plan, what information will be returned on the rejected claim response to assist the member on the next steps?</w:t>
            </w:r>
          </w:p>
        </w:tc>
        <w:tc>
          <w:tcPr>
            <w:tcW w:w="2676" w:type="pct"/>
          </w:tcPr>
          <w:p w14:paraId="3AABF9F1" w14:textId="77777777" w:rsidR="009D1067" w:rsidRPr="00655646" w:rsidRDefault="005035BD" w:rsidP="00655646">
            <w:pPr>
              <w:pStyle w:val="ListParagraph"/>
              <w:numPr>
                <w:ilvl w:val="0"/>
                <w:numId w:val="56"/>
              </w:numPr>
              <w:rPr>
                <w:rFonts w:ascii="Verdana" w:hAnsi="Verdana"/>
                <w:sz w:val="24"/>
                <w:szCs w:val="24"/>
              </w:rPr>
            </w:pPr>
            <w:r w:rsidRPr="00655646">
              <w:rPr>
                <w:rFonts w:ascii="Verdana" w:hAnsi="Verdana"/>
                <w:sz w:val="24"/>
                <w:szCs w:val="24"/>
              </w:rPr>
              <w:t>CVS Caremark uses the best available evidence to determine how to process claims for ESRD drugs. Claims for these drugs will reject with distinct messaging based on the status of the CMS dialysis indicator associated to the member. Refer to the Process above.</w:t>
            </w:r>
          </w:p>
          <w:p w14:paraId="5F021075" w14:textId="6B78F71B" w:rsidR="005035BD" w:rsidRPr="00655646" w:rsidRDefault="005035BD" w:rsidP="00711B47">
            <w:pPr>
              <w:rPr>
                <w:rFonts w:ascii="Verdana" w:hAnsi="Verdana"/>
              </w:rPr>
            </w:pPr>
          </w:p>
        </w:tc>
      </w:tr>
      <w:tr w:rsidR="005035BD" w14:paraId="4336987C" w14:textId="77777777" w:rsidTr="00C56B8B">
        <w:tc>
          <w:tcPr>
            <w:tcW w:w="235" w:type="pct"/>
          </w:tcPr>
          <w:p w14:paraId="5FDCA75A" w14:textId="2F0D09BD" w:rsidR="005035BD" w:rsidRPr="00655646" w:rsidRDefault="005035BD" w:rsidP="00655646">
            <w:pPr>
              <w:pStyle w:val="ListParagraph"/>
              <w:numPr>
                <w:ilvl w:val="0"/>
                <w:numId w:val="57"/>
              </w:numPr>
              <w:rPr>
                <w:rFonts w:ascii="Verdana" w:hAnsi="Verdana"/>
                <w:b/>
                <w:bCs/>
              </w:rPr>
            </w:pPr>
          </w:p>
        </w:tc>
        <w:tc>
          <w:tcPr>
            <w:tcW w:w="2089" w:type="pct"/>
          </w:tcPr>
          <w:p w14:paraId="2F0CFEC3" w14:textId="3655C73D" w:rsidR="005035BD" w:rsidRPr="005035BD" w:rsidRDefault="005035BD" w:rsidP="00711B47">
            <w:pPr>
              <w:rPr>
                <w:rFonts w:ascii="Verdana" w:hAnsi="Verdana"/>
                <w:b/>
                <w:bCs/>
              </w:rPr>
            </w:pPr>
            <w:r w:rsidRPr="005035BD">
              <w:rPr>
                <w:rFonts w:ascii="Verdana" w:hAnsi="Verdana"/>
                <w:b/>
                <w:bCs/>
              </w:rPr>
              <w:t>What should I do if I get a claim reject and I direct the patient to their dialysis facility, but my patient says their dialysis facility does not have the drug to dispense?</w:t>
            </w:r>
          </w:p>
        </w:tc>
        <w:tc>
          <w:tcPr>
            <w:tcW w:w="2676" w:type="pct"/>
          </w:tcPr>
          <w:p w14:paraId="2F5AE313" w14:textId="77777777" w:rsidR="005035BD" w:rsidRPr="00CA4BD9" w:rsidRDefault="005035BD" w:rsidP="005035BD">
            <w:pPr>
              <w:pStyle w:val="ListParagraph"/>
              <w:numPr>
                <w:ilvl w:val="0"/>
                <w:numId w:val="56"/>
              </w:numPr>
              <w:rPr>
                <w:rFonts w:ascii="Verdana" w:hAnsi="Verdana"/>
                <w:b/>
                <w:bCs/>
              </w:rPr>
            </w:pPr>
            <w:r w:rsidRPr="00647F3E">
              <w:rPr>
                <w:rFonts w:ascii="Verdana" w:hAnsi="Verdana"/>
                <w:sz w:val="24"/>
                <w:szCs w:val="24"/>
              </w:rPr>
              <w:t xml:space="preserve">Refer the patient to their Medicare Part B plan, (Medicare Fee for Service or Medicare Advantage) for assistance. </w:t>
            </w:r>
          </w:p>
          <w:p w14:paraId="4CC6247F" w14:textId="77777777" w:rsidR="005035BD" w:rsidRPr="00B7296B" w:rsidRDefault="005035BD" w:rsidP="005035BD">
            <w:pPr>
              <w:pStyle w:val="ListParagraph"/>
              <w:numPr>
                <w:ilvl w:val="0"/>
                <w:numId w:val="56"/>
              </w:numPr>
              <w:rPr>
                <w:rFonts w:ascii="Verdana" w:hAnsi="Verdana"/>
                <w:b/>
                <w:bCs/>
              </w:rPr>
            </w:pPr>
            <w:r w:rsidRPr="00CA4BD9">
              <w:rPr>
                <w:rFonts w:ascii="Verdana" w:hAnsi="Verdana"/>
                <w:b/>
                <w:bCs/>
                <w:sz w:val="24"/>
                <w:szCs w:val="24"/>
              </w:rPr>
              <w:t>Aetna MAPD:</w:t>
            </w:r>
            <w:r>
              <w:rPr>
                <w:rFonts w:ascii="Verdana" w:hAnsi="Verdana"/>
                <w:b/>
                <w:bCs/>
                <w:sz w:val="24"/>
                <w:szCs w:val="24"/>
              </w:rPr>
              <w:t xml:space="preserve"> </w:t>
            </w:r>
            <w:r>
              <w:rPr>
                <w:rFonts w:ascii="Verdana" w:hAnsi="Verdana"/>
                <w:sz w:val="24"/>
                <w:szCs w:val="24"/>
              </w:rPr>
              <w:t>Warm transfer to Member Services.</w:t>
            </w:r>
          </w:p>
          <w:p w14:paraId="20965B3B" w14:textId="77777777" w:rsidR="005035BD" w:rsidRPr="005035BD" w:rsidRDefault="005035BD" w:rsidP="00655646">
            <w:pPr>
              <w:pStyle w:val="ListParagraph"/>
              <w:rPr>
                <w:rFonts w:ascii="Verdana" w:hAnsi="Verdana"/>
                <w:sz w:val="24"/>
                <w:szCs w:val="24"/>
              </w:rPr>
            </w:pPr>
          </w:p>
        </w:tc>
      </w:tr>
    </w:tbl>
    <w:p w14:paraId="077143E5" w14:textId="77777777" w:rsidR="00711B47" w:rsidRPr="00647F3E" w:rsidRDefault="00711B47" w:rsidP="00711B47">
      <w:pPr>
        <w:rPr>
          <w:rFonts w:ascii="Verdana" w:hAnsi="Verdana"/>
          <w:b/>
          <w:bCs/>
        </w:rPr>
      </w:pPr>
    </w:p>
    <w:bookmarkStart w:id="13" w:name="_ESRD_Rejects_–"/>
    <w:bookmarkStart w:id="14" w:name="_Plan_List_EGWP"/>
    <w:bookmarkStart w:id="15" w:name="_ESRD_Overrides_“ES”"/>
    <w:bookmarkStart w:id="16" w:name="_ESRD_Overrides_ES"/>
    <w:bookmarkStart w:id="17" w:name="_ES_-_ESRD"/>
    <w:bookmarkStart w:id="18" w:name="_ES_ESRD_Overrides"/>
    <w:bookmarkStart w:id="19" w:name="_EB_-_ESRD"/>
    <w:bookmarkStart w:id="20" w:name="_Plan_List_EB"/>
    <w:bookmarkStart w:id="21" w:name="_Override_Notation"/>
    <w:bookmarkStart w:id="22" w:name="_Co-Pay_Schedules"/>
    <w:bookmarkEnd w:id="13"/>
    <w:bookmarkEnd w:id="14"/>
    <w:bookmarkEnd w:id="15"/>
    <w:bookmarkEnd w:id="16"/>
    <w:bookmarkEnd w:id="17"/>
    <w:bookmarkEnd w:id="18"/>
    <w:bookmarkEnd w:id="19"/>
    <w:bookmarkEnd w:id="20"/>
    <w:bookmarkEnd w:id="21"/>
    <w:bookmarkEnd w:id="22"/>
    <w:p w14:paraId="01DADC50" w14:textId="17A06A75" w:rsidR="0002735D" w:rsidRPr="003D3266" w:rsidRDefault="00B35502" w:rsidP="00FB014B">
      <w:pPr>
        <w:spacing w:before="120" w:after="120"/>
        <w:rPr>
          <w:rStyle w:val="Hyperlink"/>
          <w:rFonts w:ascii="Verdana" w:hAnsi="Verdana"/>
          <w:color w:val="auto"/>
          <w:u w:val="none"/>
        </w:rPr>
      </w:pPr>
      <w:r>
        <w:rPr>
          <w:rStyle w:val="Hyperlink"/>
          <w:rFonts w:ascii="Verdana" w:hAnsi="Verdana"/>
        </w:rPr>
        <w:fldChar w:fldCharType="begin"/>
      </w:r>
      <w:r w:rsidR="00653A9D">
        <w:rPr>
          <w:rStyle w:val="Hyperlink"/>
          <w:rFonts w:ascii="Verdana" w:hAnsi="Verdana"/>
        </w:rPr>
        <w:instrText>HYPERLINK  \l "_top"</w:instrText>
      </w:r>
      <w:r>
        <w:rPr>
          <w:rStyle w:val="Hyperlink"/>
          <w:rFonts w:ascii="Verdana" w:hAnsi="Verdana"/>
        </w:rPr>
      </w:r>
      <w:r>
        <w:rPr>
          <w:rStyle w:val="Hyperlink"/>
          <w:rFonts w:ascii="Verdana" w:hAnsi="Verdana"/>
        </w:rPr>
        <w:fldChar w:fldCharType="separate"/>
      </w:r>
    </w:p>
    <w:p w14:paraId="4442A395" w14:textId="77777777" w:rsidR="007A403E" w:rsidRPr="00B35502" w:rsidRDefault="009D5332" w:rsidP="00FB014B">
      <w:pPr>
        <w:spacing w:before="120" w:after="120"/>
        <w:jc w:val="right"/>
        <w:rPr>
          <w:rStyle w:val="Hyperlink"/>
          <w:rFonts w:ascii="Verdana" w:hAnsi="Verdana"/>
        </w:rPr>
      </w:pPr>
      <w:r w:rsidRPr="00B35502">
        <w:rPr>
          <w:rStyle w:val="Hyperlink"/>
          <w:rFonts w:ascii="Verdana" w:hAnsi="Verdana"/>
        </w:rPr>
        <w:t>Top of the Document</w:t>
      </w:r>
    </w:p>
    <w:p w14:paraId="4B8A5FA6" w14:textId="77777777" w:rsidR="00710E68" w:rsidRPr="00C247CB" w:rsidRDefault="00B35502" w:rsidP="00FB014B">
      <w:pPr>
        <w:spacing w:before="120" w:after="120"/>
        <w:jc w:val="center"/>
        <w:rPr>
          <w:rFonts w:ascii="Verdana" w:hAnsi="Verdana"/>
          <w:sz w:val="16"/>
          <w:szCs w:val="16"/>
        </w:rPr>
      </w:pPr>
      <w:r>
        <w:rPr>
          <w:rStyle w:val="Hyperlink"/>
          <w:rFonts w:ascii="Verdana" w:hAnsi="Verdana"/>
        </w:rPr>
        <w:fldChar w:fldCharType="end"/>
      </w:r>
      <w:r w:rsidR="00710E68" w:rsidRPr="00C247CB">
        <w:rPr>
          <w:rFonts w:ascii="Verdana" w:hAnsi="Verdana"/>
          <w:sz w:val="16"/>
          <w:szCs w:val="16"/>
        </w:rPr>
        <w:t xml:space="preserve">Not To Be Reproduced </w:t>
      </w:r>
      <w:proofErr w:type="gramStart"/>
      <w:r w:rsidR="00710E68" w:rsidRPr="00C247CB">
        <w:rPr>
          <w:rFonts w:ascii="Verdana" w:hAnsi="Verdana"/>
          <w:sz w:val="16"/>
          <w:szCs w:val="16"/>
        </w:rPr>
        <w:t>Or</w:t>
      </w:r>
      <w:proofErr w:type="gramEnd"/>
      <w:r w:rsidR="00710E68" w:rsidRPr="00C247CB">
        <w:rPr>
          <w:rFonts w:ascii="Verdana" w:hAnsi="Verdana"/>
          <w:sz w:val="16"/>
          <w:szCs w:val="16"/>
        </w:rPr>
        <w:t xml:space="preserve"> Disclosed to Others Without Prior Written Approval</w:t>
      </w:r>
    </w:p>
    <w:p w14:paraId="16844FF4" w14:textId="77777777" w:rsidR="00710E68" w:rsidRPr="00C247CB" w:rsidRDefault="00710E68" w:rsidP="00F51BE1">
      <w:pPr>
        <w:jc w:val="center"/>
        <w:rPr>
          <w:rFonts w:ascii="Verdana" w:hAnsi="Verdana"/>
          <w:b/>
          <w:color w:val="000000"/>
          <w:sz w:val="16"/>
          <w:szCs w:val="16"/>
        </w:rPr>
      </w:pPr>
      <w:r w:rsidRPr="00C247CB">
        <w:rPr>
          <w:rFonts w:ascii="Verdana" w:hAnsi="Verdana"/>
          <w:b/>
          <w:color w:val="000000"/>
          <w:sz w:val="16"/>
          <w:szCs w:val="16"/>
        </w:rPr>
        <w:t>ELEC</w:t>
      </w:r>
      <w:r w:rsidR="00850F71">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p w14:paraId="6CFC05A6" w14:textId="27B650EF" w:rsidR="005A64DA" w:rsidRPr="00C247CB" w:rsidRDefault="005A64DA" w:rsidP="00F51BE1">
      <w:pPr>
        <w:jc w:val="center"/>
        <w:rPr>
          <w:rFonts w:ascii="Verdana" w:hAnsi="Verdana"/>
          <w:sz w:val="16"/>
          <w:szCs w:val="16"/>
        </w:rPr>
      </w:pPr>
    </w:p>
    <w:sectPr w:rsidR="005A64DA" w:rsidRPr="00C247CB" w:rsidSect="00EB1F9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1D7A7" w14:textId="77777777" w:rsidR="00036433" w:rsidRDefault="00036433">
      <w:r>
        <w:separator/>
      </w:r>
    </w:p>
  </w:endnote>
  <w:endnote w:type="continuationSeparator" w:id="0">
    <w:p w14:paraId="7A843EA1" w14:textId="77777777" w:rsidR="00036433" w:rsidRDefault="0003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FC266" w14:textId="77777777" w:rsidR="00036433" w:rsidRDefault="00036433">
      <w:r>
        <w:separator/>
      </w:r>
    </w:p>
  </w:footnote>
  <w:footnote w:type="continuationSeparator" w:id="0">
    <w:p w14:paraId="17643568" w14:textId="77777777" w:rsidR="00036433" w:rsidRDefault="00036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F3A3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3374733" o:spid="_x0000_i1025" type="#_x0000_t75" style="width:18.75pt;height:17.25pt;visibility:visible;mso-wrap-style:square">
            <v:imagedata r:id="rId1" o:title=""/>
          </v:shape>
        </w:pict>
      </mc:Choice>
      <mc:Fallback>
        <w:drawing>
          <wp:inline distT="0" distB="0" distL="0" distR="0" wp14:anchorId="187EFE22" wp14:editId="5AE8101A">
            <wp:extent cx="238125" cy="219075"/>
            <wp:effectExtent l="0" t="0" r="0" b="0"/>
            <wp:docPr id="453374733" name="Picture 45337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mc:Fallback>
    </mc:AlternateContent>
  </w:numPicBullet>
  <w:abstractNum w:abstractNumId="0" w15:restartNumberingAfterBreak="0">
    <w:nsid w:val="069C4344"/>
    <w:multiLevelType w:val="hybridMultilevel"/>
    <w:tmpl w:val="AF5CF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E7895"/>
    <w:multiLevelType w:val="hybridMultilevel"/>
    <w:tmpl w:val="B0AC4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CFB2326"/>
    <w:multiLevelType w:val="hybridMultilevel"/>
    <w:tmpl w:val="8640EB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06C20EE"/>
    <w:multiLevelType w:val="hybridMultilevel"/>
    <w:tmpl w:val="CE1C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407EA"/>
    <w:multiLevelType w:val="hybridMultilevel"/>
    <w:tmpl w:val="AA6430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0D216B"/>
    <w:multiLevelType w:val="hybridMultilevel"/>
    <w:tmpl w:val="972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E3D10"/>
    <w:multiLevelType w:val="hybridMultilevel"/>
    <w:tmpl w:val="B034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15652"/>
    <w:multiLevelType w:val="hybridMultilevel"/>
    <w:tmpl w:val="DDDC0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75551D"/>
    <w:multiLevelType w:val="hybridMultilevel"/>
    <w:tmpl w:val="226C031E"/>
    <w:lvl w:ilvl="0" w:tplc="04090003">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9BC679A"/>
    <w:multiLevelType w:val="hybridMultilevel"/>
    <w:tmpl w:val="6D12DE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54961"/>
    <w:multiLevelType w:val="hybridMultilevel"/>
    <w:tmpl w:val="A18C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E5764"/>
    <w:multiLevelType w:val="hybridMultilevel"/>
    <w:tmpl w:val="AB00A5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93464A1"/>
    <w:multiLevelType w:val="hybridMultilevel"/>
    <w:tmpl w:val="715AE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C336A6"/>
    <w:multiLevelType w:val="hybridMultilevel"/>
    <w:tmpl w:val="7C5E8668"/>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EA116E4"/>
    <w:multiLevelType w:val="hybridMultilevel"/>
    <w:tmpl w:val="91B09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F1746EF"/>
    <w:multiLevelType w:val="hybridMultilevel"/>
    <w:tmpl w:val="F86610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0C4C0E"/>
    <w:multiLevelType w:val="hybridMultilevel"/>
    <w:tmpl w:val="F3EA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F056703"/>
    <w:multiLevelType w:val="hybridMultilevel"/>
    <w:tmpl w:val="59903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0F637B"/>
    <w:multiLevelType w:val="hybridMultilevel"/>
    <w:tmpl w:val="5964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468CC"/>
    <w:multiLevelType w:val="hybridMultilevel"/>
    <w:tmpl w:val="485A0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580848"/>
    <w:multiLevelType w:val="hybridMultilevel"/>
    <w:tmpl w:val="8BD4CE12"/>
    <w:lvl w:ilvl="0" w:tplc="0409000F">
      <w:start w:val="1"/>
      <w:numFmt w:val="decimal"/>
      <w:lvlText w:val="%1."/>
      <w:lvlJc w:val="left"/>
      <w:pPr>
        <w:ind w:left="2955" w:hanging="360"/>
      </w:pPr>
    </w:lvl>
    <w:lvl w:ilvl="1" w:tplc="04090019" w:tentative="1">
      <w:start w:val="1"/>
      <w:numFmt w:val="lowerLetter"/>
      <w:lvlText w:val="%2."/>
      <w:lvlJc w:val="left"/>
      <w:pPr>
        <w:ind w:left="3675" w:hanging="360"/>
      </w:pPr>
    </w:lvl>
    <w:lvl w:ilvl="2" w:tplc="0409001B" w:tentative="1">
      <w:start w:val="1"/>
      <w:numFmt w:val="lowerRoman"/>
      <w:lvlText w:val="%3."/>
      <w:lvlJc w:val="right"/>
      <w:pPr>
        <w:ind w:left="4395" w:hanging="180"/>
      </w:pPr>
    </w:lvl>
    <w:lvl w:ilvl="3" w:tplc="0409000F" w:tentative="1">
      <w:start w:val="1"/>
      <w:numFmt w:val="decimal"/>
      <w:lvlText w:val="%4."/>
      <w:lvlJc w:val="left"/>
      <w:pPr>
        <w:ind w:left="5115" w:hanging="360"/>
      </w:pPr>
    </w:lvl>
    <w:lvl w:ilvl="4" w:tplc="04090019" w:tentative="1">
      <w:start w:val="1"/>
      <w:numFmt w:val="lowerLetter"/>
      <w:lvlText w:val="%5."/>
      <w:lvlJc w:val="left"/>
      <w:pPr>
        <w:ind w:left="5835" w:hanging="360"/>
      </w:pPr>
    </w:lvl>
    <w:lvl w:ilvl="5" w:tplc="0409001B" w:tentative="1">
      <w:start w:val="1"/>
      <w:numFmt w:val="lowerRoman"/>
      <w:lvlText w:val="%6."/>
      <w:lvlJc w:val="right"/>
      <w:pPr>
        <w:ind w:left="6555" w:hanging="180"/>
      </w:pPr>
    </w:lvl>
    <w:lvl w:ilvl="6" w:tplc="0409000F" w:tentative="1">
      <w:start w:val="1"/>
      <w:numFmt w:val="decimal"/>
      <w:lvlText w:val="%7."/>
      <w:lvlJc w:val="left"/>
      <w:pPr>
        <w:ind w:left="7275" w:hanging="360"/>
      </w:pPr>
    </w:lvl>
    <w:lvl w:ilvl="7" w:tplc="04090019" w:tentative="1">
      <w:start w:val="1"/>
      <w:numFmt w:val="lowerLetter"/>
      <w:lvlText w:val="%8."/>
      <w:lvlJc w:val="left"/>
      <w:pPr>
        <w:ind w:left="7995" w:hanging="360"/>
      </w:pPr>
    </w:lvl>
    <w:lvl w:ilvl="8" w:tplc="0409001B" w:tentative="1">
      <w:start w:val="1"/>
      <w:numFmt w:val="lowerRoman"/>
      <w:lvlText w:val="%9."/>
      <w:lvlJc w:val="right"/>
      <w:pPr>
        <w:ind w:left="8715" w:hanging="180"/>
      </w:pPr>
    </w:lvl>
  </w:abstractNum>
  <w:abstractNum w:abstractNumId="30" w15:restartNumberingAfterBreak="0">
    <w:nsid w:val="47D213CC"/>
    <w:multiLevelType w:val="hybridMultilevel"/>
    <w:tmpl w:val="B1C44696"/>
    <w:lvl w:ilvl="0" w:tplc="7A64D0F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4974280F"/>
    <w:multiLevelType w:val="hybridMultilevel"/>
    <w:tmpl w:val="994A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F52DE"/>
    <w:multiLevelType w:val="hybridMultilevel"/>
    <w:tmpl w:val="E0862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E10540"/>
    <w:multiLevelType w:val="hybridMultilevel"/>
    <w:tmpl w:val="49D8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423760"/>
    <w:multiLevelType w:val="hybridMultilevel"/>
    <w:tmpl w:val="5B86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E20A28"/>
    <w:multiLevelType w:val="hybridMultilevel"/>
    <w:tmpl w:val="8B9415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51E2143D"/>
    <w:multiLevelType w:val="hybridMultilevel"/>
    <w:tmpl w:val="569ADF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2402478"/>
    <w:multiLevelType w:val="hybridMultilevel"/>
    <w:tmpl w:val="7A1AA67A"/>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FF05646"/>
    <w:multiLevelType w:val="multilevel"/>
    <w:tmpl w:val="32868BC4"/>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65BB10B1"/>
    <w:multiLevelType w:val="hybridMultilevel"/>
    <w:tmpl w:val="FDDA1E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E295D73"/>
    <w:multiLevelType w:val="hybridMultilevel"/>
    <w:tmpl w:val="F830C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F6B38A7"/>
    <w:multiLevelType w:val="hybridMultilevel"/>
    <w:tmpl w:val="1950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9E1C53"/>
    <w:multiLevelType w:val="hybridMultilevel"/>
    <w:tmpl w:val="1F1E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5B502B"/>
    <w:multiLevelType w:val="hybridMultilevel"/>
    <w:tmpl w:val="60B46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4327607"/>
    <w:multiLevelType w:val="multilevel"/>
    <w:tmpl w:val="5EEA8AD4"/>
    <w:lvl w:ilvl="0">
      <w:start w:val="1"/>
      <w:numFmt w:val="decimal"/>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50" w15:restartNumberingAfterBreak="0">
    <w:nsid w:val="74E958CF"/>
    <w:multiLevelType w:val="hybridMultilevel"/>
    <w:tmpl w:val="6BD8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F04421"/>
    <w:multiLevelType w:val="hybridMultilevel"/>
    <w:tmpl w:val="AD8A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8F1B77"/>
    <w:multiLevelType w:val="hybridMultilevel"/>
    <w:tmpl w:val="98F80F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7BC039C8"/>
    <w:multiLevelType w:val="hybridMultilevel"/>
    <w:tmpl w:val="F754F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220042"/>
    <w:multiLevelType w:val="hybridMultilevel"/>
    <w:tmpl w:val="4A9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493E7B"/>
    <w:multiLevelType w:val="hybridMultilevel"/>
    <w:tmpl w:val="C2D614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71145014">
    <w:abstractNumId w:val="35"/>
  </w:num>
  <w:num w:numId="2" w16cid:durableId="873276928">
    <w:abstractNumId w:val="14"/>
  </w:num>
  <w:num w:numId="3" w16cid:durableId="1187251794">
    <w:abstractNumId w:val="40"/>
  </w:num>
  <w:num w:numId="4" w16cid:durableId="923300506">
    <w:abstractNumId w:val="43"/>
  </w:num>
  <w:num w:numId="5" w16cid:durableId="535703350">
    <w:abstractNumId w:val="3"/>
  </w:num>
  <w:num w:numId="6" w16cid:durableId="1647203042">
    <w:abstractNumId w:val="48"/>
  </w:num>
  <w:num w:numId="7" w16cid:durableId="2005544388">
    <w:abstractNumId w:val="25"/>
  </w:num>
  <w:num w:numId="8" w16cid:durableId="10121445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1034838">
    <w:abstractNumId w:val="17"/>
  </w:num>
  <w:num w:numId="10" w16cid:durableId="1310095332">
    <w:abstractNumId w:val="2"/>
  </w:num>
  <w:num w:numId="11" w16cid:durableId="621544193">
    <w:abstractNumId w:val="15"/>
  </w:num>
  <w:num w:numId="12" w16cid:durableId="1258753367">
    <w:abstractNumId w:val="10"/>
  </w:num>
  <w:num w:numId="13" w16cid:durableId="2034452028">
    <w:abstractNumId w:val="21"/>
  </w:num>
  <w:num w:numId="14" w16cid:durableId="649208191">
    <w:abstractNumId w:val="18"/>
  </w:num>
  <w:num w:numId="15" w16cid:durableId="659384829">
    <w:abstractNumId w:val="39"/>
  </w:num>
  <w:num w:numId="16" w16cid:durableId="2125271575">
    <w:abstractNumId w:val="22"/>
  </w:num>
  <w:num w:numId="17" w16cid:durableId="1428696866">
    <w:abstractNumId w:val="26"/>
  </w:num>
  <w:num w:numId="18" w16cid:durableId="834806825">
    <w:abstractNumId w:val="37"/>
  </w:num>
  <w:num w:numId="19" w16cid:durableId="1104157306">
    <w:abstractNumId w:val="12"/>
  </w:num>
  <w:num w:numId="20" w16cid:durableId="1604874491">
    <w:abstractNumId w:val="53"/>
  </w:num>
  <w:num w:numId="21" w16cid:durableId="1403020681">
    <w:abstractNumId w:val="23"/>
  </w:num>
  <w:num w:numId="22" w16cid:durableId="1241477826">
    <w:abstractNumId w:val="13"/>
  </w:num>
  <w:num w:numId="23" w16cid:durableId="1583753846">
    <w:abstractNumId w:val="24"/>
  </w:num>
  <w:num w:numId="24" w16cid:durableId="1510484671">
    <w:abstractNumId w:val="7"/>
  </w:num>
  <w:num w:numId="25" w16cid:durableId="1860002668">
    <w:abstractNumId w:val="33"/>
  </w:num>
  <w:num w:numId="26" w16cid:durableId="1479372060">
    <w:abstractNumId w:val="1"/>
  </w:num>
  <w:num w:numId="27" w16cid:durableId="1092699418">
    <w:abstractNumId w:val="9"/>
  </w:num>
  <w:num w:numId="28" w16cid:durableId="1937866084">
    <w:abstractNumId w:val="5"/>
  </w:num>
  <w:num w:numId="29" w16cid:durableId="1670254367">
    <w:abstractNumId w:val="19"/>
  </w:num>
  <w:num w:numId="30" w16cid:durableId="1824854148">
    <w:abstractNumId w:val="54"/>
  </w:num>
  <w:num w:numId="31" w16cid:durableId="1598251076">
    <w:abstractNumId w:val="32"/>
  </w:num>
  <w:num w:numId="32" w16cid:durableId="1813718398">
    <w:abstractNumId w:val="44"/>
  </w:num>
  <w:num w:numId="33" w16cid:durableId="851183082">
    <w:abstractNumId w:val="11"/>
  </w:num>
  <w:num w:numId="34" w16cid:durableId="980958014">
    <w:abstractNumId w:val="28"/>
  </w:num>
  <w:num w:numId="35" w16cid:durableId="106389523">
    <w:abstractNumId w:val="0"/>
  </w:num>
  <w:num w:numId="36" w16cid:durableId="874461984">
    <w:abstractNumId w:val="4"/>
  </w:num>
  <w:num w:numId="37" w16cid:durableId="1577662209">
    <w:abstractNumId w:val="38"/>
  </w:num>
  <w:num w:numId="38" w16cid:durableId="1403256835">
    <w:abstractNumId w:val="49"/>
  </w:num>
  <w:num w:numId="39" w16cid:durableId="1788809979">
    <w:abstractNumId w:val="41"/>
  </w:num>
  <w:num w:numId="40" w16cid:durableId="2102287305">
    <w:abstractNumId w:val="55"/>
  </w:num>
  <w:num w:numId="41" w16cid:durableId="738484342">
    <w:abstractNumId w:val="30"/>
  </w:num>
  <w:num w:numId="42" w16cid:durableId="754403748">
    <w:abstractNumId w:val="36"/>
  </w:num>
  <w:num w:numId="43" w16cid:durableId="43255979">
    <w:abstractNumId w:val="16"/>
  </w:num>
  <w:num w:numId="44" w16cid:durableId="358313255">
    <w:abstractNumId w:val="42"/>
  </w:num>
  <w:num w:numId="45" w16cid:durableId="560605259">
    <w:abstractNumId w:val="29"/>
  </w:num>
  <w:num w:numId="46" w16cid:durableId="669724505">
    <w:abstractNumId w:val="20"/>
  </w:num>
  <w:num w:numId="47" w16cid:durableId="1251038789">
    <w:abstractNumId w:val="52"/>
  </w:num>
  <w:num w:numId="48" w16cid:durableId="1918855016">
    <w:abstractNumId w:val="6"/>
  </w:num>
  <w:num w:numId="49" w16cid:durableId="1441028478">
    <w:abstractNumId w:val="47"/>
  </w:num>
  <w:num w:numId="50" w16cid:durableId="1256940602">
    <w:abstractNumId w:val="27"/>
  </w:num>
  <w:num w:numId="51" w16cid:durableId="1585527934">
    <w:abstractNumId w:val="46"/>
  </w:num>
  <w:num w:numId="52" w16cid:durableId="1146773786">
    <w:abstractNumId w:val="50"/>
  </w:num>
  <w:num w:numId="53" w16cid:durableId="1572306470">
    <w:abstractNumId w:val="34"/>
  </w:num>
  <w:num w:numId="54" w16cid:durableId="1535270518">
    <w:abstractNumId w:val="8"/>
  </w:num>
  <w:num w:numId="55" w16cid:durableId="605238384">
    <w:abstractNumId w:val="51"/>
  </w:num>
  <w:num w:numId="56" w16cid:durableId="703601377">
    <w:abstractNumId w:val="45"/>
  </w:num>
  <w:num w:numId="57" w16cid:durableId="18892217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1F9"/>
    <w:rsid w:val="000006F1"/>
    <w:rsid w:val="00002BBC"/>
    <w:rsid w:val="000050C0"/>
    <w:rsid w:val="000117DD"/>
    <w:rsid w:val="000154A5"/>
    <w:rsid w:val="00015A2E"/>
    <w:rsid w:val="0002735D"/>
    <w:rsid w:val="00030320"/>
    <w:rsid w:val="00033C75"/>
    <w:rsid w:val="00035BED"/>
    <w:rsid w:val="00036433"/>
    <w:rsid w:val="00036E18"/>
    <w:rsid w:val="000429E1"/>
    <w:rsid w:val="000437BD"/>
    <w:rsid w:val="00045CC4"/>
    <w:rsid w:val="00046D41"/>
    <w:rsid w:val="000534FC"/>
    <w:rsid w:val="00053FEA"/>
    <w:rsid w:val="000540E0"/>
    <w:rsid w:val="000607A8"/>
    <w:rsid w:val="00061AD2"/>
    <w:rsid w:val="0007148E"/>
    <w:rsid w:val="00071F99"/>
    <w:rsid w:val="00073E43"/>
    <w:rsid w:val="00077645"/>
    <w:rsid w:val="000851EF"/>
    <w:rsid w:val="00085D5F"/>
    <w:rsid w:val="000863D4"/>
    <w:rsid w:val="0008665F"/>
    <w:rsid w:val="00094E5B"/>
    <w:rsid w:val="00095AB5"/>
    <w:rsid w:val="000A4CC3"/>
    <w:rsid w:val="000A6B88"/>
    <w:rsid w:val="000B37C6"/>
    <w:rsid w:val="000B3C4C"/>
    <w:rsid w:val="000B4509"/>
    <w:rsid w:val="000B55B2"/>
    <w:rsid w:val="000B656F"/>
    <w:rsid w:val="000B72DF"/>
    <w:rsid w:val="000D1870"/>
    <w:rsid w:val="000D4BA2"/>
    <w:rsid w:val="000D4CC8"/>
    <w:rsid w:val="000D6714"/>
    <w:rsid w:val="000E2E31"/>
    <w:rsid w:val="000E6974"/>
    <w:rsid w:val="000F0D1B"/>
    <w:rsid w:val="000F54AF"/>
    <w:rsid w:val="000F69C1"/>
    <w:rsid w:val="00100A6C"/>
    <w:rsid w:val="001013D8"/>
    <w:rsid w:val="00104CDE"/>
    <w:rsid w:val="00115944"/>
    <w:rsid w:val="0012003C"/>
    <w:rsid w:val="001220BA"/>
    <w:rsid w:val="00122830"/>
    <w:rsid w:val="0012373E"/>
    <w:rsid w:val="00125552"/>
    <w:rsid w:val="001360A5"/>
    <w:rsid w:val="0013660E"/>
    <w:rsid w:val="001405BB"/>
    <w:rsid w:val="0015619E"/>
    <w:rsid w:val="0016008E"/>
    <w:rsid w:val="00160D71"/>
    <w:rsid w:val="0016273A"/>
    <w:rsid w:val="00167AF3"/>
    <w:rsid w:val="00167EAB"/>
    <w:rsid w:val="00170772"/>
    <w:rsid w:val="00173639"/>
    <w:rsid w:val="00181B1A"/>
    <w:rsid w:val="001912C4"/>
    <w:rsid w:val="0019130B"/>
    <w:rsid w:val="00195B8B"/>
    <w:rsid w:val="001A4E09"/>
    <w:rsid w:val="001A5147"/>
    <w:rsid w:val="001A5256"/>
    <w:rsid w:val="001B3879"/>
    <w:rsid w:val="001B641A"/>
    <w:rsid w:val="001C1C62"/>
    <w:rsid w:val="001C706D"/>
    <w:rsid w:val="001D046C"/>
    <w:rsid w:val="001D40F8"/>
    <w:rsid w:val="001D6524"/>
    <w:rsid w:val="001E368D"/>
    <w:rsid w:val="001E4D1A"/>
    <w:rsid w:val="001E7746"/>
    <w:rsid w:val="001F0774"/>
    <w:rsid w:val="001F1218"/>
    <w:rsid w:val="001F2238"/>
    <w:rsid w:val="001F38D6"/>
    <w:rsid w:val="001F5947"/>
    <w:rsid w:val="001F6F91"/>
    <w:rsid w:val="002016B4"/>
    <w:rsid w:val="00202AC5"/>
    <w:rsid w:val="002055CF"/>
    <w:rsid w:val="00207414"/>
    <w:rsid w:val="00213675"/>
    <w:rsid w:val="00221114"/>
    <w:rsid w:val="00224E4B"/>
    <w:rsid w:val="00230519"/>
    <w:rsid w:val="002307EB"/>
    <w:rsid w:val="00243EBB"/>
    <w:rsid w:val="00245BBB"/>
    <w:rsid w:val="00252685"/>
    <w:rsid w:val="00255C6B"/>
    <w:rsid w:val="0025676D"/>
    <w:rsid w:val="0026401D"/>
    <w:rsid w:val="00265D86"/>
    <w:rsid w:val="002722B9"/>
    <w:rsid w:val="002750DC"/>
    <w:rsid w:val="00285C06"/>
    <w:rsid w:val="00291CE8"/>
    <w:rsid w:val="0029345B"/>
    <w:rsid w:val="00296127"/>
    <w:rsid w:val="00296765"/>
    <w:rsid w:val="002A14F5"/>
    <w:rsid w:val="002A3162"/>
    <w:rsid w:val="002A6A38"/>
    <w:rsid w:val="002A6BA6"/>
    <w:rsid w:val="002B593E"/>
    <w:rsid w:val="002C0A2B"/>
    <w:rsid w:val="002C4665"/>
    <w:rsid w:val="002C643D"/>
    <w:rsid w:val="002D3FB0"/>
    <w:rsid w:val="002D426E"/>
    <w:rsid w:val="002D649A"/>
    <w:rsid w:val="002D743B"/>
    <w:rsid w:val="002E0267"/>
    <w:rsid w:val="002E2077"/>
    <w:rsid w:val="002E6974"/>
    <w:rsid w:val="002E6E58"/>
    <w:rsid w:val="002F02F7"/>
    <w:rsid w:val="002F1202"/>
    <w:rsid w:val="002F1F92"/>
    <w:rsid w:val="002F5EBD"/>
    <w:rsid w:val="002F6F9E"/>
    <w:rsid w:val="003033CB"/>
    <w:rsid w:val="00304D6F"/>
    <w:rsid w:val="00313C57"/>
    <w:rsid w:val="0031757E"/>
    <w:rsid w:val="0033143E"/>
    <w:rsid w:val="00331E7A"/>
    <w:rsid w:val="0034318F"/>
    <w:rsid w:val="00344E7D"/>
    <w:rsid w:val="0034552B"/>
    <w:rsid w:val="00350342"/>
    <w:rsid w:val="00355C31"/>
    <w:rsid w:val="00362EEB"/>
    <w:rsid w:val="0036409E"/>
    <w:rsid w:val="003647F3"/>
    <w:rsid w:val="003658CE"/>
    <w:rsid w:val="00371FBD"/>
    <w:rsid w:val="003725A1"/>
    <w:rsid w:val="00373009"/>
    <w:rsid w:val="00375E9C"/>
    <w:rsid w:val="00377501"/>
    <w:rsid w:val="003802D6"/>
    <w:rsid w:val="003868A2"/>
    <w:rsid w:val="00390950"/>
    <w:rsid w:val="00392A5B"/>
    <w:rsid w:val="003A5FFB"/>
    <w:rsid w:val="003A6D70"/>
    <w:rsid w:val="003B03DB"/>
    <w:rsid w:val="003B1EB0"/>
    <w:rsid w:val="003B1F86"/>
    <w:rsid w:val="003C4627"/>
    <w:rsid w:val="003D3266"/>
    <w:rsid w:val="003D7C0E"/>
    <w:rsid w:val="003E3D0B"/>
    <w:rsid w:val="003E6C1A"/>
    <w:rsid w:val="003E7CBB"/>
    <w:rsid w:val="003F3F75"/>
    <w:rsid w:val="003F5D07"/>
    <w:rsid w:val="003F778E"/>
    <w:rsid w:val="00405F82"/>
    <w:rsid w:val="0040640A"/>
    <w:rsid w:val="00406762"/>
    <w:rsid w:val="00406DB5"/>
    <w:rsid w:val="00411E33"/>
    <w:rsid w:val="0042336D"/>
    <w:rsid w:val="004312AC"/>
    <w:rsid w:val="0043470E"/>
    <w:rsid w:val="00440E3C"/>
    <w:rsid w:val="0045411F"/>
    <w:rsid w:val="00456D1F"/>
    <w:rsid w:val="00457EAE"/>
    <w:rsid w:val="004768BE"/>
    <w:rsid w:val="00477F73"/>
    <w:rsid w:val="0048355A"/>
    <w:rsid w:val="004843C6"/>
    <w:rsid w:val="00484781"/>
    <w:rsid w:val="00486108"/>
    <w:rsid w:val="004911A6"/>
    <w:rsid w:val="0049216E"/>
    <w:rsid w:val="004A1DA2"/>
    <w:rsid w:val="004A33DF"/>
    <w:rsid w:val="004A765A"/>
    <w:rsid w:val="004B0A81"/>
    <w:rsid w:val="004B5F51"/>
    <w:rsid w:val="004C0A7A"/>
    <w:rsid w:val="004C13AC"/>
    <w:rsid w:val="004C594C"/>
    <w:rsid w:val="004D0AF2"/>
    <w:rsid w:val="004D19A5"/>
    <w:rsid w:val="004D3C53"/>
    <w:rsid w:val="004E0A0B"/>
    <w:rsid w:val="004E2EF1"/>
    <w:rsid w:val="004E3F53"/>
    <w:rsid w:val="004E42DB"/>
    <w:rsid w:val="004E4A80"/>
    <w:rsid w:val="004F004E"/>
    <w:rsid w:val="004F024D"/>
    <w:rsid w:val="004F3B4A"/>
    <w:rsid w:val="004F52F3"/>
    <w:rsid w:val="004F7F34"/>
    <w:rsid w:val="005035BD"/>
    <w:rsid w:val="005045DD"/>
    <w:rsid w:val="00505588"/>
    <w:rsid w:val="00512486"/>
    <w:rsid w:val="00515614"/>
    <w:rsid w:val="00522515"/>
    <w:rsid w:val="0052465B"/>
    <w:rsid w:val="00524CDD"/>
    <w:rsid w:val="00534FCA"/>
    <w:rsid w:val="005423FB"/>
    <w:rsid w:val="00547C68"/>
    <w:rsid w:val="00551D4E"/>
    <w:rsid w:val="00555DB9"/>
    <w:rsid w:val="005562A9"/>
    <w:rsid w:val="005630D1"/>
    <w:rsid w:val="00565A58"/>
    <w:rsid w:val="00577909"/>
    <w:rsid w:val="00582E85"/>
    <w:rsid w:val="00583CE6"/>
    <w:rsid w:val="00586886"/>
    <w:rsid w:val="00587EE4"/>
    <w:rsid w:val="005910B5"/>
    <w:rsid w:val="00593BC0"/>
    <w:rsid w:val="00595371"/>
    <w:rsid w:val="005971EA"/>
    <w:rsid w:val="005A2379"/>
    <w:rsid w:val="005A250C"/>
    <w:rsid w:val="005A3E72"/>
    <w:rsid w:val="005A6118"/>
    <w:rsid w:val="005A64DA"/>
    <w:rsid w:val="005B446E"/>
    <w:rsid w:val="005B6979"/>
    <w:rsid w:val="005C0D36"/>
    <w:rsid w:val="005C1D83"/>
    <w:rsid w:val="005C48FA"/>
    <w:rsid w:val="005C7088"/>
    <w:rsid w:val="005E650E"/>
    <w:rsid w:val="005F2F96"/>
    <w:rsid w:val="005F47E6"/>
    <w:rsid w:val="005F7CA1"/>
    <w:rsid w:val="00600DED"/>
    <w:rsid w:val="0060551C"/>
    <w:rsid w:val="006072A0"/>
    <w:rsid w:val="00622D77"/>
    <w:rsid w:val="00627F34"/>
    <w:rsid w:val="00633D94"/>
    <w:rsid w:val="00635EA6"/>
    <w:rsid w:val="00636B18"/>
    <w:rsid w:val="00637CA1"/>
    <w:rsid w:val="00647547"/>
    <w:rsid w:val="00647CDD"/>
    <w:rsid w:val="00653A9D"/>
    <w:rsid w:val="00655646"/>
    <w:rsid w:val="00661837"/>
    <w:rsid w:val="00662334"/>
    <w:rsid w:val="006650CB"/>
    <w:rsid w:val="0066617F"/>
    <w:rsid w:val="006713CA"/>
    <w:rsid w:val="00671C96"/>
    <w:rsid w:val="00672C97"/>
    <w:rsid w:val="00674A16"/>
    <w:rsid w:val="006901CE"/>
    <w:rsid w:val="006914F5"/>
    <w:rsid w:val="00691E10"/>
    <w:rsid w:val="00693A75"/>
    <w:rsid w:val="006A0481"/>
    <w:rsid w:val="006A1845"/>
    <w:rsid w:val="006A43B8"/>
    <w:rsid w:val="006B4114"/>
    <w:rsid w:val="006B6908"/>
    <w:rsid w:val="006C0560"/>
    <w:rsid w:val="006C0965"/>
    <w:rsid w:val="006C265E"/>
    <w:rsid w:val="006C2C0B"/>
    <w:rsid w:val="006C653F"/>
    <w:rsid w:val="006D2C2D"/>
    <w:rsid w:val="006E2F0A"/>
    <w:rsid w:val="006F222C"/>
    <w:rsid w:val="006F5CA5"/>
    <w:rsid w:val="006F7DFC"/>
    <w:rsid w:val="00704AF2"/>
    <w:rsid w:val="0070776C"/>
    <w:rsid w:val="00710E68"/>
    <w:rsid w:val="00711B47"/>
    <w:rsid w:val="00714BA0"/>
    <w:rsid w:val="007170CA"/>
    <w:rsid w:val="00717CB0"/>
    <w:rsid w:val="00725B82"/>
    <w:rsid w:val="007269B6"/>
    <w:rsid w:val="00726E7A"/>
    <w:rsid w:val="0073294A"/>
    <w:rsid w:val="00732E52"/>
    <w:rsid w:val="00736607"/>
    <w:rsid w:val="00743967"/>
    <w:rsid w:val="00747388"/>
    <w:rsid w:val="007479E4"/>
    <w:rsid w:val="00752801"/>
    <w:rsid w:val="00764A53"/>
    <w:rsid w:val="0078029A"/>
    <w:rsid w:val="00785118"/>
    <w:rsid w:val="00785C47"/>
    <w:rsid w:val="0078644F"/>
    <w:rsid w:val="00786BEB"/>
    <w:rsid w:val="0079037D"/>
    <w:rsid w:val="00796345"/>
    <w:rsid w:val="007A305B"/>
    <w:rsid w:val="007A403E"/>
    <w:rsid w:val="007A75EA"/>
    <w:rsid w:val="007B1A6E"/>
    <w:rsid w:val="007B61AC"/>
    <w:rsid w:val="007C5EBD"/>
    <w:rsid w:val="007C77DD"/>
    <w:rsid w:val="007E3EA6"/>
    <w:rsid w:val="007F04AB"/>
    <w:rsid w:val="007F6090"/>
    <w:rsid w:val="00803AE3"/>
    <w:rsid w:val="008042E1"/>
    <w:rsid w:val="00804D63"/>
    <w:rsid w:val="00806B9D"/>
    <w:rsid w:val="00812777"/>
    <w:rsid w:val="008230FA"/>
    <w:rsid w:val="008235C8"/>
    <w:rsid w:val="008238DA"/>
    <w:rsid w:val="00832FCA"/>
    <w:rsid w:val="00836B9D"/>
    <w:rsid w:val="008407F2"/>
    <w:rsid w:val="0084129E"/>
    <w:rsid w:val="00843390"/>
    <w:rsid w:val="00843D1E"/>
    <w:rsid w:val="00843D49"/>
    <w:rsid w:val="00846373"/>
    <w:rsid w:val="00846ECB"/>
    <w:rsid w:val="00850F71"/>
    <w:rsid w:val="00856101"/>
    <w:rsid w:val="008568AE"/>
    <w:rsid w:val="00860590"/>
    <w:rsid w:val="00861316"/>
    <w:rsid w:val="008614E8"/>
    <w:rsid w:val="008634D6"/>
    <w:rsid w:val="0086462A"/>
    <w:rsid w:val="00867EDF"/>
    <w:rsid w:val="0087285B"/>
    <w:rsid w:val="008734D7"/>
    <w:rsid w:val="00875610"/>
    <w:rsid w:val="00875F0D"/>
    <w:rsid w:val="00877414"/>
    <w:rsid w:val="0088241D"/>
    <w:rsid w:val="008825E7"/>
    <w:rsid w:val="008833F5"/>
    <w:rsid w:val="00884DA8"/>
    <w:rsid w:val="00895225"/>
    <w:rsid w:val="00896775"/>
    <w:rsid w:val="008A03B7"/>
    <w:rsid w:val="008A71E2"/>
    <w:rsid w:val="008C2197"/>
    <w:rsid w:val="008C25CB"/>
    <w:rsid w:val="008C3493"/>
    <w:rsid w:val="008C422C"/>
    <w:rsid w:val="008D11A6"/>
    <w:rsid w:val="008D1F7B"/>
    <w:rsid w:val="008D2D64"/>
    <w:rsid w:val="008D3A72"/>
    <w:rsid w:val="008D7560"/>
    <w:rsid w:val="008D78E8"/>
    <w:rsid w:val="008E09A5"/>
    <w:rsid w:val="008E21BE"/>
    <w:rsid w:val="008E3A9F"/>
    <w:rsid w:val="008E3B5C"/>
    <w:rsid w:val="008E3CFC"/>
    <w:rsid w:val="008F017C"/>
    <w:rsid w:val="008F5917"/>
    <w:rsid w:val="008F77A9"/>
    <w:rsid w:val="00902E07"/>
    <w:rsid w:val="00913B1B"/>
    <w:rsid w:val="00927861"/>
    <w:rsid w:val="0093439D"/>
    <w:rsid w:val="0094148C"/>
    <w:rsid w:val="009419E2"/>
    <w:rsid w:val="009430F6"/>
    <w:rsid w:val="00943F9B"/>
    <w:rsid w:val="00944D5D"/>
    <w:rsid w:val="00947783"/>
    <w:rsid w:val="00954FE8"/>
    <w:rsid w:val="009679E1"/>
    <w:rsid w:val="009726E0"/>
    <w:rsid w:val="009805A1"/>
    <w:rsid w:val="009843D8"/>
    <w:rsid w:val="00985802"/>
    <w:rsid w:val="00985B60"/>
    <w:rsid w:val="00990822"/>
    <w:rsid w:val="0099333C"/>
    <w:rsid w:val="009A7FAE"/>
    <w:rsid w:val="009B33A1"/>
    <w:rsid w:val="009C4A31"/>
    <w:rsid w:val="009C7194"/>
    <w:rsid w:val="009D1067"/>
    <w:rsid w:val="009D5332"/>
    <w:rsid w:val="009D730A"/>
    <w:rsid w:val="009E00C2"/>
    <w:rsid w:val="009F35D5"/>
    <w:rsid w:val="009F6FD2"/>
    <w:rsid w:val="009F7259"/>
    <w:rsid w:val="009F78D3"/>
    <w:rsid w:val="00A04669"/>
    <w:rsid w:val="00A06FFF"/>
    <w:rsid w:val="00A12FBD"/>
    <w:rsid w:val="00A14ED6"/>
    <w:rsid w:val="00A202B4"/>
    <w:rsid w:val="00A20C44"/>
    <w:rsid w:val="00A21633"/>
    <w:rsid w:val="00A42082"/>
    <w:rsid w:val="00A43DE1"/>
    <w:rsid w:val="00A4448F"/>
    <w:rsid w:val="00A4732A"/>
    <w:rsid w:val="00A57D26"/>
    <w:rsid w:val="00A7166B"/>
    <w:rsid w:val="00A72DEB"/>
    <w:rsid w:val="00A73FFC"/>
    <w:rsid w:val="00A763DD"/>
    <w:rsid w:val="00A816B8"/>
    <w:rsid w:val="00A83BA0"/>
    <w:rsid w:val="00A84F18"/>
    <w:rsid w:val="00A85045"/>
    <w:rsid w:val="00A920F2"/>
    <w:rsid w:val="00A95738"/>
    <w:rsid w:val="00A964C7"/>
    <w:rsid w:val="00A97B7D"/>
    <w:rsid w:val="00AA2252"/>
    <w:rsid w:val="00AA4825"/>
    <w:rsid w:val="00AB08DD"/>
    <w:rsid w:val="00AB319C"/>
    <w:rsid w:val="00AB33E1"/>
    <w:rsid w:val="00AB535B"/>
    <w:rsid w:val="00AC27ED"/>
    <w:rsid w:val="00AC4214"/>
    <w:rsid w:val="00AC6E70"/>
    <w:rsid w:val="00AD1646"/>
    <w:rsid w:val="00AD7AB4"/>
    <w:rsid w:val="00AE40C2"/>
    <w:rsid w:val="00AF038B"/>
    <w:rsid w:val="00AF3134"/>
    <w:rsid w:val="00AF3682"/>
    <w:rsid w:val="00AF7316"/>
    <w:rsid w:val="00AF78FA"/>
    <w:rsid w:val="00B00DE3"/>
    <w:rsid w:val="00B012A1"/>
    <w:rsid w:val="00B01557"/>
    <w:rsid w:val="00B055F5"/>
    <w:rsid w:val="00B078F6"/>
    <w:rsid w:val="00B13444"/>
    <w:rsid w:val="00B160B5"/>
    <w:rsid w:val="00B22407"/>
    <w:rsid w:val="00B26045"/>
    <w:rsid w:val="00B3005B"/>
    <w:rsid w:val="00B31E21"/>
    <w:rsid w:val="00B32E94"/>
    <w:rsid w:val="00B35502"/>
    <w:rsid w:val="00B35569"/>
    <w:rsid w:val="00B37603"/>
    <w:rsid w:val="00B44C55"/>
    <w:rsid w:val="00B455D9"/>
    <w:rsid w:val="00B46A95"/>
    <w:rsid w:val="00B5028E"/>
    <w:rsid w:val="00B5114C"/>
    <w:rsid w:val="00B5123C"/>
    <w:rsid w:val="00B521CC"/>
    <w:rsid w:val="00B52F88"/>
    <w:rsid w:val="00B53BEE"/>
    <w:rsid w:val="00B544C2"/>
    <w:rsid w:val="00B5566F"/>
    <w:rsid w:val="00B56B62"/>
    <w:rsid w:val="00B6008F"/>
    <w:rsid w:val="00B6129E"/>
    <w:rsid w:val="00B630A6"/>
    <w:rsid w:val="00B6418E"/>
    <w:rsid w:val="00B70CC4"/>
    <w:rsid w:val="00B7278D"/>
    <w:rsid w:val="00B7296B"/>
    <w:rsid w:val="00B753C1"/>
    <w:rsid w:val="00B7608D"/>
    <w:rsid w:val="00B83AD0"/>
    <w:rsid w:val="00BA0FA3"/>
    <w:rsid w:val="00BA3DF1"/>
    <w:rsid w:val="00BB02DE"/>
    <w:rsid w:val="00BB371A"/>
    <w:rsid w:val="00BC6BF2"/>
    <w:rsid w:val="00BD178F"/>
    <w:rsid w:val="00BD5E06"/>
    <w:rsid w:val="00BD7337"/>
    <w:rsid w:val="00BD7AF2"/>
    <w:rsid w:val="00BD7B25"/>
    <w:rsid w:val="00BE1AFF"/>
    <w:rsid w:val="00BF27F5"/>
    <w:rsid w:val="00BF74E9"/>
    <w:rsid w:val="00C02030"/>
    <w:rsid w:val="00C05314"/>
    <w:rsid w:val="00C108F4"/>
    <w:rsid w:val="00C21DCC"/>
    <w:rsid w:val="00C24253"/>
    <w:rsid w:val="00C247CB"/>
    <w:rsid w:val="00C32D18"/>
    <w:rsid w:val="00C349D2"/>
    <w:rsid w:val="00C360BD"/>
    <w:rsid w:val="00C476E1"/>
    <w:rsid w:val="00C477F1"/>
    <w:rsid w:val="00C505E6"/>
    <w:rsid w:val="00C50600"/>
    <w:rsid w:val="00C50CC2"/>
    <w:rsid w:val="00C52E77"/>
    <w:rsid w:val="00C566B3"/>
    <w:rsid w:val="00C56B8B"/>
    <w:rsid w:val="00C65249"/>
    <w:rsid w:val="00C67B32"/>
    <w:rsid w:val="00C72007"/>
    <w:rsid w:val="00C75C83"/>
    <w:rsid w:val="00C8364B"/>
    <w:rsid w:val="00C837BA"/>
    <w:rsid w:val="00C84BBE"/>
    <w:rsid w:val="00C860FE"/>
    <w:rsid w:val="00C93A82"/>
    <w:rsid w:val="00C94A12"/>
    <w:rsid w:val="00C95346"/>
    <w:rsid w:val="00CA0DE1"/>
    <w:rsid w:val="00CA3B23"/>
    <w:rsid w:val="00CA62F6"/>
    <w:rsid w:val="00CA7161"/>
    <w:rsid w:val="00CA72A9"/>
    <w:rsid w:val="00CB0C1D"/>
    <w:rsid w:val="00CB56F1"/>
    <w:rsid w:val="00CC32EF"/>
    <w:rsid w:val="00CC4AE9"/>
    <w:rsid w:val="00CC5AA2"/>
    <w:rsid w:val="00CC721A"/>
    <w:rsid w:val="00CD0963"/>
    <w:rsid w:val="00CD0EE1"/>
    <w:rsid w:val="00CD5C71"/>
    <w:rsid w:val="00CE216D"/>
    <w:rsid w:val="00CE3D42"/>
    <w:rsid w:val="00CE53E6"/>
    <w:rsid w:val="00CE66B6"/>
    <w:rsid w:val="00CF1691"/>
    <w:rsid w:val="00CF1F9D"/>
    <w:rsid w:val="00CF289F"/>
    <w:rsid w:val="00CF539A"/>
    <w:rsid w:val="00CF6131"/>
    <w:rsid w:val="00D00D85"/>
    <w:rsid w:val="00D06EAA"/>
    <w:rsid w:val="00D112F3"/>
    <w:rsid w:val="00D201BC"/>
    <w:rsid w:val="00D21995"/>
    <w:rsid w:val="00D22E28"/>
    <w:rsid w:val="00D36733"/>
    <w:rsid w:val="00D471B5"/>
    <w:rsid w:val="00D55CC9"/>
    <w:rsid w:val="00D56712"/>
    <w:rsid w:val="00D571DB"/>
    <w:rsid w:val="00D62F9C"/>
    <w:rsid w:val="00D63F16"/>
    <w:rsid w:val="00D6774D"/>
    <w:rsid w:val="00D75191"/>
    <w:rsid w:val="00D80929"/>
    <w:rsid w:val="00D85254"/>
    <w:rsid w:val="00D91683"/>
    <w:rsid w:val="00D92FCF"/>
    <w:rsid w:val="00DA1803"/>
    <w:rsid w:val="00DA19D0"/>
    <w:rsid w:val="00DA526B"/>
    <w:rsid w:val="00DA77B2"/>
    <w:rsid w:val="00DB7D94"/>
    <w:rsid w:val="00DC4FFC"/>
    <w:rsid w:val="00DC6A2D"/>
    <w:rsid w:val="00DD3529"/>
    <w:rsid w:val="00DD3A96"/>
    <w:rsid w:val="00DE02C9"/>
    <w:rsid w:val="00DE3151"/>
    <w:rsid w:val="00DE79F7"/>
    <w:rsid w:val="00DF6BE4"/>
    <w:rsid w:val="00E00E60"/>
    <w:rsid w:val="00E018F8"/>
    <w:rsid w:val="00E04B96"/>
    <w:rsid w:val="00E11312"/>
    <w:rsid w:val="00E157BC"/>
    <w:rsid w:val="00E40194"/>
    <w:rsid w:val="00E414EC"/>
    <w:rsid w:val="00E43F63"/>
    <w:rsid w:val="00E50E4A"/>
    <w:rsid w:val="00E51B53"/>
    <w:rsid w:val="00E5363D"/>
    <w:rsid w:val="00E578DA"/>
    <w:rsid w:val="00E64A52"/>
    <w:rsid w:val="00E650D0"/>
    <w:rsid w:val="00E67EFD"/>
    <w:rsid w:val="00E730A1"/>
    <w:rsid w:val="00E80774"/>
    <w:rsid w:val="00E84D08"/>
    <w:rsid w:val="00E91F5F"/>
    <w:rsid w:val="00E927A6"/>
    <w:rsid w:val="00EA2E81"/>
    <w:rsid w:val="00EB12DD"/>
    <w:rsid w:val="00EB153E"/>
    <w:rsid w:val="00EB1ADA"/>
    <w:rsid w:val="00EB1F94"/>
    <w:rsid w:val="00EB57EB"/>
    <w:rsid w:val="00EB5C27"/>
    <w:rsid w:val="00EB6D1E"/>
    <w:rsid w:val="00EB75B3"/>
    <w:rsid w:val="00EC4FD8"/>
    <w:rsid w:val="00ED1BD7"/>
    <w:rsid w:val="00ED50CF"/>
    <w:rsid w:val="00EE095A"/>
    <w:rsid w:val="00EE1458"/>
    <w:rsid w:val="00EE2DEC"/>
    <w:rsid w:val="00EF1372"/>
    <w:rsid w:val="00EF7B70"/>
    <w:rsid w:val="00F06334"/>
    <w:rsid w:val="00F1152F"/>
    <w:rsid w:val="00F15989"/>
    <w:rsid w:val="00F15D36"/>
    <w:rsid w:val="00F207B3"/>
    <w:rsid w:val="00F22588"/>
    <w:rsid w:val="00F26D0D"/>
    <w:rsid w:val="00F27DB6"/>
    <w:rsid w:val="00F41222"/>
    <w:rsid w:val="00F45940"/>
    <w:rsid w:val="00F46E98"/>
    <w:rsid w:val="00F51BE1"/>
    <w:rsid w:val="00F5486B"/>
    <w:rsid w:val="00F62BC4"/>
    <w:rsid w:val="00F656FD"/>
    <w:rsid w:val="00F658E0"/>
    <w:rsid w:val="00F714BE"/>
    <w:rsid w:val="00F720F1"/>
    <w:rsid w:val="00F738C6"/>
    <w:rsid w:val="00F81783"/>
    <w:rsid w:val="00F83DA9"/>
    <w:rsid w:val="00F859B7"/>
    <w:rsid w:val="00F87466"/>
    <w:rsid w:val="00F877B4"/>
    <w:rsid w:val="00F90929"/>
    <w:rsid w:val="00F91840"/>
    <w:rsid w:val="00F91A3B"/>
    <w:rsid w:val="00FB014B"/>
    <w:rsid w:val="00FB0924"/>
    <w:rsid w:val="00FB1CCB"/>
    <w:rsid w:val="00FB27BE"/>
    <w:rsid w:val="00FB2D67"/>
    <w:rsid w:val="00FB3DBC"/>
    <w:rsid w:val="00FB4F15"/>
    <w:rsid w:val="00FB5FA7"/>
    <w:rsid w:val="00FC1C44"/>
    <w:rsid w:val="00FC47EE"/>
    <w:rsid w:val="00FD2C2A"/>
    <w:rsid w:val="00FE0C9E"/>
    <w:rsid w:val="00FE4C89"/>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C050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09E"/>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uiPriority w:val="99"/>
    <w:rsid w:val="00637CA1"/>
    <w:rPr>
      <w:color w:val="800080"/>
      <w:u w:val="single"/>
    </w:rPr>
  </w:style>
  <w:style w:type="table" w:styleId="TableGrid">
    <w:name w:val="Table Grid"/>
    <w:basedOn w:val="TableNormal"/>
    <w:uiPriority w:val="5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uiPriority w:val="99"/>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character" w:customStyle="1" w:styleId="Heading4Char">
    <w:name w:val="Heading 4 Char"/>
    <w:link w:val="Heading4"/>
    <w:uiPriority w:val="9"/>
    <w:rsid w:val="000B4509"/>
    <w:rPr>
      <w:b/>
      <w:bCs/>
      <w:sz w:val="28"/>
      <w:szCs w:val="28"/>
    </w:rPr>
  </w:style>
  <w:style w:type="paragraph" w:styleId="BalloonText">
    <w:name w:val="Balloon Text"/>
    <w:basedOn w:val="Normal"/>
    <w:link w:val="BalloonTextChar"/>
    <w:uiPriority w:val="99"/>
    <w:unhideWhenUsed/>
    <w:rsid w:val="000B4509"/>
    <w:rPr>
      <w:rFonts w:ascii="Tahoma" w:hAnsi="Tahoma" w:cs="Tahoma"/>
      <w:sz w:val="16"/>
      <w:szCs w:val="16"/>
    </w:rPr>
  </w:style>
  <w:style w:type="character" w:customStyle="1" w:styleId="BalloonTextChar">
    <w:name w:val="Balloon Text Char"/>
    <w:link w:val="BalloonText"/>
    <w:uiPriority w:val="99"/>
    <w:rsid w:val="000B4509"/>
    <w:rPr>
      <w:rFonts w:ascii="Tahoma" w:hAnsi="Tahoma" w:cs="Tahoma"/>
      <w:sz w:val="16"/>
      <w:szCs w:val="16"/>
    </w:rPr>
  </w:style>
  <w:style w:type="character" w:customStyle="1" w:styleId="HeaderChar">
    <w:name w:val="Header Char"/>
    <w:link w:val="Header"/>
    <w:uiPriority w:val="99"/>
    <w:rsid w:val="000B4509"/>
    <w:rPr>
      <w:sz w:val="24"/>
      <w:szCs w:val="24"/>
    </w:rPr>
  </w:style>
  <w:style w:type="character" w:customStyle="1" w:styleId="FooterChar">
    <w:name w:val="Footer Char"/>
    <w:link w:val="Footer"/>
    <w:uiPriority w:val="99"/>
    <w:rsid w:val="000B4509"/>
    <w:rPr>
      <w:sz w:val="24"/>
      <w:szCs w:val="24"/>
    </w:rPr>
  </w:style>
  <w:style w:type="character" w:styleId="CommentReference">
    <w:name w:val="annotation reference"/>
    <w:rsid w:val="00036E18"/>
    <w:rPr>
      <w:sz w:val="16"/>
      <w:szCs w:val="16"/>
    </w:rPr>
  </w:style>
  <w:style w:type="paragraph" w:styleId="CommentText">
    <w:name w:val="annotation text"/>
    <w:basedOn w:val="Normal"/>
    <w:link w:val="CommentTextChar"/>
    <w:rsid w:val="00036E18"/>
    <w:rPr>
      <w:sz w:val="20"/>
      <w:szCs w:val="20"/>
    </w:rPr>
  </w:style>
  <w:style w:type="character" w:customStyle="1" w:styleId="CommentTextChar">
    <w:name w:val="Comment Text Char"/>
    <w:basedOn w:val="DefaultParagraphFont"/>
    <w:link w:val="CommentText"/>
    <w:rsid w:val="00036E18"/>
  </w:style>
  <w:style w:type="paragraph" w:styleId="CommentSubject">
    <w:name w:val="annotation subject"/>
    <w:basedOn w:val="CommentText"/>
    <w:next w:val="CommentText"/>
    <w:link w:val="CommentSubjectChar"/>
    <w:rsid w:val="00036E18"/>
    <w:rPr>
      <w:b/>
      <w:bCs/>
    </w:rPr>
  </w:style>
  <w:style w:type="character" w:customStyle="1" w:styleId="CommentSubjectChar">
    <w:name w:val="Comment Subject Char"/>
    <w:link w:val="CommentSubject"/>
    <w:rsid w:val="00036E18"/>
    <w:rPr>
      <w:b/>
      <w:bCs/>
    </w:rPr>
  </w:style>
  <w:style w:type="paragraph" w:styleId="Revision">
    <w:name w:val="Revision"/>
    <w:hidden/>
    <w:uiPriority w:val="99"/>
    <w:semiHidden/>
    <w:rsid w:val="00036E18"/>
    <w:rPr>
      <w:sz w:val="24"/>
      <w:szCs w:val="24"/>
    </w:rPr>
  </w:style>
  <w:style w:type="character" w:styleId="UnresolvedMention">
    <w:name w:val="Unresolved Mention"/>
    <w:basedOn w:val="DefaultParagraphFont"/>
    <w:uiPriority w:val="99"/>
    <w:semiHidden/>
    <w:unhideWhenUsed/>
    <w:rsid w:val="004B5F51"/>
    <w:rPr>
      <w:color w:val="605E5C"/>
      <w:shd w:val="clear" w:color="auto" w:fill="E1DFDD"/>
    </w:rPr>
  </w:style>
  <w:style w:type="table" w:styleId="ListTable2-Accent1">
    <w:name w:val="List Table 2 Accent 1"/>
    <w:basedOn w:val="TableNormal"/>
    <w:uiPriority w:val="47"/>
    <w:rsid w:val="00B7608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D65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55CC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rsid w:val="007170C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4920">
      <w:bodyDiv w:val="1"/>
      <w:marLeft w:val="0"/>
      <w:marRight w:val="0"/>
      <w:marTop w:val="0"/>
      <w:marBottom w:val="0"/>
      <w:divBdr>
        <w:top w:val="none" w:sz="0" w:space="0" w:color="auto"/>
        <w:left w:val="none" w:sz="0" w:space="0" w:color="auto"/>
        <w:bottom w:val="none" w:sz="0" w:space="0" w:color="auto"/>
        <w:right w:val="none" w:sz="0" w:space="0" w:color="auto"/>
      </w:divBdr>
    </w:div>
    <w:div w:id="29688297">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1683161">
      <w:bodyDiv w:val="1"/>
      <w:marLeft w:val="0"/>
      <w:marRight w:val="0"/>
      <w:marTop w:val="0"/>
      <w:marBottom w:val="0"/>
      <w:divBdr>
        <w:top w:val="none" w:sz="0" w:space="0" w:color="auto"/>
        <w:left w:val="none" w:sz="0" w:space="0" w:color="auto"/>
        <w:bottom w:val="none" w:sz="0" w:space="0" w:color="auto"/>
        <w:right w:val="none" w:sz="0" w:space="0" w:color="auto"/>
      </w:divBdr>
    </w:div>
    <w:div w:id="82259866">
      <w:bodyDiv w:val="1"/>
      <w:marLeft w:val="0"/>
      <w:marRight w:val="0"/>
      <w:marTop w:val="0"/>
      <w:marBottom w:val="0"/>
      <w:divBdr>
        <w:top w:val="none" w:sz="0" w:space="0" w:color="auto"/>
        <w:left w:val="none" w:sz="0" w:space="0" w:color="auto"/>
        <w:bottom w:val="none" w:sz="0" w:space="0" w:color="auto"/>
        <w:right w:val="none" w:sz="0" w:space="0" w:color="auto"/>
      </w:divBdr>
    </w:div>
    <w:div w:id="86776161">
      <w:bodyDiv w:val="1"/>
      <w:marLeft w:val="0"/>
      <w:marRight w:val="0"/>
      <w:marTop w:val="0"/>
      <w:marBottom w:val="0"/>
      <w:divBdr>
        <w:top w:val="none" w:sz="0" w:space="0" w:color="auto"/>
        <w:left w:val="none" w:sz="0" w:space="0" w:color="auto"/>
        <w:bottom w:val="none" w:sz="0" w:space="0" w:color="auto"/>
        <w:right w:val="none" w:sz="0" w:space="0" w:color="auto"/>
      </w:divBdr>
    </w:div>
    <w:div w:id="107355859">
      <w:bodyDiv w:val="1"/>
      <w:marLeft w:val="0"/>
      <w:marRight w:val="0"/>
      <w:marTop w:val="0"/>
      <w:marBottom w:val="0"/>
      <w:divBdr>
        <w:top w:val="none" w:sz="0" w:space="0" w:color="auto"/>
        <w:left w:val="none" w:sz="0" w:space="0" w:color="auto"/>
        <w:bottom w:val="none" w:sz="0" w:space="0" w:color="auto"/>
        <w:right w:val="none" w:sz="0" w:space="0" w:color="auto"/>
      </w:divBdr>
    </w:div>
    <w:div w:id="120542477">
      <w:bodyDiv w:val="1"/>
      <w:marLeft w:val="0"/>
      <w:marRight w:val="0"/>
      <w:marTop w:val="0"/>
      <w:marBottom w:val="0"/>
      <w:divBdr>
        <w:top w:val="none" w:sz="0" w:space="0" w:color="auto"/>
        <w:left w:val="none" w:sz="0" w:space="0" w:color="auto"/>
        <w:bottom w:val="none" w:sz="0" w:space="0" w:color="auto"/>
        <w:right w:val="none" w:sz="0" w:space="0" w:color="auto"/>
      </w:divBdr>
    </w:div>
    <w:div w:id="165824601">
      <w:bodyDiv w:val="1"/>
      <w:marLeft w:val="0"/>
      <w:marRight w:val="0"/>
      <w:marTop w:val="0"/>
      <w:marBottom w:val="0"/>
      <w:divBdr>
        <w:top w:val="none" w:sz="0" w:space="0" w:color="auto"/>
        <w:left w:val="none" w:sz="0" w:space="0" w:color="auto"/>
        <w:bottom w:val="none" w:sz="0" w:space="0" w:color="auto"/>
        <w:right w:val="none" w:sz="0" w:space="0" w:color="auto"/>
      </w:divBdr>
    </w:div>
    <w:div w:id="174880004">
      <w:bodyDiv w:val="1"/>
      <w:marLeft w:val="0"/>
      <w:marRight w:val="0"/>
      <w:marTop w:val="0"/>
      <w:marBottom w:val="0"/>
      <w:divBdr>
        <w:top w:val="none" w:sz="0" w:space="0" w:color="auto"/>
        <w:left w:val="none" w:sz="0" w:space="0" w:color="auto"/>
        <w:bottom w:val="none" w:sz="0" w:space="0" w:color="auto"/>
        <w:right w:val="none" w:sz="0" w:space="0" w:color="auto"/>
      </w:divBdr>
    </w:div>
    <w:div w:id="178012241">
      <w:bodyDiv w:val="1"/>
      <w:marLeft w:val="0"/>
      <w:marRight w:val="0"/>
      <w:marTop w:val="0"/>
      <w:marBottom w:val="0"/>
      <w:divBdr>
        <w:top w:val="none" w:sz="0" w:space="0" w:color="auto"/>
        <w:left w:val="none" w:sz="0" w:space="0" w:color="auto"/>
        <w:bottom w:val="none" w:sz="0" w:space="0" w:color="auto"/>
        <w:right w:val="none" w:sz="0" w:space="0" w:color="auto"/>
      </w:divBdr>
    </w:div>
    <w:div w:id="238255853">
      <w:bodyDiv w:val="1"/>
      <w:marLeft w:val="0"/>
      <w:marRight w:val="0"/>
      <w:marTop w:val="0"/>
      <w:marBottom w:val="0"/>
      <w:divBdr>
        <w:top w:val="none" w:sz="0" w:space="0" w:color="auto"/>
        <w:left w:val="none" w:sz="0" w:space="0" w:color="auto"/>
        <w:bottom w:val="none" w:sz="0" w:space="0" w:color="auto"/>
        <w:right w:val="none" w:sz="0" w:space="0" w:color="auto"/>
      </w:divBdr>
    </w:div>
    <w:div w:id="356153994">
      <w:bodyDiv w:val="1"/>
      <w:marLeft w:val="0"/>
      <w:marRight w:val="0"/>
      <w:marTop w:val="0"/>
      <w:marBottom w:val="0"/>
      <w:divBdr>
        <w:top w:val="none" w:sz="0" w:space="0" w:color="auto"/>
        <w:left w:val="none" w:sz="0" w:space="0" w:color="auto"/>
        <w:bottom w:val="none" w:sz="0" w:space="0" w:color="auto"/>
        <w:right w:val="none" w:sz="0" w:space="0" w:color="auto"/>
      </w:divBdr>
    </w:div>
    <w:div w:id="417680190">
      <w:bodyDiv w:val="1"/>
      <w:marLeft w:val="0"/>
      <w:marRight w:val="0"/>
      <w:marTop w:val="0"/>
      <w:marBottom w:val="0"/>
      <w:divBdr>
        <w:top w:val="none" w:sz="0" w:space="0" w:color="auto"/>
        <w:left w:val="none" w:sz="0" w:space="0" w:color="auto"/>
        <w:bottom w:val="none" w:sz="0" w:space="0" w:color="auto"/>
        <w:right w:val="none" w:sz="0" w:space="0" w:color="auto"/>
      </w:divBdr>
    </w:div>
    <w:div w:id="458492490">
      <w:bodyDiv w:val="1"/>
      <w:marLeft w:val="0"/>
      <w:marRight w:val="0"/>
      <w:marTop w:val="0"/>
      <w:marBottom w:val="0"/>
      <w:divBdr>
        <w:top w:val="none" w:sz="0" w:space="0" w:color="auto"/>
        <w:left w:val="none" w:sz="0" w:space="0" w:color="auto"/>
        <w:bottom w:val="none" w:sz="0" w:space="0" w:color="auto"/>
        <w:right w:val="none" w:sz="0" w:space="0" w:color="auto"/>
      </w:divBdr>
    </w:div>
    <w:div w:id="482696888">
      <w:bodyDiv w:val="1"/>
      <w:marLeft w:val="0"/>
      <w:marRight w:val="0"/>
      <w:marTop w:val="0"/>
      <w:marBottom w:val="0"/>
      <w:divBdr>
        <w:top w:val="none" w:sz="0" w:space="0" w:color="auto"/>
        <w:left w:val="none" w:sz="0" w:space="0" w:color="auto"/>
        <w:bottom w:val="none" w:sz="0" w:space="0" w:color="auto"/>
        <w:right w:val="none" w:sz="0" w:space="0" w:color="auto"/>
      </w:divBdr>
    </w:div>
    <w:div w:id="494927936">
      <w:bodyDiv w:val="1"/>
      <w:marLeft w:val="0"/>
      <w:marRight w:val="0"/>
      <w:marTop w:val="0"/>
      <w:marBottom w:val="0"/>
      <w:divBdr>
        <w:top w:val="none" w:sz="0" w:space="0" w:color="auto"/>
        <w:left w:val="none" w:sz="0" w:space="0" w:color="auto"/>
        <w:bottom w:val="none" w:sz="0" w:space="0" w:color="auto"/>
        <w:right w:val="none" w:sz="0" w:space="0" w:color="auto"/>
      </w:divBdr>
    </w:div>
    <w:div w:id="515771492">
      <w:bodyDiv w:val="1"/>
      <w:marLeft w:val="0"/>
      <w:marRight w:val="0"/>
      <w:marTop w:val="0"/>
      <w:marBottom w:val="0"/>
      <w:divBdr>
        <w:top w:val="none" w:sz="0" w:space="0" w:color="auto"/>
        <w:left w:val="none" w:sz="0" w:space="0" w:color="auto"/>
        <w:bottom w:val="none" w:sz="0" w:space="0" w:color="auto"/>
        <w:right w:val="none" w:sz="0" w:space="0" w:color="auto"/>
      </w:divBdr>
    </w:div>
    <w:div w:id="521016975">
      <w:bodyDiv w:val="1"/>
      <w:marLeft w:val="0"/>
      <w:marRight w:val="0"/>
      <w:marTop w:val="0"/>
      <w:marBottom w:val="0"/>
      <w:divBdr>
        <w:top w:val="none" w:sz="0" w:space="0" w:color="auto"/>
        <w:left w:val="none" w:sz="0" w:space="0" w:color="auto"/>
        <w:bottom w:val="none" w:sz="0" w:space="0" w:color="auto"/>
        <w:right w:val="none" w:sz="0" w:space="0" w:color="auto"/>
      </w:divBdr>
    </w:div>
    <w:div w:id="531261258">
      <w:bodyDiv w:val="1"/>
      <w:marLeft w:val="0"/>
      <w:marRight w:val="0"/>
      <w:marTop w:val="0"/>
      <w:marBottom w:val="0"/>
      <w:divBdr>
        <w:top w:val="none" w:sz="0" w:space="0" w:color="auto"/>
        <w:left w:val="none" w:sz="0" w:space="0" w:color="auto"/>
        <w:bottom w:val="none" w:sz="0" w:space="0" w:color="auto"/>
        <w:right w:val="none" w:sz="0" w:space="0" w:color="auto"/>
      </w:divBdr>
    </w:div>
    <w:div w:id="561529757">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80061503">
      <w:bodyDiv w:val="1"/>
      <w:marLeft w:val="0"/>
      <w:marRight w:val="0"/>
      <w:marTop w:val="0"/>
      <w:marBottom w:val="0"/>
      <w:divBdr>
        <w:top w:val="none" w:sz="0" w:space="0" w:color="auto"/>
        <w:left w:val="none" w:sz="0" w:space="0" w:color="auto"/>
        <w:bottom w:val="none" w:sz="0" w:space="0" w:color="auto"/>
        <w:right w:val="none" w:sz="0" w:space="0" w:color="auto"/>
      </w:divBdr>
    </w:div>
    <w:div w:id="580991548">
      <w:bodyDiv w:val="1"/>
      <w:marLeft w:val="0"/>
      <w:marRight w:val="0"/>
      <w:marTop w:val="0"/>
      <w:marBottom w:val="0"/>
      <w:divBdr>
        <w:top w:val="none" w:sz="0" w:space="0" w:color="auto"/>
        <w:left w:val="none" w:sz="0" w:space="0" w:color="auto"/>
        <w:bottom w:val="none" w:sz="0" w:space="0" w:color="auto"/>
        <w:right w:val="none" w:sz="0" w:space="0" w:color="auto"/>
      </w:divBdr>
    </w:div>
    <w:div w:id="610820899">
      <w:bodyDiv w:val="1"/>
      <w:marLeft w:val="0"/>
      <w:marRight w:val="0"/>
      <w:marTop w:val="0"/>
      <w:marBottom w:val="0"/>
      <w:divBdr>
        <w:top w:val="none" w:sz="0" w:space="0" w:color="auto"/>
        <w:left w:val="none" w:sz="0" w:space="0" w:color="auto"/>
        <w:bottom w:val="none" w:sz="0" w:space="0" w:color="auto"/>
        <w:right w:val="none" w:sz="0" w:space="0" w:color="auto"/>
      </w:divBdr>
    </w:div>
    <w:div w:id="612370368">
      <w:bodyDiv w:val="1"/>
      <w:marLeft w:val="0"/>
      <w:marRight w:val="0"/>
      <w:marTop w:val="0"/>
      <w:marBottom w:val="0"/>
      <w:divBdr>
        <w:top w:val="none" w:sz="0" w:space="0" w:color="auto"/>
        <w:left w:val="none" w:sz="0" w:space="0" w:color="auto"/>
        <w:bottom w:val="none" w:sz="0" w:space="0" w:color="auto"/>
        <w:right w:val="none" w:sz="0" w:space="0" w:color="auto"/>
      </w:divBdr>
    </w:div>
    <w:div w:id="643899891">
      <w:bodyDiv w:val="1"/>
      <w:marLeft w:val="0"/>
      <w:marRight w:val="0"/>
      <w:marTop w:val="0"/>
      <w:marBottom w:val="0"/>
      <w:divBdr>
        <w:top w:val="none" w:sz="0" w:space="0" w:color="auto"/>
        <w:left w:val="none" w:sz="0" w:space="0" w:color="auto"/>
        <w:bottom w:val="none" w:sz="0" w:space="0" w:color="auto"/>
        <w:right w:val="none" w:sz="0" w:space="0" w:color="auto"/>
      </w:divBdr>
    </w:div>
    <w:div w:id="68362856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40370381">
      <w:bodyDiv w:val="1"/>
      <w:marLeft w:val="0"/>
      <w:marRight w:val="0"/>
      <w:marTop w:val="0"/>
      <w:marBottom w:val="0"/>
      <w:divBdr>
        <w:top w:val="none" w:sz="0" w:space="0" w:color="auto"/>
        <w:left w:val="none" w:sz="0" w:space="0" w:color="auto"/>
        <w:bottom w:val="none" w:sz="0" w:space="0" w:color="auto"/>
        <w:right w:val="none" w:sz="0" w:space="0" w:color="auto"/>
      </w:divBdr>
    </w:div>
    <w:div w:id="745499123">
      <w:bodyDiv w:val="1"/>
      <w:marLeft w:val="0"/>
      <w:marRight w:val="0"/>
      <w:marTop w:val="0"/>
      <w:marBottom w:val="0"/>
      <w:divBdr>
        <w:top w:val="none" w:sz="0" w:space="0" w:color="auto"/>
        <w:left w:val="none" w:sz="0" w:space="0" w:color="auto"/>
        <w:bottom w:val="none" w:sz="0" w:space="0" w:color="auto"/>
        <w:right w:val="none" w:sz="0" w:space="0" w:color="auto"/>
      </w:divBdr>
    </w:div>
    <w:div w:id="761494442">
      <w:bodyDiv w:val="1"/>
      <w:marLeft w:val="0"/>
      <w:marRight w:val="0"/>
      <w:marTop w:val="0"/>
      <w:marBottom w:val="0"/>
      <w:divBdr>
        <w:top w:val="none" w:sz="0" w:space="0" w:color="auto"/>
        <w:left w:val="none" w:sz="0" w:space="0" w:color="auto"/>
        <w:bottom w:val="none" w:sz="0" w:space="0" w:color="auto"/>
        <w:right w:val="none" w:sz="0" w:space="0" w:color="auto"/>
      </w:divBdr>
    </w:div>
    <w:div w:id="837043948">
      <w:bodyDiv w:val="1"/>
      <w:marLeft w:val="0"/>
      <w:marRight w:val="0"/>
      <w:marTop w:val="0"/>
      <w:marBottom w:val="0"/>
      <w:divBdr>
        <w:top w:val="none" w:sz="0" w:space="0" w:color="auto"/>
        <w:left w:val="none" w:sz="0" w:space="0" w:color="auto"/>
        <w:bottom w:val="none" w:sz="0" w:space="0" w:color="auto"/>
        <w:right w:val="none" w:sz="0" w:space="0" w:color="auto"/>
      </w:divBdr>
    </w:div>
    <w:div w:id="851605234">
      <w:bodyDiv w:val="1"/>
      <w:marLeft w:val="0"/>
      <w:marRight w:val="0"/>
      <w:marTop w:val="0"/>
      <w:marBottom w:val="0"/>
      <w:divBdr>
        <w:top w:val="none" w:sz="0" w:space="0" w:color="auto"/>
        <w:left w:val="none" w:sz="0" w:space="0" w:color="auto"/>
        <w:bottom w:val="none" w:sz="0" w:space="0" w:color="auto"/>
        <w:right w:val="none" w:sz="0" w:space="0" w:color="auto"/>
      </w:divBdr>
    </w:div>
    <w:div w:id="858541250">
      <w:bodyDiv w:val="1"/>
      <w:marLeft w:val="0"/>
      <w:marRight w:val="0"/>
      <w:marTop w:val="0"/>
      <w:marBottom w:val="0"/>
      <w:divBdr>
        <w:top w:val="none" w:sz="0" w:space="0" w:color="auto"/>
        <w:left w:val="none" w:sz="0" w:space="0" w:color="auto"/>
        <w:bottom w:val="none" w:sz="0" w:space="0" w:color="auto"/>
        <w:right w:val="none" w:sz="0" w:space="0" w:color="auto"/>
      </w:divBdr>
    </w:div>
    <w:div w:id="882714993">
      <w:bodyDiv w:val="1"/>
      <w:marLeft w:val="0"/>
      <w:marRight w:val="0"/>
      <w:marTop w:val="0"/>
      <w:marBottom w:val="0"/>
      <w:divBdr>
        <w:top w:val="none" w:sz="0" w:space="0" w:color="auto"/>
        <w:left w:val="none" w:sz="0" w:space="0" w:color="auto"/>
        <w:bottom w:val="none" w:sz="0" w:space="0" w:color="auto"/>
        <w:right w:val="none" w:sz="0" w:space="0" w:color="auto"/>
      </w:divBdr>
    </w:div>
    <w:div w:id="894270800">
      <w:bodyDiv w:val="1"/>
      <w:marLeft w:val="0"/>
      <w:marRight w:val="0"/>
      <w:marTop w:val="0"/>
      <w:marBottom w:val="0"/>
      <w:divBdr>
        <w:top w:val="none" w:sz="0" w:space="0" w:color="auto"/>
        <w:left w:val="none" w:sz="0" w:space="0" w:color="auto"/>
        <w:bottom w:val="none" w:sz="0" w:space="0" w:color="auto"/>
        <w:right w:val="none" w:sz="0" w:space="0" w:color="auto"/>
      </w:divBdr>
    </w:div>
    <w:div w:id="898588713">
      <w:bodyDiv w:val="1"/>
      <w:marLeft w:val="0"/>
      <w:marRight w:val="0"/>
      <w:marTop w:val="0"/>
      <w:marBottom w:val="0"/>
      <w:divBdr>
        <w:top w:val="none" w:sz="0" w:space="0" w:color="auto"/>
        <w:left w:val="none" w:sz="0" w:space="0" w:color="auto"/>
        <w:bottom w:val="none" w:sz="0" w:space="0" w:color="auto"/>
        <w:right w:val="none" w:sz="0" w:space="0" w:color="auto"/>
      </w:divBdr>
    </w:div>
    <w:div w:id="900562139">
      <w:bodyDiv w:val="1"/>
      <w:marLeft w:val="0"/>
      <w:marRight w:val="0"/>
      <w:marTop w:val="0"/>
      <w:marBottom w:val="0"/>
      <w:divBdr>
        <w:top w:val="none" w:sz="0" w:space="0" w:color="auto"/>
        <w:left w:val="none" w:sz="0" w:space="0" w:color="auto"/>
        <w:bottom w:val="none" w:sz="0" w:space="0" w:color="auto"/>
        <w:right w:val="none" w:sz="0" w:space="0" w:color="auto"/>
      </w:divBdr>
    </w:div>
    <w:div w:id="918251463">
      <w:bodyDiv w:val="1"/>
      <w:marLeft w:val="0"/>
      <w:marRight w:val="0"/>
      <w:marTop w:val="0"/>
      <w:marBottom w:val="0"/>
      <w:divBdr>
        <w:top w:val="none" w:sz="0" w:space="0" w:color="auto"/>
        <w:left w:val="none" w:sz="0" w:space="0" w:color="auto"/>
        <w:bottom w:val="none" w:sz="0" w:space="0" w:color="auto"/>
        <w:right w:val="none" w:sz="0" w:space="0" w:color="auto"/>
      </w:divBdr>
    </w:div>
    <w:div w:id="939141596">
      <w:bodyDiv w:val="1"/>
      <w:marLeft w:val="0"/>
      <w:marRight w:val="0"/>
      <w:marTop w:val="0"/>
      <w:marBottom w:val="0"/>
      <w:divBdr>
        <w:top w:val="none" w:sz="0" w:space="0" w:color="auto"/>
        <w:left w:val="none" w:sz="0" w:space="0" w:color="auto"/>
        <w:bottom w:val="none" w:sz="0" w:space="0" w:color="auto"/>
        <w:right w:val="none" w:sz="0" w:space="0" w:color="auto"/>
      </w:divBdr>
    </w:div>
    <w:div w:id="978608070">
      <w:bodyDiv w:val="1"/>
      <w:marLeft w:val="0"/>
      <w:marRight w:val="0"/>
      <w:marTop w:val="0"/>
      <w:marBottom w:val="0"/>
      <w:divBdr>
        <w:top w:val="none" w:sz="0" w:space="0" w:color="auto"/>
        <w:left w:val="none" w:sz="0" w:space="0" w:color="auto"/>
        <w:bottom w:val="none" w:sz="0" w:space="0" w:color="auto"/>
        <w:right w:val="none" w:sz="0" w:space="0" w:color="auto"/>
      </w:divBdr>
    </w:div>
    <w:div w:id="1020549974">
      <w:bodyDiv w:val="1"/>
      <w:marLeft w:val="0"/>
      <w:marRight w:val="0"/>
      <w:marTop w:val="0"/>
      <w:marBottom w:val="0"/>
      <w:divBdr>
        <w:top w:val="none" w:sz="0" w:space="0" w:color="auto"/>
        <w:left w:val="none" w:sz="0" w:space="0" w:color="auto"/>
        <w:bottom w:val="none" w:sz="0" w:space="0" w:color="auto"/>
        <w:right w:val="none" w:sz="0" w:space="0" w:color="auto"/>
      </w:divBdr>
    </w:div>
    <w:div w:id="1041438506">
      <w:bodyDiv w:val="1"/>
      <w:marLeft w:val="0"/>
      <w:marRight w:val="0"/>
      <w:marTop w:val="0"/>
      <w:marBottom w:val="0"/>
      <w:divBdr>
        <w:top w:val="none" w:sz="0" w:space="0" w:color="auto"/>
        <w:left w:val="none" w:sz="0" w:space="0" w:color="auto"/>
        <w:bottom w:val="none" w:sz="0" w:space="0" w:color="auto"/>
        <w:right w:val="none" w:sz="0" w:space="0" w:color="auto"/>
      </w:divBdr>
    </w:div>
    <w:div w:id="1063143674">
      <w:bodyDiv w:val="1"/>
      <w:marLeft w:val="0"/>
      <w:marRight w:val="0"/>
      <w:marTop w:val="0"/>
      <w:marBottom w:val="0"/>
      <w:divBdr>
        <w:top w:val="none" w:sz="0" w:space="0" w:color="auto"/>
        <w:left w:val="none" w:sz="0" w:space="0" w:color="auto"/>
        <w:bottom w:val="none" w:sz="0" w:space="0" w:color="auto"/>
        <w:right w:val="none" w:sz="0" w:space="0" w:color="auto"/>
      </w:divBdr>
    </w:div>
    <w:div w:id="1087194486">
      <w:bodyDiv w:val="1"/>
      <w:marLeft w:val="0"/>
      <w:marRight w:val="0"/>
      <w:marTop w:val="0"/>
      <w:marBottom w:val="0"/>
      <w:divBdr>
        <w:top w:val="none" w:sz="0" w:space="0" w:color="auto"/>
        <w:left w:val="none" w:sz="0" w:space="0" w:color="auto"/>
        <w:bottom w:val="none" w:sz="0" w:space="0" w:color="auto"/>
        <w:right w:val="none" w:sz="0" w:space="0" w:color="auto"/>
      </w:divBdr>
    </w:div>
    <w:div w:id="1095248125">
      <w:bodyDiv w:val="1"/>
      <w:marLeft w:val="0"/>
      <w:marRight w:val="0"/>
      <w:marTop w:val="0"/>
      <w:marBottom w:val="0"/>
      <w:divBdr>
        <w:top w:val="none" w:sz="0" w:space="0" w:color="auto"/>
        <w:left w:val="none" w:sz="0" w:space="0" w:color="auto"/>
        <w:bottom w:val="none" w:sz="0" w:space="0" w:color="auto"/>
        <w:right w:val="none" w:sz="0" w:space="0" w:color="auto"/>
      </w:divBdr>
    </w:div>
    <w:div w:id="1113283994">
      <w:bodyDiv w:val="1"/>
      <w:marLeft w:val="0"/>
      <w:marRight w:val="0"/>
      <w:marTop w:val="0"/>
      <w:marBottom w:val="0"/>
      <w:divBdr>
        <w:top w:val="none" w:sz="0" w:space="0" w:color="auto"/>
        <w:left w:val="none" w:sz="0" w:space="0" w:color="auto"/>
        <w:bottom w:val="none" w:sz="0" w:space="0" w:color="auto"/>
        <w:right w:val="none" w:sz="0" w:space="0" w:color="auto"/>
      </w:divBdr>
    </w:div>
    <w:div w:id="1113548415">
      <w:bodyDiv w:val="1"/>
      <w:marLeft w:val="0"/>
      <w:marRight w:val="0"/>
      <w:marTop w:val="0"/>
      <w:marBottom w:val="0"/>
      <w:divBdr>
        <w:top w:val="none" w:sz="0" w:space="0" w:color="auto"/>
        <w:left w:val="none" w:sz="0" w:space="0" w:color="auto"/>
        <w:bottom w:val="none" w:sz="0" w:space="0" w:color="auto"/>
        <w:right w:val="none" w:sz="0" w:space="0" w:color="auto"/>
      </w:divBdr>
    </w:div>
    <w:div w:id="1132940772">
      <w:bodyDiv w:val="1"/>
      <w:marLeft w:val="0"/>
      <w:marRight w:val="0"/>
      <w:marTop w:val="0"/>
      <w:marBottom w:val="0"/>
      <w:divBdr>
        <w:top w:val="none" w:sz="0" w:space="0" w:color="auto"/>
        <w:left w:val="none" w:sz="0" w:space="0" w:color="auto"/>
        <w:bottom w:val="none" w:sz="0" w:space="0" w:color="auto"/>
        <w:right w:val="none" w:sz="0" w:space="0" w:color="auto"/>
      </w:divBdr>
    </w:div>
    <w:div w:id="1170025456">
      <w:bodyDiv w:val="1"/>
      <w:marLeft w:val="0"/>
      <w:marRight w:val="0"/>
      <w:marTop w:val="0"/>
      <w:marBottom w:val="0"/>
      <w:divBdr>
        <w:top w:val="none" w:sz="0" w:space="0" w:color="auto"/>
        <w:left w:val="none" w:sz="0" w:space="0" w:color="auto"/>
        <w:bottom w:val="none" w:sz="0" w:space="0" w:color="auto"/>
        <w:right w:val="none" w:sz="0" w:space="0" w:color="auto"/>
      </w:divBdr>
    </w:div>
    <w:div w:id="1171336492">
      <w:bodyDiv w:val="1"/>
      <w:marLeft w:val="0"/>
      <w:marRight w:val="0"/>
      <w:marTop w:val="0"/>
      <w:marBottom w:val="0"/>
      <w:divBdr>
        <w:top w:val="none" w:sz="0" w:space="0" w:color="auto"/>
        <w:left w:val="none" w:sz="0" w:space="0" w:color="auto"/>
        <w:bottom w:val="none" w:sz="0" w:space="0" w:color="auto"/>
        <w:right w:val="none" w:sz="0" w:space="0" w:color="auto"/>
      </w:divBdr>
    </w:div>
    <w:div w:id="1181436942">
      <w:bodyDiv w:val="1"/>
      <w:marLeft w:val="0"/>
      <w:marRight w:val="0"/>
      <w:marTop w:val="0"/>
      <w:marBottom w:val="0"/>
      <w:divBdr>
        <w:top w:val="none" w:sz="0" w:space="0" w:color="auto"/>
        <w:left w:val="none" w:sz="0" w:space="0" w:color="auto"/>
        <w:bottom w:val="none" w:sz="0" w:space="0" w:color="auto"/>
        <w:right w:val="none" w:sz="0" w:space="0" w:color="auto"/>
      </w:divBdr>
    </w:div>
    <w:div w:id="1198927407">
      <w:bodyDiv w:val="1"/>
      <w:marLeft w:val="0"/>
      <w:marRight w:val="0"/>
      <w:marTop w:val="0"/>
      <w:marBottom w:val="0"/>
      <w:divBdr>
        <w:top w:val="none" w:sz="0" w:space="0" w:color="auto"/>
        <w:left w:val="none" w:sz="0" w:space="0" w:color="auto"/>
        <w:bottom w:val="none" w:sz="0" w:space="0" w:color="auto"/>
        <w:right w:val="none" w:sz="0" w:space="0" w:color="auto"/>
      </w:divBdr>
    </w:div>
    <w:div w:id="1199274054">
      <w:bodyDiv w:val="1"/>
      <w:marLeft w:val="0"/>
      <w:marRight w:val="0"/>
      <w:marTop w:val="0"/>
      <w:marBottom w:val="0"/>
      <w:divBdr>
        <w:top w:val="none" w:sz="0" w:space="0" w:color="auto"/>
        <w:left w:val="none" w:sz="0" w:space="0" w:color="auto"/>
        <w:bottom w:val="none" w:sz="0" w:space="0" w:color="auto"/>
        <w:right w:val="none" w:sz="0" w:space="0" w:color="auto"/>
      </w:divBdr>
    </w:div>
    <w:div w:id="1199702729">
      <w:bodyDiv w:val="1"/>
      <w:marLeft w:val="0"/>
      <w:marRight w:val="0"/>
      <w:marTop w:val="0"/>
      <w:marBottom w:val="0"/>
      <w:divBdr>
        <w:top w:val="none" w:sz="0" w:space="0" w:color="auto"/>
        <w:left w:val="none" w:sz="0" w:space="0" w:color="auto"/>
        <w:bottom w:val="none" w:sz="0" w:space="0" w:color="auto"/>
        <w:right w:val="none" w:sz="0" w:space="0" w:color="auto"/>
      </w:divBdr>
    </w:div>
    <w:div w:id="11997819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67273925">
      <w:bodyDiv w:val="1"/>
      <w:marLeft w:val="0"/>
      <w:marRight w:val="0"/>
      <w:marTop w:val="0"/>
      <w:marBottom w:val="0"/>
      <w:divBdr>
        <w:top w:val="none" w:sz="0" w:space="0" w:color="auto"/>
        <w:left w:val="none" w:sz="0" w:space="0" w:color="auto"/>
        <w:bottom w:val="none" w:sz="0" w:space="0" w:color="auto"/>
        <w:right w:val="none" w:sz="0" w:space="0" w:color="auto"/>
      </w:divBdr>
    </w:div>
    <w:div w:id="1291520399">
      <w:bodyDiv w:val="1"/>
      <w:marLeft w:val="0"/>
      <w:marRight w:val="0"/>
      <w:marTop w:val="0"/>
      <w:marBottom w:val="0"/>
      <w:divBdr>
        <w:top w:val="none" w:sz="0" w:space="0" w:color="auto"/>
        <w:left w:val="none" w:sz="0" w:space="0" w:color="auto"/>
        <w:bottom w:val="none" w:sz="0" w:space="0" w:color="auto"/>
        <w:right w:val="none" w:sz="0" w:space="0" w:color="auto"/>
      </w:divBdr>
    </w:div>
    <w:div w:id="1372726314">
      <w:bodyDiv w:val="1"/>
      <w:marLeft w:val="0"/>
      <w:marRight w:val="0"/>
      <w:marTop w:val="0"/>
      <w:marBottom w:val="0"/>
      <w:divBdr>
        <w:top w:val="none" w:sz="0" w:space="0" w:color="auto"/>
        <w:left w:val="none" w:sz="0" w:space="0" w:color="auto"/>
        <w:bottom w:val="none" w:sz="0" w:space="0" w:color="auto"/>
        <w:right w:val="none" w:sz="0" w:space="0" w:color="auto"/>
      </w:divBdr>
    </w:div>
    <w:div w:id="140610417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3909071">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50145321">
      <w:bodyDiv w:val="1"/>
      <w:marLeft w:val="0"/>
      <w:marRight w:val="0"/>
      <w:marTop w:val="0"/>
      <w:marBottom w:val="0"/>
      <w:divBdr>
        <w:top w:val="none" w:sz="0" w:space="0" w:color="auto"/>
        <w:left w:val="none" w:sz="0" w:space="0" w:color="auto"/>
        <w:bottom w:val="none" w:sz="0" w:space="0" w:color="auto"/>
        <w:right w:val="none" w:sz="0" w:space="0" w:color="auto"/>
      </w:divBdr>
    </w:div>
    <w:div w:id="1574118122">
      <w:bodyDiv w:val="1"/>
      <w:marLeft w:val="0"/>
      <w:marRight w:val="0"/>
      <w:marTop w:val="0"/>
      <w:marBottom w:val="0"/>
      <w:divBdr>
        <w:top w:val="none" w:sz="0" w:space="0" w:color="auto"/>
        <w:left w:val="none" w:sz="0" w:space="0" w:color="auto"/>
        <w:bottom w:val="none" w:sz="0" w:space="0" w:color="auto"/>
        <w:right w:val="none" w:sz="0" w:space="0" w:color="auto"/>
      </w:divBdr>
    </w:div>
    <w:div w:id="1622031529">
      <w:bodyDiv w:val="1"/>
      <w:marLeft w:val="0"/>
      <w:marRight w:val="0"/>
      <w:marTop w:val="0"/>
      <w:marBottom w:val="0"/>
      <w:divBdr>
        <w:top w:val="none" w:sz="0" w:space="0" w:color="auto"/>
        <w:left w:val="none" w:sz="0" w:space="0" w:color="auto"/>
        <w:bottom w:val="none" w:sz="0" w:space="0" w:color="auto"/>
        <w:right w:val="none" w:sz="0" w:space="0" w:color="auto"/>
      </w:divBdr>
    </w:div>
    <w:div w:id="1626352843">
      <w:bodyDiv w:val="1"/>
      <w:marLeft w:val="0"/>
      <w:marRight w:val="0"/>
      <w:marTop w:val="0"/>
      <w:marBottom w:val="0"/>
      <w:divBdr>
        <w:top w:val="none" w:sz="0" w:space="0" w:color="auto"/>
        <w:left w:val="none" w:sz="0" w:space="0" w:color="auto"/>
        <w:bottom w:val="none" w:sz="0" w:space="0" w:color="auto"/>
        <w:right w:val="none" w:sz="0" w:space="0" w:color="auto"/>
      </w:divBdr>
    </w:div>
    <w:div w:id="1632520657">
      <w:bodyDiv w:val="1"/>
      <w:marLeft w:val="0"/>
      <w:marRight w:val="0"/>
      <w:marTop w:val="0"/>
      <w:marBottom w:val="0"/>
      <w:divBdr>
        <w:top w:val="none" w:sz="0" w:space="0" w:color="auto"/>
        <w:left w:val="none" w:sz="0" w:space="0" w:color="auto"/>
        <w:bottom w:val="none" w:sz="0" w:space="0" w:color="auto"/>
        <w:right w:val="none" w:sz="0" w:space="0" w:color="auto"/>
      </w:divBdr>
    </w:div>
    <w:div w:id="1645812345">
      <w:bodyDiv w:val="1"/>
      <w:marLeft w:val="0"/>
      <w:marRight w:val="0"/>
      <w:marTop w:val="0"/>
      <w:marBottom w:val="0"/>
      <w:divBdr>
        <w:top w:val="none" w:sz="0" w:space="0" w:color="auto"/>
        <w:left w:val="none" w:sz="0" w:space="0" w:color="auto"/>
        <w:bottom w:val="none" w:sz="0" w:space="0" w:color="auto"/>
        <w:right w:val="none" w:sz="0" w:space="0" w:color="auto"/>
      </w:divBdr>
    </w:div>
    <w:div w:id="1686201225">
      <w:bodyDiv w:val="1"/>
      <w:marLeft w:val="0"/>
      <w:marRight w:val="0"/>
      <w:marTop w:val="0"/>
      <w:marBottom w:val="0"/>
      <w:divBdr>
        <w:top w:val="none" w:sz="0" w:space="0" w:color="auto"/>
        <w:left w:val="none" w:sz="0" w:space="0" w:color="auto"/>
        <w:bottom w:val="none" w:sz="0" w:space="0" w:color="auto"/>
        <w:right w:val="none" w:sz="0" w:space="0" w:color="auto"/>
      </w:divBdr>
    </w:div>
    <w:div w:id="1712148937">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23211644">
      <w:bodyDiv w:val="1"/>
      <w:marLeft w:val="0"/>
      <w:marRight w:val="0"/>
      <w:marTop w:val="0"/>
      <w:marBottom w:val="0"/>
      <w:divBdr>
        <w:top w:val="none" w:sz="0" w:space="0" w:color="auto"/>
        <w:left w:val="none" w:sz="0" w:space="0" w:color="auto"/>
        <w:bottom w:val="none" w:sz="0" w:space="0" w:color="auto"/>
        <w:right w:val="none" w:sz="0" w:space="0" w:color="auto"/>
      </w:divBdr>
    </w:div>
    <w:div w:id="1756509295">
      <w:bodyDiv w:val="1"/>
      <w:marLeft w:val="0"/>
      <w:marRight w:val="0"/>
      <w:marTop w:val="0"/>
      <w:marBottom w:val="0"/>
      <w:divBdr>
        <w:top w:val="none" w:sz="0" w:space="0" w:color="auto"/>
        <w:left w:val="none" w:sz="0" w:space="0" w:color="auto"/>
        <w:bottom w:val="none" w:sz="0" w:space="0" w:color="auto"/>
        <w:right w:val="none" w:sz="0" w:space="0" w:color="auto"/>
      </w:divBdr>
    </w:div>
    <w:div w:id="1787388303">
      <w:bodyDiv w:val="1"/>
      <w:marLeft w:val="0"/>
      <w:marRight w:val="0"/>
      <w:marTop w:val="0"/>
      <w:marBottom w:val="0"/>
      <w:divBdr>
        <w:top w:val="none" w:sz="0" w:space="0" w:color="auto"/>
        <w:left w:val="none" w:sz="0" w:space="0" w:color="auto"/>
        <w:bottom w:val="none" w:sz="0" w:space="0" w:color="auto"/>
        <w:right w:val="none" w:sz="0" w:space="0" w:color="auto"/>
      </w:divBdr>
    </w:div>
    <w:div w:id="1798404042">
      <w:bodyDiv w:val="1"/>
      <w:marLeft w:val="0"/>
      <w:marRight w:val="0"/>
      <w:marTop w:val="0"/>
      <w:marBottom w:val="0"/>
      <w:divBdr>
        <w:top w:val="none" w:sz="0" w:space="0" w:color="auto"/>
        <w:left w:val="none" w:sz="0" w:space="0" w:color="auto"/>
        <w:bottom w:val="none" w:sz="0" w:space="0" w:color="auto"/>
        <w:right w:val="none" w:sz="0" w:space="0" w:color="auto"/>
      </w:divBdr>
    </w:div>
    <w:div w:id="1841114811">
      <w:bodyDiv w:val="1"/>
      <w:marLeft w:val="0"/>
      <w:marRight w:val="0"/>
      <w:marTop w:val="0"/>
      <w:marBottom w:val="0"/>
      <w:divBdr>
        <w:top w:val="none" w:sz="0" w:space="0" w:color="auto"/>
        <w:left w:val="none" w:sz="0" w:space="0" w:color="auto"/>
        <w:bottom w:val="none" w:sz="0" w:space="0" w:color="auto"/>
        <w:right w:val="none" w:sz="0" w:space="0" w:color="auto"/>
      </w:divBdr>
    </w:div>
    <w:div w:id="1898781446">
      <w:bodyDiv w:val="1"/>
      <w:marLeft w:val="0"/>
      <w:marRight w:val="0"/>
      <w:marTop w:val="0"/>
      <w:marBottom w:val="0"/>
      <w:divBdr>
        <w:top w:val="none" w:sz="0" w:space="0" w:color="auto"/>
        <w:left w:val="none" w:sz="0" w:space="0" w:color="auto"/>
        <w:bottom w:val="none" w:sz="0" w:space="0" w:color="auto"/>
        <w:right w:val="none" w:sz="0" w:space="0" w:color="auto"/>
      </w:divBdr>
    </w:div>
    <w:div w:id="1915773107">
      <w:bodyDiv w:val="1"/>
      <w:marLeft w:val="0"/>
      <w:marRight w:val="0"/>
      <w:marTop w:val="0"/>
      <w:marBottom w:val="0"/>
      <w:divBdr>
        <w:top w:val="none" w:sz="0" w:space="0" w:color="auto"/>
        <w:left w:val="none" w:sz="0" w:space="0" w:color="auto"/>
        <w:bottom w:val="none" w:sz="0" w:space="0" w:color="auto"/>
        <w:right w:val="none" w:sz="0" w:space="0" w:color="auto"/>
      </w:divBdr>
    </w:div>
    <w:div w:id="1937136032">
      <w:bodyDiv w:val="1"/>
      <w:marLeft w:val="0"/>
      <w:marRight w:val="0"/>
      <w:marTop w:val="0"/>
      <w:marBottom w:val="0"/>
      <w:divBdr>
        <w:top w:val="none" w:sz="0" w:space="0" w:color="auto"/>
        <w:left w:val="none" w:sz="0" w:space="0" w:color="auto"/>
        <w:bottom w:val="none" w:sz="0" w:space="0" w:color="auto"/>
        <w:right w:val="none" w:sz="0" w:space="0" w:color="auto"/>
      </w:divBdr>
    </w:div>
    <w:div w:id="1953895454">
      <w:bodyDiv w:val="1"/>
      <w:marLeft w:val="0"/>
      <w:marRight w:val="0"/>
      <w:marTop w:val="0"/>
      <w:marBottom w:val="0"/>
      <w:divBdr>
        <w:top w:val="none" w:sz="0" w:space="0" w:color="auto"/>
        <w:left w:val="none" w:sz="0" w:space="0" w:color="auto"/>
        <w:bottom w:val="none" w:sz="0" w:space="0" w:color="auto"/>
        <w:right w:val="none" w:sz="0" w:space="0" w:color="auto"/>
      </w:divBdr>
    </w:div>
    <w:div w:id="1980769304">
      <w:bodyDiv w:val="1"/>
      <w:marLeft w:val="0"/>
      <w:marRight w:val="0"/>
      <w:marTop w:val="0"/>
      <w:marBottom w:val="0"/>
      <w:divBdr>
        <w:top w:val="none" w:sz="0" w:space="0" w:color="auto"/>
        <w:left w:val="none" w:sz="0" w:space="0" w:color="auto"/>
        <w:bottom w:val="none" w:sz="0" w:space="0" w:color="auto"/>
        <w:right w:val="none" w:sz="0" w:space="0" w:color="auto"/>
      </w:divBdr>
    </w:div>
    <w:div w:id="2049913946">
      <w:bodyDiv w:val="1"/>
      <w:marLeft w:val="0"/>
      <w:marRight w:val="0"/>
      <w:marTop w:val="0"/>
      <w:marBottom w:val="0"/>
      <w:divBdr>
        <w:top w:val="none" w:sz="0" w:space="0" w:color="auto"/>
        <w:left w:val="none" w:sz="0" w:space="0" w:color="auto"/>
        <w:bottom w:val="none" w:sz="0" w:space="0" w:color="auto"/>
        <w:right w:val="none" w:sz="0" w:space="0" w:color="auto"/>
      </w:divBdr>
    </w:div>
    <w:div w:id="2080705993">
      <w:bodyDiv w:val="1"/>
      <w:marLeft w:val="0"/>
      <w:marRight w:val="0"/>
      <w:marTop w:val="0"/>
      <w:marBottom w:val="0"/>
      <w:divBdr>
        <w:top w:val="none" w:sz="0" w:space="0" w:color="auto"/>
        <w:left w:val="none" w:sz="0" w:space="0" w:color="auto"/>
        <w:bottom w:val="none" w:sz="0" w:space="0" w:color="auto"/>
        <w:right w:val="none" w:sz="0" w:space="0" w:color="auto"/>
      </w:divBdr>
    </w:div>
    <w:div w:id="2083330932">
      <w:bodyDiv w:val="1"/>
      <w:marLeft w:val="0"/>
      <w:marRight w:val="0"/>
      <w:marTop w:val="0"/>
      <w:marBottom w:val="0"/>
      <w:divBdr>
        <w:top w:val="none" w:sz="0" w:space="0" w:color="auto"/>
        <w:left w:val="none" w:sz="0" w:space="0" w:color="auto"/>
        <w:bottom w:val="none" w:sz="0" w:space="0" w:color="auto"/>
        <w:right w:val="none" w:sz="0" w:space="0" w:color="auto"/>
      </w:divBdr>
    </w:div>
    <w:div w:id="20886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8" ma:contentTypeDescription="Create a new document." ma:contentTypeScope="" ma:versionID="48c4fa93725e16589e44e52876012f93">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ce8d060c65813f083edebe4d7e623317"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065DA-05A4-493B-9F4B-9B1A1EEF1293}">
  <ds:schemaRefs>
    <ds:schemaRef ds:uri="http://schemas.microsoft.com/sharepoint/v3/contenttype/forms"/>
  </ds:schemaRefs>
</ds:datastoreItem>
</file>

<file path=customXml/itemProps2.xml><?xml version="1.0" encoding="utf-8"?>
<ds:datastoreItem xmlns:ds="http://schemas.openxmlformats.org/officeDocument/2006/customXml" ds:itemID="{65F04CBD-EB0A-45A6-ACE9-27344C4F9B3C}">
  <ds:schemaRefs>
    <ds:schemaRef ds:uri="http://schemas.microsoft.com/office/2006/metadata/properties"/>
    <ds:schemaRef ds:uri="http://schemas.microsoft.com/office/infopath/2007/PartnerControls"/>
    <ds:schemaRef ds:uri="65d474bf-24a3-4926-b850-868a849fc45c"/>
  </ds:schemaRefs>
</ds:datastoreItem>
</file>

<file path=customXml/itemProps3.xml><?xml version="1.0" encoding="utf-8"?>
<ds:datastoreItem xmlns:ds="http://schemas.openxmlformats.org/officeDocument/2006/customXml" ds:itemID="{6EC87B9D-D5D7-4020-AAA5-69EEA3879802}">
  <ds:schemaRefs>
    <ds:schemaRef ds:uri="http://schemas.openxmlformats.org/officeDocument/2006/bibliography"/>
  </ds:schemaRefs>
</ds:datastoreItem>
</file>

<file path=customXml/itemProps4.xml><?xml version="1.0" encoding="utf-8"?>
<ds:datastoreItem xmlns:ds="http://schemas.openxmlformats.org/officeDocument/2006/customXml" ds:itemID="{131C4FFB-BD30-453C-9D62-1E708AEFB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Links>
    <vt:vector size="186" baseType="variant">
      <vt:variant>
        <vt:i4>262192</vt:i4>
      </vt:variant>
      <vt:variant>
        <vt:i4>90</vt:i4>
      </vt:variant>
      <vt:variant>
        <vt:i4>0</vt:i4>
      </vt:variant>
      <vt:variant>
        <vt:i4>5</vt:i4>
      </vt:variant>
      <vt:variant>
        <vt:lpwstr/>
      </vt:variant>
      <vt:variant>
        <vt:lpwstr>_top</vt:lpwstr>
      </vt:variant>
      <vt:variant>
        <vt:i4>3997737</vt:i4>
      </vt:variant>
      <vt:variant>
        <vt:i4>87</vt:i4>
      </vt:variant>
      <vt:variant>
        <vt:i4>0</vt:i4>
      </vt:variant>
      <vt:variant>
        <vt:i4>5</vt:i4>
      </vt:variant>
      <vt:variant>
        <vt:lpwstr>CMS-PRD1-099973</vt:lpwstr>
      </vt:variant>
      <vt:variant>
        <vt:lpwstr/>
      </vt:variant>
      <vt:variant>
        <vt:i4>262192</vt:i4>
      </vt:variant>
      <vt:variant>
        <vt:i4>84</vt:i4>
      </vt:variant>
      <vt:variant>
        <vt:i4>0</vt:i4>
      </vt:variant>
      <vt:variant>
        <vt:i4>5</vt:i4>
      </vt:variant>
      <vt:variant>
        <vt:lpwstr/>
      </vt:variant>
      <vt:variant>
        <vt:lpwstr>_top</vt:lpwstr>
      </vt:variant>
      <vt:variant>
        <vt:i4>262192</vt:i4>
      </vt:variant>
      <vt:variant>
        <vt:i4>81</vt:i4>
      </vt:variant>
      <vt:variant>
        <vt:i4>0</vt:i4>
      </vt:variant>
      <vt:variant>
        <vt:i4>5</vt:i4>
      </vt:variant>
      <vt:variant>
        <vt:lpwstr/>
      </vt:variant>
      <vt:variant>
        <vt:lpwstr>_top</vt:lpwstr>
      </vt:variant>
      <vt:variant>
        <vt:i4>262192</vt:i4>
      </vt:variant>
      <vt:variant>
        <vt:i4>78</vt:i4>
      </vt:variant>
      <vt:variant>
        <vt:i4>0</vt:i4>
      </vt:variant>
      <vt:variant>
        <vt:i4>5</vt:i4>
      </vt:variant>
      <vt:variant>
        <vt:lpwstr/>
      </vt:variant>
      <vt:variant>
        <vt:lpwstr>_top</vt:lpwstr>
      </vt:variant>
      <vt:variant>
        <vt:i4>6684714</vt:i4>
      </vt:variant>
      <vt:variant>
        <vt:i4>75</vt:i4>
      </vt:variant>
      <vt:variant>
        <vt:i4>0</vt:i4>
      </vt:variant>
      <vt:variant>
        <vt:i4>5</vt:i4>
      </vt:variant>
      <vt:variant>
        <vt:lpwstr/>
      </vt:variant>
      <vt:variant>
        <vt:lpwstr>_Co-Pay_Schedules</vt:lpwstr>
      </vt:variant>
      <vt:variant>
        <vt:i4>6684714</vt:i4>
      </vt:variant>
      <vt:variant>
        <vt:i4>72</vt:i4>
      </vt:variant>
      <vt:variant>
        <vt:i4>0</vt:i4>
      </vt:variant>
      <vt:variant>
        <vt:i4>5</vt:i4>
      </vt:variant>
      <vt:variant>
        <vt:lpwstr/>
      </vt:variant>
      <vt:variant>
        <vt:lpwstr>_Co-Pay_Schedules</vt:lpwstr>
      </vt:variant>
      <vt:variant>
        <vt:i4>6684714</vt:i4>
      </vt:variant>
      <vt:variant>
        <vt:i4>69</vt:i4>
      </vt:variant>
      <vt:variant>
        <vt:i4>0</vt:i4>
      </vt:variant>
      <vt:variant>
        <vt:i4>5</vt:i4>
      </vt:variant>
      <vt:variant>
        <vt:lpwstr/>
      </vt:variant>
      <vt:variant>
        <vt:lpwstr>_Co-Pay_Schedules</vt:lpwstr>
      </vt:variant>
      <vt:variant>
        <vt:i4>6684714</vt:i4>
      </vt:variant>
      <vt:variant>
        <vt:i4>66</vt:i4>
      </vt:variant>
      <vt:variant>
        <vt:i4>0</vt:i4>
      </vt:variant>
      <vt:variant>
        <vt:i4>5</vt:i4>
      </vt:variant>
      <vt:variant>
        <vt:lpwstr/>
      </vt:variant>
      <vt:variant>
        <vt:lpwstr>_Co-Pay_Schedules</vt:lpwstr>
      </vt:variant>
      <vt:variant>
        <vt:i4>262192</vt:i4>
      </vt:variant>
      <vt:variant>
        <vt:i4>63</vt:i4>
      </vt:variant>
      <vt:variant>
        <vt:i4>0</vt:i4>
      </vt:variant>
      <vt:variant>
        <vt:i4>5</vt:i4>
      </vt:variant>
      <vt:variant>
        <vt:lpwstr/>
      </vt:variant>
      <vt:variant>
        <vt:lpwstr>_top</vt:lpwstr>
      </vt:variant>
      <vt:variant>
        <vt:i4>262192</vt:i4>
      </vt:variant>
      <vt:variant>
        <vt:i4>60</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3538977</vt:i4>
      </vt:variant>
      <vt:variant>
        <vt:i4>51</vt:i4>
      </vt:variant>
      <vt:variant>
        <vt:i4>0</vt:i4>
      </vt:variant>
      <vt:variant>
        <vt:i4>5</vt:i4>
      </vt:variant>
      <vt:variant>
        <vt:lpwstr>CMS-PRD1-093169</vt:lpwstr>
      </vt:variant>
      <vt:variant>
        <vt:lpwstr/>
      </vt:variant>
      <vt:variant>
        <vt:i4>3538977</vt:i4>
      </vt:variant>
      <vt:variant>
        <vt:i4>48</vt:i4>
      </vt:variant>
      <vt:variant>
        <vt:i4>0</vt:i4>
      </vt:variant>
      <vt:variant>
        <vt:i4>5</vt:i4>
      </vt:variant>
      <vt:variant>
        <vt:lpwstr>CMS-PRD1-093169</vt:lpwstr>
      </vt:variant>
      <vt:variant>
        <vt:lpwstr/>
      </vt:variant>
      <vt:variant>
        <vt:i4>6422629</vt:i4>
      </vt:variant>
      <vt:variant>
        <vt:i4>45</vt:i4>
      </vt:variant>
      <vt:variant>
        <vt:i4>0</vt:i4>
      </vt:variant>
      <vt:variant>
        <vt:i4>5</vt:i4>
      </vt:variant>
      <vt:variant>
        <vt:lpwstr/>
      </vt:variant>
      <vt:variant>
        <vt:lpwstr>EB</vt:lpwstr>
      </vt:variant>
      <vt:variant>
        <vt:i4>3211302</vt:i4>
      </vt:variant>
      <vt:variant>
        <vt:i4>42</vt:i4>
      </vt:variant>
      <vt:variant>
        <vt:i4>0</vt:i4>
      </vt:variant>
      <vt:variant>
        <vt:i4>5</vt:i4>
      </vt:variant>
      <vt:variant>
        <vt:lpwstr>CMS-PRD1-073815</vt:lpwstr>
      </vt:variant>
      <vt:variant>
        <vt:lpwstr/>
      </vt:variant>
      <vt:variant>
        <vt:i4>3538977</vt:i4>
      </vt:variant>
      <vt:variant>
        <vt:i4>39</vt:i4>
      </vt:variant>
      <vt:variant>
        <vt:i4>0</vt:i4>
      </vt:variant>
      <vt:variant>
        <vt:i4>5</vt:i4>
      </vt:variant>
      <vt:variant>
        <vt:lpwstr>CMS-PRD1-093169</vt:lpwstr>
      </vt:variant>
      <vt:variant>
        <vt:lpwstr/>
      </vt:variant>
      <vt:variant>
        <vt:i4>6422629</vt:i4>
      </vt:variant>
      <vt:variant>
        <vt:i4>36</vt:i4>
      </vt:variant>
      <vt:variant>
        <vt:i4>0</vt:i4>
      </vt:variant>
      <vt:variant>
        <vt:i4>5</vt:i4>
      </vt:variant>
      <vt:variant>
        <vt:lpwstr/>
      </vt:variant>
      <vt:variant>
        <vt:lpwstr>EB</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6684714</vt:i4>
      </vt:variant>
      <vt:variant>
        <vt:i4>27</vt:i4>
      </vt:variant>
      <vt:variant>
        <vt:i4>0</vt:i4>
      </vt:variant>
      <vt:variant>
        <vt:i4>5</vt:i4>
      </vt:variant>
      <vt:variant>
        <vt:lpwstr/>
      </vt:variant>
      <vt:variant>
        <vt:lpwstr>_Co-Pay_Schedules</vt:lpwstr>
      </vt:variant>
      <vt:variant>
        <vt:i4>4194378</vt:i4>
      </vt:variant>
      <vt:variant>
        <vt:i4>24</vt:i4>
      </vt:variant>
      <vt:variant>
        <vt:i4>0</vt:i4>
      </vt:variant>
      <vt:variant>
        <vt:i4>5</vt:i4>
      </vt:variant>
      <vt:variant>
        <vt:lpwstr/>
      </vt:variant>
      <vt:variant>
        <vt:lpwstr>_Call_Scripting</vt:lpwstr>
      </vt:variant>
      <vt:variant>
        <vt:i4>4849750</vt:i4>
      </vt:variant>
      <vt:variant>
        <vt:i4>21</vt:i4>
      </vt:variant>
      <vt:variant>
        <vt:i4>0</vt:i4>
      </vt:variant>
      <vt:variant>
        <vt:i4>5</vt:i4>
      </vt:variant>
      <vt:variant>
        <vt:lpwstr/>
      </vt:variant>
      <vt:variant>
        <vt:lpwstr>_Override_Notation</vt:lpwstr>
      </vt:variant>
      <vt:variant>
        <vt:i4>3538973</vt:i4>
      </vt:variant>
      <vt:variant>
        <vt:i4>18</vt:i4>
      </vt:variant>
      <vt:variant>
        <vt:i4>0</vt:i4>
      </vt:variant>
      <vt:variant>
        <vt:i4>5</vt:i4>
      </vt:variant>
      <vt:variant>
        <vt:lpwstr/>
      </vt:variant>
      <vt:variant>
        <vt:lpwstr>_Plan_List_EB</vt:lpwstr>
      </vt:variant>
      <vt:variant>
        <vt:i4>8192066</vt:i4>
      </vt:variant>
      <vt:variant>
        <vt:i4>15</vt:i4>
      </vt:variant>
      <vt:variant>
        <vt:i4>0</vt:i4>
      </vt:variant>
      <vt:variant>
        <vt:i4>5</vt:i4>
      </vt:variant>
      <vt:variant>
        <vt:lpwstr/>
      </vt:variant>
      <vt:variant>
        <vt:lpwstr>_ESRD_Overrides_EB</vt:lpwstr>
      </vt:variant>
      <vt:variant>
        <vt:i4>7077954</vt:i4>
      </vt:variant>
      <vt:variant>
        <vt:i4>12</vt:i4>
      </vt:variant>
      <vt:variant>
        <vt:i4>0</vt:i4>
      </vt:variant>
      <vt:variant>
        <vt:i4>5</vt:i4>
      </vt:variant>
      <vt:variant>
        <vt:lpwstr/>
      </vt:variant>
      <vt:variant>
        <vt:lpwstr>_ESRD_Overrides_ES</vt:lpwstr>
      </vt:variant>
      <vt:variant>
        <vt:i4>4259962</vt:i4>
      </vt:variant>
      <vt:variant>
        <vt:i4>9</vt:i4>
      </vt:variant>
      <vt:variant>
        <vt:i4>0</vt:i4>
      </vt:variant>
      <vt:variant>
        <vt:i4>5</vt:i4>
      </vt:variant>
      <vt:variant>
        <vt:lpwstr/>
      </vt:variant>
      <vt:variant>
        <vt:lpwstr>_Plan_List_EGWP</vt:lpwstr>
      </vt:variant>
      <vt:variant>
        <vt:i4>6488128</vt:i4>
      </vt:variant>
      <vt:variant>
        <vt:i4>6</vt:i4>
      </vt:variant>
      <vt:variant>
        <vt:i4>0</vt:i4>
      </vt:variant>
      <vt:variant>
        <vt:i4>5</vt:i4>
      </vt:variant>
      <vt:variant>
        <vt:lpwstr/>
      </vt:variant>
      <vt:variant>
        <vt:lpwstr>_ESRD_Rejects_–</vt:lpwstr>
      </vt:variant>
      <vt:variant>
        <vt:i4>4980854</vt:i4>
      </vt:variant>
      <vt:variant>
        <vt:i4>3</vt:i4>
      </vt:variant>
      <vt:variant>
        <vt:i4>0</vt:i4>
      </vt:variant>
      <vt:variant>
        <vt:i4>5</vt:i4>
      </vt:variant>
      <vt:variant>
        <vt:lpwstr/>
      </vt:variant>
      <vt:variant>
        <vt:lpwstr>_ESRD_Question_and</vt:lpwstr>
      </vt:variant>
      <vt:variant>
        <vt:i4>2293781</vt:i4>
      </vt:variant>
      <vt:variant>
        <vt:i4>0</vt:i4>
      </vt:variant>
      <vt:variant>
        <vt:i4>0</vt:i4>
      </vt:variant>
      <vt:variant>
        <vt:i4>5</vt:i4>
      </vt:variant>
      <vt:variant>
        <vt:lpwstr/>
      </vt:variant>
      <vt:variant>
        <vt:lpwstr>_ESRD_Only_Questions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2025-03-07T17:45:00Z</dcterms:created>
  <dcterms:modified xsi:type="dcterms:W3CDTF">2025-03-07T17:46:00Z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2022-09-28T18:30:55Z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e471b6be-2152-4f65-b967-0b56d3782017</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