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0644" w14:textId="77777777" w:rsidR="005C17CD" w:rsidRPr="00ED4662" w:rsidRDefault="008B3603" w:rsidP="00ED4662">
      <w:pPr>
        <w:pStyle w:val="TOC2"/>
        <w:rPr>
          <w:b/>
          <w:bCs/>
          <w:color w:val="auto"/>
          <w:sz w:val="36"/>
          <w:szCs w:val="36"/>
        </w:rPr>
      </w:pPr>
      <w:bookmarkStart w:id="0" w:name="OLE_LINK38"/>
      <w:bookmarkStart w:id="1" w:name="_top"/>
      <w:bookmarkEnd w:id="1"/>
      <w:r w:rsidRPr="00ED4662">
        <w:rPr>
          <w:b/>
          <w:bCs/>
          <w:color w:val="auto"/>
          <w:sz w:val="36"/>
          <w:szCs w:val="36"/>
        </w:rPr>
        <w:t>M</w:t>
      </w:r>
      <w:r w:rsidR="004208C2" w:rsidRPr="00ED4662">
        <w:rPr>
          <w:b/>
          <w:bCs/>
          <w:color w:val="auto"/>
          <w:sz w:val="36"/>
          <w:szCs w:val="36"/>
        </w:rPr>
        <w:t>ED</w:t>
      </w:r>
      <w:r w:rsidRPr="00ED4662">
        <w:rPr>
          <w:b/>
          <w:bCs/>
          <w:color w:val="auto"/>
          <w:sz w:val="36"/>
          <w:szCs w:val="36"/>
        </w:rPr>
        <w:t xml:space="preserve"> D</w:t>
      </w:r>
      <w:r w:rsidR="00E03FE3" w:rsidRPr="00ED4662">
        <w:rPr>
          <w:b/>
          <w:bCs/>
          <w:color w:val="auto"/>
          <w:sz w:val="36"/>
          <w:szCs w:val="36"/>
        </w:rPr>
        <w:t xml:space="preserve"> </w:t>
      </w:r>
      <w:r w:rsidR="005C17CD" w:rsidRPr="00ED4662">
        <w:rPr>
          <w:b/>
          <w:bCs/>
          <w:color w:val="auto"/>
          <w:sz w:val="36"/>
          <w:szCs w:val="36"/>
        </w:rPr>
        <w:t>–</w:t>
      </w:r>
      <w:r w:rsidR="002A1815" w:rsidRPr="00ED4662">
        <w:rPr>
          <w:b/>
          <w:bCs/>
          <w:color w:val="auto"/>
          <w:sz w:val="36"/>
          <w:szCs w:val="36"/>
        </w:rPr>
        <w:t xml:space="preserve"> </w:t>
      </w:r>
      <w:r w:rsidR="005C17CD" w:rsidRPr="00ED4662">
        <w:rPr>
          <w:b/>
          <w:bCs/>
          <w:color w:val="auto"/>
          <w:sz w:val="36"/>
          <w:szCs w:val="36"/>
        </w:rPr>
        <w:t>Stage</w:t>
      </w:r>
      <w:r w:rsidR="005B32F8" w:rsidRPr="00ED4662">
        <w:rPr>
          <w:b/>
          <w:bCs/>
          <w:color w:val="auto"/>
          <w:sz w:val="36"/>
          <w:szCs w:val="36"/>
        </w:rPr>
        <w:t>s</w:t>
      </w:r>
      <w:r w:rsidR="005C17CD" w:rsidRPr="00ED4662">
        <w:rPr>
          <w:b/>
          <w:bCs/>
          <w:color w:val="auto"/>
          <w:sz w:val="36"/>
          <w:szCs w:val="36"/>
        </w:rPr>
        <w:t xml:space="preserve"> of Medicare Part D Coverage (Deductible, </w:t>
      </w:r>
      <w:r w:rsidR="00E03FE3" w:rsidRPr="00ED4662">
        <w:rPr>
          <w:b/>
          <w:bCs/>
          <w:color w:val="auto"/>
          <w:sz w:val="36"/>
          <w:szCs w:val="36"/>
        </w:rPr>
        <w:t xml:space="preserve">ICL, </w:t>
      </w:r>
      <w:r w:rsidR="005B32F8" w:rsidRPr="00ED4662">
        <w:rPr>
          <w:b/>
          <w:bCs/>
          <w:color w:val="auto"/>
          <w:sz w:val="36"/>
          <w:szCs w:val="36"/>
        </w:rPr>
        <w:t xml:space="preserve">Coverage Gap, </w:t>
      </w:r>
      <w:r w:rsidR="00E11043" w:rsidRPr="00ED4662">
        <w:rPr>
          <w:b/>
          <w:bCs/>
          <w:color w:val="auto"/>
          <w:sz w:val="36"/>
          <w:szCs w:val="36"/>
        </w:rPr>
        <w:t>Catastrophic</w:t>
      </w:r>
      <w:r w:rsidR="005C17CD" w:rsidRPr="00ED4662">
        <w:rPr>
          <w:b/>
          <w:bCs/>
          <w:color w:val="auto"/>
          <w:sz w:val="36"/>
          <w:szCs w:val="36"/>
        </w:rPr>
        <w:t>)</w:t>
      </w:r>
      <w:r w:rsidR="005C17CD" w:rsidRPr="00ED4662" w:rsidDel="005C17CD">
        <w:rPr>
          <w:b/>
          <w:bCs/>
          <w:color w:val="auto"/>
          <w:sz w:val="36"/>
          <w:szCs w:val="36"/>
        </w:rPr>
        <w:t xml:space="preserve"> </w:t>
      </w:r>
    </w:p>
    <w:p w14:paraId="20D12271" w14:textId="77777777" w:rsidR="00ED4662" w:rsidRPr="00ED4662" w:rsidRDefault="00ED4662" w:rsidP="00ED4662"/>
    <w:p w14:paraId="12230452" w14:textId="77777777" w:rsidR="005C17CD" w:rsidRDefault="005C17CD" w:rsidP="00ED4662">
      <w:pPr>
        <w:pStyle w:val="TOC2"/>
      </w:pPr>
    </w:p>
    <w:p w14:paraId="64698B43" w14:textId="77777777" w:rsidR="005C17CD" w:rsidRDefault="007E3D3C" w:rsidP="00ED4662">
      <w:pPr>
        <w:pStyle w:val="TOC2"/>
        <w:rPr>
          <w:rFonts w:ascii="Calibri" w:hAnsi="Calibri"/>
          <w:noProof/>
          <w:color w:val="auto"/>
          <w:kern w:val="2"/>
          <w:sz w:val="22"/>
          <w:szCs w:val="22"/>
        </w:rPr>
      </w:pPr>
      <w:r w:rsidRPr="005C17CD">
        <w:rPr>
          <w:color w:val="000000"/>
        </w:rPr>
        <w:fldChar w:fldCharType="begin"/>
      </w:r>
      <w:r w:rsidRPr="005C17CD">
        <w:rPr>
          <w:color w:val="000000"/>
        </w:rPr>
        <w:instrText xml:space="preserve"> TOC \o "2-3" \n \h \z \u </w:instrText>
      </w:r>
      <w:r w:rsidRPr="005C17CD">
        <w:rPr>
          <w:color w:val="000000"/>
        </w:rPr>
        <w:fldChar w:fldCharType="separate"/>
      </w:r>
      <w:hyperlink w:anchor="_Toc173928151" w:history="1">
        <w:r w:rsidR="005C17CD" w:rsidRPr="005C17CD">
          <w:rPr>
            <w:rStyle w:val="Hyperlink"/>
            <w:noProof/>
          </w:rPr>
          <w:t>Standard Benefits</w:t>
        </w:r>
      </w:hyperlink>
    </w:p>
    <w:p w14:paraId="40108280" w14:textId="77777777" w:rsidR="005C17CD" w:rsidRDefault="005C17CD" w:rsidP="00ED4662">
      <w:pPr>
        <w:pStyle w:val="TOC2"/>
        <w:rPr>
          <w:rFonts w:ascii="Calibri" w:hAnsi="Calibri"/>
          <w:noProof/>
          <w:color w:val="auto"/>
          <w:kern w:val="2"/>
          <w:sz w:val="22"/>
          <w:szCs w:val="22"/>
        </w:rPr>
      </w:pPr>
      <w:hyperlink w:anchor="_Toc173928152" w:history="1">
        <w:r w:rsidRPr="00ED4662">
          <w:rPr>
            <w:rStyle w:val="Hyperlink"/>
            <w:rFonts w:cs="Arial"/>
            <w:noProof/>
          </w:rPr>
          <w:t>Stages of Medicare Part D Coverage</w:t>
        </w:r>
      </w:hyperlink>
    </w:p>
    <w:p w14:paraId="546B3753" w14:textId="77777777" w:rsidR="005C17CD" w:rsidRDefault="005C17CD" w:rsidP="00ED4662">
      <w:pPr>
        <w:pStyle w:val="TOC2"/>
        <w:rPr>
          <w:rFonts w:ascii="Calibri" w:hAnsi="Calibri"/>
          <w:noProof/>
          <w:color w:val="auto"/>
          <w:kern w:val="2"/>
          <w:sz w:val="22"/>
          <w:szCs w:val="22"/>
        </w:rPr>
      </w:pPr>
      <w:hyperlink w:anchor="_Toc173928153" w:history="1">
        <w:r w:rsidRPr="005C17CD">
          <w:rPr>
            <w:rStyle w:val="Hyperlink"/>
            <w:noProof/>
          </w:rPr>
          <w:t>FAQ</w:t>
        </w:r>
      </w:hyperlink>
    </w:p>
    <w:p w14:paraId="3036484A" w14:textId="77777777" w:rsidR="005C17CD" w:rsidRDefault="005C17CD" w:rsidP="00ED4662">
      <w:pPr>
        <w:pStyle w:val="TOC2"/>
        <w:rPr>
          <w:rFonts w:ascii="Calibri" w:hAnsi="Calibri"/>
          <w:noProof/>
          <w:color w:val="auto"/>
          <w:kern w:val="2"/>
          <w:sz w:val="22"/>
          <w:szCs w:val="22"/>
        </w:rPr>
      </w:pPr>
      <w:hyperlink w:anchor="_Toc173928154" w:history="1">
        <w:r w:rsidRPr="005C17CD">
          <w:rPr>
            <w:rStyle w:val="Hyperlink"/>
            <w:noProof/>
          </w:rPr>
          <w:t>Related Documents</w:t>
        </w:r>
      </w:hyperlink>
    </w:p>
    <w:p w14:paraId="2D801042" w14:textId="77777777" w:rsidR="004D7C66" w:rsidRPr="005C17CD" w:rsidRDefault="007E3D3C" w:rsidP="00ED4662">
      <w:pPr>
        <w:pStyle w:val="TOC2"/>
      </w:pPr>
      <w:r w:rsidRPr="005C17CD">
        <w:fldChar w:fldCharType="end"/>
      </w:r>
      <w:bookmarkEnd w:id="0"/>
    </w:p>
    <w:p w14:paraId="24FC717F" w14:textId="77777777" w:rsidR="00FB2C50" w:rsidRPr="00FB2C50" w:rsidRDefault="00FB2C50" w:rsidP="00FB2C50"/>
    <w:p w14:paraId="039ACD7D" w14:textId="77777777" w:rsidR="00626F9F" w:rsidRDefault="003334FF" w:rsidP="00626F9F">
      <w:r>
        <w:rPr>
          <w:b/>
        </w:rPr>
        <w:t>Description</w:t>
      </w:r>
      <w:proofErr w:type="gramStart"/>
      <w:r w:rsidR="00626F9F" w:rsidRPr="00626F9F">
        <w:rPr>
          <w:b/>
        </w:rPr>
        <w:t>:</w:t>
      </w:r>
      <w:r w:rsidR="00626F9F" w:rsidRPr="00626F9F">
        <w:t xml:space="preserve"> </w:t>
      </w:r>
      <w:r w:rsidR="004208C2">
        <w:t xml:space="preserve"> </w:t>
      </w:r>
      <w:r w:rsidR="00626F9F" w:rsidRPr="00626F9F">
        <w:t>This</w:t>
      </w:r>
      <w:proofErr w:type="gramEnd"/>
      <w:r w:rsidR="00626F9F" w:rsidRPr="00626F9F">
        <w:t xml:space="preserve"> document covers the coverage </w:t>
      </w:r>
      <w:r w:rsidR="008C2CFD">
        <w:t>stages</w:t>
      </w:r>
      <w:r w:rsidR="00626F9F" w:rsidRPr="00626F9F">
        <w:t xml:space="preserve">: Deductible, Initial Coverage (copay/coinsurance), </w:t>
      </w:r>
      <w:r w:rsidR="005B32F8">
        <w:t xml:space="preserve">Coverage Gap, and </w:t>
      </w:r>
      <w:r w:rsidR="00E11043">
        <w:t>Catastrophic.</w:t>
      </w:r>
    </w:p>
    <w:p w14:paraId="64C9D84D" w14:textId="77777777" w:rsidR="005C17CD" w:rsidRDefault="005C17CD" w:rsidP="00626F9F"/>
    <w:p w14:paraId="2E7BDC0A" w14:textId="77777777" w:rsidR="00626F9F" w:rsidRPr="00626F9F" w:rsidRDefault="00626F9F" w:rsidP="00626F9F">
      <w:bookmarkStart w:id="2" w:name="_Hlk1739279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14:paraId="215FF0DC" w14:textId="77777777" w:rsidTr="00AB2E27">
        <w:trPr>
          <w:trHeight w:val="575"/>
        </w:trPr>
        <w:tc>
          <w:tcPr>
            <w:tcW w:w="5000" w:type="pct"/>
            <w:shd w:val="clear" w:color="auto" w:fill="C0C0C0"/>
          </w:tcPr>
          <w:p w14:paraId="60B52BD8" w14:textId="77777777" w:rsidR="00F81783" w:rsidRDefault="000C7866" w:rsidP="004F7F34">
            <w:pPr>
              <w:pStyle w:val="Heading2"/>
              <w:tabs>
                <w:tab w:val="left" w:pos="11985"/>
              </w:tabs>
              <w:rPr>
                <w:rFonts w:ascii="Verdana" w:hAnsi="Verdana"/>
                <w:i w:val="0"/>
                <w:iCs w:val="0"/>
              </w:rPr>
            </w:pPr>
            <w:bookmarkStart w:id="3" w:name="_Toc173928035"/>
            <w:bookmarkStart w:id="4" w:name="_Toc173928151"/>
            <w:r>
              <w:rPr>
                <w:rFonts w:ascii="Verdana" w:hAnsi="Verdana"/>
                <w:i w:val="0"/>
                <w:iCs w:val="0"/>
              </w:rPr>
              <w:t>Standard Benefits</w:t>
            </w:r>
            <w:bookmarkEnd w:id="3"/>
            <w:bookmarkEnd w:id="4"/>
          </w:p>
        </w:tc>
      </w:tr>
    </w:tbl>
    <w:bookmarkEnd w:id="2"/>
    <w:p w14:paraId="78A7F745" w14:textId="77777777" w:rsidR="00626F9F" w:rsidRDefault="00626F9F" w:rsidP="00626F9F">
      <w:r w:rsidRPr="00E03FE3">
        <w:t xml:space="preserve">In accordance with CMS regulations, all Medicare prescription drug plans offered must provide coverage that is equal to or better than the Standard Part D benefits designated by CMS. </w:t>
      </w:r>
      <w:r w:rsidR="004A7105">
        <w:t>B</w:t>
      </w:r>
      <w:r w:rsidRPr="00E03FE3">
        <w:t>oth basic plans (those that provide the same level of benefits as the CMS standard plan) and enhanced plans (those that provide additional or supplemental coverage for the beneficiary)</w:t>
      </w:r>
      <w:r w:rsidR="004A7105">
        <w:t xml:space="preserve"> are offered</w:t>
      </w:r>
      <w:r w:rsidRPr="00E03FE3">
        <w:t xml:space="preserve">. </w:t>
      </w:r>
    </w:p>
    <w:p w14:paraId="5EC5F99E" w14:textId="77777777" w:rsidR="00626F9F" w:rsidRDefault="00626F9F" w:rsidP="00626F9F"/>
    <w:p w14:paraId="6C05FD6F" w14:textId="77777777" w:rsidR="00626F9F" w:rsidRDefault="00626F9F" w:rsidP="00626F9F">
      <w:r>
        <w:t xml:space="preserve">The Medicare Standard Part D prescription drug plan structure (like standalone Part D) is set up in </w:t>
      </w:r>
      <w:r w:rsidR="00005878">
        <w:t xml:space="preserve">three </w:t>
      </w:r>
      <w:r>
        <w:t xml:space="preserve">coverage </w:t>
      </w:r>
      <w:r w:rsidR="00D22F5B">
        <w:t>stages</w:t>
      </w:r>
      <w:r>
        <w:t>:</w:t>
      </w:r>
    </w:p>
    <w:p w14:paraId="3CD87FC3" w14:textId="77777777" w:rsidR="00626F9F" w:rsidRDefault="00626F9F" w:rsidP="00A67767">
      <w:pPr>
        <w:numPr>
          <w:ilvl w:val="0"/>
          <w:numId w:val="2"/>
        </w:numPr>
      </w:pPr>
      <w:r>
        <w:t>Deductible</w:t>
      </w:r>
    </w:p>
    <w:p w14:paraId="58AA402B" w14:textId="77777777" w:rsidR="00626F9F" w:rsidRDefault="00626F9F" w:rsidP="00A67767">
      <w:pPr>
        <w:numPr>
          <w:ilvl w:val="0"/>
          <w:numId w:val="2"/>
        </w:numPr>
      </w:pPr>
      <w:r>
        <w:t>Initial Coverage (copay/coinsurance)</w:t>
      </w:r>
    </w:p>
    <w:p w14:paraId="166C93C8" w14:textId="77777777" w:rsidR="00005878" w:rsidRDefault="00005878" w:rsidP="00A67767">
      <w:pPr>
        <w:numPr>
          <w:ilvl w:val="0"/>
          <w:numId w:val="2"/>
        </w:numPr>
      </w:pPr>
      <w:r>
        <w:t>Catastrophic</w:t>
      </w:r>
    </w:p>
    <w:p w14:paraId="5E6E112F" w14:textId="77777777" w:rsidR="004C33F0" w:rsidRDefault="004C33F0" w:rsidP="005C17CD">
      <w:pPr>
        <w:ind w:left="720"/>
      </w:pPr>
    </w:p>
    <w:p w14:paraId="3F961463" w14:textId="68F728D9" w:rsidR="004C33F0" w:rsidRDefault="004C33F0" w:rsidP="004C33F0">
      <w:pPr>
        <w:rPr>
          <w:b/>
          <w:bCs/>
        </w:rPr>
      </w:pPr>
      <w:r>
        <w:rPr>
          <w:b/>
          <w:bCs/>
        </w:rPr>
        <w:t xml:space="preserve">Note: </w:t>
      </w:r>
      <w:r>
        <w:t xml:space="preserve">Coverage Gap (donut hole) </w:t>
      </w:r>
      <w:r w:rsidR="0053039D">
        <w:t>ended</w:t>
      </w:r>
      <w:r>
        <w:t xml:space="preserve"> with the 2025 plan year.</w:t>
      </w:r>
    </w:p>
    <w:p w14:paraId="7B98EB69" w14:textId="77777777" w:rsidR="004C33F0" w:rsidRDefault="004C33F0" w:rsidP="000C7866"/>
    <w:p w14:paraId="348C05FE" w14:textId="77777777" w:rsidR="00E76F37" w:rsidRDefault="000C7866" w:rsidP="000C7866">
      <w:r>
        <w:t xml:space="preserve">The Centers for Medicare and Medicaid Services (CMS) have increased the Part D Benefit parameters. </w:t>
      </w:r>
    </w:p>
    <w:p w14:paraId="7ACEBC02" w14:textId="77777777" w:rsidR="00B774CE" w:rsidRDefault="00B774CE" w:rsidP="000C7866"/>
    <w:p w14:paraId="680F97A7" w14:textId="77777777" w:rsidR="005C17CD" w:rsidRDefault="005A6717" w:rsidP="000C7866">
      <w:r>
        <w:rPr>
          <w:b/>
        </w:rPr>
        <w:t>Note:</w:t>
      </w:r>
      <w:r w:rsidR="00B774CE">
        <w:t xml:space="preserve">  Always check the CIF for plan specific information – below are CMS parameters and may not reflect the specific plan benefit design.</w:t>
      </w:r>
    </w:p>
    <w:p w14:paraId="3939D67B" w14:textId="77777777" w:rsidR="002D3D9F" w:rsidRDefault="002D3D9F" w:rsidP="000C7866"/>
    <w:p w14:paraId="7AE60D56" w14:textId="77777777" w:rsidR="000C7866" w:rsidRDefault="000C7866" w:rsidP="00EB1F9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3318"/>
        <w:gridCol w:w="2569"/>
        <w:gridCol w:w="2616"/>
        <w:gridCol w:w="2660"/>
      </w:tblGrid>
      <w:tr w:rsidR="0053039D" w14:paraId="0435B0E9" w14:textId="77777777" w:rsidTr="002274A1">
        <w:tc>
          <w:tcPr>
            <w:tcW w:w="690" w:type="pct"/>
            <w:tcBorders>
              <w:top w:val="single" w:sz="4" w:space="0" w:color="auto"/>
              <w:left w:val="single" w:sz="4" w:space="0" w:color="auto"/>
              <w:bottom w:val="single" w:sz="4" w:space="0" w:color="auto"/>
              <w:right w:val="single" w:sz="4" w:space="0" w:color="auto"/>
            </w:tcBorders>
            <w:shd w:val="clear" w:color="auto" w:fill="BFBFBF"/>
            <w:hideMark/>
          </w:tcPr>
          <w:p w14:paraId="669AA895" w14:textId="77777777" w:rsidR="0053039D" w:rsidRDefault="0053039D">
            <w:pPr>
              <w:jc w:val="center"/>
              <w:rPr>
                <w:b/>
              </w:rPr>
            </w:pPr>
            <w:r>
              <w:rPr>
                <w:b/>
              </w:rPr>
              <w:t>Stage</w:t>
            </w:r>
          </w:p>
        </w:tc>
        <w:tc>
          <w:tcPr>
            <w:tcW w:w="1281" w:type="pct"/>
            <w:tcBorders>
              <w:top w:val="single" w:sz="4" w:space="0" w:color="auto"/>
              <w:left w:val="single" w:sz="4" w:space="0" w:color="auto"/>
              <w:bottom w:val="single" w:sz="4" w:space="0" w:color="auto"/>
              <w:right w:val="single" w:sz="4" w:space="0" w:color="auto"/>
            </w:tcBorders>
            <w:shd w:val="clear" w:color="auto" w:fill="BFBFBF"/>
            <w:hideMark/>
          </w:tcPr>
          <w:p w14:paraId="56423E36" w14:textId="77777777" w:rsidR="0053039D" w:rsidRDefault="0053039D">
            <w:pPr>
              <w:rPr>
                <w:b/>
              </w:rPr>
            </w:pPr>
            <w:r>
              <w:rPr>
                <w:b/>
              </w:rPr>
              <w:t>Stage of Coverage</w:t>
            </w:r>
          </w:p>
        </w:tc>
        <w:tc>
          <w:tcPr>
            <w:tcW w:w="992" w:type="pct"/>
            <w:tcBorders>
              <w:top w:val="single" w:sz="4" w:space="0" w:color="auto"/>
              <w:left w:val="single" w:sz="4" w:space="0" w:color="auto"/>
              <w:bottom w:val="single" w:sz="4" w:space="0" w:color="auto"/>
              <w:right w:val="single" w:sz="4" w:space="0" w:color="auto"/>
            </w:tcBorders>
            <w:shd w:val="clear" w:color="auto" w:fill="BFBFBF"/>
          </w:tcPr>
          <w:p w14:paraId="46596E8A" w14:textId="77777777" w:rsidR="0053039D" w:rsidRDefault="0053039D">
            <w:pPr>
              <w:jc w:val="center"/>
              <w:rPr>
                <w:b/>
              </w:rPr>
            </w:pPr>
            <w:r>
              <w:rPr>
                <w:b/>
              </w:rPr>
              <w:t>2026</w:t>
            </w:r>
          </w:p>
        </w:tc>
        <w:tc>
          <w:tcPr>
            <w:tcW w:w="1010" w:type="pct"/>
            <w:tcBorders>
              <w:top w:val="single" w:sz="4" w:space="0" w:color="auto"/>
              <w:left w:val="single" w:sz="4" w:space="0" w:color="auto"/>
              <w:bottom w:val="single" w:sz="4" w:space="0" w:color="auto"/>
              <w:right w:val="single" w:sz="4" w:space="0" w:color="auto"/>
            </w:tcBorders>
            <w:shd w:val="clear" w:color="auto" w:fill="BFBFBF"/>
            <w:hideMark/>
          </w:tcPr>
          <w:p w14:paraId="6FF28490" w14:textId="77777777" w:rsidR="0053039D" w:rsidRDefault="0053039D">
            <w:pPr>
              <w:jc w:val="center"/>
              <w:rPr>
                <w:b/>
                <w:bCs/>
              </w:rPr>
            </w:pPr>
            <w:r>
              <w:rPr>
                <w:b/>
              </w:rPr>
              <w:t>2025</w:t>
            </w:r>
          </w:p>
        </w:tc>
        <w:tc>
          <w:tcPr>
            <w:tcW w:w="1027" w:type="pct"/>
            <w:tcBorders>
              <w:top w:val="single" w:sz="4" w:space="0" w:color="auto"/>
              <w:left w:val="single" w:sz="4" w:space="0" w:color="auto"/>
              <w:bottom w:val="single" w:sz="4" w:space="0" w:color="auto"/>
              <w:right w:val="single" w:sz="4" w:space="0" w:color="auto"/>
            </w:tcBorders>
            <w:shd w:val="clear" w:color="auto" w:fill="BFBFBF"/>
            <w:hideMark/>
          </w:tcPr>
          <w:p w14:paraId="45D47FC0" w14:textId="77777777" w:rsidR="0053039D" w:rsidRDefault="0053039D">
            <w:pPr>
              <w:jc w:val="center"/>
              <w:rPr>
                <w:b/>
                <w:bCs/>
              </w:rPr>
            </w:pPr>
            <w:r>
              <w:rPr>
                <w:b/>
                <w:bCs/>
              </w:rPr>
              <w:t>2024</w:t>
            </w:r>
          </w:p>
        </w:tc>
      </w:tr>
      <w:tr w:rsidR="0053039D" w14:paraId="117252F1" w14:textId="77777777" w:rsidTr="002274A1">
        <w:tc>
          <w:tcPr>
            <w:tcW w:w="690" w:type="pct"/>
            <w:tcBorders>
              <w:top w:val="single" w:sz="4" w:space="0" w:color="auto"/>
              <w:left w:val="single" w:sz="4" w:space="0" w:color="auto"/>
              <w:bottom w:val="single" w:sz="4" w:space="0" w:color="auto"/>
              <w:right w:val="single" w:sz="4" w:space="0" w:color="auto"/>
            </w:tcBorders>
            <w:hideMark/>
          </w:tcPr>
          <w:p w14:paraId="1AD08B0D" w14:textId="77777777" w:rsidR="0053039D" w:rsidRDefault="0053039D">
            <w:pPr>
              <w:rPr>
                <w:b/>
              </w:rPr>
            </w:pPr>
            <w:r>
              <w:rPr>
                <w:b/>
              </w:rPr>
              <w:t>Stage 1</w:t>
            </w:r>
          </w:p>
        </w:tc>
        <w:tc>
          <w:tcPr>
            <w:tcW w:w="1281" w:type="pct"/>
            <w:tcBorders>
              <w:top w:val="single" w:sz="4" w:space="0" w:color="auto"/>
              <w:left w:val="single" w:sz="4" w:space="0" w:color="auto"/>
              <w:bottom w:val="single" w:sz="4" w:space="0" w:color="auto"/>
              <w:right w:val="single" w:sz="4" w:space="0" w:color="auto"/>
            </w:tcBorders>
          </w:tcPr>
          <w:p w14:paraId="4D73323C" w14:textId="77777777" w:rsidR="0053039D" w:rsidRDefault="0053039D">
            <w:pPr>
              <w:rPr>
                <w:b/>
              </w:rPr>
            </w:pPr>
            <w:r>
              <w:rPr>
                <w:b/>
              </w:rPr>
              <w:t xml:space="preserve">Deductible </w:t>
            </w:r>
          </w:p>
          <w:p w14:paraId="575B10B2" w14:textId="77777777" w:rsidR="0053039D" w:rsidRDefault="0053039D">
            <w:pPr>
              <w:rPr>
                <w:b/>
              </w:rPr>
            </w:pPr>
          </w:p>
        </w:tc>
        <w:tc>
          <w:tcPr>
            <w:tcW w:w="992" w:type="pct"/>
            <w:tcBorders>
              <w:top w:val="single" w:sz="4" w:space="0" w:color="auto"/>
              <w:left w:val="single" w:sz="4" w:space="0" w:color="auto"/>
              <w:bottom w:val="single" w:sz="4" w:space="0" w:color="auto"/>
              <w:right w:val="single" w:sz="4" w:space="0" w:color="auto"/>
            </w:tcBorders>
          </w:tcPr>
          <w:p w14:paraId="5B9C61E4" w14:textId="77777777" w:rsidR="0053039D" w:rsidRDefault="0053039D">
            <w:pPr>
              <w:jc w:val="center"/>
            </w:pPr>
            <w:r>
              <w:t>$615</w:t>
            </w:r>
          </w:p>
        </w:tc>
        <w:tc>
          <w:tcPr>
            <w:tcW w:w="1010" w:type="pct"/>
            <w:tcBorders>
              <w:top w:val="single" w:sz="4" w:space="0" w:color="auto"/>
              <w:left w:val="single" w:sz="4" w:space="0" w:color="auto"/>
              <w:bottom w:val="single" w:sz="4" w:space="0" w:color="auto"/>
              <w:right w:val="single" w:sz="4" w:space="0" w:color="auto"/>
            </w:tcBorders>
            <w:hideMark/>
          </w:tcPr>
          <w:p w14:paraId="196450E1" w14:textId="77777777" w:rsidR="0053039D" w:rsidRDefault="0053039D">
            <w:pPr>
              <w:jc w:val="center"/>
            </w:pPr>
            <w:r>
              <w:t>$590</w:t>
            </w:r>
          </w:p>
        </w:tc>
        <w:tc>
          <w:tcPr>
            <w:tcW w:w="1027" w:type="pct"/>
            <w:tcBorders>
              <w:top w:val="single" w:sz="4" w:space="0" w:color="auto"/>
              <w:left w:val="single" w:sz="4" w:space="0" w:color="auto"/>
              <w:bottom w:val="single" w:sz="4" w:space="0" w:color="auto"/>
              <w:right w:val="single" w:sz="4" w:space="0" w:color="auto"/>
            </w:tcBorders>
            <w:hideMark/>
          </w:tcPr>
          <w:p w14:paraId="387F948A" w14:textId="77777777" w:rsidR="0053039D" w:rsidRDefault="0053039D">
            <w:pPr>
              <w:jc w:val="center"/>
            </w:pPr>
            <w:r>
              <w:t>$545</w:t>
            </w:r>
          </w:p>
        </w:tc>
      </w:tr>
      <w:tr w:rsidR="0053039D" w14:paraId="46558D79" w14:textId="77777777" w:rsidTr="002274A1">
        <w:tc>
          <w:tcPr>
            <w:tcW w:w="690" w:type="pct"/>
            <w:tcBorders>
              <w:top w:val="single" w:sz="4" w:space="0" w:color="auto"/>
              <w:left w:val="single" w:sz="4" w:space="0" w:color="auto"/>
              <w:bottom w:val="single" w:sz="4" w:space="0" w:color="auto"/>
              <w:right w:val="single" w:sz="4" w:space="0" w:color="auto"/>
            </w:tcBorders>
            <w:hideMark/>
          </w:tcPr>
          <w:p w14:paraId="69E4B519" w14:textId="77777777" w:rsidR="0053039D" w:rsidRDefault="0053039D">
            <w:pPr>
              <w:rPr>
                <w:b/>
              </w:rPr>
            </w:pPr>
            <w:r>
              <w:rPr>
                <w:b/>
              </w:rPr>
              <w:t>Stage 2</w:t>
            </w:r>
          </w:p>
        </w:tc>
        <w:tc>
          <w:tcPr>
            <w:tcW w:w="1281" w:type="pct"/>
            <w:tcBorders>
              <w:top w:val="single" w:sz="4" w:space="0" w:color="auto"/>
              <w:left w:val="single" w:sz="4" w:space="0" w:color="auto"/>
              <w:bottom w:val="single" w:sz="4" w:space="0" w:color="auto"/>
              <w:right w:val="single" w:sz="4" w:space="0" w:color="auto"/>
            </w:tcBorders>
          </w:tcPr>
          <w:p w14:paraId="06048037" w14:textId="77777777" w:rsidR="0053039D" w:rsidRDefault="0053039D">
            <w:pPr>
              <w:rPr>
                <w:b/>
              </w:rPr>
            </w:pPr>
            <w:r>
              <w:rPr>
                <w:b/>
              </w:rPr>
              <w:t>Initial Coverage Limit (ICL) – Copay/Coinsurance</w:t>
            </w:r>
          </w:p>
          <w:p w14:paraId="75B76251" w14:textId="77777777" w:rsidR="0053039D" w:rsidRDefault="0053039D">
            <w:pPr>
              <w:rPr>
                <w:b/>
              </w:rPr>
            </w:pPr>
          </w:p>
        </w:tc>
        <w:tc>
          <w:tcPr>
            <w:tcW w:w="992" w:type="pct"/>
            <w:tcBorders>
              <w:top w:val="single" w:sz="4" w:space="0" w:color="auto"/>
              <w:left w:val="single" w:sz="4" w:space="0" w:color="auto"/>
              <w:bottom w:val="single" w:sz="4" w:space="0" w:color="auto"/>
              <w:right w:val="single" w:sz="4" w:space="0" w:color="auto"/>
            </w:tcBorders>
          </w:tcPr>
          <w:p w14:paraId="1743C14D" w14:textId="77777777" w:rsidR="0053039D" w:rsidRDefault="0053039D">
            <w:pPr>
              <w:jc w:val="center"/>
            </w:pPr>
            <w:r>
              <w:t>$2,100</w:t>
            </w:r>
          </w:p>
        </w:tc>
        <w:tc>
          <w:tcPr>
            <w:tcW w:w="1010" w:type="pct"/>
            <w:tcBorders>
              <w:top w:val="single" w:sz="4" w:space="0" w:color="auto"/>
              <w:left w:val="single" w:sz="4" w:space="0" w:color="auto"/>
              <w:bottom w:val="single" w:sz="4" w:space="0" w:color="auto"/>
              <w:right w:val="single" w:sz="4" w:space="0" w:color="auto"/>
            </w:tcBorders>
            <w:hideMark/>
          </w:tcPr>
          <w:p w14:paraId="1D5B74D3" w14:textId="77777777" w:rsidR="0053039D" w:rsidRDefault="0053039D">
            <w:pPr>
              <w:jc w:val="center"/>
            </w:pPr>
            <w:r>
              <w:t>$2,000</w:t>
            </w:r>
          </w:p>
          <w:p w14:paraId="589D91ED" w14:textId="77777777" w:rsidR="0053039D" w:rsidRDefault="0053039D" w:rsidP="004C33F0">
            <w:pPr>
              <w:jc w:val="center"/>
            </w:pPr>
          </w:p>
          <w:p w14:paraId="2FF411AE" w14:textId="77777777" w:rsidR="0053039D" w:rsidRDefault="0053039D" w:rsidP="004C33F0">
            <w:pPr>
              <w:jc w:val="center"/>
            </w:pPr>
            <w:r>
              <w:t>Member pays 25% for generic drugs and 25% on brand drugs for a Defined Standard benefit. If a plan offers enhanced cost-sharing, they will pay these cost-shares until their $2,000 out of pocket is met.</w:t>
            </w:r>
          </w:p>
        </w:tc>
        <w:tc>
          <w:tcPr>
            <w:tcW w:w="1027" w:type="pct"/>
            <w:tcBorders>
              <w:top w:val="single" w:sz="4" w:space="0" w:color="auto"/>
              <w:left w:val="single" w:sz="4" w:space="0" w:color="auto"/>
              <w:bottom w:val="single" w:sz="4" w:space="0" w:color="auto"/>
              <w:right w:val="single" w:sz="4" w:space="0" w:color="auto"/>
            </w:tcBorders>
            <w:hideMark/>
          </w:tcPr>
          <w:p w14:paraId="41571F38" w14:textId="77777777" w:rsidR="0053039D" w:rsidRDefault="0053039D">
            <w:pPr>
              <w:jc w:val="center"/>
            </w:pPr>
            <w:r>
              <w:t>$5,030</w:t>
            </w:r>
          </w:p>
        </w:tc>
      </w:tr>
      <w:tr w:rsidR="0053039D" w14:paraId="365C0EA7" w14:textId="77777777" w:rsidTr="002274A1">
        <w:trPr>
          <w:trHeight w:val="1475"/>
        </w:trPr>
        <w:tc>
          <w:tcPr>
            <w:tcW w:w="690" w:type="pct"/>
            <w:tcBorders>
              <w:top w:val="single" w:sz="4" w:space="0" w:color="auto"/>
              <w:left w:val="single" w:sz="4" w:space="0" w:color="auto"/>
              <w:bottom w:val="single" w:sz="4" w:space="0" w:color="auto"/>
              <w:right w:val="single" w:sz="4" w:space="0" w:color="auto"/>
            </w:tcBorders>
            <w:hideMark/>
          </w:tcPr>
          <w:p w14:paraId="5B212489" w14:textId="77777777" w:rsidR="0053039D" w:rsidRDefault="0053039D">
            <w:pPr>
              <w:rPr>
                <w:b/>
              </w:rPr>
            </w:pPr>
            <w:r>
              <w:rPr>
                <w:b/>
              </w:rPr>
              <w:t>Stage 3</w:t>
            </w:r>
          </w:p>
        </w:tc>
        <w:tc>
          <w:tcPr>
            <w:tcW w:w="1281" w:type="pct"/>
            <w:tcBorders>
              <w:top w:val="single" w:sz="4" w:space="0" w:color="auto"/>
              <w:left w:val="single" w:sz="4" w:space="0" w:color="auto"/>
              <w:bottom w:val="single" w:sz="4" w:space="0" w:color="auto"/>
              <w:right w:val="single" w:sz="4" w:space="0" w:color="auto"/>
            </w:tcBorders>
          </w:tcPr>
          <w:p w14:paraId="218383D9" w14:textId="77777777" w:rsidR="0053039D" w:rsidRDefault="0053039D">
            <w:pPr>
              <w:rPr>
                <w:b/>
              </w:rPr>
            </w:pPr>
            <w:r>
              <w:rPr>
                <w:b/>
              </w:rPr>
              <w:t>Coverage Gap Coinsurance (Donut Hole) or Post Initial Coverage for beneficiaries who qualify for LIS.</w:t>
            </w:r>
          </w:p>
          <w:p w14:paraId="4D65DAC5" w14:textId="77777777" w:rsidR="0053039D" w:rsidRDefault="0053039D">
            <w:pPr>
              <w:rPr>
                <w:b/>
              </w:rPr>
            </w:pPr>
          </w:p>
        </w:tc>
        <w:tc>
          <w:tcPr>
            <w:tcW w:w="992" w:type="pct"/>
            <w:tcBorders>
              <w:top w:val="single" w:sz="4" w:space="0" w:color="auto"/>
              <w:left w:val="single" w:sz="4" w:space="0" w:color="auto"/>
              <w:bottom w:val="single" w:sz="4" w:space="0" w:color="auto"/>
              <w:right w:val="single" w:sz="4" w:space="0" w:color="auto"/>
            </w:tcBorders>
          </w:tcPr>
          <w:p w14:paraId="5786A795" w14:textId="77777777" w:rsidR="0053039D" w:rsidRDefault="0053039D">
            <w:pPr>
              <w:jc w:val="center"/>
            </w:pPr>
            <w:proofErr w:type="gramStart"/>
            <w:r>
              <w:t>Ended with 2025 plan year</w:t>
            </w:r>
            <w:proofErr w:type="gramEnd"/>
            <w:r>
              <w:t xml:space="preserve">. </w:t>
            </w:r>
          </w:p>
        </w:tc>
        <w:tc>
          <w:tcPr>
            <w:tcW w:w="1010" w:type="pct"/>
            <w:tcBorders>
              <w:top w:val="single" w:sz="4" w:space="0" w:color="auto"/>
              <w:left w:val="single" w:sz="4" w:space="0" w:color="auto"/>
              <w:bottom w:val="single" w:sz="4" w:space="0" w:color="auto"/>
              <w:right w:val="single" w:sz="4" w:space="0" w:color="auto"/>
            </w:tcBorders>
            <w:hideMark/>
          </w:tcPr>
          <w:p w14:paraId="63D7EE2C" w14:textId="77777777" w:rsidR="0053039D" w:rsidRDefault="0053039D">
            <w:pPr>
              <w:jc w:val="center"/>
            </w:pPr>
            <w:r>
              <w:t>Will end with the 2025 plan year</w:t>
            </w:r>
          </w:p>
        </w:tc>
        <w:tc>
          <w:tcPr>
            <w:tcW w:w="1027" w:type="pct"/>
            <w:tcBorders>
              <w:top w:val="single" w:sz="4" w:space="0" w:color="auto"/>
              <w:left w:val="single" w:sz="4" w:space="0" w:color="auto"/>
              <w:bottom w:val="single" w:sz="4" w:space="0" w:color="auto"/>
              <w:right w:val="single" w:sz="4" w:space="0" w:color="auto"/>
            </w:tcBorders>
            <w:hideMark/>
          </w:tcPr>
          <w:p w14:paraId="6DD8EF2A" w14:textId="77777777" w:rsidR="0053039D" w:rsidRDefault="0053039D">
            <w:pPr>
              <w:jc w:val="center"/>
            </w:pPr>
            <w:r>
              <w:t>Member pays 25% for generic drugs and 25% on brand drugs.</w:t>
            </w:r>
          </w:p>
        </w:tc>
      </w:tr>
      <w:tr w:rsidR="0053039D" w14:paraId="7FF9904F" w14:textId="77777777" w:rsidTr="002274A1">
        <w:tc>
          <w:tcPr>
            <w:tcW w:w="690" w:type="pct"/>
            <w:vMerge w:val="restart"/>
            <w:tcBorders>
              <w:top w:val="single" w:sz="4" w:space="0" w:color="auto"/>
              <w:left w:val="single" w:sz="4" w:space="0" w:color="auto"/>
              <w:right w:val="single" w:sz="4" w:space="0" w:color="auto"/>
            </w:tcBorders>
            <w:vAlign w:val="center"/>
          </w:tcPr>
          <w:p w14:paraId="04AAE1D5" w14:textId="77777777" w:rsidR="0053039D" w:rsidRDefault="0053039D" w:rsidP="004C33F0">
            <w:pPr>
              <w:rPr>
                <w:b/>
              </w:rPr>
            </w:pPr>
            <w:r>
              <w:rPr>
                <w:b/>
              </w:rPr>
              <w:t>Stage 4</w:t>
            </w:r>
          </w:p>
        </w:tc>
        <w:tc>
          <w:tcPr>
            <w:tcW w:w="1281" w:type="pct"/>
            <w:tcBorders>
              <w:top w:val="single" w:sz="4" w:space="0" w:color="auto"/>
              <w:left w:val="single" w:sz="4" w:space="0" w:color="auto"/>
              <w:bottom w:val="single" w:sz="4" w:space="0" w:color="auto"/>
              <w:right w:val="single" w:sz="4" w:space="0" w:color="auto"/>
            </w:tcBorders>
          </w:tcPr>
          <w:p w14:paraId="2AA64E98" w14:textId="77777777" w:rsidR="0053039D" w:rsidRDefault="0053039D" w:rsidP="004C33F0">
            <w:pPr>
              <w:rPr>
                <w:b/>
              </w:rPr>
            </w:pPr>
            <w:proofErr w:type="spellStart"/>
            <w:r>
              <w:rPr>
                <w:b/>
              </w:rPr>
              <w:t>TrOOP</w:t>
            </w:r>
            <w:proofErr w:type="spellEnd"/>
            <w:r>
              <w:rPr>
                <w:b/>
              </w:rPr>
              <w:t xml:space="preserve"> Threshold</w:t>
            </w:r>
          </w:p>
          <w:p w14:paraId="4921E91F" w14:textId="77777777" w:rsidR="0053039D" w:rsidRDefault="0053039D" w:rsidP="004C33F0">
            <w:pPr>
              <w:rPr>
                <w:b/>
              </w:rPr>
            </w:pPr>
          </w:p>
        </w:tc>
        <w:tc>
          <w:tcPr>
            <w:tcW w:w="992" w:type="pct"/>
            <w:tcBorders>
              <w:top w:val="single" w:sz="4" w:space="0" w:color="auto"/>
              <w:left w:val="single" w:sz="4" w:space="0" w:color="auto"/>
              <w:bottom w:val="single" w:sz="4" w:space="0" w:color="auto"/>
              <w:right w:val="single" w:sz="4" w:space="0" w:color="auto"/>
            </w:tcBorders>
          </w:tcPr>
          <w:p w14:paraId="34F9242D" w14:textId="77777777" w:rsidR="0053039D" w:rsidRPr="004C33F0" w:rsidRDefault="0053039D" w:rsidP="004C33F0">
            <w:pPr>
              <w:jc w:val="center"/>
            </w:pPr>
            <w:r>
              <w:t>$2,100</w:t>
            </w:r>
          </w:p>
        </w:tc>
        <w:tc>
          <w:tcPr>
            <w:tcW w:w="1010" w:type="pct"/>
            <w:tcBorders>
              <w:top w:val="single" w:sz="4" w:space="0" w:color="auto"/>
              <w:left w:val="single" w:sz="4" w:space="0" w:color="auto"/>
              <w:bottom w:val="single" w:sz="4" w:space="0" w:color="auto"/>
              <w:right w:val="single" w:sz="4" w:space="0" w:color="auto"/>
            </w:tcBorders>
          </w:tcPr>
          <w:p w14:paraId="54EDAAFD" w14:textId="77777777" w:rsidR="0053039D" w:rsidRPr="004C33F0" w:rsidRDefault="0053039D" w:rsidP="004C33F0">
            <w:pPr>
              <w:jc w:val="center"/>
            </w:pPr>
            <w:r w:rsidRPr="004C33F0">
              <w:t>$2,000</w:t>
            </w:r>
          </w:p>
        </w:tc>
        <w:tc>
          <w:tcPr>
            <w:tcW w:w="1027" w:type="pct"/>
            <w:tcBorders>
              <w:top w:val="single" w:sz="4" w:space="0" w:color="auto"/>
              <w:left w:val="single" w:sz="4" w:space="0" w:color="auto"/>
              <w:bottom w:val="single" w:sz="4" w:space="0" w:color="auto"/>
              <w:right w:val="single" w:sz="4" w:space="0" w:color="auto"/>
            </w:tcBorders>
          </w:tcPr>
          <w:p w14:paraId="3CC5812E" w14:textId="77777777" w:rsidR="0053039D" w:rsidRDefault="0053039D" w:rsidP="004C33F0">
            <w:pPr>
              <w:jc w:val="center"/>
            </w:pPr>
            <w:r>
              <w:t>$8,000</w:t>
            </w:r>
          </w:p>
        </w:tc>
      </w:tr>
      <w:tr w:rsidR="0053039D" w14:paraId="44A875A3" w14:textId="77777777" w:rsidTr="002274A1">
        <w:tc>
          <w:tcPr>
            <w:tcW w:w="690" w:type="pct"/>
            <w:vMerge/>
            <w:tcBorders>
              <w:left w:val="single" w:sz="4" w:space="0" w:color="auto"/>
              <w:bottom w:val="single" w:sz="4" w:space="0" w:color="auto"/>
              <w:right w:val="single" w:sz="4" w:space="0" w:color="auto"/>
            </w:tcBorders>
            <w:hideMark/>
          </w:tcPr>
          <w:p w14:paraId="2422154C" w14:textId="77777777" w:rsidR="0053039D" w:rsidRDefault="0053039D">
            <w:pPr>
              <w:rPr>
                <w:b/>
              </w:rPr>
            </w:pPr>
          </w:p>
        </w:tc>
        <w:tc>
          <w:tcPr>
            <w:tcW w:w="1281" w:type="pct"/>
            <w:tcBorders>
              <w:top w:val="single" w:sz="4" w:space="0" w:color="auto"/>
              <w:left w:val="single" w:sz="4" w:space="0" w:color="auto"/>
              <w:bottom w:val="single" w:sz="4" w:space="0" w:color="auto"/>
              <w:right w:val="single" w:sz="4" w:space="0" w:color="auto"/>
            </w:tcBorders>
            <w:hideMark/>
          </w:tcPr>
          <w:p w14:paraId="4A97BBFB" w14:textId="77777777" w:rsidR="0053039D" w:rsidRDefault="0053039D">
            <w:pPr>
              <w:rPr>
                <w:b/>
              </w:rPr>
            </w:pPr>
            <w:r>
              <w:rPr>
                <w:b/>
              </w:rPr>
              <w:t xml:space="preserve">Catastrophic </w:t>
            </w:r>
          </w:p>
        </w:tc>
        <w:tc>
          <w:tcPr>
            <w:tcW w:w="992" w:type="pct"/>
            <w:tcBorders>
              <w:top w:val="single" w:sz="4" w:space="0" w:color="auto"/>
              <w:left w:val="single" w:sz="4" w:space="0" w:color="auto"/>
              <w:bottom w:val="single" w:sz="4" w:space="0" w:color="auto"/>
              <w:right w:val="single" w:sz="4" w:space="0" w:color="auto"/>
            </w:tcBorders>
          </w:tcPr>
          <w:p w14:paraId="3A136EF1" w14:textId="77777777" w:rsidR="0053039D" w:rsidRDefault="0053039D" w:rsidP="0053039D">
            <w:pPr>
              <w:jc w:val="center"/>
              <w:rPr>
                <w:rFonts w:cs="Calibri"/>
                <w:b/>
                <w:bCs/>
              </w:rPr>
            </w:pPr>
            <w:r>
              <w:rPr>
                <w:rFonts w:cs="Calibri"/>
                <w:b/>
                <w:bCs/>
              </w:rPr>
              <w:t>Part D Drugs:</w:t>
            </w:r>
          </w:p>
          <w:p w14:paraId="1693D677" w14:textId="77777777" w:rsidR="0053039D" w:rsidRDefault="0053039D" w:rsidP="0053039D">
            <w:pPr>
              <w:jc w:val="center"/>
              <w:rPr>
                <w:rFonts w:cs="Calibri"/>
              </w:rPr>
            </w:pPr>
            <w:r>
              <w:rPr>
                <w:rFonts w:cs="Calibri"/>
                <w:b/>
                <w:bCs/>
              </w:rPr>
              <w:t>$0</w:t>
            </w:r>
            <w:r>
              <w:rPr>
                <w:rFonts w:cs="Calibri"/>
              </w:rPr>
              <w:t xml:space="preserve"> member cost-share</w:t>
            </w:r>
          </w:p>
          <w:p w14:paraId="40974E93" w14:textId="77777777" w:rsidR="0053039D" w:rsidRDefault="0053039D" w:rsidP="0053039D">
            <w:pPr>
              <w:jc w:val="center"/>
              <w:rPr>
                <w:rFonts w:cs="Calibri"/>
              </w:rPr>
            </w:pPr>
          </w:p>
          <w:p w14:paraId="07AE31DA" w14:textId="77777777" w:rsidR="0053039D" w:rsidRDefault="0053039D" w:rsidP="0053039D">
            <w:pPr>
              <w:jc w:val="center"/>
              <w:rPr>
                <w:rFonts w:cs="Calibri"/>
                <w:b/>
                <w:bCs/>
              </w:rPr>
            </w:pPr>
            <w:r>
              <w:rPr>
                <w:rFonts w:cs="Calibri"/>
                <w:b/>
                <w:bCs/>
              </w:rPr>
              <w:t>Covered Non-Part D Drugs:</w:t>
            </w:r>
          </w:p>
          <w:p w14:paraId="40BB2082" w14:textId="77777777" w:rsidR="0053039D" w:rsidRDefault="0053039D" w:rsidP="0053039D">
            <w:pPr>
              <w:jc w:val="center"/>
              <w:rPr>
                <w:rFonts w:cs="Calibri"/>
                <w:b/>
                <w:bCs/>
              </w:rPr>
            </w:pPr>
            <w:r>
              <w:rPr>
                <w:rFonts w:cs="Calibri"/>
              </w:rPr>
              <w:t>Varies by Plan</w:t>
            </w:r>
          </w:p>
        </w:tc>
        <w:tc>
          <w:tcPr>
            <w:tcW w:w="1010" w:type="pct"/>
            <w:tcBorders>
              <w:top w:val="single" w:sz="4" w:space="0" w:color="auto"/>
              <w:left w:val="single" w:sz="4" w:space="0" w:color="auto"/>
              <w:bottom w:val="single" w:sz="4" w:space="0" w:color="auto"/>
              <w:right w:val="single" w:sz="4" w:space="0" w:color="auto"/>
            </w:tcBorders>
          </w:tcPr>
          <w:p w14:paraId="65DAEA6C" w14:textId="77777777" w:rsidR="0053039D" w:rsidRDefault="0053039D">
            <w:pPr>
              <w:jc w:val="center"/>
              <w:rPr>
                <w:rFonts w:cs="Calibri"/>
                <w:b/>
                <w:bCs/>
              </w:rPr>
            </w:pPr>
            <w:r>
              <w:rPr>
                <w:rFonts w:cs="Calibri"/>
                <w:b/>
                <w:bCs/>
              </w:rPr>
              <w:t>Part D Drugs:</w:t>
            </w:r>
          </w:p>
          <w:p w14:paraId="1A603137" w14:textId="77777777" w:rsidR="0053039D" w:rsidRDefault="0053039D">
            <w:pPr>
              <w:jc w:val="center"/>
              <w:rPr>
                <w:rFonts w:cs="Calibri"/>
              </w:rPr>
            </w:pPr>
            <w:r>
              <w:rPr>
                <w:rFonts w:cs="Calibri"/>
                <w:b/>
                <w:bCs/>
              </w:rPr>
              <w:t>$0</w:t>
            </w:r>
            <w:r>
              <w:rPr>
                <w:rFonts w:cs="Calibri"/>
              </w:rPr>
              <w:t xml:space="preserve"> member cost-share</w:t>
            </w:r>
          </w:p>
          <w:p w14:paraId="774CC7BF" w14:textId="77777777" w:rsidR="0053039D" w:rsidRDefault="0053039D">
            <w:pPr>
              <w:jc w:val="center"/>
              <w:rPr>
                <w:rFonts w:cs="Calibri"/>
              </w:rPr>
            </w:pPr>
          </w:p>
          <w:p w14:paraId="5797D023" w14:textId="77777777" w:rsidR="0053039D" w:rsidRDefault="0053039D">
            <w:pPr>
              <w:jc w:val="center"/>
              <w:rPr>
                <w:rFonts w:cs="Calibri"/>
                <w:b/>
                <w:bCs/>
              </w:rPr>
            </w:pPr>
            <w:r>
              <w:rPr>
                <w:rFonts w:cs="Calibri"/>
                <w:b/>
                <w:bCs/>
              </w:rPr>
              <w:t>Covered Non-Part D Drugs:</w:t>
            </w:r>
          </w:p>
          <w:p w14:paraId="7618C254" w14:textId="77777777" w:rsidR="0053039D" w:rsidRDefault="0053039D">
            <w:pPr>
              <w:jc w:val="center"/>
              <w:rPr>
                <w:rFonts w:cs="Calibri"/>
              </w:rPr>
            </w:pPr>
            <w:r>
              <w:rPr>
                <w:rFonts w:cs="Calibri"/>
              </w:rPr>
              <w:t>Varies by Plan</w:t>
            </w:r>
          </w:p>
        </w:tc>
        <w:tc>
          <w:tcPr>
            <w:tcW w:w="1027" w:type="pct"/>
            <w:tcBorders>
              <w:top w:val="single" w:sz="4" w:space="0" w:color="auto"/>
              <w:left w:val="single" w:sz="4" w:space="0" w:color="auto"/>
              <w:bottom w:val="single" w:sz="4" w:space="0" w:color="auto"/>
              <w:right w:val="single" w:sz="4" w:space="0" w:color="auto"/>
            </w:tcBorders>
          </w:tcPr>
          <w:p w14:paraId="2EE3F4C5" w14:textId="77777777" w:rsidR="0053039D" w:rsidRDefault="0053039D">
            <w:pPr>
              <w:jc w:val="center"/>
              <w:rPr>
                <w:rFonts w:cs="Calibri"/>
                <w:b/>
                <w:bCs/>
              </w:rPr>
            </w:pPr>
            <w:r>
              <w:rPr>
                <w:rFonts w:cs="Calibri"/>
                <w:b/>
                <w:bCs/>
              </w:rPr>
              <w:t>Part D Drugs:</w:t>
            </w:r>
          </w:p>
          <w:p w14:paraId="7A3204E7" w14:textId="77777777" w:rsidR="0053039D" w:rsidRDefault="0053039D">
            <w:pPr>
              <w:jc w:val="center"/>
              <w:rPr>
                <w:rFonts w:cs="Calibri"/>
              </w:rPr>
            </w:pPr>
            <w:r>
              <w:rPr>
                <w:rFonts w:cs="Calibri"/>
                <w:b/>
                <w:bCs/>
              </w:rPr>
              <w:t>$0</w:t>
            </w:r>
            <w:r>
              <w:rPr>
                <w:rFonts w:cs="Calibri"/>
              </w:rPr>
              <w:t xml:space="preserve"> member cost-share</w:t>
            </w:r>
          </w:p>
          <w:p w14:paraId="6BF2FBDD" w14:textId="77777777" w:rsidR="0053039D" w:rsidRDefault="0053039D">
            <w:pPr>
              <w:jc w:val="center"/>
              <w:rPr>
                <w:rFonts w:cs="Calibri"/>
              </w:rPr>
            </w:pPr>
          </w:p>
          <w:p w14:paraId="63B5477E" w14:textId="77777777" w:rsidR="0053039D" w:rsidRDefault="0053039D">
            <w:pPr>
              <w:jc w:val="center"/>
              <w:rPr>
                <w:rFonts w:cs="Calibri"/>
                <w:b/>
                <w:bCs/>
              </w:rPr>
            </w:pPr>
            <w:r>
              <w:rPr>
                <w:rFonts w:cs="Calibri"/>
                <w:b/>
                <w:bCs/>
              </w:rPr>
              <w:t>Covered Non-Part D Drugs:</w:t>
            </w:r>
          </w:p>
          <w:p w14:paraId="3C849081" w14:textId="77777777" w:rsidR="0053039D" w:rsidRDefault="0053039D">
            <w:pPr>
              <w:jc w:val="center"/>
            </w:pPr>
            <w:r>
              <w:rPr>
                <w:rFonts w:cs="Calibri"/>
              </w:rPr>
              <w:t>Varies by Plan</w:t>
            </w:r>
          </w:p>
        </w:tc>
      </w:tr>
    </w:tbl>
    <w:p w14:paraId="0DB5C0B7" w14:textId="77777777" w:rsidR="004C33F0" w:rsidRDefault="004C33F0" w:rsidP="00EB1F94"/>
    <w:bookmarkStart w:id="5" w:name="_Overview"/>
    <w:bookmarkEnd w:id="5"/>
    <w:p w14:paraId="10AEDF6F" w14:textId="77777777" w:rsidR="005C17CD" w:rsidRPr="005C17CD" w:rsidRDefault="005C17CD" w:rsidP="00ED4662">
      <w:pPr>
        <w:jc w:val="right"/>
      </w:pPr>
      <w:r>
        <w:fldChar w:fldCharType="begin"/>
      </w:r>
      <w:r>
        <w:instrText>HYPERLINK  \l "_top"</w:instrText>
      </w:r>
      <w:r>
        <w:fldChar w:fldCharType="separate"/>
      </w:r>
      <w:r w:rsidRPr="005C17CD">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C17CD" w:rsidRPr="005C17CD" w14:paraId="67586000" w14:textId="77777777" w:rsidTr="005C17CD">
        <w:trPr>
          <w:trHeight w:val="575"/>
        </w:trPr>
        <w:tc>
          <w:tcPr>
            <w:tcW w:w="5000" w:type="pct"/>
            <w:shd w:val="clear" w:color="auto" w:fill="C0C0C0"/>
          </w:tcPr>
          <w:p w14:paraId="1FBE6C95" w14:textId="77777777" w:rsidR="005C17CD" w:rsidRPr="005C17CD" w:rsidRDefault="005C17CD" w:rsidP="005C17CD">
            <w:pPr>
              <w:keepNext/>
              <w:tabs>
                <w:tab w:val="left" w:pos="11985"/>
              </w:tabs>
              <w:spacing w:before="240" w:after="60"/>
              <w:outlineLvl w:val="1"/>
              <w:rPr>
                <w:rFonts w:cs="Arial"/>
                <w:b/>
                <w:bCs/>
                <w:sz w:val="28"/>
                <w:szCs w:val="28"/>
              </w:rPr>
            </w:pPr>
            <w:bookmarkStart w:id="6" w:name="_Toc173928036"/>
            <w:bookmarkStart w:id="7" w:name="_Toc173928152"/>
            <w:r>
              <w:rPr>
                <w:rFonts w:cs="Arial"/>
                <w:b/>
                <w:bCs/>
                <w:sz w:val="28"/>
                <w:szCs w:val="28"/>
              </w:rPr>
              <w:t>S</w:t>
            </w:r>
            <w:r w:rsidRPr="005C17CD">
              <w:rPr>
                <w:rFonts w:cs="Arial"/>
                <w:b/>
                <w:bCs/>
                <w:sz w:val="28"/>
                <w:szCs w:val="28"/>
              </w:rPr>
              <w:t>tages of Medicare Part D Coverage</w:t>
            </w:r>
            <w:bookmarkEnd w:id="6"/>
            <w:bookmarkEnd w:id="7"/>
          </w:p>
        </w:tc>
      </w:tr>
    </w:tbl>
    <w:p w14:paraId="4467D1F7" w14:textId="77777777" w:rsidR="005C17CD" w:rsidRPr="00ED4662" w:rsidRDefault="005C17CD" w:rsidP="00ED4662">
      <w:pPr>
        <w:pStyle w:val="TOC2"/>
        <w:rPr>
          <w:color w:val="auto"/>
        </w:rPr>
      </w:pPr>
      <w:r w:rsidRPr="00ED4662">
        <w:rPr>
          <w:color w:val="auto"/>
        </w:rPr>
        <w:t xml:space="preserve">There are 3 stages of Medicare Part D Coverage and with each stage the plan benefits cost change. </w:t>
      </w:r>
    </w:p>
    <w:p w14:paraId="5DEED522" w14:textId="77777777" w:rsidR="005C17CD" w:rsidRPr="005C17CD" w:rsidRDefault="005C17CD" w:rsidP="005C17CD"/>
    <w:p w14:paraId="2E73627A" w14:textId="77777777" w:rsidR="005C17CD" w:rsidRPr="005C17CD" w:rsidRDefault="005C17CD" w:rsidP="005C17CD">
      <w:pPr>
        <w:rPr>
          <w:b/>
        </w:rPr>
      </w:pPr>
      <w:r w:rsidRPr="005C17CD">
        <w:rPr>
          <w:b/>
        </w:rPr>
        <w:t>Annual Deductible</w:t>
      </w:r>
    </w:p>
    <w:p w14:paraId="1B95B618" w14:textId="77777777" w:rsidR="005C17CD" w:rsidRPr="005C17CD" w:rsidRDefault="005C17CD" w:rsidP="005C17CD"/>
    <w:p w14:paraId="59776D0A" w14:textId="77777777" w:rsidR="005C17CD" w:rsidRPr="00ED4662" w:rsidRDefault="005C17CD" w:rsidP="005C17CD">
      <w:pPr>
        <w:pStyle w:val="ListParagraph"/>
        <w:numPr>
          <w:ilvl w:val="0"/>
          <w:numId w:val="5"/>
        </w:numPr>
        <w:spacing w:after="0" w:line="240" w:lineRule="auto"/>
        <w:rPr>
          <w:rFonts w:ascii="Verdana" w:hAnsi="Verdana"/>
          <w:sz w:val="24"/>
          <w:szCs w:val="24"/>
        </w:rPr>
      </w:pPr>
      <w:r w:rsidRPr="00ED4662">
        <w:rPr>
          <w:rFonts w:ascii="Verdana" w:hAnsi="Verdana"/>
          <w:sz w:val="24"/>
          <w:szCs w:val="24"/>
        </w:rPr>
        <w:t xml:space="preserve">During this stage, the beneficiary pays the full cost of medications until the amount of the deductible is reached. Then the beneficiary will move to Initial Coverage. </w:t>
      </w:r>
    </w:p>
    <w:p w14:paraId="559F0CEC" w14:textId="77777777" w:rsidR="005C17CD" w:rsidRPr="00ED4662" w:rsidRDefault="005C17CD" w:rsidP="005C17CD">
      <w:pPr>
        <w:pStyle w:val="ListParagraph"/>
        <w:numPr>
          <w:ilvl w:val="0"/>
          <w:numId w:val="5"/>
        </w:numPr>
        <w:spacing w:after="0" w:line="240" w:lineRule="auto"/>
        <w:rPr>
          <w:rFonts w:ascii="Verdana" w:hAnsi="Verdana"/>
          <w:sz w:val="24"/>
          <w:szCs w:val="24"/>
        </w:rPr>
      </w:pPr>
      <w:r w:rsidRPr="00ED4662">
        <w:rPr>
          <w:rFonts w:ascii="Verdana" w:hAnsi="Verdana"/>
          <w:sz w:val="24"/>
          <w:szCs w:val="24"/>
        </w:rPr>
        <w:t xml:space="preserve">Deductible amounts differ between plans. </w:t>
      </w:r>
    </w:p>
    <w:p w14:paraId="51BF8FFA" w14:textId="77777777" w:rsidR="005C17CD" w:rsidRPr="00ED4662" w:rsidRDefault="005C17CD" w:rsidP="005C17CD">
      <w:pPr>
        <w:pStyle w:val="ListParagraph"/>
        <w:rPr>
          <w:rFonts w:ascii="Verdana" w:hAnsi="Verdana"/>
          <w:b/>
          <w:sz w:val="24"/>
          <w:szCs w:val="24"/>
        </w:rPr>
      </w:pPr>
    </w:p>
    <w:p w14:paraId="3D034648" w14:textId="77777777" w:rsidR="005C17CD" w:rsidRDefault="005C17CD" w:rsidP="005C17CD">
      <w:pPr>
        <w:pStyle w:val="ListParagraph"/>
        <w:rPr>
          <w:rFonts w:ascii="Verdana" w:hAnsi="Verdana"/>
          <w:sz w:val="24"/>
          <w:szCs w:val="24"/>
        </w:rPr>
      </w:pPr>
      <w:r w:rsidRPr="00ED4662">
        <w:rPr>
          <w:rFonts w:ascii="Verdana" w:hAnsi="Verdana"/>
          <w:b/>
          <w:sz w:val="24"/>
          <w:szCs w:val="24"/>
        </w:rPr>
        <w:t>Note</w:t>
      </w:r>
      <w:proofErr w:type="gramStart"/>
      <w:r w:rsidRPr="00ED4662">
        <w:rPr>
          <w:rFonts w:ascii="Verdana" w:hAnsi="Verdana"/>
          <w:b/>
          <w:sz w:val="24"/>
          <w:szCs w:val="24"/>
        </w:rPr>
        <w:t xml:space="preserve">:  </w:t>
      </w:r>
      <w:r w:rsidRPr="00ED4662">
        <w:rPr>
          <w:rFonts w:ascii="Verdana" w:hAnsi="Verdana"/>
          <w:sz w:val="24"/>
          <w:szCs w:val="24"/>
        </w:rPr>
        <w:t>$</w:t>
      </w:r>
      <w:proofErr w:type="gramEnd"/>
      <w:r w:rsidRPr="00ED4662">
        <w:rPr>
          <w:rFonts w:ascii="Verdana" w:hAnsi="Verdana"/>
          <w:sz w:val="24"/>
          <w:szCs w:val="24"/>
        </w:rPr>
        <w:t xml:space="preserve">0 deductible plans start in the Initial Coverage stage. </w:t>
      </w:r>
    </w:p>
    <w:p w14:paraId="41AC178A" w14:textId="77777777" w:rsidR="00005878" w:rsidRDefault="00005878" w:rsidP="005C17CD">
      <w:pPr>
        <w:pStyle w:val="ListParagraph"/>
        <w:rPr>
          <w:rFonts w:ascii="Verdana" w:hAnsi="Verdana"/>
          <w:sz w:val="24"/>
          <w:szCs w:val="24"/>
        </w:rPr>
      </w:pPr>
    </w:p>
    <w:p w14:paraId="020FEBBE" w14:textId="72799727" w:rsidR="00005878" w:rsidRPr="00005878" w:rsidRDefault="00005878" w:rsidP="00005878">
      <w:pPr>
        <w:pStyle w:val="ListParagraph"/>
        <w:numPr>
          <w:ilvl w:val="0"/>
          <w:numId w:val="5"/>
        </w:numPr>
        <w:rPr>
          <w:rFonts w:ascii="Verdana" w:hAnsi="Verdana"/>
          <w:sz w:val="24"/>
          <w:szCs w:val="24"/>
        </w:rPr>
      </w:pPr>
      <w:r w:rsidRPr="00005878">
        <w:rPr>
          <w:rFonts w:ascii="Verdana" w:hAnsi="Verdana"/>
          <w:sz w:val="24"/>
          <w:szCs w:val="24"/>
        </w:rPr>
        <w:t>In 202</w:t>
      </w:r>
      <w:r w:rsidR="0053039D">
        <w:rPr>
          <w:rFonts w:ascii="Verdana" w:hAnsi="Verdana"/>
          <w:sz w:val="24"/>
          <w:szCs w:val="24"/>
        </w:rPr>
        <w:t>6</w:t>
      </w:r>
      <w:r w:rsidRPr="00005878">
        <w:rPr>
          <w:rFonts w:ascii="Verdana" w:hAnsi="Verdana"/>
          <w:sz w:val="24"/>
          <w:szCs w:val="24"/>
        </w:rPr>
        <w:t>, the Medicare Part D defined standard (DS) deductible is $</w:t>
      </w:r>
      <w:r w:rsidR="0053039D">
        <w:rPr>
          <w:rFonts w:ascii="Verdana" w:hAnsi="Verdana"/>
          <w:sz w:val="24"/>
          <w:szCs w:val="24"/>
        </w:rPr>
        <w:t>615</w:t>
      </w:r>
      <w:r w:rsidRPr="00005878">
        <w:rPr>
          <w:rFonts w:ascii="Verdana" w:hAnsi="Verdana"/>
          <w:sz w:val="24"/>
          <w:szCs w:val="24"/>
        </w:rPr>
        <w:t xml:space="preserve"> for basic Part D prescription drug benefits.  Your deductible may be different, based on the plan type you selected.   </w:t>
      </w:r>
    </w:p>
    <w:p w14:paraId="37D38D00" w14:textId="0944344D" w:rsidR="00005878" w:rsidRPr="00ED4662" w:rsidRDefault="00005878" w:rsidP="00ED4662">
      <w:pPr>
        <w:pStyle w:val="ListParagraph"/>
        <w:numPr>
          <w:ilvl w:val="1"/>
          <w:numId w:val="5"/>
        </w:numPr>
        <w:rPr>
          <w:rFonts w:ascii="Verdana" w:hAnsi="Verdana"/>
          <w:sz w:val="24"/>
          <w:szCs w:val="24"/>
        </w:rPr>
      </w:pPr>
      <w:r w:rsidRPr="00005878">
        <w:rPr>
          <w:rFonts w:ascii="Verdana" w:hAnsi="Verdana"/>
          <w:sz w:val="24"/>
          <w:szCs w:val="24"/>
        </w:rPr>
        <w:t>Plans may use drug tiering as part of their benefit design, and in many instances, a member's out-of-pocket cost for certain tiers does not count toward the plan's deductible.  However, if the member's out-of-pocket cost for tiered prescriptions reaches the DS deductible amount ($</w:t>
      </w:r>
      <w:r w:rsidR="0053039D">
        <w:rPr>
          <w:rFonts w:ascii="Verdana" w:hAnsi="Verdana"/>
          <w:sz w:val="24"/>
          <w:szCs w:val="24"/>
        </w:rPr>
        <w:t>615</w:t>
      </w:r>
      <w:r w:rsidRPr="00005878">
        <w:rPr>
          <w:rFonts w:ascii="Verdana" w:hAnsi="Verdana"/>
          <w:sz w:val="24"/>
          <w:szCs w:val="24"/>
        </w:rPr>
        <w:t xml:space="preserve"> in 202</w:t>
      </w:r>
      <w:r w:rsidR="0053039D">
        <w:rPr>
          <w:rFonts w:ascii="Verdana" w:hAnsi="Verdana"/>
          <w:sz w:val="24"/>
          <w:szCs w:val="24"/>
        </w:rPr>
        <w:t>6</w:t>
      </w:r>
      <w:r w:rsidRPr="00005878">
        <w:rPr>
          <w:rFonts w:ascii="Verdana" w:hAnsi="Verdana"/>
          <w:sz w:val="24"/>
          <w:szCs w:val="24"/>
        </w:rPr>
        <w:t>), then the member has satisfied the deductible phase.  The member is now eligible for their initial coverage phase benefits, including the Manufacturer's Discount Program.</w:t>
      </w:r>
    </w:p>
    <w:p w14:paraId="49D4FC96" w14:textId="77777777" w:rsidR="005C17CD" w:rsidRPr="005C17CD" w:rsidRDefault="005C17CD" w:rsidP="005C17CD"/>
    <w:p w14:paraId="0AEAF132" w14:textId="77777777" w:rsidR="005C17CD" w:rsidRPr="005C17CD" w:rsidRDefault="005C17CD" w:rsidP="005C17CD">
      <w:pPr>
        <w:rPr>
          <w:b/>
        </w:rPr>
      </w:pPr>
      <w:r w:rsidRPr="005C17CD">
        <w:rPr>
          <w:b/>
        </w:rPr>
        <w:t xml:space="preserve">Initial Coverage </w:t>
      </w:r>
    </w:p>
    <w:p w14:paraId="7233B173" w14:textId="77777777" w:rsidR="005C17CD" w:rsidRPr="005C17CD" w:rsidRDefault="005C17CD" w:rsidP="005C17CD"/>
    <w:p w14:paraId="442B8203" w14:textId="77777777" w:rsidR="005C17CD" w:rsidRPr="00ED4662" w:rsidRDefault="005C17CD" w:rsidP="005C17CD">
      <w:pPr>
        <w:pStyle w:val="ListParagraph"/>
        <w:numPr>
          <w:ilvl w:val="0"/>
          <w:numId w:val="6"/>
        </w:numPr>
        <w:spacing w:after="0" w:line="240" w:lineRule="auto"/>
        <w:rPr>
          <w:rFonts w:ascii="Verdana" w:hAnsi="Verdana"/>
          <w:sz w:val="24"/>
          <w:szCs w:val="24"/>
        </w:rPr>
      </w:pPr>
      <w:r w:rsidRPr="00ED4662">
        <w:rPr>
          <w:rFonts w:ascii="Verdana" w:hAnsi="Verdana"/>
          <w:sz w:val="24"/>
          <w:szCs w:val="24"/>
        </w:rPr>
        <w:t xml:space="preserve">Initial Coverage begins once the </w:t>
      </w:r>
      <w:r w:rsidR="00983041">
        <w:rPr>
          <w:rFonts w:ascii="Verdana" w:hAnsi="Verdana"/>
          <w:sz w:val="24"/>
          <w:szCs w:val="24"/>
        </w:rPr>
        <w:t xml:space="preserve">plan or </w:t>
      </w:r>
      <w:r w:rsidR="004C33F0">
        <w:rPr>
          <w:rFonts w:ascii="Verdana" w:hAnsi="Verdana"/>
          <w:sz w:val="24"/>
          <w:szCs w:val="24"/>
        </w:rPr>
        <w:t>defined standard (</w:t>
      </w:r>
      <w:r w:rsidR="00983041">
        <w:rPr>
          <w:rFonts w:ascii="Verdana" w:hAnsi="Verdana"/>
          <w:sz w:val="24"/>
          <w:szCs w:val="24"/>
        </w:rPr>
        <w:t>DS</w:t>
      </w:r>
      <w:r w:rsidR="004C33F0">
        <w:rPr>
          <w:rFonts w:ascii="Verdana" w:hAnsi="Verdana"/>
          <w:sz w:val="24"/>
          <w:szCs w:val="24"/>
        </w:rPr>
        <w:t>)</w:t>
      </w:r>
      <w:r w:rsidR="00983041">
        <w:rPr>
          <w:rFonts w:ascii="Verdana" w:hAnsi="Verdana"/>
          <w:sz w:val="24"/>
          <w:szCs w:val="24"/>
        </w:rPr>
        <w:t xml:space="preserve"> </w:t>
      </w:r>
      <w:r w:rsidRPr="00ED4662">
        <w:rPr>
          <w:rFonts w:ascii="Verdana" w:hAnsi="Verdana"/>
          <w:sz w:val="24"/>
          <w:szCs w:val="24"/>
        </w:rPr>
        <w:t xml:space="preserve">deductible is reached. </w:t>
      </w:r>
    </w:p>
    <w:p w14:paraId="54278308" w14:textId="77777777" w:rsidR="005C17CD" w:rsidRPr="00ED4662" w:rsidRDefault="005C17CD" w:rsidP="005C17CD">
      <w:pPr>
        <w:pStyle w:val="ListParagraph"/>
        <w:numPr>
          <w:ilvl w:val="0"/>
          <w:numId w:val="6"/>
        </w:numPr>
        <w:spacing w:after="0" w:line="240" w:lineRule="auto"/>
        <w:rPr>
          <w:rFonts w:ascii="Verdana" w:hAnsi="Verdana"/>
          <w:sz w:val="24"/>
          <w:szCs w:val="24"/>
        </w:rPr>
      </w:pPr>
      <w:r w:rsidRPr="00ED4662">
        <w:rPr>
          <w:rFonts w:ascii="Verdana" w:hAnsi="Verdana"/>
          <w:sz w:val="24"/>
          <w:szCs w:val="24"/>
        </w:rPr>
        <w:t>If the beneficiary’s plan does not have a deductible, this is the first stage of the benefit.</w:t>
      </w:r>
    </w:p>
    <w:p w14:paraId="0ADAB0DC" w14:textId="78A32DAE" w:rsidR="005C17CD" w:rsidRPr="00ED4662" w:rsidRDefault="005C17CD" w:rsidP="005C17CD">
      <w:pPr>
        <w:pStyle w:val="ListParagraph"/>
        <w:numPr>
          <w:ilvl w:val="0"/>
          <w:numId w:val="6"/>
        </w:numPr>
        <w:spacing w:after="0" w:line="240" w:lineRule="auto"/>
        <w:rPr>
          <w:rFonts w:ascii="Verdana" w:hAnsi="Verdana"/>
          <w:sz w:val="24"/>
          <w:szCs w:val="24"/>
        </w:rPr>
      </w:pPr>
      <w:r w:rsidRPr="00ED4662">
        <w:rPr>
          <w:rFonts w:ascii="Verdana" w:hAnsi="Verdana"/>
          <w:sz w:val="24"/>
          <w:szCs w:val="24"/>
        </w:rPr>
        <w:t xml:space="preserve">During this stage cost sharing begins, which means the plan pays some of the cost and the beneficiary pays a copayment or coinsurance for medications until they reach the </w:t>
      </w:r>
      <w:proofErr w:type="spellStart"/>
      <w:r w:rsidR="00983041">
        <w:rPr>
          <w:rFonts w:ascii="Verdana" w:hAnsi="Verdana"/>
          <w:sz w:val="24"/>
          <w:szCs w:val="24"/>
        </w:rPr>
        <w:t>TrOOP</w:t>
      </w:r>
      <w:proofErr w:type="spellEnd"/>
      <w:r w:rsidR="00983041">
        <w:rPr>
          <w:rFonts w:ascii="Verdana" w:hAnsi="Verdana"/>
          <w:sz w:val="24"/>
          <w:szCs w:val="24"/>
        </w:rPr>
        <w:t xml:space="preserve"> limit</w:t>
      </w:r>
      <w:r w:rsidRPr="00ED4662">
        <w:rPr>
          <w:rFonts w:ascii="Verdana" w:hAnsi="Verdana"/>
          <w:sz w:val="24"/>
          <w:szCs w:val="24"/>
        </w:rPr>
        <w:t xml:space="preserve"> established by Medicare</w:t>
      </w:r>
      <w:r w:rsidR="00983041">
        <w:rPr>
          <w:rFonts w:ascii="Verdana" w:hAnsi="Verdana"/>
          <w:sz w:val="24"/>
          <w:szCs w:val="24"/>
        </w:rPr>
        <w:t xml:space="preserve"> ($2,</w:t>
      </w:r>
      <w:r w:rsidR="0053039D">
        <w:rPr>
          <w:rFonts w:ascii="Verdana" w:hAnsi="Verdana"/>
          <w:sz w:val="24"/>
          <w:szCs w:val="24"/>
        </w:rPr>
        <w:t>1</w:t>
      </w:r>
      <w:r w:rsidR="00983041">
        <w:rPr>
          <w:rFonts w:ascii="Verdana" w:hAnsi="Verdana"/>
          <w:sz w:val="24"/>
          <w:szCs w:val="24"/>
        </w:rPr>
        <w:t>00 for 202</w:t>
      </w:r>
      <w:r w:rsidR="0053039D">
        <w:rPr>
          <w:rFonts w:ascii="Verdana" w:hAnsi="Verdana"/>
          <w:sz w:val="24"/>
          <w:szCs w:val="24"/>
        </w:rPr>
        <w:t>6</w:t>
      </w:r>
      <w:r w:rsidR="00983041">
        <w:rPr>
          <w:rFonts w:ascii="Verdana" w:hAnsi="Verdana"/>
          <w:sz w:val="24"/>
          <w:szCs w:val="24"/>
        </w:rPr>
        <w:t>)</w:t>
      </w:r>
      <w:r w:rsidRPr="00ED4662">
        <w:rPr>
          <w:rFonts w:ascii="Verdana" w:hAnsi="Verdana"/>
          <w:sz w:val="24"/>
          <w:szCs w:val="24"/>
        </w:rPr>
        <w:t>.</w:t>
      </w:r>
    </w:p>
    <w:p w14:paraId="02BFB16E" w14:textId="77777777" w:rsidR="005C17CD" w:rsidRPr="00ED4662" w:rsidRDefault="005C17CD" w:rsidP="005C17CD">
      <w:pPr>
        <w:pStyle w:val="ListParagraph"/>
        <w:numPr>
          <w:ilvl w:val="0"/>
          <w:numId w:val="6"/>
        </w:numPr>
        <w:spacing w:after="0" w:line="240" w:lineRule="auto"/>
        <w:rPr>
          <w:rFonts w:ascii="Verdana" w:hAnsi="Verdana"/>
          <w:sz w:val="24"/>
          <w:szCs w:val="24"/>
        </w:rPr>
      </w:pPr>
      <w:r w:rsidRPr="00ED4662">
        <w:rPr>
          <w:rFonts w:ascii="Verdana" w:hAnsi="Verdana"/>
          <w:sz w:val="24"/>
          <w:szCs w:val="24"/>
        </w:rPr>
        <w:t xml:space="preserve">The time a beneficiary spends </w:t>
      </w:r>
      <w:proofErr w:type="gramStart"/>
      <w:r w:rsidRPr="00ED4662">
        <w:rPr>
          <w:rFonts w:ascii="Verdana" w:hAnsi="Verdana"/>
          <w:sz w:val="24"/>
          <w:szCs w:val="24"/>
        </w:rPr>
        <w:t>in</w:t>
      </w:r>
      <w:proofErr w:type="gramEnd"/>
      <w:r w:rsidRPr="00ED4662">
        <w:rPr>
          <w:rFonts w:ascii="Verdana" w:hAnsi="Verdana"/>
          <w:sz w:val="24"/>
          <w:szCs w:val="24"/>
        </w:rPr>
        <w:t xml:space="preserve"> </w:t>
      </w:r>
      <w:proofErr w:type="gramStart"/>
      <w:r w:rsidRPr="00ED4662">
        <w:rPr>
          <w:rFonts w:ascii="Verdana" w:hAnsi="Verdana"/>
          <w:sz w:val="24"/>
          <w:szCs w:val="24"/>
        </w:rPr>
        <w:t>the Initial</w:t>
      </w:r>
      <w:proofErr w:type="gramEnd"/>
      <w:r w:rsidRPr="00ED4662">
        <w:rPr>
          <w:rFonts w:ascii="Verdana" w:hAnsi="Verdana"/>
          <w:sz w:val="24"/>
          <w:szCs w:val="24"/>
        </w:rPr>
        <w:t xml:space="preserve"> Coverage will depend on</w:t>
      </w:r>
      <w:r w:rsidR="00983041">
        <w:rPr>
          <w:rFonts w:ascii="Verdana" w:hAnsi="Verdana"/>
          <w:sz w:val="24"/>
          <w:szCs w:val="24"/>
        </w:rPr>
        <w:t xml:space="preserve"> the member’s </w:t>
      </w:r>
      <w:proofErr w:type="gramStart"/>
      <w:r w:rsidR="00983041">
        <w:rPr>
          <w:rFonts w:ascii="Verdana" w:hAnsi="Verdana"/>
          <w:sz w:val="24"/>
          <w:szCs w:val="24"/>
        </w:rPr>
        <w:t>plan</w:t>
      </w:r>
      <w:proofErr w:type="gramEnd"/>
      <w:r w:rsidR="00983041">
        <w:rPr>
          <w:rFonts w:ascii="Verdana" w:hAnsi="Verdana"/>
          <w:sz w:val="24"/>
          <w:szCs w:val="24"/>
        </w:rPr>
        <w:t xml:space="preserve"> benefit design</w:t>
      </w:r>
      <w:r w:rsidRPr="00ED4662">
        <w:rPr>
          <w:rFonts w:ascii="Verdana" w:hAnsi="Verdana"/>
          <w:sz w:val="24"/>
          <w:szCs w:val="24"/>
        </w:rPr>
        <w:t xml:space="preserve">. </w:t>
      </w:r>
    </w:p>
    <w:p w14:paraId="0F0683B5" w14:textId="77777777" w:rsidR="005C17CD" w:rsidRPr="005C17CD" w:rsidRDefault="005C17CD" w:rsidP="005C17CD"/>
    <w:p w14:paraId="07F779D2" w14:textId="77777777" w:rsidR="005C17CD" w:rsidRPr="005C17CD" w:rsidRDefault="005C17CD" w:rsidP="005C17CD">
      <w:pPr>
        <w:rPr>
          <w:b/>
        </w:rPr>
      </w:pPr>
      <w:bookmarkStart w:id="8" w:name="OLE_LINK22"/>
      <w:r w:rsidRPr="005C17CD">
        <w:rPr>
          <w:b/>
        </w:rPr>
        <w:t xml:space="preserve">Catastrophic Coverage </w:t>
      </w:r>
    </w:p>
    <w:bookmarkEnd w:id="8"/>
    <w:p w14:paraId="3C092736" w14:textId="77777777" w:rsidR="005C17CD" w:rsidRPr="005C17CD" w:rsidRDefault="005C17CD" w:rsidP="005C17CD"/>
    <w:p w14:paraId="463205C1" w14:textId="77777777" w:rsidR="005C17CD" w:rsidRPr="00ED4662" w:rsidRDefault="005C17CD" w:rsidP="005C17CD">
      <w:pPr>
        <w:pStyle w:val="ListParagraph"/>
        <w:numPr>
          <w:ilvl w:val="0"/>
          <w:numId w:val="7"/>
        </w:numPr>
        <w:spacing w:after="0" w:line="240" w:lineRule="auto"/>
        <w:rPr>
          <w:rFonts w:ascii="Verdana" w:hAnsi="Verdana"/>
          <w:sz w:val="24"/>
          <w:szCs w:val="24"/>
        </w:rPr>
      </w:pPr>
      <w:r w:rsidRPr="00ED4662">
        <w:rPr>
          <w:rFonts w:ascii="Verdana" w:hAnsi="Verdana"/>
          <w:sz w:val="24"/>
          <w:szCs w:val="24"/>
        </w:rPr>
        <w:t>The last stage of Medicare Part D Coverage.</w:t>
      </w:r>
    </w:p>
    <w:p w14:paraId="08138D5D" w14:textId="77777777" w:rsidR="005C17CD" w:rsidRPr="00ED4662" w:rsidRDefault="005C17CD" w:rsidP="005C17CD">
      <w:pPr>
        <w:pStyle w:val="ListParagraph"/>
        <w:numPr>
          <w:ilvl w:val="0"/>
          <w:numId w:val="7"/>
        </w:numPr>
        <w:spacing w:after="0" w:line="240" w:lineRule="auto"/>
        <w:rPr>
          <w:rFonts w:ascii="Verdana" w:hAnsi="Verdana"/>
          <w:sz w:val="24"/>
          <w:szCs w:val="24"/>
        </w:rPr>
      </w:pPr>
      <w:r w:rsidRPr="00ED4662">
        <w:rPr>
          <w:rFonts w:ascii="Verdana" w:hAnsi="Verdana"/>
          <w:sz w:val="24"/>
          <w:szCs w:val="24"/>
        </w:rPr>
        <w:t>Beneficiaries enter this stage after the total or true out-of-pocket costs (TrOOP) reaches:</w:t>
      </w:r>
    </w:p>
    <w:p w14:paraId="7122F0DD" w14:textId="77777777" w:rsidR="0053039D" w:rsidRPr="0053039D" w:rsidRDefault="0053039D" w:rsidP="00ED4662">
      <w:pPr>
        <w:pStyle w:val="ListParagraph"/>
        <w:numPr>
          <w:ilvl w:val="1"/>
          <w:numId w:val="7"/>
        </w:numPr>
        <w:spacing w:after="0" w:line="240" w:lineRule="auto"/>
        <w:rPr>
          <w:rFonts w:ascii="Verdana" w:hAnsi="Verdana"/>
          <w:b/>
          <w:bCs/>
          <w:sz w:val="24"/>
          <w:szCs w:val="24"/>
        </w:rPr>
      </w:pPr>
      <w:r w:rsidRPr="002274A1">
        <w:rPr>
          <w:rFonts w:ascii="Verdana" w:hAnsi="Verdana"/>
          <w:b/>
          <w:bCs/>
          <w:sz w:val="24"/>
          <w:szCs w:val="24"/>
        </w:rPr>
        <w:t>2026:</w:t>
      </w:r>
      <w:r>
        <w:rPr>
          <w:rFonts w:ascii="Verdana" w:hAnsi="Verdana"/>
          <w:b/>
          <w:bCs/>
          <w:sz w:val="24"/>
          <w:szCs w:val="24"/>
        </w:rPr>
        <w:t xml:space="preserve"> </w:t>
      </w:r>
      <w:r>
        <w:rPr>
          <w:rFonts w:ascii="Verdana" w:hAnsi="Verdana"/>
          <w:sz w:val="24"/>
          <w:szCs w:val="24"/>
        </w:rPr>
        <w:t>$2,100</w:t>
      </w:r>
    </w:p>
    <w:p w14:paraId="647F4472" w14:textId="77777777" w:rsidR="005C17CD" w:rsidRPr="00ED4662" w:rsidRDefault="005C17CD" w:rsidP="00ED4662">
      <w:pPr>
        <w:pStyle w:val="ListParagraph"/>
        <w:numPr>
          <w:ilvl w:val="1"/>
          <w:numId w:val="7"/>
        </w:numPr>
        <w:spacing w:after="0" w:line="240" w:lineRule="auto"/>
        <w:rPr>
          <w:rFonts w:ascii="Verdana" w:hAnsi="Verdana"/>
          <w:sz w:val="24"/>
          <w:szCs w:val="24"/>
        </w:rPr>
      </w:pPr>
      <w:r w:rsidRPr="00ED4662">
        <w:rPr>
          <w:rFonts w:ascii="Verdana" w:hAnsi="Verdana"/>
          <w:b/>
          <w:bCs/>
          <w:sz w:val="24"/>
          <w:szCs w:val="24"/>
        </w:rPr>
        <w:t>2025</w:t>
      </w:r>
      <w:proofErr w:type="gramStart"/>
      <w:r w:rsidRPr="00ED4662">
        <w:rPr>
          <w:rFonts w:ascii="Verdana" w:hAnsi="Verdana"/>
          <w:b/>
          <w:bCs/>
          <w:sz w:val="24"/>
          <w:szCs w:val="24"/>
        </w:rPr>
        <w:t>:</w:t>
      </w:r>
      <w:r w:rsidRPr="00ED4662">
        <w:rPr>
          <w:rFonts w:ascii="Verdana" w:hAnsi="Verdana"/>
          <w:sz w:val="24"/>
          <w:szCs w:val="24"/>
        </w:rPr>
        <w:t xml:space="preserve">  $</w:t>
      </w:r>
      <w:proofErr w:type="gramEnd"/>
      <w:r w:rsidRPr="00ED4662">
        <w:rPr>
          <w:rFonts w:ascii="Verdana" w:hAnsi="Verdana"/>
          <w:sz w:val="24"/>
          <w:szCs w:val="24"/>
        </w:rPr>
        <w:t>2,000</w:t>
      </w:r>
    </w:p>
    <w:p w14:paraId="0225E88B" w14:textId="77777777" w:rsidR="005C17CD" w:rsidRPr="00ED4662" w:rsidRDefault="005C17CD" w:rsidP="005C17CD">
      <w:pPr>
        <w:pStyle w:val="ListParagraph"/>
        <w:numPr>
          <w:ilvl w:val="0"/>
          <w:numId w:val="7"/>
        </w:numPr>
        <w:spacing w:after="0" w:line="240" w:lineRule="auto"/>
        <w:rPr>
          <w:rFonts w:ascii="Verdana" w:hAnsi="Verdana"/>
          <w:sz w:val="24"/>
          <w:szCs w:val="24"/>
        </w:rPr>
      </w:pPr>
      <w:r w:rsidRPr="00ED4662">
        <w:rPr>
          <w:rFonts w:ascii="Verdana" w:hAnsi="Verdana"/>
          <w:sz w:val="24"/>
          <w:szCs w:val="24"/>
        </w:rPr>
        <w:t>The beneficiary will pay:</w:t>
      </w:r>
    </w:p>
    <w:p w14:paraId="0356DAC4" w14:textId="77777777" w:rsidR="0053039D" w:rsidRDefault="0053039D" w:rsidP="005C17CD">
      <w:pPr>
        <w:pStyle w:val="ListParagraph"/>
        <w:numPr>
          <w:ilvl w:val="1"/>
          <w:numId w:val="7"/>
        </w:numPr>
        <w:spacing w:after="0" w:line="240" w:lineRule="auto"/>
        <w:rPr>
          <w:rFonts w:ascii="Verdana" w:hAnsi="Verdana"/>
          <w:b/>
          <w:bCs/>
          <w:sz w:val="24"/>
          <w:szCs w:val="24"/>
        </w:rPr>
      </w:pPr>
      <w:r w:rsidRPr="002274A1">
        <w:rPr>
          <w:rFonts w:ascii="Verdana" w:hAnsi="Verdana"/>
          <w:b/>
          <w:bCs/>
          <w:sz w:val="24"/>
          <w:szCs w:val="24"/>
        </w:rPr>
        <w:t>2026:</w:t>
      </w:r>
    </w:p>
    <w:p w14:paraId="36134E02" w14:textId="77777777" w:rsidR="0053039D" w:rsidRDefault="0053039D" w:rsidP="0053039D">
      <w:pPr>
        <w:pStyle w:val="ListParagraph"/>
        <w:numPr>
          <w:ilvl w:val="2"/>
          <w:numId w:val="7"/>
        </w:numPr>
        <w:spacing w:after="0" w:line="240" w:lineRule="auto"/>
        <w:rPr>
          <w:rFonts w:ascii="Verdana" w:hAnsi="Verdana"/>
          <w:sz w:val="24"/>
          <w:szCs w:val="24"/>
        </w:rPr>
      </w:pPr>
      <w:r w:rsidRPr="00ED4662">
        <w:rPr>
          <w:rFonts w:ascii="Verdana" w:hAnsi="Verdana"/>
          <w:sz w:val="24"/>
          <w:szCs w:val="24"/>
        </w:rPr>
        <w:t>$0 member cost share for covered Part D drugs until end of plan year.</w:t>
      </w:r>
    </w:p>
    <w:p w14:paraId="1DA461CA" w14:textId="77777777" w:rsidR="0053039D" w:rsidRPr="002274A1" w:rsidRDefault="0053039D" w:rsidP="002274A1">
      <w:pPr>
        <w:pStyle w:val="ListParagraph"/>
        <w:numPr>
          <w:ilvl w:val="2"/>
          <w:numId w:val="7"/>
        </w:numPr>
        <w:spacing w:after="0" w:line="240" w:lineRule="auto"/>
        <w:rPr>
          <w:rFonts w:ascii="Verdana" w:hAnsi="Verdana"/>
          <w:sz w:val="24"/>
          <w:szCs w:val="24"/>
        </w:rPr>
      </w:pPr>
      <w:r w:rsidRPr="009C31D3">
        <w:rPr>
          <w:rFonts w:ascii="Verdana" w:hAnsi="Verdana"/>
          <w:sz w:val="24"/>
          <w:szCs w:val="24"/>
        </w:rPr>
        <w:t xml:space="preserve">Covered Non-Part D Drugs: Varies by plan </w:t>
      </w:r>
    </w:p>
    <w:p w14:paraId="4648528E" w14:textId="77777777" w:rsidR="005C17CD" w:rsidRPr="00ED4662" w:rsidRDefault="005C17CD" w:rsidP="005C17CD">
      <w:pPr>
        <w:pStyle w:val="ListParagraph"/>
        <w:numPr>
          <w:ilvl w:val="1"/>
          <w:numId w:val="7"/>
        </w:numPr>
        <w:spacing w:after="0" w:line="240" w:lineRule="auto"/>
        <w:rPr>
          <w:rFonts w:ascii="Verdana" w:hAnsi="Verdana"/>
          <w:sz w:val="24"/>
          <w:szCs w:val="24"/>
        </w:rPr>
      </w:pPr>
      <w:r w:rsidRPr="00ED4662">
        <w:rPr>
          <w:rFonts w:ascii="Verdana" w:hAnsi="Verdana"/>
          <w:b/>
          <w:bCs/>
          <w:sz w:val="24"/>
          <w:szCs w:val="24"/>
        </w:rPr>
        <w:t>2025:</w:t>
      </w:r>
      <w:r w:rsidRPr="00ED4662">
        <w:rPr>
          <w:rFonts w:ascii="Verdana" w:hAnsi="Verdana"/>
          <w:sz w:val="24"/>
          <w:szCs w:val="24"/>
        </w:rPr>
        <w:t xml:space="preserve">  </w:t>
      </w:r>
    </w:p>
    <w:p w14:paraId="5F93F90F" w14:textId="77777777" w:rsidR="005C17CD" w:rsidRDefault="005C17CD" w:rsidP="005C17CD">
      <w:pPr>
        <w:pStyle w:val="ListParagraph"/>
        <w:numPr>
          <w:ilvl w:val="2"/>
          <w:numId w:val="7"/>
        </w:numPr>
        <w:spacing w:after="0" w:line="240" w:lineRule="auto"/>
        <w:rPr>
          <w:rFonts w:ascii="Verdana" w:hAnsi="Verdana"/>
          <w:sz w:val="24"/>
          <w:szCs w:val="24"/>
        </w:rPr>
      </w:pPr>
      <w:r w:rsidRPr="00ED4662">
        <w:rPr>
          <w:rFonts w:ascii="Verdana" w:hAnsi="Verdana"/>
          <w:sz w:val="24"/>
          <w:szCs w:val="24"/>
        </w:rPr>
        <w:t>$0 member cost share for covered Part D drugs until end of plan year.</w:t>
      </w:r>
    </w:p>
    <w:p w14:paraId="4AC6AEBB" w14:textId="77777777" w:rsidR="00983041" w:rsidRPr="00ED4662" w:rsidRDefault="00983041" w:rsidP="00983041">
      <w:pPr>
        <w:pStyle w:val="ListParagraph"/>
        <w:numPr>
          <w:ilvl w:val="2"/>
          <w:numId w:val="7"/>
        </w:numPr>
        <w:spacing w:after="0" w:line="240" w:lineRule="auto"/>
        <w:rPr>
          <w:rFonts w:ascii="Verdana" w:hAnsi="Verdana"/>
          <w:sz w:val="24"/>
          <w:szCs w:val="24"/>
        </w:rPr>
      </w:pPr>
      <w:r w:rsidRPr="009C31D3">
        <w:rPr>
          <w:rFonts w:ascii="Verdana" w:hAnsi="Verdana"/>
          <w:sz w:val="24"/>
          <w:szCs w:val="24"/>
        </w:rPr>
        <w:t xml:space="preserve">Covered Non-Part D Drugs: Varies by plan </w:t>
      </w:r>
    </w:p>
    <w:p w14:paraId="23FA85E4" w14:textId="77777777" w:rsidR="00EF5D9A" w:rsidRDefault="00EF5D9A" w:rsidP="00ED4662">
      <w:pPr>
        <w:pStyle w:val="ListParagraph"/>
        <w:spacing w:after="0" w:line="240" w:lineRule="auto"/>
        <w:ind w:left="2160"/>
        <w:rPr>
          <w:rFonts w:ascii="Verdana" w:hAnsi="Verdana"/>
          <w:sz w:val="24"/>
          <w:szCs w:val="24"/>
        </w:rPr>
      </w:pPr>
    </w:p>
    <w:p w14:paraId="5CEF3200" w14:textId="5509D10A" w:rsidR="00EF5D9A" w:rsidRDefault="00ED4662" w:rsidP="00EF5D9A">
      <w:pPr>
        <w:ind w:left="1440"/>
      </w:pPr>
      <w:r w:rsidRPr="00ED4662">
        <w:rPr>
          <w:b/>
          <w:bCs/>
        </w:rPr>
        <w:t>Note</w:t>
      </w:r>
      <w:r w:rsidR="00EF5D9A" w:rsidRPr="00ED4662">
        <w:t xml:space="preserve">: Group Plans will have the </w:t>
      </w:r>
      <w:r w:rsidR="00EF5D9A" w:rsidRPr="00ED4662">
        <w:rPr>
          <w:b/>
          <w:bCs/>
        </w:rPr>
        <w:t>OPTION</w:t>
      </w:r>
      <w:r w:rsidR="00EF5D9A" w:rsidRPr="00ED4662">
        <w:t xml:space="preserve"> for the 202</w:t>
      </w:r>
      <w:r w:rsidR="0053039D">
        <w:t>6</w:t>
      </w:r>
      <w:r w:rsidR="00EF5D9A" w:rsidRPr="00ED4662">
        <w:t xml:space="preserve"> plan year to apply $0 cost share to all </w:t>
      </w:r>
      <w:r w:rsidR="00EF5D9A" w:rsidRPr="00ED4662">
        <w:rPr>
          <w:b/>
          <w:bCs/>
        </w:rPr>
        <w:t>non-D drugs</w:t>
      </w:r>
      <w:r w:rsidR="00EF5D9A" w:rsidRPr="00ED4662">
        <w:t xml:space="preserve"> in the Catastrophic Stage.</w:t>
      </w:r>
    </w:p>
    <w:p w14:paraId="5F5E105A" w14:textId="77777777" w:rsidR="00ED4662" w:rsidRDefault="00ED4662" w:rsidP="00ED4662">
      <w:pPr>
        <w:ind w:left="1440"/>
        <w:rPr>
          <w:rFonts w:ascii="Calibri" w:hAnsi="Calibri"/>
          <w:color w:val="auto"/>
          <w:sz w:val="22"/>
          <w:szCs w:val="22"/>
        </w:rPr>
      </w:pPr>
    </w:p>
    <w:p w14:paraId="36A62B2E" w14:textId="77777777" w:rsidR="00EF5D9A" w:rsidRPr="00ED4662" w:rsidRDefault="00EF5D9A" w:rsidP="00ED4662">
      <w:pPr>
        <w:ind w:left="1440"/>
      </w:pPr>
      <w:r w:rsidRPr="00ED4662">
        <w:t>These plans will either:</w:t>
      </w:r>
    </w:p>
    <w:p w14:paraId="1FD35F6D" w14:textId="74A55049" w:rsidR="00EF5D9A" w:rsidRDefault="00EF5D9A" w:rsidP="00EF5D9A">
      <w:pPr>
        <w:numPr>
          <w:ilvl w:val="0"/>
          <w:numId w:val="10"/>
        </w:numPr>
      </w:pPr>
      <w:r>
        <w:t>A</w:t>
      </w:r>
      <w:r w:rsidRPr="00ED4662">
        <w:t>pply the $0 cost share to all non-D drugs once the CMS annual out-of-pocket limit of $2,</w:t>
      </w:r>
      <w:r w:rsidR="0053039D">
        <w:t>1</w:t>
      </w:r>
      <w:r w:rsidRPr="00ED4662">
        <w:t>00 is reached</w:t>
      </w:r>
    </w:p>
    <w:p w14:paraId="0B0098AA" w14:textId="77777777" w:rsidR="00EF5D9A" w:rsidRPr="00ED4662" w:rsidRDefault="00EF5D9A" w:rsidP="00ED4662">
      <w:pPr>
        <w:ind w:left="2160"/>
      </w:pPr>
      <w:r>
        <w:rPr>
          <w:b/>
          <w:bCs/>
        </w:rPr>
        <w:t>OR</w:t>
      </w:r>
    </w:p>
    <w:p w14:paraId="30ED70D9" w14:textId="77777777" w:rsidR="00EF5D9A" w:rsidRDefault="00EF5D9A" w:rsidP="00EF5D9A">
      <w:pPr>
        <w:numPr>
          <w:ilvl w:val="0"/>
          <w:numId w:val="10"/>
        </w:numPr>
      </w:pPr>
      <w:r>
        <w:t>K</w:t>
      </w:r>
      <w:r w:rsidRPr="00ED4662">
        <w:t>eep a cost share (Initial Coverage Stage copay) on non-D drugs for the full plan year</w:t>
      </w:r>
    </w:p>
    <w:p w14:paraId="200F0C6D" w14:textId="77777777" w:rsidR="00EF5D9A" w:rsidRPr="00ED4662" w:rsidRDefault="00EF5D9A" w:rsidP="00ED4662">
      <w:pPr>
        <w:ind w:left="2160"/>
      </w:pPr>
    </w:p>
    <w:p w14:paraId="7C5C7208" w14:textId="77777777" w:rsidR="004C33F0" w:rsidRPr="00ED4662" w:rsidRDefault="00EF5D9A" w:rsidP="00ED4662">
      <w:pPr>
        <w:ind w:left="1440"/>
        <w:rPr>
          <w:rFonts w:eastAsia="Calibri"/>
        </w:rPr>
      </w:pPr>
      <w:r w:rsidRPr="00ED4662">
        <w:t xml:space="preserve">The amounts paid for filling these non-Part D prescriptions do not count towards TROOP and will not move members toward the catastrophic phase.  In </w:t>
      </w:r>
      <w:r w:rsidR="00B30761" w:rsidRPr="00B30761">
        <w:t>addition,</w:t>
      </w:r>
      <w:r w:rsidRPr="00ED4662">
        <w:t xml:space="preserve"> these non-D drugs also cannot apply towards the M</w:t>
      </w:r>
      <w:r w:rsidR="00B30761">
        <w:t>edicare Prescription Payment Plan</w:t>
      </w:r>
      <w:r w:rsidRPr="00ED4662">
        <w:t xml:space="preserve"> program. </w:t>
      </w:r>
    </w:p>
    <w:p w14:paraId="018FA534" w14:textId="77777777" w:rsidR="005C17CD" w:rsidRDefault="005C17CD" w:rsidP="00ED4662"/>
    <w:p w14:paraId="7EC17EF3" w14:textId="77777777" w:rsidR="00402DBA" w:rsidRDefault="00402DBA" w:rsidP="00402DBA">
      <w:pPr>
        <w:jc w:val="right"/>
      </w:pPr>
      <w:hyperlink w:anchor="_top" w:history="1">
        <w:r w:rsidRPr="00577400">
          <w:rPr>
            <w:rStyle w:val="Hyperlink"/>
          </w:rPr>
          <w:t>Top of the Do</w:t>
        </w:r>
        <w:r w:rsidRPr="00577400">
          <w:rPr>
            <w:rStyle w:val="Hyperlink"/>
          </w:rPr>
          <w:t>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02DBA" w14:paraId="3145787A" w14:textId="77777777" w:rsidTr="0027341C">
        <w:tc>
          <w:tcPr>
            <w:tcW w:w="5000" w:type="pct"/>
            <w:shd w:val="clear" w:color="auto" w:fill="C0C0C0"/>
          </w:tcPr>
          <w:p w14:paraId="60301FEC" w14:textId="77777777" w:rsidR="00402DBA" w:rsidRDefault="00402DBA" w:rsidP="00A6316B">
            <w:pPr>
              <w:pStyle w:val="Heading2"/>
              <w:rPr>
                <w:rFonts w:ascii="Verdana" w:hAnsi="Verdana"/>
                <w:i w:val="0"/>
                <w:iCs w:val="0"/>
              </w:rPr>
            </w:pPr>
            <w:bookmarkStart w:id="9" w:name="_Toc27999468"/>
            <w:bookmarkStart w:id="10" w:name="_Toc173928037"/>
            <w:bookmarkStart w:id="11" w:name="_Toc173928153"/>
            <w:r>
              <w:rPr>
                <w:rFonts w:ascii="Verdana" w:hAnsi="Verdana"/>
                <w:i w:val="0"/>
                <w:iCs w:val="0"/>
              </w:rPr>
              <w:t>FAQ</w:t>
            </w:r>
            <w:bookmarkEnd w:id="9"/>
            <w:bookmarkEnd w:id="10"/>
            <w:bookmarkEnd w:id="11"/>
          </w:p>
        </w:tc>
      </w:tr>
    </w:tbl>
    <w:p w14:paraId="512BAEB2" w14:textId="77777777" w:rsidR="00ED4662" w:rsidRDefault="00ED4662" w:rsidP="00ED4662"/>
    <w:p w14:paraId="13D9BC5B" w14:textId="77777777" w:rsidR="00402DBA" w:rsidRDefault="00ED4662" w:rsidP="00ED4662">
      <w:r>
        <w:t>Refer to the following Frequently Asked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9891"/>
      </w:tblGrid>
      <w:tr w:rsidR="00402DBA" w14:paraId="386D11B7" w14:textId="77777777" w:rsidTr="000C3C22">
        <w:tc>
          <w:tcPr>
            <w:tcW w:w="1181" w:type="pct"/>
            <w:shd w:val="pct10" w:color="auto" w:fill="auto"/>
          </w:tcPr>
          <w:p w14:paraId="231BB2CC" w14:textId="77777777" w:rsidR="00402DBA" w:rsidRDefault="00402DBA" w:rsidP="0027341C">
            <w:pPr>
              <w:contextualSpacing/>
              <w:jc w:val="center"/>
              <w:rPr>
                <w:rFonts w:cs="Arial"/>
                <w:b/>
                <w:bCs/>
              </w:rPr>
            </w:pPr>
            <w:r>
              <w:rPr>
                <w:rFonts w:cs="Arial"/>
                <w:b/>
                <w:bCs/>
              </w:rPr>
              <w:t>Question</w:t>
            </w:r>
          </w:p>
        </w:tc>
        <w:tc>
          <w:tcPr>
            <w:tcW w:w="3819" w:type="pct"/>
            <w:shd w:val="pct10" w:color="auto" w:fill="auto"/>
          </w:tcPr>
          <w:p w14:paraId="78A6F760" w14:textId="77777777" w:rsidR="00402DBA" w:rsidRDefault="00402DBA" w:rsidP="0027341C">
            <w:pPr>
              <w:contextualSpacing/>
              <w:jc w:val="center"/>
              <w:rPr>
                <w:rFonts w:cs="Arial"/>
                <w:b/>
                <w:bCs/>
              </w:rPr>
            </w:pPr>
            <w:r>
              <w:rPr>
                <w:rFonts w:cs="Arial"/>
                <w:b/>
                <w:bCs/>
              </w:rPr>
              <w:t>Answer</w:t>
            </w:r>
          </w:p>
        </w:tc>
      </w:tr>
      <w:tr w:rsidR="00402DBA" w14:paraId="7D872D3E" w14:textId="77777777" w:rsidTr="000C3C22">
        <w:trPr>
          <w:trHeight w:val="1097"/>
        </w:trPr>
        <w:tc>
          <w:tcPr>
            <w:tcW w:w="1181" w:type="pct"/>
          </w:tcPr>
          <w:p w14:paraId="4B4D6C6D" w14:textId="77777777" w:rsidR="00402DBA" w:rsidRDefault="00402DBA" w:rsidP="0027341C">
            <w:pPr>
              <w:contextualSpacing/>
              <w:rPr>
                <w:rFonts w:cs="Arial"/>
              </w:rPr>
            </w:pPr>
            <w:r>
              <w:rPr>
                <w:rFonts w:cs="Arial"/>
              </w:rPr>
              <w:t>What is the cost allowed and how is it determined?</w:t>
            </w:r>
          </w:p>
        </w:tc>
        <w:tc>
          <w:tcPr>
            <w:tcW w:w="3819" w:type="pct"/>
          </w:tcPr>
          <w:p w14:paraId="74456E5B" w14:textId="52E2013D" w:rsidR="00402DBA" w:rsidRDefault="003612EA" w:rsidP="0027341C">
            <w:pPr>
              <w:contextualSpacing/>
              <w:rPr>
                <w:rFonts w:cs="Arial"/>
                <w:b/>
                <w:bCs/>
              </w:rPr>
            </w:pPr>
            <w:r>
              <w:rPr>
                <w:rFonts w:cs="Arial"/>
                <w:b/>
                <w:bCs/>
                <w:noProof/>
              </w:rPr>
              <w:drawing>
                <wp:inline distT="0" distB="0" distL="0" distR="0" wp14:anchorId="13E3F24E" wp14:editId="3DB138EF">
                  <wp:extent cx="285750" cy="180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6A79451" w14:textId="77777777" w:rsidR="00402DBA" w:rsidRDefault="00402DBA" w:rsidP="00A67767">
            <w:pPr>
              <w:numPr>
                <w:ilvl w:val="0"/>
                <w:numId w:val="3"/>
              </w:numPr>
              <w:contextualSpacing/>
              <w:rPr>
                <w:rFonts w:cs="Arial"/>
                <w:bCs/>
              </w:rPr>
            </w:pPr>
            <w:r>
              <w:rPr>
                <w:rFonts w:cs="Arial"/>
                <w:bCs/>
              </w:rPr>
              <w:t xml:space="preserve">When </w:t>
            </w:r>
            <w:proofErr w:type="gramStart"/>
            <w:r>
              <w:rPr>
                <w:rFonts w:cs="Arial"/>
                <w:bCs/>
              </w:rPr>
              <w:t>filling</w:t>
            </w:r>
            <w:proofErr w:type="gramEnd"/>
            <w:r>
              <w:rPr>
                <w:rFonts w:cs="Arial"/>
                <w:bCs/>
              </w:rPr>
              <w:t xml:space="preserve"> a prescription using prescription drug coverage, the Plan and network pharmacies have negotiated rates for certain medications; this is also referred to as the allowed cost. The beneficiary will then be responsible for the standard copay/coinsurance for that tier level as outlined in the Evidence of Coverage (EOC); the Plan will be responsible for the remaining cost. </w:t>
            </w:r>
          </w:p>
          <w:p w14:paraId="05F1B9A0" w14:textId="77777777" w:rsidR="00402DBA" w:rsidRDefault="00402DBA" w:rsidP="00A67767">
            <w:pPr>
              <w:numPr>
                <w:ilvl w:val="0"/>
                <w:numId w:val="3"/>
              </w:numPr>
              <w:contextualSpacing/>
              <w:rPr>
                <w:rFonts w:cs="Arial"/>
                <w:bCs/>
              </w:rPr>
            </w:pPr>
            <w:r>
              <w:rPr>
                <w:rFonts w:cs="Arial"/>
                <w:bCs/>
              </w:rPr>
              <w:t>During the Initial Coverage Stage, the Plan will only pay on a drug when the allowed cost is over the beneficiary’s standard copay. Therefore, if the total allowed cost of the drug is less than the standard copay, the beneficiary will be responsible for the total allowed cost</w:t>
            </w:r>
            <w:r w:rsidR="00ED4662">
              <w:rPr>
                <w:rFonts w:cs="Arial"/>
                <w:bCs/>
              </w:rPr>
              <w:t>,</w:t>
            </w:r>
            <w:r>
              <w:rPr>
                <w:rFonts w:cs="Arial"/>
                <w:bCs/>
              </w:rPr>
              <w:t xml:space="preserve"> plus dispensing fee. Although it may seem as though the Plan is not assisting the beneficiary with their drug costs, they are still receiving benefits and discounts as a beneficiary of the Plan.</w:t>
            </w:r>
          </w:p>
          <w:p w14:paraId="256AEC91" w14:textId="77777777" w:rsidR="00402DBA" w:rsidRDefault="00402DBA" w:rsidP="00A67767">
            <w:pPr>
              <w:numPr>
                <w:ilvl w:val="0"/>
                <w:numId w:val="3"/>
              </w:numPr>
              <w:contextualSpacing/>
              <w:rPr>
                <w:rFonts w:cs="Arial"/>
                <w:b/>
                <w:bCs/>
              </w:rPr>
            </w:pPr>
            <w:r>
              <w:rPr>
                <w:rFonts w:cs="Arial"/>
                <w:bCs/>
              </w:rPr>
              <w:t>The beneficiary will be informed that drug costs can vary depending on the quantity of medication dispensed, or if there is a price increase from the manufacturer. The manufacturer may increase the cost of a drug during the plan year, which may result in the allowed cost also increasing.</w:t>
            </w:r>
          </w:p>
          <w:p w14:paraId="12024E6C" w14:textId="77777777" w:rsidR="00557A56" w:rsidRDefault="00557A56" w:rsidP="00ED4662">
            <w:pPr>
              <w:ind w:left="720"/>
              <w:contextualSpacing/>
              <w:rPr>
                <w:rFonts w:cs="Arial"/>
                <w:b/>
                <w:bCs/>
              </w:rPr>
            </w:pPr>
          </w:p>
        </w:tc>
      </w:tr>
      <w:tr w:rsidR="00402DBA" w14:paraId="7D7087B7" w14:textId="77777777" w:rsidTr="000C3C22">
        <w:trPr>
          <w:trHeight w:val="1097"/>
        </w:trPr>
        <w:tc>
          <w:tcPr>
            <w:tcW w:w="1181" w:type="pct"/>
          </w:tcPr>
          <w:p w14:paraId="45DFA393" w14:textId="77777777" w:rsidR="00402DBA" w:rsidRDefault="00402DBA" w:rsidP="0027341C">
            <w:pPr>
              <w:contextualSpacing/>
              <w:rPr>
                <w:rFonts w:cs="Arial"/>
              </w:rPr>
            </w:pPr>
            <w:r>
              <w:rPr>
                <w:rFonts w:cs="Arial"/>
              </w:rPr>
              <w:t>Why do I have to pay both a deductible and copay?</w:t>
            </w:r>
          </w:p>
        </w:tc>
        <w:tc>
          <w:tcPr>
            <w:tcW w:w="3819" w:type="pct"/>
          </w:tcPr>
          <w:p w14:paraId="2F932894" w14:textId="5CFFC3EC" w:rsidR="00402DBA" w:rsidRDefault="003612EA" w:rsidP="000C3C22">
            <w:pPr>
              <w:contextualSpacing/>
              <w:rPr>
                <w:rFonts w:cs="Arial"/>
                <w:bCs/>
              </w:rPr>
            </w:pPr>
            <w:r>
              <w:rPr>
                <w:rFonts w:cs="Arial"/>
                <w:b/>
                <w:bCs/>
                <w:noProof/>
              </w:rPr>
              <w:drawing>
                <wp:inline distT="0" distB="0" distL="0" distR="0" wp14:anchorId="58C7B78F" wp14:editId="10CE7F8B">
                  <wp:extent cx="285750" cy="180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0C3C22">
              <w:rPr>
                <w:rFonts w:cs="Arial"/>
                <w:b/>
                <w:bCs/>
              </w:rPr>
              <w:t xml:space="preserve">  </w:t>
            </w:r>
            <w:r w:rsidR="00402DBA">
              <w:rPr>
                <w:rFonts w:cs="Arial"/>
                <w:bCs/>
              </w:rPr>
              <w:t>The Deductible is the first payme</w:t>
            </w:r>
            <w:r w:rsidR="005A6717">
              <w:rPr>
                <w:rFonts w:cs="Arial"/>
                <w:bCs/>
              </w:rPr>
              <w:t xml:space="preserve">nt stage of a plan’s coverage. </w:t>
            </w:r>
            <w:r w:rsidR="00402DBA">
              <w:rPr>
                <w:rFonts w:cs="Arial"/>
                <w:bCs/>
              </w:rPr>
              <w:t>During the Deductible stage, the beneficiary must pay the full cost of the medication until they reach the plan’s deductible amount.</w:t>
            </w:r>
            <w:r w:rsidR="005A6717">
              <w:rPr>
                <w:rFonts w:cs="Arial"/>
                <w:bCs/>
              </w:rPr>
              <w:t xml:space="preserve"> </w:t>
            </w:r>
            <w:r w:rsidR="00402DBA">
              <w:rPr>
                <w:rFonts w:cs="Arial"/>
                <w:bCs/>
              </w:rPr>
              <w:t>The deductible amount must be reached before the plan begins to pay its share of the cost. After reaching the deductible amount, the beneficiary then pays the copay/coinsurance for the tier level of the drug.</w:t>
            </w:r>
          </w:p>
          <w:p w14:paraId="3B887801" w14:textId="77777777" w:rsidR="00557A56" w:rsidRDefault="00557A56" w:rsidP="000C3C22">
            <w:pPr>
              <w:contextualSpacing/>
              <w:rPr>
                <w:rFonts w:cs="Arial"/>
                <w:bCs/>
              </w:rPr>
            </w:pPr>
          </w:p>
        </w:tc>
      </w:tr>
    </w:tbl>
    <w:p w14:paraId="61137103" w14:textId="77777777" w:rsidR="00402DBA" w:rsidRDefault="00402DBA" w:rsidP="004D1C9A">
      <w:pPr>
        <w:jc w:val="right"/>
      </w:pPr>
    </w:p>
    <w:p w14:paraId="41E371E8" w14:textId="77777777" w:rsidR="004D1C9A" w:rsidRDefault="004D1C9A" w:rsidP="004D1C9A">
      <w:pPr>
        <w:jc w:val="right"/>
      </w:pPr>
      <w:hyperlink w:anchor="_top" w:history="1">
        <w:r w:rsidRPr="00577400">
          <w:rPr>
            <w:rStyle w:val="Hyperlink"/>
          </w:rPr>
          <w:t>Top of the Doc</w:t>
        </w:r>
        <w:r w:rsidRPr="00577400">
          <w:rPr>
            <w:rStyle w:val="Hyperlink"/>
          </w:rPr>
          <w:t>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26F9F" w14:paraId="01513BC2" w14:textId="77777777" w:rsidTr="003D3103">
        <w:tc>
          <w:tcPr>
            <w:tcW w:w="5000" w:type="pct"/>
            <w:shd w:val="clear" w:color="auto" w:fill="C0C0C0"/>
          </w:tcPr>
          <w:p w14:paraId="4D95A7BF" w14:textId="77777777" w:rsidR="00626F9F" w:rsidRDefault="00626F9F" w:rsidP="008B7A9C">
            <w:pPr>
              <w:pStyle w:val="Heading2"/>
              <w:rPr>
                <w:rFonts w:ascii="Verdana" w:hAnsi="Verdana"/>
                <w:i w:val="0"/>
                <w:iCs w:val="0"/>
              </w:rPr>
            </w:pPr>
            <w:bookmarkStart w:id="12" w:name="_Toc173928038"/>
            <w:bookmarkStart w:id="13" w:name="_Toc173928154"/>
            <w:r>
              <w:rPr>
                <w:rFonts w:ascii="Verdana" w:hAnsi="Verdana"/>
                <w:i w:val="0"/>
                <w:iCs w:val="0"/>
              </w:rPr>
              <w:t>Related Documents</w:t>
            </w:r>
            <w:bookmarkEnd w:id="12"/>
            <w:bookmarkEnd w:id="13"/>
          </w:p>
        </w:tc>
      </w:tr>
    </w:tbl>
    <w:p w14:paraId="246E2E23" w14:textId="77777777" w:rsidR="003D3103" w:rsidRPr="003D3103" w:rsidRDefault="003D3103" w:rsidP="003D3103">
      <w:hyperlink r:id="rId12" w:anchor="!/view?docid=ace20931-df5c-49f8-9b4a-df89aade1fa5" w:history="1">
        <w:r w:rsidR="00D22080">
          <w:rPr>
            <w:rStyle w:val="Hyperlink"/>
          </w:rPr>
          <w:t xml:space="preserve">MED D - Determining TrOOP Status </w:t>
        </w:r>
      </w:hyperlink>
    </w:p>
    <w:p w14:paraId="31ECB215" w14:textId="77777777" w:rsidR="003D3103" w:rsidRDefault="003D3103" w:rsidP="004D1C9A">
      <w:pPr>
        <w:rPr>
          <w:b/>
        </w:rPr>
      </w:pPr>
    </w:p>
    <w:p w14:paraId="6078ABE7" w14:textId="77777777" w:rsidR="004D1C9A" w:rsidRPr="00DB4BE5" w:rsidRDefault="004D1C9A" w:rsidP="004D1C9A">
      <w:pPr>
        <w:rPr>
          <w:color w:val="FF0000"/>
        </w:rPr>
      </w:pPr>
      <w:r>
        <w:rPr>
          <w:b/>
        </w:rPr>
        <w:t xml:space="preserve">Parent SOP:  </w:t>
      </w:r>
      <w:r w:rsidRPr="00DB4BE5">
        <w:rPr>
          <w:bCs/>
        </w:rPr>
        <w:t>CALL-0048:</w:t>
      </w:r>
      <w:r w:rsidR="004208C2">
        <w:rPr>
          <w:bCs/>
        </w:rPr>
        <w:t xml:space="preserve"> </w:t>
      </w:r>
      <w:r w:rsidRPr="00DB4BE5">
        <w:rPr>
          <w:bCs/>
          <w:color w:val="333333"/>
        </w:rPr>
        <w:t xml:space="preserve"> </w:t>
      </w:r>
      <w:hyperlink r:id="rId13" w:tgtFrame="_blank" w:history="1">
        <w:r w:rsidRPr="00DB4BE5">
          <w:rPr>
            <w:rStyle w:val="Hyperlink"/>
            <w:bCs/>
          </w:rPr>
          <w:t>Medicare Part D Customer Care Call Center Requirements-CVS Caremark Part D Services, L.L.C.</w:t>
        </w:r>
      </w:hyperlink>
    </w:p>
    <w:p w14:paraId="10679E11" w14:textId="77777777" w:rsidR="004D1C9A" w:rsidRDefault="004D1C9A" w:rsidP="004D1C9A">
      <w:r>
        <w:rPr>
          <w:b/>
        </w:rPr>
        <w:t xml:space="preserve">Abbreviations/Definitions:  </w:t>
      </w:r>
      <w:hyperlink r:id="rId14" w:anchor="!/view?docid=c1f1028b-e42c-4b4f-a4cf-cc0b42c91606" w:history="1">
        <w:r w:rsidR="00D22080">
          <w:rPr>
            <w:rStyle w:val="Hyperlink"/>
          </w:rPr>
          <w:t>Abbreviations / Definitions</w:t>
        </w:r>
      </w:hyperlink>
    </w:p>
    <w:p w14:paraId="7227A593" w14:textId="77777777" w:rsidR="00F45940" w:rsidRPr="0046698B" w:rsidRDefault="00F45940" w:rsidP="00F45940"/>
    <w:p w14:paraId="7607E977" w14:textId="77777777" w:rsidR="004D1C9A" w:rsidRDefault="004D1C9A" w:rsidP="004D1C9A">
      <w:pPr>
        <w:jc w:val="right"/>
      </w:pPr>
      <w:hyperlink w:anchor="_top" w:history="1">
        <w:r w:rsidRPr="00577400">
          <w:rPr>
            <w:rStyle w:val="Hyperlink"/>
          </w:rPr>
          <w:t>Top of the Docume</w:t>
        </w:r>
        <w:r w:rsidRPr="00577400">
          <w:rPr>
            <w:rStyle w:val="Hyperlink"/>
          </w:rPr>
          <w:t>nt</w:t>
        </w:r>
      </w:hyperlink>
    </w:p>
    <w:p w14:paraId="28947E2E" w14:textId="77777777" w:rsidR="00710E68" w:rsidRPr="00C247CB" w:rsidRDefault="00710E68" w:rsidP="00C247CB">
      <w:pPr>
        <w:jc w:val="center"/>
        <w:rPr>
          <w:sz w:val="16"/>
          <w:szCs w:val="16"/>
        </w:rPr>
      </w:pPr>
      <w:r w:rsidRPr="00C247CB">
        <w:rPr>
          <w:sz w:val="16"/>
          <w:szCs w:val="16"/>
        </w:rPr>
        <w:t xml:space="preserve">Not To Be Reproduced </w:t>
      </w:r>
      <w:proofErr w:type="gramStart"/>
      <w:r w:rsidRPr="00C247CB">
        <w:rPr>
          <w:sz w:val="16"/>
          <w:szCs w:val="16"/>
        </w:rPr>
        <w:t>Or</w:t>
      </w:r>
      <w:proofErr w:type="gramEnd"/>
      <w:r w:rsidRPr="00C247CB">
        <w:rPr>
          <w:sz w:val="16"/>
          <w:szCs w:val="16"/>
        </w:rPr>
        <w:t xml:space="preserve"> Disclosed to Others Without Prior Written Approval</w:t>
      </w:r>
    </w:p>
    <w:p w14:paraId="63B97F9A" w14:textId="77777777" w:rsidR="00710E68" w:rsidRPr="00C247CB" w:rsidRDefault="00710E68" w:rsidP="00C247CB">
      <w:pPr>
        <w:jc w:val="center"/>
        <w:rPr>
          <w:b/>
          <w:sz w:val="16"/>
          <w:szCs w:val="16"/>
        </w:rPr>
      </w:pPr>
      <w:r w:rsidRPr="00C247CB">
        <w:rPr>
          <w:b/>
          <w:sz w:val="16"/>
          <w:szCs w:val="16"/>
        </w:rPr>
        <w:t xml:space="preserve">ELECTRONIC DATA = OFFICIAL VERSION – PAPER COPY </w:t>
      </w:r>
      <w:r w:rsidR="006E3FD7">
        <w:rPr>
          <w:b/>
          <w:sz w:val="16"/>
          <w:szCs w:val="16"/>
        </w:rPr>
        <w:t>=</w:t>
      </w:r>
      <w:r w:rsidRPr="00C247CB">
        <w:rPr>
          <w:b/>
          <w:sz w:val="16"/>
          <w:szCs w:val="16"/>
        </w:rPr>
        <w:t xml:space="preserve"> INFORMATIONAL ONLY</w:t>
      </w:r>
    </w:p>
    <w:p w14:paraId="5E612F6E" w14:textId="77777777" w:rsidR="005A64DA" w:rsidRPr="00C247CB" w:rsidRDefault="005A64DA" w:rsidP="00C247CB">
      <w:pPr>
        <w:jc w:val="center"/>
        <w:rPr>
          <w:sz w:val="16"/>
          <w:szCs w:val="16"/>
        </w:rPr>
      </w:pPr>
    </w:p>
    <w:sectPr w:rsidR="005A64DA" w:rsidRPr="00C247CB" w:rsidSect="00EB1F94">
      <w:footerReference w:type="default" r:id="rId15"/>
      <w:headerReference w:type="first" r:id="rId16"/>
      <w:footerReference w:type="first" r:id="rId1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6B14B" w14:textId="77777777" w:rsidR="000D251E" w:rsidRDefault="000D251E">
      <w:r>
        <w:separator/>
      </w:r>
    </w:p>
  </w:endnote>
  <w:endnote w:type="continuationSeparator" w:id="0">
    <w:p w14:paraId="582736C4" w14:textId="77777777" w:rsidR="000D251E" w:rsidRDefault="000D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D29DA" w14:textId="77777777" w:rsidR="00543D8B" w:rsidRPr="00C32D18" w:rsidRDefault="00543D8B"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846B3E">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97551" w14:textId="77777777" w:rsidR="00543D8B" w:rsidRPr="00CD2229" w:rsidRDefault="00543D8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010C8" w14:textId="77777777" w:rsidR="000D251E" w:rsidRDefault="000D251E">
      <w:r>
        <w:separator/>
      </w:r>
    </w:p>
  </w:footnote>
  <w:footnote w:type="continuationSeparator" w:id="0">
    <w:p w14:paraId="629E7BC5" w14:textId="77777777" w:rsidR="000D251E" w:rsidRDefault="000D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0ABD9" w14:textId="77777777" w:rsidR="00543D8B" w:rsidRDefault="00543D8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mage2s" style="width:24pt;height:24pt;visibility:visible" o:bullet="t">
        <v:imagedata r:id="rId1" o:title="image2s"/>
      </v:shape>
    </w:pict>
  </w:numPicBullet>
  <w:numPicBullet w:numPicBulletId="1">
    <w:pict>
      <v:shape id="_x0000_i1035" type="#_x0000_t75" style="width:22.5pt;height:14.25pt" o:bullet="t">
        <v:imagedata r:id="rId2" o:title="Say"/>
      </v:shape>
    </w:pict>
  </w:numPicBullet>
  <w:abstractNum w:abstractNumId="0" w15:restartNumberingAfterBreak="0">
    <w:nsid w:val="069D6D88"/>
    <w:multiLevelType w:val="hybridMultilevel"/>
    <w:tmpl w:val="509A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F2C01C6"/>
    <w:multiLevelType w:val="hybridMultilevel"/>
    <w:tmpl w:val="F4A03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7595F"/>
    <w:multiLevelType w:val="hybridMultilevel"/>
    <w:tmpl w:val="9E44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13DFA"/>
    <w:multiLevelType w:val="hybridMultilevel"/>
    <w:tmpl w:val="BCA6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E7A31"/>
    <w:multiLevelType w:val="hybridMultilevel"/>
    <w:tmpl w:val="057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337B2"/>
    <w:multiLevelType w:val="multilevel"/>
    <w:tmpl w:val="CA70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5460B"/>
    <w:multiLevelType w:val="hybridMultilevel"/>
    <w:tmpl w:val="C368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623EF"/>
    <w:multiLevelType w:val="hybridMultilevel"/>
    <w:tmpl w:val="97562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CF508A"/>
    <w:multiLevelType w:val="hybridMultilevel"/>
    <w:tmpl w:val="18586D12"/>
    <w:lvl w:ilvl="0" w:tplc="EE7A6966">
      <w:start w:val="1"/>
      <w:numFmt w:val="bullet"/>
      <w:lvlText w:val=""/>
      <w:lvlPicBulletId w:val="1"/>
      <w:lvlJc w:val="left"/>
      <w:pPr>
        <w:tabs>
          <w:tab w:val="num" w:pos="720"/>
        </w:tabs>
        <w:ind w:left="720" w:hanging="360"/>
      </w:pPr>
      <w:rPr>
        <w:rFonts w:ascii="Symbol" w:hAnsi="Symbol" w:hint="default"/>
      </w:rPr>
    </w:lvl>
    <w:lvl w:ilvl="1" w:tplc="E87A1C94" w:tentative="1">
      <w:start w:val="1"/>
      <w:numFmt w:val="bullet"/>
      <w:lvlText w:val=""/>
      <w:lvlJc w:val="left"/>
      <w:pPr>
        <w:tabs>
          <w:tab w:val="num" w:pos="1440"/>
        </w:tabs>
        <w:ind w:left="1440" w:hanging="360"/>
      </w:pPr>
      <w:rPr>
        <w:rFonts w:ascii="Symbol" w:hAnsi="Symbol" w:hint="default"/>
      </w:rPr>
    </w:lvl>
    <w:lvl w:ilvl="2" w:tplc="AA62EA1A" w:tentative="1">
      <w:start w:val="1"/>
      <w:numFmt w:val="bullet"/>
      <w:lvlText w:val=""/>
      <w:lvlJc w:val="left"/>
      <w:pPr>
        <w:tabs>
          <w:tab w:val="num" w:pos="2160"/>
        </w:tabs>
        <w:ind w:left="2160" w:hanging="360"/>
      </w:pPr>
      <w:rPr>
        <w:rFonts w:ascii="Symbol" w:hAnsi="Symbol" w:hint="default"/>
      </w:rPr>
    </w:lvl>
    <w:lvl w:ilvl="3" w:tplc="713EE39A" w:tentative="1">
      <w:start w:val="1"/>
      <w:numFmt w:val="bullet"/>
      <w:lvlText w:val=""/>
      <w:lvlJc w:val="left"/>
      <w:pPr>
        <w:tabs>
          <w:tab w:val="num" w:pos="2880"/>
        </w:tabs>
        <w:ind w:left="2880" w:hanging="360"/>
      </w:pPr>
      <w:rPr>
        <w:rFonts w:ascii="Symbol" w:hAnsi="Symbol" w:hint="default"/>
      </w:rPr>
    </w:lvl>
    <w:lvl w:ilvl="4" w:tplc="4E4AF7E8" w:tentative="1">
      <w:start w:val="1"/>
      <w:numFmt w:val="bullet"/>
      <w:lvlText w:val=""/>
      <w:lvlJc w:val="left"/>
      <w:pPr>
        <w:tabs>
          <w:tab w:val="num" w:pos="3600"/>
        </w:tabs>
        <w:ind w:left="3600" w:hanging="360"/>
      </w:pPr>
      <w:rPr>
        <w:rFonts w:ascii="Symbol" w:hAnsi="Symbol" w:hint="default"/>
      </w:rPr>
    </w:lvl>
    <w:lvl w:ilvl="5" w:tplc="19BCB3B6" w:tentative="1">
      <w:start w:val="1"/>
      <w:numFmt w:val="bullet"/>
      <w:lvlText w:val=""/>
      <w:lvlJc w:val="left"/>
      <w:pPr>
        <w:tabs>
          <w:tab w:val="num" w:pos="4320"/>
        </w:tabs>
        <w:ind w:left="4320" w:hanging="360"/>
      </w:pPr>
      <w:rPr>
        <w:rFonts w:ascii="Symbol" w:hAnsi="Symbol" w:hint="default"/>
      </w:rPr>
    </w:lvl>
    <w:lvl w:ilvl="6" w:tplc="F41EE9EE" w:tentative="1">
      <w:start w:val="1"/>
      <w:numFmt w:val="bullet"/>
      <w:lvlText w:val=""/>
      <w:lvlJc w:val="left"/>
      <w:pPr>
        <w:tabs>
          <w:tab w:val="num" w:pos="5040"/>
        </w:tabs>
        <w:ind w:left="5040" w:hanging="360"/>
      </w:pPr>
      <w:rPr>
        <w:rFonts w:ascii="Symbol" w:hAnsi="Symbol" w:hint="default"/>
      </w:rPr>
    </w:lvl>
    <w:lvl w:ilvl="7" w:tplc="DB6C407A" w:tentative="1">
      <w:start w:val="1"/>
      <w:numFmt w:val="bullet"/>
      <w:lvlText w:val=""/>
      <w:lvlJc w:val="left"/>
      <w:pPr>
        <w:tabs>
          <w:tab w:val="num" w:pos="5760"/>
        </w:tabs>
        <w:ind w:left="5760" w:hanging="360"/>
      </w:pPr>
      <w:rPr>
        <w:rFonts w:ascii="Symbol" w:hAnsi="Symbol" w:hint="default"/>
      </w:rPr>
    </w:lvl>
    <w:lvl w:ilvl="8" w:tplc="08341B16" w:tentative="1">
      <w:start w:val="1"/>
      <w:numFmt w:val="bullet"/>
      <w:lvlText w:val=""/>
      <w:lvlJc w:val="left"/>
      <w:pPr>
        <w:tabs>
          <w:tab w:val="num" w:pos="6480"/>
        </w:tabs>
        <w:ind w:left="6480" w:hanging="360"/>
      </w:pPr>
      <w:rPr>
        <w:rFonts w:ascii="Symbol" w:hAnsi="Symbol" w:hint="default"/>
      </w:rPr>
    </w:lvl>
  </w:abstractNum>
  <w:num w:numId="1" w16cid:durableId="531575437">
    <w:abstractNumId w:val="1"/>
  </w:num>
  <w:num w:numId="2" w16cid:durableId="2077967881">
    <w:abstractNumId w:val="4"/>
  </w:num>
  <w:num w:numId="3" w16cid:durableId="116605906">
    <w:abstractNumId w:val="3"/>
  </w:num>
  <w:num w:numId="4" w16cid:durableId="417024688">
    <w:abstractNumId w:val="9"/>
  </w:num>
  <w:num w:numId="5" w16cid:durableId="376274442">
    <w:abstractNumId w:val="7"/>
  </w:num>
  <w:num w:numId="6" w16cid:durableId="366031228">
    <w:abstractNumId w:val="5"/>
  </w:num>
  <w:num w:numId="7" w16cid:durableId="773284976">
    <w:abstractNumId w:val="2"/>
  </w:num>
  <w:num w:numId="8" w16cid:durableId="1622687217">
    <w:abstractNumId w:val="0"/>
  </w:num>
  <w:num w:numId="9" w16cid:durableId="236087342">
    <w:abstractNumId w:val="6"/>
    <w:lvlOverride w:ilvl="0"/>
    <w:lvlOverride w:ilvl="1"/>
    <w:lvlOverride w:ilvl="2"/>
    <w:lvlOverride w:ilvl="3"/>
    <w:lvlOverride w:ilvl="4"/>
    <w:lvlOverride w:ilvl="5"/>
    <w:lvlOverride w:ilvl="6"/>
    <w:lvlOverride w:ilvl="7"/>
    <w:lvlOverride w:ilvl="8"/>
  </w:num>
  <w:num w:numId="10" w16cid:durableId="5436017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5878"/>
    <w:rsid w:val="00014087"/>
    <w:rsid w:val="0001504E"/>
    <w:rsid w:val="00015A2E"/>
    <w:rsid w:val="00016523"/>
    <w:rsid w:val="00035BED"/>
    <w:rsid w:val="00047C20"/>
    <w:rsid w:val="000560C7"/>
    <w:rsid w:val="00061AD2"/>
    <w:rsid w:val="00070600"/>
    <w:rsid w:val="000863D4"/>
    <w:rsid w:val="0008665F"/>
    <w:rsid w:val="00095AB5"/>
    <w:rsid w:val="000A6B88"/>
    <w:rsid w:val="000B3C4C"/>
    <w:rsid w:val="000B656F"/>
    <w:rsid w:val="000B72DF"/>
    <w:rsid w:val="000C001A"/>
    <w:rsid w:val="000C2C07"/>
    <w:rsid w:val="000C3C22"/>
    <w:rsid w:val="000C7866"/>
    <w:rsid w:val="000D1870"/>
    <w:rsid w:val="000D251E"/>
    <w:rsid w:val="000D4BA2"/>
    <w:rsid w:val="000D6714"/>
    <w:rsid w:val="000F0D1B"/>
    <w:rsid w:val="000F399C"/>
    <w:rsid w:val="000F54AF"/>
    <w:rsid w:val="00104CDE"/>
    <w:rsid w:val="00115944"/>
    <w:rsid w:val="001218DF"/>
    <w:rsid w:val="0012373E"/>
    <w:rsid w:val="001360A5"/>
    <w:rsid w:val="00136B1D"/>
    <w:rsid w:val="001472EA"/>
    <w:rsid w:val="00155941"/>
    <w:rsid w:val="0016273A"/>
    <w:rsid w:val="00181B1A"/>
    <w:rsid w:val="0019130B"/>
    <w:rsid w:val="001973E7"/>
    <w:rsid w:val="001A0614"/>
    <w:rsid w:val="001A4E09"/>
    <w:rsid w:val="001A5256"/>
    <w:rsid w:val="001A5A7C"/>
    <w:rsid w:val="001A7933"/>
    <w:rsid w:val="001B3879"/>
    <w:rsid w:val="001C39FE"/>
    <w:rsid w:val="001C744C"/>
    <w:rsid w:val="001D6A61"/>
    <w:rsid w:val="001E14C7"/>
    <w:rsid w:val="001E7746"/>
    <w:rsid w:val="001F0774"/>
    <w:rsid w:val="001F0EE5"/>
    <w:rsid w:val="001F1218"/>
    <w:rsid w:val="001F38D6"/>
    <w:rsid w:val="001F5947"/>
    <w:rsid w:val="002016B4"/>
    <w:rsid w:val="002055CF"/>
    <w:rsid w:val="00213A47"/>
    <w:rsid w:val="002175B5"/>
    <w:rsid w:val="002235CC"/>
    <w:rsid w:val="00223B58"/>
    <w:rsid w:val="002274A1"/>
    <w:rsid w:val="00227DDC"/>
    <w:rsid w:val="00242942"/>
    <w:rsid w:val="00243EBB"/>
    <w:rsid w:val="0024536B"/>
    <w:rsid w:val="00245BBB"/>
    <w:rsid w:val="00253737"/>
    <w:rsid w:val="00255C6B"/>
    <w:rsid w:val="00265D86"/>
    <w:rsid w:val="0027341C"/>
    <w:rsid w:val="002750DC"/>
    <w:rsid w:val="00291CE8"/>
    <w:rsid w:val="00296127"/>
    <w:rsid w:val="00296765"/>
    <w:rsid w:val="002967F7"/>
    <w:rsid w:val="002A1815"/>
    <w:rsid w:val="002B20A1"/>
    <w:rsid w:val="002B593E"/>
    <w:rsid w:val="002C0F81"/>
    <w:rsid w:val="002D3D9F"/>
    <w:rsid w:val="002E12FE"/>
    <w:rsid w:val="002E6E58"/>
    <w:rsid w:val="002F1F92"/>
    <w:rsid w:val="002F239C"/>
    <w:rsid w:val="002F6F9E"/>
    <w:rsid w:val="00303A75"/>
    <w:rsid w:val="003075EE"/>
    <w:rsid w:val="003201B8"/>
    <w:rsid w:val="0032315D"/>
    <w:rsid w:val="003231EA"/>
    <w:rsid w:val="0033143E"/>
    <w:rsid w:val="003334FF"/>
    <w:rsid w:val="0034318F"/>
    <w:rsid w:val="0034552B"/>
    <w:rsid w:val="00347B3D"/>
    <w:rsid w:val="00350AFD"/>
    <w:rsid w:val="003612EA"/>
    <w:rsid w:val="003725A1"/>
    <w:rsid w:val="003868A2"/>
    <w:rsid w:val="00392711"/>
    <w:rsid w:val="00392A5B"/>
    <w:rsid w:val="00395580"/>
    <w:rsid w:val="0039603F"/>
    <w:rsid w:val="003A0F3A"/>
    <w:rsid w:val="003A6D70"/>
    <w:rsid w:val="003A7A6E"/>
    <w:rsid w:val="003B1F86"/>
    <w:rsid w:val="003C4627"/>
    <w:rsid w:val="003D2BD2"/>
    <w:rsid w:val="003D3103"/>
    <w:rsid w:val="003E6C1A"/>
    <w:rsid w:val="003F778E"/>
    <w:rsid w:val="00402DBA"/>
    <w:rsid w:val="0040640A"/>
    <w:rsid w:val="00406DB5"/>
    <w:rsid w:val="00407A3F"/>
    <w:rsid w:val="00411590"/>
    <w:rsid w:val="00416F06"/>
    <w:rsid w:val="004208C2"/>
    <w:rsid w:val="00422DF0"/>
    <w:rsid w:val="0042336D"/>
    <w:rsid w:val="00441919"/>
    <w:rsid w:val="00455D76"/>
    <w:rsid w:val="00456910"/>
    <w:rsid w:val="00457EAE"/>
    <w:rsid w:val="00466A05"/>
    <w:rsid w:val="004768BE"/>
    <w:rsid w:val="00477F73"/>
    <w:rsid w:val="0048355A"/>
    <w:rsid w:val="00484781"/>
    <w:rsid w:val="00486108"/>
    <w:rsid w:val="0049272E"/>
    <w:rsid w:val="004A7105"/>
    <w:rsid w:val="004B09FC"/>
    <w:rsid w:val="004C33F0"/>
    <w:rsid w:val="004D0AF2"/>
    <w:rsid w:val="004D19A5"/>
    <w:rsid w:val="004D1C9A"/>
    <w:rsid w:val="004D33B3"/>
    <w:rsid w:val="004D3C53"/>
    <w:rsid w:val="004D7C66"/>
    <w:rsid w:val="004E59B5"/>
    <w:rsid w:val="004F00A4"/>
    <w:rsid w:val="004F7F34"/>
    <w:rsid w:val="00505588"/>
    <w:rsid w:val="005101A5"/>
    <w:rsid w:val="00512486"/>
    <w:rsid w:val="00512F04"/>
    <w:rsid w:val="00515614"/>
    <w:rsid w:val="0052465B"/>
    <w:rsid w:val="00524CDD"/>
    <w:rsid w:val="0053039D"/>
    <w:rsid w:val="0053726E"/>
    <w:rsid w:val="00543D8B"/>
    <w:rsid w:val="00547693"/>
    <w:rsid w:val="00547C68"/>
    <w:rsid w:val="00557A56"/>
    <w:rsid w:val="00564554"/>
    <w:rsid w:val="00565A58"/>
    <w:rsid w:val="00577400"/>
    <w:rsid w:val="00577909"/>
    <w:rsid w:val="00580EE3"/>
    <w:rsid w:val="00582E85"/>
    <w:rsid w:val="005848B1"/>
    <w:rsid w:val="00587EE4"/>
    <w:rsid w:val="005910B5"/>
    <w:rsid w:val="005A6118"/>
    <w:rsid w:val="005A64DA"/>
    <w:rsid w:val="005A6717"/>
    <w:rsid w:val="005B32F8"/>
    <w:rsid w:val="005B446E"/>
    <w:rsid w:val="005B7E17"/>
    <w:rsid w:val="005C17CD"/>
    <w:rsid w:val="005C1D83"/>
    <w:rsid w:val="005C48FA"/>
    <w:rsid w:val="005C54AE"/>
    <w:rsid w:val="005D2DEA"/>
    <w:rsid w:val="005D63EF"/>
    <w:rsid w:val="005E15B1"/>
    <w:rsid w:val="005E650E"/>
    <w:rsid w:val="005F0C5B"/>
    <w:rsid w:val="005F677A"/>
    <w:rsid w:val="0060328C"/>
    <w:rsid w:val="00604C00"/>
    <w:rsid w:val="00610D02"/>
    <w:rsid w:val="006155BE"/>
    <w:rsid w:val="0062125C"/>
    <w:rsid w:val="00622D77"/>
    <w:rsid w:val="006233F5"/>
    <w:rsid w:val="00626F9F"/>
    <w:rsid w:val="0062786F"/>
    <w:rsid w:val="00627F34"/>
    <w:rsid w:val="006328E0"/>
    <w:rsid w:val="00636B18"/>
    <w:rsid w:val="00637CA1"/>
    <w:rsid w:val="00647CDD"/>
    <w:rsid w:val="00662334"/>
    <w:rsid w:val="0066617F"/>
    <w:rsid w:val="006662F0"/>
    <w:rsid w:val="00674A16"/>
    <w:rsid w:val="00691E10"/>
    <w:rsid w:val="006A0481"/>
    <w:rsid w:val="006A7838"/>
    <w:rsid w:val="006B7FBE"/>
    <w:rsid w:val="006C653F"/>
    <w:rsid w:val="006D129F"/>
    <w:rsid w:val="006E3FD7"/>
    <w:rsid w:val="006E5A37"/>
    <w:rsid w:val="006F7DFC"/>
    <w:rsid w:val="00704AF2"/>
    <w:rsid w:val="0070776C"/>
    <w:rsid w:val="00710E68"/>
    <w:rsid w:val="00714BA0"/>
    <w:rsid w:val="00717603"/>
    <w:rsid w:val="00725B82"/>
    <w:rsid w:val="007269B6"/>
    <w:rsid w:val="00726E7A"/>
    <w:rsid w:val="0073294A"/>
    <w:rsid w:val="00732E52"/>
    <w:rsid w:val="007331FF"/>
    <w:rsid w:val="007334A0"/>
    <w:rsid w:val="00736607"/>
    <w:rsid w:val="00737368"/>
    <w:rsid w:val="00743967"/>
    <w:rsid w:val="00744474"/>
    <w:rsid w:val="00752801"/>
    <w:rsid w:val="00753D77"/>
    <w:rsid w:val="00755B13"/>
    <w:rsid w:val="00785118"/>
    <w:rsid w:val="00785C47"/>
    <w:rsid w:val="00786BEB"/>
    <w:rsid w:val="00792D11"/>
    <w:rsid w:val="007A403E"/>
    <w:rsid w:val="007A75EA"/>
    <w:rsid w:val="007B1EEB"/>
    <w:rsid w:val="007B64B9"/>
    <w:rsid w:val="007C215E"/>
    <w:rsid w:val="007C77DD"/>
    <w:rsid w:val="007E3557"/>
    <w:rsid w:val="007E3D3C"/>
    <w:rsid w:val="007E3EA6"/>
    <w:rsid w:val="007E56CD"/>
    <w:rsid w:val="007F04AB"/>
    <w:rsid w:val="007F30F7"/>
    <w:rsid w:val="00803AE3"/>
    <w:rsid w:val="008042E1"/>
    <w:rsid w:val="00804D63"/>
    <w:rsid w:val="00806B9D"/>
    <w:rsid w:val="008079AE"/>
    <w:rsid w:val="00810D8C"/>
    <w:rsid w:val="00812777"/>
    <w:rsid w:val="008230FA"/>
    <w:rsid w:val="0084129E"/>
    <w:rsid w:val="00843390"/>
    <w:rsid w:val="00846373"/>
    <w:rsid w:val="00846567"/>
    <w:rsid w:val="00846B3E"/>
    <w:rsid w:val="00846ECB"/>
    <w:rsid w:val="008543E3"/>
    <w:rsid w:val="008568AE"/>
    <w:rsid w:val="00860590"/>
    <w:rsid w:val="00861316"/>
    <w:rsid w:val="008614E8"/>
    <w:rsid w:val="00867EDF"/>
    <w:rsid w:val="008734D7"/>
    <w:rsid w:val="00875F0D"/>
    <w:rsid w:val="00877414"/>
    <w:rsid w:val="00877C13"/>
    <w:rsid w:val="008825E7"/>
    <w:rsid w:val="008A03B7"/>
    <w:rsid w:val="008B3603"/>
    <w:rsid w:val="008B3D33"/>
    <w:rsid w:val="008B7A9C"/>
    <w:rsid w:val="008C04A3"/>
    <w:rsid w:val="008C139C"/>
    <w:rsid w:val="008C2197"/>
    <w:rsid w:val="008C2CFD"/>
    <w:rsid w:val="008C3493"/>
    <w:rsid w:val="008D11A6"/>
    <w:rsid w:val="008D1F7B"/>
    <w:rsid w:val="008D2D64"/>
    <w:rsid w:val="008E0982"/>
    <w:rsid w:val="008E21BE"/>
    <w:rsid w:val="008E5B56"/>
    <w:rsid w:val="008F35C5"/>
    <w:rsid w:val="00902E07"/>
    <w:rsid w:val="00913B1B"/>
    <w:rsid w:val="009260FB"/>
    <w:rsid w:val="00927861"/>
    <w:rsid w:val="0094148C"/>
    <w:rsid w:val="0094237E"/>
    <w:rsid w:val="00947783"/>
    <w:rsid w:val="00954FE8"/>
    <w:rsid w:val="00960603"/>
    <w:rsid w:val="00961371"/>
    <w:rsid w:val="00961A99"/>
    <w:rsid w:val="009726E0"/>
    <w:rsid w:val="009729DA"/>
    <w:rsid w:val="00980860"/>
    <w:rsid w:val="00983041"/>
    <w:rsid w:val="00990822"/>
    <w:rsid w:val="00990D5D"/>
    <w:rsid w:val="009A0EB3"/>
    <w:rsid w:val="009C4A31"/>
    <w:rsid w:val="009E00C2"/>
    <w:rsid w:val="009E3586"/>
    <w:rsid w:val="009F0E7A"/>
    <w:rsid w:val="009F6FD2"/>
    <w:rsid w:val="009F7259"/>
    <w:rsid w:val="009F78D3"/>
    <w:rsid w:val="00A03B57"/>
    <w:rsid w:val="00A05AD9"/>
    <w:rsid w:val="00A12774"/>
    <w:rsid w:val="00A42461"/>
    <w:rsid w:val="00A42B37"/>
    <w:rsid w:val="00A4620A"/>
    <w:rsid w:val="00A4732A"/>
    <w:rsid w:val="00A57D26"/>
    <w:rsid w:val="00A6316B"/>
    <w:rsid w:val="00A67767"/>
    <w:rsid w:val="00A7166B"/>
    <w:rsid w:val="00A72DEB"/>
    <w:rsid w:val="00A816B8"/>
    <w:rsid w:val="00A83BA0"/>
    <w:rsid w:val="00A83EC6"/>
    <w:rsid w:val="00A84F18"/>
    <w:rsid w:val="00A84F1B"/>
    <w:rsid w:val="00A85045"/>
    <w:rsid w:val="00A87DAC"/>
    <w:rsid w:val="00A92071"/>
    <w:rsid w:val="00A95738"/>
    <w:rsid w:val="00A97B7D"/>
    <w:rsid w:val="00AA2252"/>
    <w:rsid w:val="00AA4825"/>
    <w:rsid w:val="00AA61F8"/>
    <w:rsid w:val="00AB2E27"/>
    <w:rsid w:val="00AB33E1"/>
    <w:rsid w:val="00AC4214"/>
    <w:rsid w:val="00AC6E70"/>
    <w:rsid w:val="00AD1646"/>
    <w:rsid w:val="00AD3085"/>
    <w:rsid w:val="00AD7AB4"/>
    <w:rsid w:val="00AE40C2"/>
    <w:rsid w:val="00AE4B5B"/>
    <w:rsid w:val="00AF038B"/>
    <w:rsid w:val="00AF1059"/>
    <w:rsid w:val="00AF24B5"/>
    <w:rsid w:val="00AF3DFB"/>
    <w:rsid w:val="00AF4EE9"/>
    <w:rsid w:val="00AF78FA"/>
    <w:rsid w:val="00B028F1"/>
    <w:rsid w:val="00B05009"/>
    <w:rsid w:val="00B05F01"/>
    <w:rsid w:val="00B078F6"/>
    <w:rsid w:val="00B1474D"/>
    <w:rsid w:val="00B26045"/>
    <w:rsid w:val="00B30761"/>
    <w:rsid w:val="00B35FC1"/>
    <w:rsid w:val="00B41846"/>
    <w:rsid w:val="00B44C55"/>
    <w:rsid w:val="00B46A95"/>
    <w:rsid w:val="00B5114C"/>
    <w:rsid w:val="00B5123C"/>
    <w:rsid w:val="00B521CC"/>
    <w:rsid w:val="00B52AEE"/>
    <w:rsid w:val="00B544C2"/>
    <w:rsid w:val="00B5566F"/>
    <w:rsid w:val="00B55A49"/>
    <w:rsid w:val="00B630A6"/>
    <w:rsid w:val="00B643C2"/>
    <w:rsid w:val="00B70CC4"/>
    <w:rsid w:val="00B774CE"/>
    <w:rsid w:val="00B83C40"/>
    <w:rsid w:val="00B967E9"/>
    <w:rsid w:val="00BA6447"/>
    <w:rsid w:val="00BB02DE"/>
    <w:rsid w:val="00BB371A"/>
    <w:rsid w:val="00BC5446"/>
    <w:rsid w:val="00BD5E06"/>
    <w:rsid w:val="00BD7B25"/>
    <w:rsid w:val="00BE1AFF"/>
    <w:rsid w:val="00BF74E9"/>
    <w:rsid w:val="00C03B45"/>
    <w:rsid w:val="00C101B3"/>
    <w:rsid w:val="00C247CB"/>
    <w:rsid w:val="00C254AA"/>
    <w:rsid w:val="00C32D18"/>
    <w:rsid w:val="00C360BD"/>
    <w:rsid w:val="00C42BA2"/>
    <w:rsid w:val="00C476E1"/>
    <w:rsid w:val="00C52E77"/>
    <w:rsid w:val="00C55144"/>
    <w:rsid w:val="00C5518A"/>
    <w:rsid w:val="00C55D32"/>
    <w:rsid w:val="00C566B3"/>
    <w:rsid w:val="00C60CC4"/>
    <w:rsid w:val="00C65249"/>
    <w:rsid w:val="00C67B32"/>
    <w:rsid w:val="00C72007"/>
    <w:rsid w:val="00C75C83"/>
    <w:rsid w:val="00C77BCD"/>
    <w:rsid w:val="00C837BA"/>
    <w:rsid w:val="00C84646"/>
    <w:rsid w:val="00C95346"/>
    <w:rsid w:val="00CA3B23"/>
    <w:rsid w:val="00CA44FE"/>
    <w:rsid w:val="00CA62F6"/>
    <w:rsid w:val="00CB0C1D"/>
    <w:rsid w:val="00CC3571"/>
    <w:rsid w:val="00CC5AA2"/>
    <w:rsid w:val="00CC721A"/>
    <w:rsid w:val="00CC7920"/>
    <w:rsid w:val="00CD0963"/>
    <w:rsid w:val="00CD5C71"/>
    <w:rsid w:val="00CD672A"/>
    <w:rsid w:val="00CE3D42"/>
    <w:rsid w:val="00CE53E6"/>
    <w:rsid w:val="00CE56A9"/>
    <w:rsid w:val="00CE66B6"/>
    <w:rsid w:val="00CE7566"/>
    <w:rsid w:val="00CF1447"/>
    <w:rsid w:val="00CF1691"/>
    <w:rsid w:val="00CF1C6E"/>
    <w:rsid w:val="00CF539A"/>
    <w:rsid w:val="00CF6131"/>
    <w:rsid w:val="00D06EAA"/>
    <w:rsid w:val="00D104A9"/>
    <w:rsid w:val="00D13E53"/>
    <w:rsid w:val="00D22080"/>
    <w:rsid w:val="00D22F5B"/>
    <w:rsid w:val="00D24A80"/>
    <w:rsid w:val="00D27B12"/>
    <w:rsid w:val="00D33FC3"/>
    <w:rsid w:val="00D34426"/>
    <w:rsid w:val="00D3651C"/>
    <w:rsid w:val="00D36733"/>
    <w:rsid w:val="00D41D5C"/>
    <w:rsid w:val="00D471B5"/>
    <w:rsid w:val="00D51606"/>
    <w:rsid w:val="00D520CD"/>
    <w:rsid w:val="00D56991"/>
    <w:rsid w:val="00D571DB"/>
    <w:rsid w:val="00D62B27"/>
    <w:rsid w:val="00D6774D"/>
    <w:rsid w:val="00D700AC"/>
    <w:rsid w:val="00D75191"/>
    <w:rsid w:val="00D80929"/>
    <w:rsid w:val="00D83BF8"/>
    <w:rsid w:val="00D85254"/>
    <w:rsid w:val="00D92FCF"/>
    <w:rsid w:val="00D94571"/>
    <w:rsid w:val="00DA6474"/>
    <w:rsid w:val="00DC4FFC"/>
    <w:rsid w:val="00DD3529"/>
    <w:rsid w:val="00DD7B66"/>
    <w:rsid w:val="00DE79F7"/>
    <w:rsid w:val="00DF6BE4"/>
    <w:rsid w:val="00E03FE3"/>
    <w:rsid w:val="00E04B36"/>
    <w:rsid w:val="00E11043"/>
    <w:rsid w:val="00E13D3C"/>
    <w:rsid w:val="00E157BC"/>
    <w:rsid w:val="00E414EC"/>
    <w:rsid w:val="00E50E4A"/>
    <w:rsid w:val="00E64AEE"/>
    <w:rsid w:val="00E650D0"/>
    <w:rsid w:val="00E67B12"/>
    <w:rsid w:val="00E701B9"/>
    <w:rsid w:val="00E76F37"/>
    <w:rsid w:val="00E81FD4"/>
    <w:rsid w:val="00E87532"/>
    <w:rsid w:val="00E91F5F"/>
    <w:rsid w:val="00EA37FB"/>
    <w:rsid w:val="00EA7CBC"/>
    <w:rsid w:val="00EB12DD"/>
    <w:rsid w:val="00EB153E"/>
    <w:rsid w:val="00EB1F94"/>
    <w:rsid w:val="00EB57EB"/>
    <w:rsid w:val="00EC718C"/>
    <w:rsid w:val="00EC7E09"/>
    <w:rsid w:val="00ED4662"/>
    <w:rsid w:val="00ED50CF"/>
    <w:rsid w:val="00EE24D3"/>
    <w:rsid w:val="00EE61D8"/>
    <w:rsid w:val="00EF5D9A"/>
    <w:rsid w:val="00EF7B70"/>
    <w:rsid w:val="00F1152F"/>
    <w:rsid w:val="00F1366F"/>
    <w:rsid w:val="00F207B3"/>
    <w:rsid w:val="00F24116"/>
    <w:rsid w:val="00F45940"/>
    <w:rsid w:val="00F5486B"/>
    <w:rsid w:val="00F62BC4"/>
    <w:rsid w:val="00F658E0"/>
    <w:rsid w:val="00F81783"/>
    <w:rsid w:val="00F859B7"/>
    <w:rsid w:val="00F877B4"/>
    <w:rsid w:val="00F9485E"/>
    <w:rsid w:val="00FA33DC"/>
    <w:rsid w:val="00FB0924"/>
    <w:rsid w:val="00FB2C50"/>
    <w:rsid w:val="00FB2D67"/>
    <w:rsid w:val="00FB3DBC"/>
    <w:rsid w:val="00FB4169"/>
    <w:rsid w:val="00FB5FA7"/>
    <w:rsid w:val="00FC1C44"/>
    <w:rsid w:val="00FC7B63"/>
    <w:rsid w:val="00FD18BA"/>
    <w:rsid w:val="00FE7A8C"/>
    <w:rsid w:val="00FF2DA1"/>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1DDB9"/>
  <w15:chartTrackingRefBased/>
  <w15:docId w15:val="{AE216813-0A21-4B9D-A239-5517BA4F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3F0"/>
    <w:rPr>
      <w:rFonts w:ascii="Verdana" w:hAnsi="Verdana"/>
      <w:color w:val="000000"/>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TOC1">
    <w:name w:val="toc 1"/>
    <w:basedOn w:val="Normal"/>
    <w:next w:val="Normal"/>
    <w:autoRedefine/>
    <w:uiPriority w:val="39"/>
    <w:rsid w:val="004D7C66"/>
  </w:style>
  <w:style w:type="paragraph" w:styleId="TOC2">
    <w:name w:val="toc 2"/>
    <w:basedOn w:val="Normal"/>
    <w:next w:val="Normal"/>
    <w:autoRedefine/>
    <w:uiPriority w:val="39"/>
    <w:rsid w:val="00ED4662"/>
    <w:pPr>
      <w:tabs>
        <w:tab w:val="right" w:leader="dot" w:pos="12950"/>
      </w:tabs>
    </w:pPr>
    <w:rPr>
      <w:color w:val="0000FF"/>
    </w:rPr>
  </w:style>
  <w:style w:type="paragraph" w:styleId="BodyText2">
    <w:name w:val="Body Text 2"/>
    <w:basedOn w:val="Normal"/>
    <w:link w:val="BodyText2Char"/>
    <w:rsid w:val="00DD7B66"/>
    <w:pPr>
      <w:spacing w:after="120" w:line="480" w:lineRule="auto"/>
    </w:pPr>
    <w:rPr>
      <w:lang w:val="x-none" w:eastAsia="x-none"/>
    </w:rPr>
  </w:style>
  <w:style w:type="paragraph" w:styleId="TOC3">
    <w:name w:val="toc 3"/>
    <w:basedOn w:val="Normal"/>
    <w:next w:val="Normal"/>
    <w:autoRedefine/>
    <w:rsid w:val="007E3D3C"/>
    <w:pPr>
      <w:ind w:left="288"/>
    </w:pPr>
    <w:rPr>
      <w:color w:val="0000FF"/>
      <w:u w:val="single"/>
    </w:rPr>
  </w:style>
  <w:style w:type="character" w:customStyle="1" w:styleId="BodyText2Char">
    <w:name w:val="Body Text 2 Char"/>
    <w:link w:val="BodyText2"/>
    <w:rsid w:val="00DD7B66"/>
    <w:rPr>
      <w:sz w:val="24"/>
      <w:szCs w:val="24"/>
    </w:rPr>
  </w:style>
  <w:style w:type="paragraph" w:styleId="BalloonText">
    <w:name w:val="Balloon Text"/>
    <w:basedOn w:val="Normal"/>
    <w:link w:val="BalloonTextChar"/>
    <w:rsid w:val="0032315D"/>
    <w:rPr>
      <w:rFonts w:ascii="Tahoma" w:hAnsi="Tahoma"/>
      <w:sz w:val="16"/>
      <w:szCs w:val="16"/>
      <w:lang w:val="x-none" w:eastAsia="x-none"/>
    </w:rPr>
  </w:style>
  <w:style w:type="character" w:customStyle="1" w:styleId="BalloonTextChar">
    <w:name w:val="Balloon Text Char"/>
    <w:link w:val="BalloonText"/>
    <w:rsid w:val="0032315D"/>
    <w:rPr>
      <w:rFonts w:ascii="Tahoma" w:hAnsi="Tahoma" w:cs="Tahoma"/>
      <w:sz w:val="16"/>
      <w:szCs w:val="16"/>
    </w:rPr>
  </w:style>
  <w:style w:type="character" w:styleId="CommentReference">
    <w:name w:val="annotation reference"/>
    <w:rsid w:val="00B643C2"/>
    <w:rPr>
      <w:sz w:val="16"/>
      <w:szCs w:val="16"/>
    </w:rPr>
  </w:style>
  <w:style w:type="paragraph" w:styleId="CommentText">
    <w:name w:val="annotation text"/>
    <w:basedOn w:val="Normal"/>
    <w:link w:val="CommentTextChar"/>
    <w:rsid w:val="00B643C2"/>
    <w:rPr>
      <w:sz w:val="20"/>
      <w:szCs w:val="20"/>
    </w:rPr>
  </w:style>
  <w:style w:type="character" w:customStyle="1" w:styleId="CommentTextChar">
    <w:name w:val="Comment Text Char"/>
    <w:basedOn w:val="DefaultParagraphFont"/>
    <w:link w:val="CommentText"/>
    <w:rsid w:val="00B643C2"/>
  </w:style>
  <w:style w:type="paragraph" w:styleId="CommentSubject">
    <w:name w:val="annotation subject"/>
    <w:basedOn w:val="CommentText"/>
    <w:next w:val="CommentText"/>
    <w:link w:val="CommentSubjectChar"/>
    <w:rsid w:val="00B643C2"/>
    <w:rPr>
      <w:b/>
      <w:bCs/>
    </w:rPr>
  </w:style>
  <w:style w:type="character" w:customStyle="1" w:styleId="CommentSubjectChar">
    <w:name w:val="Comment Subject Char"/>
    <w:link w:val="CommentSubject"/>
    <w:rsid w:val="00B643C2"/>
    <w:rPr>
      <w:b/>
      <w:bCs/>
    </w:rPr>
  </w:style>
  <w:style w:type="paragraph" w:styleId="Revision">
    <w:name w:val="Revision"/>
    <w:hidden/>
    <w:uiPriority w:val="99"/>
    <w:semiHidden/>
    <w:rsid w:val="003D2BD2"/>
    <w:rPr>
      <w:sz w:val="24"/>
      <w:szCs w:val="24"/>
    </w:rPr>
  </w:style>
  <w:style w:type="character" w:styleId="UnresolvedMention">
    <w:name w:val="Unresolved Mention"/>
    <w:uiPriority w:val="99"/>
    <w:semiHidden/>
    <w:unhideWhenUsed/>
    <w:rsid w:val="005C1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25604027">
      <w:bodyDiv w:val="1"/>
      <w:marLeft w:val="0"/>
      <w:marRight w:val="0"/>
      <w:marTop w:val="0"/>
      <w:marBottom w:val="0"/>
      <w:divBdr>
        <w:top w:val="none" w:sz="0" w:space="0" w:color="auto"/>
        <w:left w:val="none" w:sz="0" w:space="0" w:color="auto"/>
        <w:bottom w:val="none" w:sz="0" w:space="0" w:color="auto"/>
        <w:right w:val="none" w:sz="0" w:space="0" w:color="auto"/>
      </w:divBdr>
      <w:divsChild>
        <w:div w:id="1150944636">
          <w:marLeft w:val="0"/>
          <w:marRight w:val="0"/>
          <w:marTop w:val="0"/>
          <w:marBottom w:val="0"/>
          <w:divBdr>
            <w:top w:val="none" w:sz="0" w:space="0" w:color="auto"/>
            <w:left w:val="none" w:sz="0" w:space="0" w:color="auto"/>
            <w:bottom w:val="none" w:sz="0" w:space="0" w:color="auto"/>
            <w:right w:val="none" w:sz="0" w:space="0" w:color="auto"/>
          </w:divBdr>
          <w:divsChild>
            <w:div w:id="1985767403">
              <w:marLeft w:val="0"/>
              <w:marRight w:val="0"/>
              <w:marTop w:val="0"/>
              <w:marBottom w:val="0"/>
              <w:divBdr>
                <w:top w:val="none" w:sz="0" w:space="0" w:color="auto"/>
                <w:left w:val="none" w:sz="0" w:space="0" w:color="auto"/>
                <w:bottom w:val="none" w:sz="0" w:space="0" w:color="auto"/>
                <w:right w:val="none" w:sz="0" w:space="0" w:color="auto"/>
              </w:divBdr>
              <w:divsChild>
                <w:div w:id="674921240">
                  <w:marLeft w:val="0"/>
                  <w:marRight w:val="0"/>
                  <w:marTop w:val="0"/>
                  <w:marBottom w:val="0"/>
                  <w:divBdr>
                    <w:top w:val="none" w:sz="0" w:space="0" w:color="auto"/>
                    <w:left w:val="none" w:sz="0" w:space="0" w:color="auto"/>
                    <w:bottom w:val="none" w:sz="0" w:space="0" w:color="auto"/>
                    <w:right w:val="none" w:sz="0" w:space="0" w:color="auto"/>
                  </w:divBdr>
                </w:div>
                <w:div w:id="17835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9141">
          <w:marLeft w:val="0"/>
          <w:marRight w:val="0"/>
          <w:marTop w:val="0"/>
          <w:marBottom w:val="0"/>
          <w:divBdr>
            <w:top w:val="none" w:sz="0" w:space="0" w:color="auto"/>
            <w:left w:val="none" w:sz="0" w:space="0" w:color="auto"/>
            <w:bottom w:val="none" w:sz="0" w:space="0" w:color="auto"/>
            <w:right w:val="none" w:sz="0" w:space="0" w:color="auto"/>
          </w:divBdr>
          <w:divsChild>
            <w:div w:id="2042393440">
              <w:marLeft w:val="0"/>
              <w:marRight w:val="0"/>
              <w:marTop w:val="0"/>
              <w:marBottom w:val="0"/>
              <w:divBdr>
                <w:top w:val="none" w:sz="0" w:space="0" w:color="auto"/>
                <w:left w:val="none" w:sz="0" w:space="0" w:color="auto"/>
                <w:bottom w:val="none" w:sz="0" w:space="0" w:color="auto"/>
                <w:right w:val="none" w:sz="0" w:space="0" w:color="auto"/>
              </w:divBdr>
              <w:divsChild>
                <w:div w:id="478961293">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1885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77852490">
      <w:bodyDiv w:val="1"/>
      <w:marLeft w:val="0"/>
      <w:marRight w:val="0"/>
      <w:marTop w:val="0"/>
      <w:marBottom w:val="0"/>
      <w:divBdr>
        <w:top w:val="none" w:sz="0" w:space="0" w:color="auto"/>
        <w:left w:val="none" w:sz="0" w:space="0" w:color="auto"/>
        <w:bottom w:val="none" w:sz="0" w:space="0" w:color="auto"/>
        <w:right w:val="none" w:sz="0" w:space="0" w:color="auto"/>
      </w:divBdr>
      <w:divsChild>
        <w:div w:id="494151056">
          <w:marLeft w:val="0"/>
          <w:marRight w:val="0"/>
          <w:marTop w:val="0"/>
          <w:marBottom w:val="0"/>
          <w:divBdr>
            <w:top w:val="none" w:sz="0" w:space="0" w:color="auto"/>
            <w:left w:val="none" w:sz="0" w:space="0" w:color="auto"/>
            <w:bottom w:val="none" w:sz="0" w:space="0" w:color="auto"/>
            <w:right w:val="none" w:sz="0" w:space="0" w:color="auto"/>
          </w:divBdr>
          <w:divsChild>
            <w:div w:id="144318684">
              <w:marLeft w:val="0"/>
              <w:marRight w:val="0"/>
              <w:marTop w:val="0"/>
              <w:marBottom w:val="0"/>
              <w:divBdr>
                <w:top w:val="none" w:sz="0" w:space="0" w:color="auto"/>
                <w:left w:val="none" w:sz="0" w:space="0" w:color="auto"/>
                <w:bottom w:val="none" w:sz="0" w:space="0" w:color="auto"/>
                <w:right w:val="none" w:sz="0" w:space="0" w:color="auto"/>
              </w:divBdr>
              <w:divsChild>
                <w:div w:id="1803838084">
                  <w:marLeft w:val="0"/>
                  <w:marRight w:val="0"/>
                  <w:marTop w:val="0"/>
                  <w:marBottom w:val="0"/>
                  <w:divBdr>
                    <w:top w:val="none" w:sz="0" w:space="0" w:color="auto"/>
                    <w:left w:val="none" w:sz="0" w:space="0" w:color="auto"/>
                    <w:bottom w:val="none" w:sz="0" w:space="0" w:color="auto"/>
                    <w:right w:val="none" w:sz="0" w:space="0" w:color="auto"/>
                  </w:divBdr>
                  <w:divsChild>
                    <w:div w:id="1135752502">
                      <w:marLeft w:val="2325"/>
                      <w:marRight w:val="0"/>
                      <w:marTop w:val="0"/>
                      <w:marBottom w:val="0"/>
                      <w:divBdr>
                        <w:top w:val="none" w:sz="0" w:space="0" w:color="auto"/>
                        <w:left w:val="none" w:sz="0" w:space="0" w:color="auto"/>
                        <w:bottom w:val="none" w:sz="0" w:space="0" w:color="auto"/>
                        <w:right w:val="none" w:sz="0" w:space="0" w:color="auto"/>
                      </w:divBdr>
                      <w:divsChild>
                        <w:div w:id="1492871357">
                          <w:marLeft w:val="0"/>
                          <w:marRight w:val="0"/>
                          <w:marTop w:val="0"/>
                          <w:marBottom w:val="0"/>
                          <w:divBdr>
                            <w:top w:val="none" w:sz="0" w:space="0" w:color="auto"/>
                            <w:left w:val="none" w:sz="0" w:space="0" w:color="auto"/>
                            <w:bottom w:val="none" w:sz="0" w:space="0" w:color="auto"/>
                            <w:right w:val="none" w:sz="0" w:space="0" w:color="auto"/>
                          </w:divBdr>
                          <w:divsChild>
                            <w:div w:id="401218994">
                              <w:marLeft w:val="0"/>
                              <w:marRight w:val="0"/>
                              <w:marTop w:val="0"/>
                              <w:marBottom w:val="0"/>
                              <w:divBdr>
                                <w:top w:val="none" w:sz="0" w:space="0" w:color="auto"/>
                                <w:left w:val="none" w:sz="0" w:space="0" w:color="auto"/>
                                <w:bottom w:val="none" w:sz="0" w:space="0" w:color="auto"/>
                                <w:right w:val="none" w:sz="0" w:space="0" w:color="auto"/>
                              </w:divBdr>
                              <w:divsChild>
                                <w:div w:id="1998456049">
                                  <w:marLeft w:val="0"/>
                                  <w:marRight w:val="0"/>
                                  <w:marTop w:val="0"/>
                                  <w:marBottom w:val="0"/>
                                  <w:divBdr>
                                    <w:top w:val="none" w:sz="0" w:space="0" w:color="auto"/>
                                    <w:left w:val="none" w:sz="0" w:space="0" w:color="auto"/>
                                    <w:bottom w:val="none" w:sz="0" w:space="0" w:color="auto"/>
                                    <w:right w:val="none" w:sz="0" w:space="0" w:color="auto"/>
                                  </w:divBdr>
                                  <w:divsChild>
                                    <w:div w:id="182330854">
                                      <w:marLeft w:val="0"/>
                                      <w:marRight w:val="0"/>
                                      <w:marTop w:val="0"/>
                                      <w:marBottom w:val="0"/>
                                      <w:divBdr>
                                        <w:top w:val="none" w:sz="0" w:space="0" w:color="auto"/>
                                        <w:left w:val="none" w:sz="0" w:space="0" w:color="auto"/>
                                        <w:bottom w:val="none" w:sz="0" w:space="0" w:color="auto"/>
                                        <w:right w:val="none" w:sz="0" w:space="0" w:color="auto"/>
                                      </w:divBdr>
                                      <w:divsChild>
                                        <w:div w:id="901406583">
                                          <w:marLeft w:val="0"/>
                                          <w:marRight w:val="0"/>
                                          <w:marTop w:val="0"/>
                                          <w:marBottom w:val="0"/>
                                          <w:divBdr>
                                            <w:top w:val="none" w:sz="0" w:space="0" w:color="auto"/>
                                            <w:left w:val="none" w:sz="0" w:space="0" w:color="auto"/>
                                            <w:bottom w:val="none" w:sz="0" w:space="0" w:color="auto"/>
                                            <w:right w:val="none" w:sz="0" w:space="0" w:color="auto"/>
                                          </w:divBdr>
                                          <w:divsChild>
                                            <w:div w:id="787697421">
                                              <w:marLeft w:val="0"/>
                                              <w:marRight w:val="0"/>
                                              <w:marTop w:val="0"/>
                                              <w:marBottom w:val="0"/>
                                              <w:divBdr>
                                                <w:top w:val="none" w:sz="0" w:space="0" w:color="auto"/>
                                                <w:left w:val="none" w:sz="0" w:space="0" w:color="auto"/>
                                                <w:bottom w:val="none" w:sz="0" w:space="0" w:color="auto"/>
                                                <w:right w:val="none" w:sz="0" w:space="0" w:color="auto"/>
                                              </w:divBdr>
                                              <w:divsChild>
                                                <w:div w:id="223108567">
                                                  <w:marLeft w:val="0"/>
                                                  <w:marRight w:val="0"/>
                                                  <w:marTop w:val="0"/>
                                                  <w:marBottom w:val="0"/>
                                                  <w:divBdr>
                                                    <w:top w:val="none" w:sz="0" w:space="0" w:color="auto"/>
                                                    <w:left w:val="none" w:sz="0" w:space="0" w:color="auto"/>
                                                    <w:bottom w:val="none" w:sz="0" w:space="0" w:color="auto"/>
                                                    <w:right w:val="none" w:sz="0" w:space="0" w:color="auto"/>
                                                  </w:divBdr>
                                                  <w:divsChild>
                                                    <w:div w:id="2074542902">
                                                      <w:marLeft w:val="0"/>
                                                      <w:marRight w:val="0"/>
                                                      <w:marTop w:val="0"/>
                                                      <w:marBottom w:val="0"/>
                                                      <w:divBdr>
                                                        <w:top w:val="none" w:sz="0" w:space="0" w:color="auto"/>
                                                        <w:left w:val="none" w:sz="0" w:space="0" w:color="auto"/>
                                                        <w:bottom w:val="none" w:sz="0" w:space="0" w:color="auto"/>
                                                        <w:right w:val="none" w:sz="0" w:space="0" w:color="auto"/>
                                                      </w:divBdr>
                                                      <w:divsChild>
                                                        <w:div w:id="1582451480">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84220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7481916">
      <w:bodyDiv w:val="1"/>
      <w:marLeft w:val="0"/>
      <w:marRight w:val="0"/>
      <w:marTop w:val="0"/>
      <w:marBottom w:val="0"/>
      <w:divBdr>
        <w:top w:val="none" w:sz="0" w:space="0" w:color="auto"/>
        <w:left w:val="none" w:sz="0" w:space="0" w:color="auto"/>
        <w:bottom w:val="none" w:sz="0" w:space="0" w:color="auto"/>
        <w:right w:val="none" w:sz="0" w:space="0" w:color="auto"/>
      </w:divBdr>
    </w:div>
    <w:div w:id="848374468">
      <w:bodyDiv w:val="1"/>
      <w:marLeft w:val="0"/>
      <w:marRight w:val="0"/>
      <w:marTop w:val="0"/>
      <w:marBottom w:val="0"/>
      <w:divBdr>
        <w:top w:val="none" w:sz="0" w:space="0" w:color="auto"/>
        <w:left w:val="none" w:sz="0" w:space="0" w:color="auto"/>
        <w:bottom w:val="none" w:sz="0" w:space="0" w:color="auto"/>
        <w:right w:val="none" w:sz="0" w:space="0" w:color="auto"/>
      </w:divBdr>
    </w:div>
    <w:div w:id="118921690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55232422">
      <w:bodyDiv w:val="1"/>
      <w:marLeft w:val="0"/>
      <w:marRight w:val="0"/>
      <w:marTop w:val="0"/>
      <w:marBottom w:val="0"/>
      <w:divBdr>
        <w:top w:val="none" w:sz="0" w:space="0" w:color="auto"/>
        <w:left w:val="none" w:sz="0" w:space="0" w:color="auto"/>
        <w:bottom w:val="none" w:sz="0" w:space="0" w:color="auto"/>
        <w:right w:val="none" w:sz="0" w:space="0" w:color="auto"/>
      </w:divBdr>
    </w:div>
    <w:div w:id="1457259930">
      <w:bodyDiv w:val="1"/>
      <w:marLeft w:val="0"/>
      <w:marRight w:val="0"/>
      <w:marTop w:val="0"/>
      <w:marBottom w:val="0"/>
      <w:divBdr>
        <w:top w:val="none" w:sz="0" w:space="0" w:color="auto"/>
        <w:left w:val="none" w:sz="0" w:space="0" w:color="auto"/>
        <w:bottom w:val="none" w:sz="0" w:space="0" w:color="auto"/>
        <w:right w:val="none" w:sz="0" w:space="0" w:color="auto"/>
      </w:divBdr>
    </w:div>
    <w:div w:id="151279244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5457513">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57744282">
      <w:bodyDiv w:val="1"/>
      <w:marLeft w:val="0"/>
      <w:marRight w:val="0"/>
      <w:marTop w:val="0"/>
      <w:marBottom w:val="0"/>
      <w:divBdr>
        <w:top w:val="none" w:sz="0" w:space="0" w:color="auto"/>
        <w:left w:val="none" w:sz="0" w:space="0" w:color="auto"/>
        <w:bottom w:val="none" w:sz="0" w:space="0" w:color="auto"/>
        <w:right w:val="none" w:sz="0" w:space="0" w:color="auto"/>
      </w:divBdr>
    </w:div>
    <w:div w:id="1564684393">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20076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licy.corp.cvscaremark.com/pnp/faces/SecureDocRenderer?documentId=CALL-0048&amp;uid=pnpdev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AC8B37-E4A2-4AA6-A8A5-4156E620AC81}">
  <ds:schemaRefs>
    <ds:schemaRef ds:uri="http://schemas.openxmlformats.org/officeDocument/2006/bibliography"/>
  </ds:schemaRefs>
</ds:datastoreItem>
</file>

<file path=customXml/itemProps2.xml><?xml version="1.0" encoding="utf-8"?>
<ds:datastoreItem xmlns:ds="http://schemas.openxmlformats.org/officeDocument/2006/customXml" ds:itemID="{25ADE938-20E2-4D7F-B90B-938E7A47E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FF27FA00-AFDE-448B-8F2A-75D86DF0AA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7564</CharactersWithSpaces>
  <SharedDoc>false</SharedDoc>
  <HLinks>
    <vt:vector size="66" baseType="variant">
      <vt:variant>
        <vt:i4>262192</vt:i4>
      </vt:variant>
      <vt:variant>
        <vt:i4>33</vt:i4>
      </vt:variant>
      <vt:variant>
        <vt:i4>0</vt:i4>
      </vt:variant>
      <vt:variant>
        <vt:i4>5</vt:i4>
      </vt:variant>
      <vt:variant>
        <vt:lpwstr/>
      </vt:variant>
      <vt:variant>
        <vt:lpwstr>_top</vt:lpwstr>
      </vt:variant>
      <vt:variant>
        <vt:i4>1376333</vt:i4>
      </vt:variant>
      <vt:variant>
        <vt:i4>30</vt:i4>
      </vt:variant>
      <vt:variant>
        <vt:i4>0</vt:i4>
      </vt:variant>
      <vt:variant>
        <vt:i4>5</vt:i4>
      </vt:variant>
      <vt:variant>
        <vt:lpwstr>https://thesource.cvshealth.com/nuxeo/thesource/</vt:lpwstr>
      </vt:variant>
      <vt:variant>
        <vt:lpwstr>!/view?docid=c1f1028b-e42c-4b4f-a4cf-cc0b42c91606</vt:lpwstr>
      </vt:variant>
      <vt:variant>
        <vt:i4>1310811</vt:i4>
      </vt:variant>
      <vt:variant>
        <vt:i4>27</vt:i4>
      </vt:variant>
      <vt:variant>
        <vt:i4>0</vt:i4>
      </vt:variant>
      <vt:variant>
        <vt:i4>5</vt:i4>
      </vt:variant>
      <vt:variant>
        <vt:lpwstr>https://policy.corp.cvscaremark.com/pnp/faces/SecureDocRenderer?documentId=CALL-0048&amp;uid=pnpdev1</vt:lpwstr>
      </vt:variant>
      <vt:variant>
        <vt:lpwstr/>
      </vt:variant>
      <vt:variant>
        <vt:i4>4325449</vt:i4>
      </vt:variant>
      <vt:variant>
        <vt:i4>24</vt:i4>
      </vt:variant>
      <vt:variant>
        <vt:i4>0</vt:i4>
      </vt:variant>
      <vt:variant>
        <vt:i4>5</vt:i4>
      </vt:variant>
      <vt:variant>
        <vt:lpwstr>https://thesource.cvshealth.com/nuxeo/thesource/</vt:lpwstr>
      </vt:variant>
      <vt:variant>
        <vt:lpwstr>!/view?docid=ace20931-df5c-49f8-9b4a-df89aade1fa5</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1310769</vt:i4>
      </vt:variant>
      <vt:variant>
        <vt:i4>11</vt:i4>
      </vt:variant>
      <vt:variant>
        <vt:i4>0</vt:i4>
      </vt:variant>
      <vt:variant>
        <vt:i4>5</vt:i4>
      </vt:variant>
      <vt:variant>
        <vt:lpwstr/>
      </vt:variant>
      <vt:variant>
        <vt:lpwstr>_Toc173928154</vt:lpwstr>
      </vt:variant>
      <vt:variant>
        <vt:i4>1310769</vt:i4>
      </vt:variant>
      <vt:variant>
        <vt:i4>8</vt:i4>
      </vt:variant>
      <vt:variant>
        <vt:i4>0</vt:i4>
      </vt:variant>
      <vt:variant>
        <vt:i4>5</vt:i4>
      </vt:variant>
      <vt:variant>
        <vt:lpwstr/>
      </vt:variant>
      <vt:variant>
        <vt:lpwstr>_Toc173928153</vt:lpwstr>
      </vt:variant>
      <vt:variant>
        <vt:i4>1310769</vt:i4>
      </vt:variant>
      <vt:variant>
        <vt:i4>5</vt:i4>
      </vt:variant>
      <vt:variant>
        <vt:i4>0</vt:i4>
      </vt:variant>
      <vt:variant>
        <vt:i4>5</vt:i4>
      </vt:variant>
      <vt:variant>
        <vt:lpwstr/>
      </vt:variant>
      <vt:variant>
        <vt:lpwstr>_Toc173928152</vt:lpwstr>
      </vt:variant>
      <vt:variant>
        <vt:i4>1310769</vt:i4>
      </vt:variant>
      <vt:variant>
        <vt:i4>2</vt:i4>
      </vt:variant>
      <vt:variant>
        <vt:i4>0</vt:i4>
      </vt:variant>
      <vt:variant>
        <vt:i4>5</vt:i4>
      </vt:variant>
      <vt:variant>
        <vt:lpwstr/>
      </vt:variant>
      <vt:variant>
        <vt:lpwstr>_Toc173928151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2014-06-09T15:26:00Z</cp:lastPrinted>
  <dcterms:created xsi:type="dcterms:W3CDTF">2025-08-19T17:58:00Z</dcterms:created>
  <dcterms:modified xsi:type="dcterms:W3CDTF">2025-08-19T18:01:00Z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2022-07-22T15:57:14Z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d01cc566-ceda-46b1-882a-50b1aa86b68f</vt:lpwstr>
  </property>
  <property fmtid="{D5CDD505-2E9C-101B-9397-08002B2CF9AE}" pid="8" name="MSIP_Label_67599526-06ca-49cc-9fa9-5307800a949a_ContentBits">
    <vt:lpwstr>0</vt:lpwstr>
  </property>
</Properties>
</file>