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C1DB" w14:textId="4D25CAC7" w:rsidR="00F27518" w:rsidRDefault="007C5C1A" w:rsidP="007C5C1A">
      <w:pPr>
        <w:rPr>
          <w:rFonts w:ascii="Verdana" w:hAnsi="Verdana"/>
          <w:b/>
          <w:bCs/>
          <w:color w:val="000000"/>
          <w:sz w:val="36"/>
          <w:szCs w:val="36"/>
        </w:rPr>
      </w:pPr>
      <w:bookmarkStart w:id="0" w:name="_top"/>
      <w:bookmarkStart w:id="1" w:name="OLE_LINK5"/>
      <w:bookmarkEnd w:id="0"/>
      <w:r w:rsidRPr="007C5C1A">
        <w:rPr>
          <w:rFonts w:ascii="Verdana" w:hAnsi="Verdana"/>
          <w:b/>
          <w:bCs/>
          <w:color w:val="000000"/>
          <w:sz w:val="36"/>
          <w:szCs w:val="36"/>
        </w:rPr>
        <w:t>MED D - General Information about Medicare Plans</w:t>
      </w:r>
    </w:p>
    <w:p w14:paraId="3DE114BA" w14:textId="77777777" w:rsidR="00DE6CEB" w:rsidRPr="007C5C1A" w:rsidRDefault="00DE6CEB" w:rsidP="007C5C1A">
      <w:pPr>
        <w:rPr>
          <w:rFonts w:ascii="Verdana" w:hAnsi="Verdana"/>
          <w:b/>
          <w:bCs/>
          <w:sz w:val="18"/>
          <w:szCs w:val="18"/>
        </w:rPr>
      </w:pPr>
    </w:p>
    <w:bookmarkEnd w:id="1"/>
    <w:p w14:paraId="037AE387" w14:textId="77777777" w:rsidR="00F27518" w:rsidRPr="007C5C1A" w:rsidRDefault="00F27518" w:rsidP="007C5C1A">
      <w:pPr>
        <w:rPr>
          <w:rFonts w:ascii="Verdana" w:hAnsi="Verdana"/>
        </w:rPr>
      </w:pPr>
    </w:p>
    <w:p w14:paraId="26A368B5" w14:textId="3FA83FC0" w:rsidR="00DE6CEB" w:rsidRDefault="00CD739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 w:rsidRPr="007C5C1A">
        <w:rPr>
          <w:noProof w:val="0"/>
          <w:color w:val="auto"/>
          <w:u w:val="none"/>
        </w:rPr>
        <w:fldChar w:fldCharType="begin"/>
      </w:r>
      <w:r w:rsidRPr="007C5C1A">
        <w:instrText xml:space="preserve"> TOC \o "2-2" \n \p " " \h \z \u </w:instrText>
      </w:r>
      <w:r w:rsidRPr="007C5C1A">
        <w:rPr>
          <w:noProof w:val="0"/>
          <w:color w:val="auto"/>
          <w:u w:val="none"/>
        </w:rPr>
        <w:fldChar w:fldCharType="separate"/>
      </w:r>
      <w:hyperlink w:anchor="_Toc152679650" w:history="1">
        <w:r w:rsidR="00DE6CEB" w:rsidRPr="00C95AF1">
          <w:rPr>
            <w:rStyle w:val="Hyperlink"/>
          </w:rPr>
          <w:t>What is Medicare?</w:t>
        </w:r>
      </w:hyperlink>
    </w:p>
    <w:p w14:paraId="65F49ED3" w14:textId="566ACFB4" w:rsidR="00DE6CEB" w:rsidRDefault="00DE6CEB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2679651" w:history="1">
        <w:r w:rsidRPr="00C95AF1">
          <w:rPr>
            <w:rStyle w:val="Hyperlink"/>
          </w:rPr>
          <w:t>Medicare Options</w:t>
        </w:r>
      </w:hyperlink>
    </w:p>
    <w:p w14:paraId="747DF1E5" w14:textId="08BF8967" w:rsidR="00DE6CEB" w:rsidRDefault="00DE6CEB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2679652" w:history="1">
        <w:r w:rsidRPr="00C95AF1">
          <w:rPr>
            <w:rStyle w:val="Hyperlink"/>
          </w:rPr>
          <w:t>Part D (Prescription Drug Coverage)</w:t>
        </w:r>
      </w:hyperlink>
    </w:p>
    <w:p w14:paraId="1EB5D7F4" w14:textId="1CB0A840" w:rsidR="00DE6CEB" w:rsidRDefault="00DE6CEB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52679653" w:history="1">
        <w:r w:rsidRPr="00C95AF1">
          <w:rPr>
            <w:rStyle w:val="Hyperlink"/>
          </w:rPr>
          <w:t>Additional References</w:t>
        </w:r>
      </w:hyperlink>
    </w:p>
    <w:p w14:paraId="0D637F8D" w14:textId="412A658F" w:rsidR="006C1CBD" w:rsidRPr="007C5C1A" w:rsidRDefault="00CD7396" w:rsidP="007C5C1A">
      <w:pPr>
        <w:rPr>
          <w:rFonts w:ascii="Verdana" w:hAnsi="Verdana"/>
        </w:rPr>
      </w:pPr>
      <w:r w:rsidRPr="007C5C1A">
        <w:rPr>
          <w:rFonts w:ascii="Verdana" w:hAnsi="Verdana"/>
          <w:noProof/>
          <w:color w:val="3333FF"/>
          <w:u w:val="single"/>
        </w:rPr>
        <w:fldChar w:fldCharType="end"/>
      </w:r>
    </w:p>
    <w:p w14:paraId="3D20FFA4" w14:textId="77777777" w:rsidR="000C2A30" w:rsidRPr="007C5C1A" w:rsidRDefault="000C2A30" w:rsidP="007C5C1A">
      <w:pPr>
        <w:rPr>
          <w:rFonts w:ascii="Verdana" w:hAnsi="Verdana"/>
        </w:rPr>
      </w:pPr>
    </w:p>
    <w:p w14:paraId="35FC11FE" w14:textId="52009A0C" w:rsidR="00907E67" w:rsidRPr="007C5C1A" w:rsidRDefault="00907E67" w:rsidP="007C5C1A">
      <w:pPr>
        <w:rPr>
          <w:rFonts w:ascii="Verdana" w:hAnsi="Verdana"/>
          <w:color w:val="000000"/>
        </w:rPr>
      </w:pPr>
      <w:bookmarkStart w:id="2" w:name="_Overview"/>
      <w:bookmarkEnd w:id="2"/>
      <w:r w:rsidRPr="007C5C1A">
        <w:rPr>
          <w:rFonts w:ascii="Verdana" w:hAnsi="Verdana"/>
          <w:b/>
        </w:rPr>
        <w:t>Description:</w:t>
      </w:r>
      <w:r w:rsidR="007C5C1A" w:rsidRPr="007C5C1A">
        <w:rPr>
          <w:rFonts w:ascii="Verdana" w:hAnsi="Verdana"/>
          <w:b/>
        </w:rPr>
        <w:t xml:space="preserve">  </w:t>
      </w:r>
      <w:r w:rsidR="007C5C1A" w:rsidRPr="007C5C1A">
        <w:rPr>
          <w:rFonts w:ascii="Verdana" w:hAnsi="Verdana"/>
        </w:rPr>
        <w:t>This document provides general information about Medicare.</w:t>
      </w:r>
      <w:r w:rsidR="007C5C1A" w:rsidRPr="007C5C1A">
        <w:rPr>
          <w:rFonts w:ascii="Verdana" w:hAnsi="Verdana"/>
          <w:color w:val="000000"/>
        </w:rPr>
        <w:t xml:space="preserve"> </w:t>
      </w:r>
    </w:p>
    <w:p w14:paraId="23557367" w14:textId="2879B891" w:rsidR="007C5C1A" w:rsidRPr="007C5C1A" w:rsidRDefault="007C5C1A" w:rsidP="007C5C1A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B31FA" w14:paraId="16BA743D" w14:textId="77777777" w:rsidTr="00DA03B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2D0234" w14:textId="7E4D6ECB" w:rsidR="002B31FA" w:rsidRDefault="00DA03BD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3" w:name="OLE_LINK19"/>
            <w:bookmarkStart w:id="4" w:name="OLE_LINK20"/>
            <w:bookmarkStart w:id="5" w:name="_Toc152679650"/>
            <w:r>
              <w:rPr>
                <w:rFonts w:ascii="Verdana" w:hAnsi="Verdana"/>
                <w:i w:val="0"/>
              </w:rPr>
              <w:t>What is Medicare</w:t>
            </w:r>
            <w:r w:rsidR="00DE6CEB">
              <w:rPr>
                <w:rFonts w:ascii="Verdana" w:hAnsi="Verdana"/>
                <w:i w:val="0"/>
              </w:rPr>
              <w:t>?</w:t>
            </w:r>
            <w:bookmarkEnd w:id="5"/>
          </w:p>
        </w:tc>
      </w:tr>
      <w:bookmarkEnd w:id="3"/>
      <w:bookmarkEnd w:id="4"/>
    </w:tbl>
    <w:p w14:paraId="53E50417" w14:textId="13DACD03" w:rsidR="00F37692" w:rsidRDefault="00F37692" w:rsidP="00E569F2">
      <w:pPr>
        <w:jc w:val="center"/>
        <w:rPr>
          <w:rFonts w:ascii="Verdana" w:hAnsi="Verdana"/>
        </w:rPr>
      </w:pPr>
    </w:p>
    <w:p w14:paraId="570F5A55" w14:textId="7DF8EFB8" w:rsidR="00DA03BD" w:rsidRDefault="00DA03BD" w:rsidP="00DA03BD">
      <w:pPr>
        <w:rPr>
          <w:rFonts w:ascii="Verdana" w:hAnsi="Verdana"/>
        </w:rPr>
      </w:pPr>
      <w:r w:rsidRPr="00DA03BD">
        <w:rPr>
          <w:rFonts w:ascii="Verdana" w:hAnsi="Verdana"/>
        </w:rPr>
        <w:t xml:space="preserve">Medicare is </w:t>
      </w:r>
      <w:r w:rsidR="00BE22E8">
        <w:rPr>
          <w:rFonts w:ascii="Verdana" w:hAnsi="Verdana"/>
        </w:rPr>
        <w:t xml:space="preserve">a federal health </w:t>
      </w:r>
      <w:r w:rsidRPr="00DA03BD">
        <w:rPr>
          <w:rFonts w:ascii="Verdana" w:hAnsi="Verdana"/>
        </w:rPr>
        <w:t>insurance program for</w:t>
      </w:r>
      <w:r>
        <w:rPr>
          <w:rFonts w:ascii="Verdana" w:hAnsi="Verdana"/>
        </w:rPr>
        <w:t>:</w:t>
      </w:r>
    </w:p>
    <w:p w14:paraId="3BA26C07" w14:textId="71D067B9" w:rsidR="00DA03BD" w:rsidRDefault="00BE22E8" w:rsidP="00DA03BD">
      <w:pPr>
        <w:pStyle w:val="ListParagraph"/>
        <w:numPr>
          <w:ilvl w:val="0"/>
          <w:numId w:val="42"/>
        </w:numPr>
        <w:rPr>
          <w:rFonts w:ascii="Verdana" w:hAnsi="Verdana"/>
        </w:rPr>
      </w:pPr>
      <w:r>
        <w:rPr>
          <w:rFonts w:ascii="Verdana" w:hAnsi="Verdana"/>
        </w:rPr>
        <w:t>People who a</w:t>
      </w:r>
      <w:r w:rsidR="00DA03BD">
        <w:rPr>
          <w:rFonts w:ascii="Verdana" w:hAnsi="Verdana"/>
        </w:rPr>
        <w:t>re 65 and older</w:t>
      </w:r>
    </w:p>
    <w:p w14:paraId="2B49EA6E" w14:textId="6A7B0C69" w:rsidR="00BE22E8" w:rsidRDefault="00BE22E8" w:rsidP="00EA6FB1">
      <w:pPr>
        <w:pStyle w:val="ListParagraph"/>
        <w:numPr>
          <w:ilvl w:val="0"/>
          <w:numId w:val="42"/>
        </w:numPr>
        <w:rPr>
          <w:rFonts w:ascii="Verdana" w:hAnsi="Verdana"/>
        </w:rPr>
      </w:pPr>
      <w:r w:rsidRPr="00BE22E8">
        <w:rPr>
          <w:rFonts w:ascii="Verdana" w:hAnsi="Verdana"/>
        </w:rPr>
        <w:t xml:space="preserve">Certain younger people with </w:t>
      </w:r>
      <w:r w:rsidR="00DA03BD" w:rsidRPr="00BE22E8">
        <w:rPr>
          <w:rFonts w:ascii="Verdana" w:hAnsi="Verdana"/>
        </w:rPr>
        <w:t>disabilities</w:t>
      </w:r>
      <w:r w:rsidR="00885FE5" w:rsidRPr="00BE22E8">
        <w:rPr>
          <w:rFonts w:ascii="Verdana" w:hAnsi="Verdana"/>
        </w:rPr>
        <w:t xml:space="preserve"> </w:t>
      </w:r>
    </w:p>
    <w:p w14:paraId="748C731A" w14:textId="71028D0B" w:rsidR="00DA03BD" w:rsidRPr="00BE22E8" w:rsidRDefault="00BE22E8" w:rsidP="00EA6FB1">
      <w:pPr>
        <w:pStyle w:val="ListParagraph"/>
        <w:numPr>
          <w:ilvl w:val="0"/>
          <w:numId w:val="42"/>
        </w:numPr>
        <w:rPr>
          <w:rFonts w:ascii="Verdana" w:hAnsi="Verdana"/>
        </w:rPr>
      </w:pPr>
      <w:r>
        <w:rPr>
          <w:rFonts w:ascii="Verdana" w:hAnsi="Verdana"/>
        </w:rPr>
        <w:t xml:space="preserve">People with </w:t>
      </w:r>
      <w:r w:rsidR="00DA03BD" w:rsidRPr="00BE22E8">
        <w:rPr>
          <w:rFonts w:ascii="Verdana" w:hAnsi="Verdana"/>
        </w:rPr>
        <w:t xml:space="preserve">End-Stage Renal Disease </w:t>
      </w:r>
      <w:r>
        <w:rPr>
          <w:rFonts w:ascii="Verdana" w:hAnsi="Verdana"/>
        </w:rPr>
        <w:t>(P</w:t>
      </w:r>
      <w:r w:rsidRPr="00BE22E8">
        <w:rPr>
          <w:rFonts w:ascii="Verdana" w:hAnsi="Verdana"/>
        </w:rPr>
        <w:t>ermanent kidney failure requiring dialysis or a transplant, sometimes called ESRD)</w:t>
      </w:r>
    </w:p>
    <w:p w14:paraId="7F514FE9" w14:textId="50919FF3" w:rsidR="00DA03BD" w:rsidRPr="00DA03BD" w:rsidRDefault="00DA03BD" w:rsidP="00885FE5">
      <w:pPr>
        <w:pStyle w:val="ListParagraph"/>
        <w:ind w:left="810"/>
        <w:rPr>
          <w:rFonts w:ascii="Verdana" w:hAnsi="Verdana"/>
        </w:rPr>
      </w:pPr>
    </w:p>
    <w:bookmarkStart w:id="6" w:name="OLE_LINK1"/>
    <w:p w14:paraId="6D739E4B" w14:textId="2FA17614" w:rsidR="00DA03BD" w:rsidRDefault="00251402" w:rsidP="00251402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BF5C0B">
        <w:rPr>
          <w:rFonts w:ascii="Verdana" w:hAnsi="Verdana"/>
        </w:rPr>
        <w:instrText>HYPERLINK  \l "_top"</w:instrText>
      </w:r>
      <w:r>
        <w:rPr>
          <w:rFonts w:ascii="Verdana" w:hAnsi="Verdana"/>
        </w:rPr>
        <w:fldChar w:fldCharType="separate"/>
      </w:r>
      <w:r w:rsidRPr="00251402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A03BD" w14:paraId="0F8F2272" w14:textId="77777777" w:rsidTr="00BE22E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FC6A85" w14:textId="7C4F2792" w:rsidR="00DA03BD" w:rsidRDefault="00BE22E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7" w:name="OLE_LINK22"/>
            <w:bookmarkStart w:id="8" w:name="OLE_LINK23"/>
            <w:bookmarkStart w:id="9" w:name="_Toc152679651"/>
            <w:bookmarkEnd w:id="6"/>
            <w:r>
              <w:rPr>
                <w:rFonts w:ascii="Verdana" w:hAnsi="Verdana"/>
                <w:i w:val="0"/>
              </w:rPr>
              <w:t>Medicare Options</w:t>
            </w:r>
            <w:bookmarkEnd w:id="9"/>
            <w:r w:rsidR="00DA03BD">
              <w:rPr>
                <w:rFonts w:ascii="Verdana" w:hAnsi="Verdana"/>
                <w:i w:val="0"/>
              </w:rPr>
              <w:t xml:space="preserve"> </w:t>
            </w:r>
          </w:p>
        </w:tc>
      </w:tr>
      <w:bookmarkEnd w:id="7"/>
      <w:bookmarkEnd w:id="8"/>
    </w:tbl>
    <w:p w14:paraId="3250393C" w14:textId="77777777" w:rsidR="00DA03BD" w:rsidRPr="00DA03BD" w:rsidRDefault="00DA03BD" w:rsidP="00DA03BD">
      <w:pPr>
        <w:rPr>
          <w:rFonts w:ascii="Verdana" w:hAnsi="Verdana"/>
        </w:rPr>
      </w:pPr>
    </w:p>
    <w:p w14:paraId="39B91C4F" w14:textId="1251ECE6" w:rsidR="00DA03BD" w:rsidRDefault="00DA03BD" w:rsidP="00DA03BD">
      <w:pPr>
        <w:rPr>
          <w:rFonts w:ascii="Verdana" w:hAnsi="Verdana"/>
        </w:rPr>
      </w:pPr>
      <w:r>
        <w:rPr>
          <w:rFonts w:ascii="Verdana" w:hAnsi="Verdana"/>
        </w:rPr>
        <w:t>When first enrolling in Medicare, there are 2 options for Medicare coverage:</w:t>
      </w:r>
    </w:p>
    <w:p w14:paraId="6BF9F3FE" w14:textId="78E967E3" w:rsidR="00DA03BD" w:rsidRDefault="00DA03BD" w:rsidP="00DA03BD">
      <w:pPr>
        <w:pStyle w:val="ListParagraph"/>
        <w:numPr>
          <w:ilvl w:val="0"/>
          <w:numId w:val="43"/>
        </w:numPr>
        <w:rPr>
          <w:rFonts w:ascii="Verdana" w:hAnsi="Verdana"/>
          <w:b/>
          <w:bCs/>
        </w:rPr>
      </w:pPr>
      <w:r w:rsidRPr="00DA03BD">
        <w:rPr>
          <w:rFonts w:ascii="Verdana" w:hAnsi="Verdana"/>
          <w:b/>
          <w:bCs/>
        </w:rPr>
        <w:t>Original Medicare</w:t>
      </w:r>
      <w:r>
        <w:rPr>
          <w:rFonts w:ascii="Verdana" w:hAnsi="Verdana"/>
          <w:b/>
          <w:bCs/>
        </w:rPr>
        <w:t xml:space="preserve">:  </w:t>
      </w:r>
    </w:p>
    <w:p w14:paraId="7827B576" w14:textId="77777777" w:rsidR="005C487E" w:rsidRPr="005C487E" w:rsidRDefault="00DA03BD" w:rsidP="00DA03BD">
      <w:pPr>
        <w:pStyle w:val="ListParagraph"/>
        <w:numPr>
          <w:ilvl w:val="1"/>
          <w:numId w:val="4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Includes</w:t>
      </w:r>
      <w:r w:rsidR="005C487E">
        <w:rPr>
          <w:rFonts w:ascii="Verdana" w:hAnsi="Verdana"/>
        </w:rPr>
        <w:t>:</w:t>
      </w:r>
    </w:p>
    <w:p w14:paraId="2FC87AEF" w14:textId="2669667B" w:rsidR="00DA03BD" w:rsidRPr="005C487E" w:rsidRDefault="00DA03BD" w:rsidP="005C487E">
      <w:pPr>
        <w:pStyle w:val="ListParagraph"/>
        <w:numPr>
          <w:ilvl w:val="2"/>
          <w:numId w:val="43"/>
        </w:numPr>
        <w:rPr>
          <w:rFonts w:ascii="Verdana" w:hAnsi="Verdana"/>
          <w:b/>
          <w:bCs/>
        </w:rPr>
      </w:pPr>
      <w:r w:rsidRPr="005C487E">
        <w:rPr>
          <w:rFonts w:ascii="Verdana" w:hAnsi="Verdana"/>
          <w:b/>
          <w:bCs/>
        </w:rPr>
        <w:t>Medicare Part A (Hospital Insurance)</w:t>
      </w:r>
    </w:p>
    <w:p w14:paraId="0EB289C9" w14:textId="6634A649" w:rsidR="00DA03BD" w:rsidRPr="00DA03BD" w:rsidRDefault="00DA03BD" w:rsidP="005C487E">
      <w:pPr>
        <w:pStyle w:val="ListParagraph"/>
        <w:numPr>
          <w:ilvl w:val="3"/>
          <w:numId w:val="4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Helps </w:t>
      </w:r>
      <w:r w:rsidR="005C487E">
        <w:rPr>
          <w:rFonts w:ascii="Verdana" w:hAnsi="Verdana"/>
        </w:rPr>
        <w:t>cover</w:t>
      </w:r>
      <w:r>
        <w:rPr>
          <w:rFonts w:ascii="Verdana" w:hAnsi="Verdana"/>
        </w:rPr>
        <w:t xml:space="preserve"> inpatient care in a hospital or limited time at a skilled nursing facility (following a hospital stay)</w:t>
      </w:r>
    </w:p>
    <w:p w14:paraId="07407A33" w14:textId="5C272EA0" w:rsidR="00DA03BD" w:rsidRPr="00DA03BD" w:rsidRDefault="00F51A71" w:rsidP="005C487E">
      <w:pPr>
        <w:pStyle w:val="ListParagraph"/>
        <w:numPr>
          <w:ilvl w:val="3"/>
          <w:numId w:val="4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Covers</w:t>
      </w:r>
      <w:r w:rsidR="00DA03BD">
        <w:rPr>
          <w:rFonts w:ascii="Verdana" w:hAnsi="Verdana"/>
        </w:rPr>
        <w:t xml:space="preserve"> some home health and hospice care</w:t>
      </w:r>
    </w:p>
    <w:p w14:paraId="7D1EEE35" w14:textId="5F9515E8" w:rsidR="00DA03BD" w:rsidRPr="005C487E" w:rsidRDefault="00DA03BD" w:rsidP="005C487E">
      <w:pPr>
        <w:pStyle w:val="ListParagraph"/>
        <w:numPr>
          <w:ilvl w:val="2"/>
          <w:numId w:val="43"/>
        </w:numPr>
        <w:rPr>
          <w:rFonts w:ascii="Verdana" w:hAnsi="Verdana"/>
          <w:b/>
          <w:bCs/>
        </w:rPr>
      </w:pPr>
      <w:r w:rsidRPr="005C487E">
        <w:rPr>
          <w:rFonts w:ascii="Verdana" w:hAnsi="Verdana"/>
          <w:b/>
          <w:bCs/>
        </w:rPr>
        <w:t>Medicare Part B (Medical Insurance)</w:t>
      </w:r>
    </w:p>
    <w:p w14:paraId="72572E2F" w14:textId="0CDC2985" w:rsidR="00DA03BD" w:rsidRPr="005C487E" w:rsidRDefault="00DA03BD" w:rsidP="005C487E">
      <w:pPr>
        <w:pStyle w:val="ListParagraph"/>
        <w:numPr>
          <w:ilvl w:val="3"/>
          <w:numId w:val="4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Helps </w:t>
      </w:r>
      <w:r w:rsidR="005C487E">
        <w:rPr>
          <w:rFonts w:ascii="Verdana" w:hAnsi="Verdana"/>
        </w:rPr>
        <w:t>cover</w:t>
      </w:r>
      <w:r>
        <w:rPr>
          <w:rFonts w:ascii="Verdana" w:hAnsi="Verdana"/>
        </w:rPr>
        <w:t xml:space="preserve"> services from doctors and other health care providers, outpatient care, home health care, durable medical equipment, and some preventative services</w:t>
      </w:r>
    </w:p>
    <w:p w14:paraId="64590EAA" w14:textId="7558791F" w:rsidR="00885FE5" w:rsidRPr="00885FE5" w:rsidRDefault="00885FE5" w:rsidP="005C487E">
      <w:pPr>
        <w:pStyle w:val="ListParagraph"/>
        <w:numPr>
          <w:ilvl w:val="1"/>
          <w:numId w:val="4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>Beneficiaries can also enroll in supplemental plans:</w:t>
      </w:r>
    </w:p>
    <w:p w14:paraId="5900A4A6" w14:textId="5E2B9059" w:rsidR="005C487E" w:rsidRDefault="005C487E" w:rsidP="00885FE5">
      <w:pPr>
        <w:pStyle w:val="ListParagraph"/>
        <w:numPr>
          <w:ilvl w:val="2"/>
          <w:numId w:val="43"/>
        </w:numPr>
        <w:rPr>
          <w:rFonts w:ascii="Verdana" w:hAnsi="Verdana"/>
          <w:b/>
          <w:bCs/>
        </w:rPr>
      </w:pPr>
      <w:r w:rsidRPr="005C487E">
        <w:rPr>
          <w:rFonts w:ascii="Verdana" w:hAnsi="Verdana"/>
          <w:b/>
          <w:bCs/>
        </w:rPr>
        <w:t>Medicare Part D plan (Drug Coverage)</w:t>
      </w:r>
    </w:p>
    <w:p w14:paraId="1F6C4099" w14:textId="4F366860" w:rsidR="005C487E" w:rsidRPr="005C487E" w:rsidRDefault="005C487E" w:rsidP="00885FE5">
      <w:pPr>
        <w:pStyle w:val="ListParagraph"/>
        <w:numPr>
          <w:ilvl w:val="3"/>
          <w:numId w:val="43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Helps cover the cost of </w:t>
      </w:r>
      <w:r w:rsidR="00885FE5">
        <w:rPr>
          <w:rFonts w:ascii="Verdana" w:hAnsi="Verdana"/>
        </w:rPr>
        <w:t>prescription</w:t>
      </w:r>
      <w:r>
        <w:rPr>
          <w:rFonts w:ascii="Verdana" w:hAnsi="Verdana"/>
        </w:rPr>
        <w:t xml:space="preserve"> drugs (including many recommended shots and vaccines)</w:t>
      </w:r>
    </w:p>
    <w:p w14:paraId="6735238F" w14:textId="484D8A5C" w:rsidR="005C487E" w:rsidRDefault="005C487E" w:rsidP="00885FE5">
      <w:pPr>
        <w:pStyle w:val="ListParagraph"/>
        <w:numPr>
          <w:ilvl w:val="2"/>
          <w:numId w:val="43"/>
        </w:numPr>
        <w:rPr>
          <w:rFonts w:ascii="Verdana" w:hAnsi="Verdana"/>
          <w:b/>
          <w:bCs/>
        </w:rPr>
      </w:pPr>
      <w:r w:rsidRPr="00885FE5">
        <w:rPr>
          <w:rFonts w:ascii="Verdana" w:hAnsi="Verdana"/>
          <w:b/>
          <w:bCs/>
        </w:rPr>
        <w:t>Medicare Supplemental Insurance (Medigap</w:t>
      </w:r>
      <w:r>
        <w:rPr>
          <w:rFonts w:ascii="Verdana" w:hAnsi="Verdana"/>
        </w:rPr>
        <w:t>)</w:t>
      </w:r>
    </w:p>
    <w:p w14:paraId="78E86358" w14:textId="35A63900" w:rsidR="00885FE5" w:rsidRDefault="00885FE5" w:rsidP="00885FE5">
      <w:pPr>
        <w:pStyle w:val="ListParagraph"/>
        <w:numPr>
          <w:ilvl w:val="3"/>
          <w:numId w:val="43"/>
        </w:numPr>
        <w:rPr>
          <w:rFonts w:ascii="Verdana" w:hAnsi="Verdana"/>
        </w:rPr>
      </w:pPr>
      <w:r>
        <w:rPr>
          <w:rFonts w:ascii="Verdana" w:hAnsi="Verdana"/>
          <w:color w:val="323A45"/>
        </w:rPr>
        <w:t>Helps cover the beneficiary’s share of costs in original Medicare, which is 20%</w:t>
      </w:r>
    </w:p>
    <w:p w14:paraId="559AFA6E" w14:textId="77777777" w:rsidR="005C487E" w:rsidRDefault="005C487E" w:rsidP="005C487E">
      <w:pPr>
        <w:pStyle w:val="ListParagraph"/>
        <w:rPr>
          <w:rFonts w:ascii="Verdana" w:hAnsi="Verdana"/>
          <w:b/>
          <w:bCs/>
        </w:rPr>
      </w:pPr>
    </w:p>
    <w:p w14:paraId="3C45D460" w14:textId="7BE5D812" w:rsidR="00DA03BD" w:rsidRDefault="00DA03BD" w:rsidP="00DA03BD">
      <w:pPr>
        <w:pStyle w:val="ListParagraph"/>
        <w:numPr>
          <w:ilvl w:val="0"/>
          <w:numId w:val="43"/>
        </w:numPr>
        <w:rPr>
          <w:rFonts w:ascii="Verdana" w:hAnsi="Verdana"/>
          <w:b/>
          <w:bCs/>
        </w:rPr>
      </w:pPr>
      <w:r w:rsidRPr="00DA03BD">
        <w:rPr>
          <w:rFonts w:ascii="Verdana" w:hAnsi="Verdana"/>
          <w:b/>
          <w:bCs/>
        </w:rPr>
        <w:t>Medicare Advantage</w:t>
      </w:r>
    </w:p>
    <w:p w14:paraId="42A4F50E" w14:textId="3B61662E" w:rsidR="005C487E" w:rsidRDefault="005C487E" w:rsidP="005C487E">
      <w:pPr>
        <w:pStyle w:val="ListParagraph"/>
        <w:numPr>
          <w:ilvl w:val="1"/>
          <w:numId w:val="43"/>
        </w:numPr>
        <w:rPr>
          <w:rFonts w:ascii="Verdana" w:hAnsi="Verdana"/>
        </w:rPr>
      </w:pPr>
      <w:r w:rsidRPr="005C487E">
        <w:rPr>
          <w:rFonts w:ascii="Verdana" w:hAnsi="Verdana"/>
        </w:rPr>
        <w:t xml:space="preserve">Previously known as </w:t>
      </w:r>
      <w:r w:rsidRPr="00BE22E8">
        <w:rPr>
          <w:rFonts w:ascii="Verdana" w:hAnsi="Verdana"/>
          <w:b/>
          <w:bCs/>
        </w:rPr>
        <w:t>Medicare Part C</w:t>
      </w:r>
      <w:r w:rsidR="00D02801">
        <w:rPr>
          <w:rFonts w:ascii="Verdana" w:hAnsi="Verdana"/>
          <w:b/>
          <w:bCs/>
        </w:rPr>
        <w:t xml:space="preserve"> </w:t>
      </w:r>
      <w:r w:rsidR="00D02801">
        <w:rPr>
          <w:rFonts w:ascii="Verdana" w:hAnsi="Verdana"/>
        </w:rPr>
        <w:t>(Managed Health Care Plan)</w:t>
      </w:r>
    </w:p>
    <w:p w14:paraId="6B96417D" w14:textId="7E5B4E58" w:rsidR="00BE22E8" w:rsidRDefault="00BE22E8" w:rsidP="005C487E">
      <w:pPr>
        <w:pStyle w:val="ListParagraph"/>
        <w:numPr>
          <w:ilvl w:val="1"/>
          <w:numId w:val="43"/>
        </w:numPr>
        <w:rPr>
          <w:rFonts w:ascii="Verdana" w:hAnsi="Verdana"/>
        </w:rPr>
      </w:pPr>
      <w:r>
        <w:rPr>
          <w:rFonts w:ascii="Verdana" w:hAnsi="Verdana"/>
        </w:rPr>
        <w:t xml:space="preserve">Include Part A (Hospital), Part B (Medical) </w:t>
      </w:r>
    </w:p>
    <w:p w14:paraId="4B695251" w14:textId="44AF23FF" w:rsidR="00BE22E8" w:rsidRPr="00BE22E8" w:rsidRDefault="00252938" w:rsidP="00BE22E8">
      <w:pPr>
        <w:pStyle w:val="ListParagraph"/>
        <w:numPr>
          <w:ilvl w:val="1"/>
          <w:numId w:val="43"/>
        </w:numPr>
        <w:rPr>
          <w:rFonts w:ascii="Verdana" w:hAnsi="Verdana"/>
        </w:rPr>
      </w:pPr>
      <w:r>
        <w:rPr>
          <w:rFonts w:ascii="Verdana" w:hAnsi="Verdana"/>
        </w:rPr>
        <w:t xml:space="preserve">May include </w:t>
      </w:r>
      <w:r w:rsidR="00BE22E8">
        <w:rPr>
          <w:rFonts w:ascii="Verdana" w:hAnsi="Verdana"/>
        </w:rPr>
        <w:t>Part D (</w:t>
      </w:r>
      <w:r>
        <w:rPr>
          <w:rFonts w:ascii="Verdana" w:hAnsi="Verdana"/>
        </w:rPr>
        <w:t>Drug</w:t>
      </w:r>
      <w:r w:rsidR="00BE22E8">
        <w:rPr>
          <w:rFonts w:ascii="Verdana" w:hAnsi="Verdana"/>
        </w:rPr>
        <w:t>) coverage and additional benefits (</w:t>
      </w:r>
      <w:r w:rsidR="00BE22E8" w:rsidRPr="00BF5C0B">
        <w:rPr>
          <w:rFonts w:ascii="Verdana" w:hAnsi="Verdana"/>
          <w:b/>
          <w:bCs/>
        </w:rPr>
        <w:t>Examples:</w:t>
      </w:r>
      <w:r w:rsidR="00BE22E8">
        <w:rPr>
          <w:rFonts w:ascii="Verdana" w:hAnsi="Verdana"/>
        </w:rPr>
        <w:t xml:space="preserve">  Vision, hearing and dental) can be bundled together in one plan</w:t>
      </w:r>
    </w:p>
    <w:p w14:paraId="50B2F1C3" w14:textId="63421867" w:rsidR="00DA03BD" w:rsidRPr="00DA03BD" w:rsidRDefault="00DA03BD" w:rsidP="00DA03BD">
      <w:pPr>
        <w:rPr>
          <w:rFonts w:ascii="Verdana" w:hAnsi="Verdana"/>
        </w:rPr>
      </w:pPr>
    </w:p>
    <w:bookmarkStart w:id="10" w:name="OLE_LINK2"/>
    <w:p w14:paraId="3C481CBD" w14:textId="570265B4" w:rsidR="00BE22E8" w:rsidRPr="00DA03BD" w:rsidRDefault="00251402" w:rsidP="00251402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BF5C0B">
        <w:rPr>
          <w:rFonts w:ascii="Verdana" w:hAnsi="Verdana"/>
        </w:rPr>
        <w:instrText>HYPERLINK  \l "_top"</w:instrText>
      </w:r>
      <w:r>
        <w:rPr>
          <w:rFonts w:ascii="Verdana" w:hAnsi="Verdana"/>
        </w:rP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E22E8" w14:paraId="08A2524D" w14:textId="77777777" w:rsidTr="00BE22E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83495D" w14:textId="3DF46C1F" w:rsidR="00BE22E8" w:rsidRDefault="0025293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1" w:name="_Toc152679652"/>
            <w:r>
              <w:rPr>
                <w:rFonts w:ascii="Verdana" w:hAnsi="Verdana"/>
                <w:i w:val="0"/>
              </w:rPr>
              <w:t>Part D (</w:t>
            </w:r>
            <w:r w:rsidR="00BE22E8">
              <w:rPr>
                <w:rFonts w:ascii="Verdana" w:hAnsi="Verdana"/>
                <w:i w:val="0"/>
              </w:rPr>
              <w:t>Prescription Drug Coverage</w:t>
            </w:r>
            <w:r>
              <w:rPr>
                <w:rFonts w:ascii="Verdana" w:hAnsi="Verdana"/>
                <w:i w:val="0"/>
              </w:rPr>
              <w:t>)</w:t>
            </w:r>
            <w:bookmarkEnd w:id="11"/>
          </w:p>
        </w:tc>
      </w:tr>
    </w:tbl>
    <w:bookmarkEnd w:id="10"/>
    <w:p w14:paraId="0FD51C61" w14:textId="62CE711B" w:rsidR="00252938" w:rsidRDefault="00DA03BD" w:rsidP="00DA03BD">
      <w:pPr>
        <w:rPr>
          <w:rFonts w:ascii="Verdana" w:hAnsi="Verdana"/>
        </w:rPr>
      </w:pPr>
      <w:r w:rsidRPr="00DA03BD">
        <w:rPr>
          <w:rFonts w:ascii="Verdana" w:hAnsi="Verdana"/>
        </w:rPr>
        <w:t xml:space="preserve">Medicare drug coverage is optional and is offered to everyone with Medicare. If </w:t>
      </w:r>
      <w:r w:rsidR="00252938">
        <w:rPr>
          <w:rFonts w:ascii="Verdana" w:hAnsi="Verdana"/>
        </w:rPr>
        <w:t>beneficiaries</w:t>
      </w:r>
      <w:r w:rsidRPr="00DA03BD">
        <w:rPr>
          <w:rFonts w:ascii="Verdana" w:hAnsi="Verdana"/>
        </w:rPr>
        <w:t xml:space="preserve"> decide not to get it when first eligible, and </w:t>
      </w:r>
      <w:r w:rsidR="00252938">
        <w:rPr>
          <w:rFonts w:ascii="Verdana" w:hAnsi="Verdana"/>
        </w:rPr>
        <w:t>they</w:t>
      </w:r>
      <w:r w:rsidRPr="00DA03BD">
        <w:rPr>
          <w:rFonts w:ascii="Verdana" w:hAnsi="Verdana"/>
        </w:rPr>
        <w:t xml:space="preserve"> don’t have other creditable prescription drug coverage (like drug coverage from an employer or union) or get Extra Help, </w:t>
      </w:r>
      <w:r w:rsidR="00252938">
        <w:rPr>
          <w:rFonts w:ascii="Verdana" w:hAnsi="Verdana"/>
        </w:rPr>
        <w:t>they will</w:t>
      </w:r>
      <w:r w:rsidRPr="00DA03BD">
        <w:rPr>
          <w:rFonts w:ascii="Verdana" w:hAnsi="Verdana"/>
        </w:rPr>
        <w:t xml:space="preserve"> likely pay a late enrollment penalty if you join a plan later. Generally, </w:t>
      </w:r>
      <w:r w:rsidR="00252938">
        <w:rPr>
          <w:rFonts w:ascii="Verdana" w:hAnsi="Verdana"/>
        </w:rPr>
        <w:t xml:space="preserve">they will </w:t>
      </w:r>
      <w:r w:rsidRPr="00DA03BD">
        <w:rPr>
          <w:rFonts w:ascii="Verdana" w:hAnsi="Verdana"/>
        </w:rPr>
        <w:t xml:space="preserve">pay this penalty for as long as you have Medicare drug coverage. </w:t>
      </w:r>
    </w:p>
    <w:p w14:paraId="25927610" w14:textId="77777777" w:rsidR="00252938" w:rsidRDefault="00252938" w:rsidP="00DA03BD">
      <w:pPr>
        <w:rPr>
          <w:rFonts w:ascii="Verdana" w:hAnsi="Verdana"/>
        </w:rPr>
      </w:pPr>
    </w:p>
    <w:p w14:paraId="09F7C002" w14:textId="77777777" w:rsidR="00252938" w:rsidRDefault="00DA03BD" w:rsidP="00DA03BD">
      <w:pPr>
        <w:rPr>
          <w:rFonts w:ascii="Verdana" w:hAnsi="Verdana"/>
        </w:rPr>
      </w:pPr>
      <w:r w:rsidRPr="00DA03BD">
        <w:rPr>
          <w:rFonts w:ascii="Verdana" w:hAnsi="Verdana"/>
        </w:rPr>
        <w:t xml:space="preserve">To get Medicare drug coverage, </w:t>
      </w:r>
      <w:r w:rsidR="00252938">
        <w:rPr>
          <w:rFonts w:ascii="Verdana" w:hAnsi="Verdana"/>
        </w:rPr>
        <w:t xml:space="preserve">the beneficiary </w:t>
      </w:r>
      <w:r w:rsidRPr="00DA03BD">
        <w:rPr>
          <w:rFonts w:ascii="Verdana" w:hAnsi="Verdana"/>
        </w:rPr>
        <w:t xml:space="preserve">must join a Medicare-approved plan that offers drug coverage. Each plan can vary in cost and specific drugs covered. </w:t>
      </w:r>
    </w:p>
    <w:p w14:paraId="5B32A41E" w14:textId="77777777" w:rsidR="00252938" w:rsidRDefault="00252938" w:rsidP="00DA03BD">
      <w:pPr>
        <w:rPr>
          <w:rFonts w:ascii="Verdana" w:hAnsi="Verdana"/>
        </w:rPr>
      </w:pPr>
    </w:p>
    <w:p w14:paraId="5E3BD340" w14:textId="6F738286" w:rsidR="00DA03BD" w:rsidRPr="00DA03BD" w:rsidRDefault="00252938" w:rsidP="00DA03BD">
      <w:pPr>
        <w:rPr>
          <w:rFonts w:ascii="Verdana" w:hAnsi="Verdana"/>
        </w:rPr>
      </w:pPr>
      <w:r>
        <w:rPr>
          <w:rFonts w:ascii="Verdana" w:hAnsi="Verdana"/>
        </w:rPr>
        <w:t>There are two ways to get Medicare Part D (Drug) coverage:</w:t>
      </w:r>
      <w:r w:rsidR="00DA03BD" w:rsidRPr="00DA03BD">
        <w:rPr>
          <w:rFonts w:ascii="Verdana" w:hAnsi="Verdana"/>
        </w:rPr>
        <w:t xml:space="preserve"> </w:t>
      </w:r>
    </w:p>
    <w:p w14:paraId="2FA7EFDF" w14:textId="638A8BDE" w:rsidR="00252938" w:rsidRDefault="00BE22E8" w:rsidP="00252938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251402">
        <w:rPr>
          <w:rFonts w:ascii="Verdana" w:hAnsi="Verdana"/>
          <w:b/>
          <w:bCs/>
        </w:rPr>
        <w:t>Medicare drug plans</w:t>
      </w:r>
      <w:r w:rsidRPr="00252938">
        <w:rPr>
          <w:rFonts w:ascii="Verdana" w:hAnsi="Verdana"/>
        </w:rPr>
        <w:t xml:space="preserve"> </w:t>
      </w:r>
    </w:p>
    <w:p w14:paraId="031DBC78" w14:textId="2299BCE4" w:rsidR="00BE22E8" w:rsidRDefault="00BE22E8" w:rsidP="00252938">
      <w:pPr>
        <w:pStyle w:val="ListParagraph"/>
        <w:numPr>
          <w:ilvl w:val="1"/>
          <w:numId w:val="44"/>
        </w:numPr>
        <w:rPr>
          <w:rFonts w:ascii="Verdana" w:hAnsi="Verdana"/>
        </w:rPr>
      </w:pPr>
      <w:r w:rsidRPr="00252938">
        <w:rPr>
          <w:rFonts w:ascii="Verdana" w:hAnsi="Verdana"/>
        </w:rPr>
        <w:t xml:space="preserve">These plans add drug coverage to Original Medicare, some Medicare Cost Plans, some Private Fee for Service plans, and Medical Savings Account plans. </w:t>
      </w:r>
      <w:r w:rsidR="00252938">
        <w:rPr>
          <w:rFonts w:ascii="Verdana" w:hAnsi="Verdana"/>
        </w:rPr>
        <w:t>M</w:t>
      </w:r>
      <w:r w:rsidRPr="00252938">
        <w:rPr>
          <w:rFonts w:ascii="Verdana" w:hAnsi="Verdana"/>
        </w:rPr>
        <w:t>ust have or be eligible for Medicare Part A (Hospital Insurance) and/or Medicare Part B (Medical Insurance) to join a separate Medicare drug Plan D.</w:t>
      </w:r>
    </w:p>
    <w:p w14:paraId="7EF049EC" w14:textId="7531957A" w:rsidR="00D02801" w:rsidRPr="00252938" w:rsidRDefault="00D02801" w:rsidP="00252938">
      <w:pPr>
        <w:pStyle w:val="ListParagraph"/>
        <w:numPr>
          <w:ilvl w:val="1"/>
          <w:numId w:val="44"/>
        </w:numPr>
        <w:rPr>
          <w:rFonts w:ascii="Verdana" w:hAnsi="Verdana"/>
        </w:rPr>
      </w:pPr>
      <w:r>
        <w:rPr>
          <w:rFonts w:ascii="Verdana" w:hAnsi="Verdana"/>
        </w:rPr>
        <w:t xml:space="preserve">These plans are often referred to as a </w:t>
      </w:r>
      <w:r w:rsidRPr="00D02801">
        <w:rPr>
          <w:rFonts w:ascii="Verdana" w:hAnsi="Verdana"/>
          <w:b/>
          <w:bCs/>
        </w:rPr>
        <w:t>Prescription Drug Plan (PDP)</w:t>
      </w:r>
      <w:r w:rsidR="00F51A71">
        <w:rPr>
          <w:rFonts w:ascii="Verdana" w:hAnsi="Verdana"/>
        </w:rPr>
        <w:t>.</w:t>
      </w:r>
    </w:p>
    <w:p w14:paraId="38243456" w14:textId="77777777" w:rsidR="00DA03BD" w:rsidRPr="00DA03BD" w:rsidRDefault="00DA03BD" w:rsidP="00DA03BD">
      <w:pPr>
        <w:rPr>
          <w:rFonts w:ascii="Verdana" w:hAnsi="Verdana"/>
        </w:rPr>
      </w:pPr>
    </w:p>
    <w:p w14:paraId="79DC9526" w14:textId="4D55774C" w:rsidR="00252938" w:rsidRPr="00252938" w:rsidRDefault="00252938" w:rsidP="00D162AA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251402">
        <w:rPr>
          <w:rFonts w:ascii="Verdana" w:hAnsi="Verdana"/>
          <w:b/>
          <w:bCs/>
        </w:rPr>
        <w:t>Medicare Advantage Plans or other Medicare health plans with drug coverage</w:t>
      </w:r>
      <w:r w:rsidRPr="00252938">
        <w:rPr>
          <w:rFonts w:ascii="Verdana" w:hAnsi="Verdana"/>
        </w:rPr>
        <w:t xml:space="preserve"> </w:t>
      </w:r>
    </w:p>
    <w:p w14:paraId="260403C8" w14:textId="77777777" w:rsidR="00252938" w:rsidRDefault="00252938" w:rsidP="00252938">
      <w:pPr>
        <w:pStyle w:val="ListParagraph"/>
        <w:numPr>
          <w:ilvl w:val="1"/>
          <w:numId w:val="44"/>
        </w:numPr>
        <w:rPr>
          <w:rFonts w:ascii="Verdana" w:hAnsi="Verdana"/>
        </w:rPr>
      </w:pPr>
      <w:r>
        <w:rPr>
          <w:rFonts w:ascii="Verdana" w:hAnsi="Verdana"/>
        </w:rPr>
        <w:t>These plan provide</w:t>
      </w:r>
      <w:r w:rsidRPr="00252938">
        <w:rPr>
          <w:rFonts w:ascii="Verdana" w:hAnsi="Verdana"/>
        </w:rPr>
        <w:t xml:space="preserve"> Part A, Part B, and Medicare drug coverage (Part D) through these plans. </w:t>
      </w:r>
    </w:p>
    <w:p w14:paraId="61CF62B6" w14:textId="14B82DD1" w:rsidR="00DA03BD" w:rsidRDefault="00252938" w:rsidP="00252938">
      <w:pPr>
        <w:pStyle w:val="ListParagraph"/>
        <w:numPr>
          <w:ilvl w:val="1"/>
          <w:numId w:val="44"/>
        </w:numPr>
        <w:rPr>
          <w:rFonts w:ascii="Verdana" w:hAnsi="Verdana"/>
        </w:rPr>
      </w:pPr>
      <w:r>
        <w:rPr>
          <w:rFonts w:ascii="Verdana" w:hAnsi="Verdana"/>
        </w:rPr>
        <w:t xml:space="preserve">The beneficiary </w:t>
      </w:r>
      <w:r w:rsidRPr="00252938">
        <w:rPr>
          <w:rFonts w:ascii="Verdana" w:hAnsi="Verdana"/>
        </w:rPr>
        <w:t>must have Part A and Part B</w:t>
      </w:r>
      <w:r>
        <w:rPr>
          <w:rFonts w:ascii="Verdana" w:hAnsi="Verdana"/>
        </w:rPr>
        <w:t xml:space="preserve"> </w:t>
      </w:r>
      <w:r w:rsidRPr="00252938">
        <w:rPr>
          <w:rFonts w:ascii="Verdana" w:hAnsi="Verdana"/>
        </w:rPr>
        <w:t>to join a Me</w:t>
      </w:r>
      <w:r>
        <w:rPr>
          <w:rFonts w:ascii="Verdana" w:hAnsi="Verdana"/>
        </w:rPr>
        <w:t xml:space="preserve">dicare Advantage Plan, and not </w:t>
      </w:r>
      <w:proofErr w:type="gramStart"/>
      <w:r>
        <w:rPr>
          <w:rFonts w:ascii="Verdana" w:hAnsi="Verdana"/>
        </w:rPr>
        <w:t>all of</w:t>
      </w:r>
      <w:proofErr w:type="gramEnd"/>
      <w:r>
        <w:rPr>
          <w:rFonts w:ascii="Verdana" w:hAnsi="Verdana"/>
        </w:rPr>
        <w:t xml:space="preserve"> these plans offer drug coverage.</w:t>
      </w:r>
    </w:p>
    <w:p w14:paraId="662C840E" w14:textId="0A405213" w:rsidR="00D02801" w:rsidRPr="00D02801" w:rsidRDefault="00D02801" w:rsidP="00D02801">
      <w:pPr>
        <w:pStyle w:val="ListParagraph"/>
        <w:numPr>
          <w:ilvl w:val="1"/>
          <w:numId w:val="44"/>
        </w:numPr>
        <w:rPr>
          <w:rFonts w:ascii="Verdana" w:hAnsi="Verdana"/>
        </w:rPr>
      </w:pPr>
      <w:r w:rsidRPr="00D02801">
        <w:rPr>
          <w:rFonts w:ascii="Verdana" w:hAnsi="Verdana"/>
        </w:rPr>
        <w:t xml:space="preserve">Plans with prescription drug coverage are often referred to as a </w:t>
      </w:r>
      <w:r w:rsidRPr="00D02801">
        <w:rPr>
          <w:rFonts w:ascii="Verdana" w:hAnsi="Verdana"/>
          <w:b/>
          <w:bCs/>
        </w:rPr>
        <w:t>Medicare Advantage Prescription Drug Plan (MAPD)</w:t>
      </w:r>
      <w:r w:rsidR="00F51A71">
        <w:rPr>
          <w:rFonts w:ascii="Verdana" w:hAnsi="Verdana"/>
        </w:rPr>
        <w:t>.</w:t>
      </w:r>
    </w:p>
    <w:p w14:paraId="139F3B4E" w14:textId="443A4878" w:rsidR="00251402" w:rsidRPr="00D02801" w:rsidRDefault="00D02801" w:rsidP="004338AA">
      <w:pPr>
        <w:pStyle w:val="ListParagraph"/>
        <w:numPr>
          <w:ilvl w:val="1"/>
          <w:numId w:val="44"/>
        </w:numPr>
        <w:rPr>
          <w:rFonts w:ascii="Verdana" w:hAnsi="Verdana"/>
        </w:rPr>
      </w:pPr>
      <w:r w:rsidRPr="00D02801">
        <w:rPr>
          <w:rFonts w:ascii="Verdana" w:hAnsi="Verdana"/>
        </w:rPr>
        <w:t xml:space="preserve">Some beneficiaries may enroll into a </w:t>
      </w:r>
      <w:r w:rsidR="00251402" w:rsidRPr="00D02801">
        <w:rPr>
          <w:rFonts w:ascii="Verdana" w:hAnsi="Verdana"/>
          <w:b/>
          <w:bCs/>
        </w:rPr>
        <w:t>Medicare</w:t>
      </w:r>
      <w:r w:rsidR="00252938" w:rsidRPr="00D02801">
        <w:rPr>
          <w:rFonts w:ascii="Verdana" w:hAnsi="Verdana"/>
          <w:b/>
          <w:bCs/>
        </w:rPr>
        <w:t xml:space="preserve"> Medicaid Plan</w:t>
      </w:r>
      <w:r w:rsidR="00251402" w:rsidRPr="00D02801">
        <w:rPr>
          <w:rFonts w:ascii="Verdana" w:hAnsi="Verdana"/>
          <w:b/>
          <w:bCs/>
        </w:rPr>
        <w:t xml:space="preserve"> (MMP)</w:t>
      </w:r>
      <w:r>
        <w:rPr>
          <w:rFonts w:ascii="Verdana" w:hAnsi="Verdana"/>
        </w:rPr>
        <w:t xml:space="preserve">, which provides coordinated Medicare and Medicaid benefits for dually eligible individuals. </w:t>
      </w:r>
    </w:p>
    <w:p w14:paraId="3830FACC" w14:textId="77777777" w:rsidR="00251402" w:rsidRDefault="00251402" w:rsidP="00DA03BD">
      <w:pPr>
        <w:rPr>
          <w:rFonts w:ascii="Verdana" w:hAnsi="Verdana"/>
        </w:rPr>
      </w:pPr>
    </w:p>
    <w:p w14:paraId="214E4F3A" w14:textId="5D6634C2" w:rsidR="00D02801" w:rsidRDefault="00DE6CEB" w:rsidP="00D02801">
      <w:pPr>
        <w:jc w:val="right"/>
        <w:rPr>
          <w:rFonts w:ascii="Verdana" w:hAnsi="Verdana"/>
        </w:rPr>
      </w:pPr>
      <w:hyperlink w:anchor="_top" w:history="1">
        <w:r w:rsidR="00D0280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02801" w14:paraId="085FD296" w14:textId="77777777" w:rsidTr="00B8307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4223AF" w14:textId="3B599761" w:rsidR="00D02801" w:rsidRDefault="000267C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2" w:name="_Toc152679653"/>
            <w:r>
              <w:rPr>
                <w:rFonts w:ascii="Verdana" w:hAnsi="Verdana"/>
                <w:i w:val="0"/>
              </w:rPr>
              <w:t>Additional References</w:t>
            </w:r>
            <w:bookmarkEnd w:id="12"/>
          </w:p>
        </w:tc>
      </w:tr>
    </w:tbl>
    <w:p w14:paraId="41F3A925" w14:textId="4118D567" w:rsidR="00B83078" w:rsidRDefault="00DE6CEB" w:rsidP="00B83078">
      <w:pPr>
        <w:textAlignment w:val="center"/>
        <w:rPr>
          <w:rFonts w:ascii="Verdana" w:hAnsi="Verdana" w:cs="Helvetica"/>
          <w:color w:val="000000"/>
        </w:rPr>
      </w:pPr>
      <w:hyperlink r:id="rId12" w:history="1">
        <w:r w:rsidR="00B83078">
          <w:rPr>
            <w:rStyle w:val="Hyperlink"/>
            <w:rFonts w:ascii="Verdana" w:hAnsi="Verdana" w:cs="Helvetica"/>
          </w:rPr>
          <w:t xml:space="preserve">MED D - ICL, Coverage Gap, </w:t>
        </w:r>
        <w:proofErr w:type="spellStart"/>
        <w:r w:rsidR="00B83078">
          <w:rPr>
            <w:rStyle w:val="Hyperlink"/>
            <w:rFonts w:ascii="Verdana" w:hAnsi="Verdana" w:cs="Helvetica"/>
          </w:rPr>
          <w:t>TrOOP</w:t>
        </w:r>
        <w:proofErr w:type="spellEnd"/>
        <w:r w:rsidR="00B83078">
          <w:rPr>
            <w:rStyle w:val="Hyperlink"/>
            <w:rFonts w:ascii="Verdana" w:hAnsi="Verdana" w:cs="Helvetica"/>
          </w:rPr>
          <w:t>, Catastrophic Coverage</w:t>
        </w:r>
      </w:hyperlink>
    </w:p>
    <w:p w14:paraId="3BACC02A" w14:textId="06E9570D" w:rsidR="00B83078" w:rsidRDefault="00DE6CEB" w:rsidP="00B83078">
      <w:pPr>
        <w:textAlignment w:val="center"/>
        <w:rPr>
          <w:rFonts w:ascii="Verdana" w:hAnsi="Verdana" w:cs="Helvetica"/>
          <w:color w:val="000000"/>
        </w:rPr>
      </w:pPr>
      <w:hyperlink r:id="rId13" w:history="1">
        <w:r w:rsidR="00B83078">
          <w:rPr>
            <w:rStyle w:val="Hyperlink"/>
            <w:rFonts w:ascii="Verdana" w:hAnsi="Verdana" w:cs="Helvetica"/>
          </w:rPr>
          <w:t>MED D - 4 Stages of Medicare Part D Coverage</w:t>
        </w:r>
      </w:hyperlink>
    </w:p>
    <w:p w14:paraId="1FE3962D" w14:textId="3C577E2C" w:rsidR="000267C5" w:rsidRPr="000267C5" w:rsidRDefault="00DE6CEB" w:rsidP="000267C5">
      <w:pPr>
        <w:textAlignment w:val="center"/>
        <w:rPr>
          <w:rFonts w:ascii="Verdana" w:hAnsi="Verdana" w:cs="Helvetica"/>
          <w:color w:val="000000"/>
        </w:rPr>
      </w:pPr>
      <w:hyperlink r:id="rId14" w:history="1">
        <w:r w:rsidR="000267C5" w:rsidRPr="000267C5">
          <w:rPr>
            <w:rStyle w:val="Hyperlink"/>
            <w:rFonts w:ascii="Verdana" w:hAnsi="Verdana" w:cs="Helvetica"/>
          </w:rPr>
          <w:t>MED D - SilverScript Late Enrollment Penalty (LEP) (CCR Only)</w:t>
        </w:r>
      </w:hyperlink>
    </w:p>
    <w:p w14:paraId="58AA4230" w14:textId="55C88361" w:rsidR="000267C5" w:rsidRPr="000267C5" w:rsidRDefault="00DE6CEB" w:rsidP="000267C5">
      <w:pPr>
        <w:textAlignment w:val="center"/>
        <w:rPr>
          <w:rFonts w:ascii="Verdana" w:hAnsi="Verdana" w:cs="Helvetica"/>
          <w:color w:val="000000"/>
        </w:rPr>
      </w:pPr>
      <w:hyperlink r:id="rId15" w:history="1">
        <w:r w:rsidR="000267C5" w:rsidRPr="000267C5">
          <w:rPr>
            <w:rStyle w:val="Hyperlink"/>
            <w:rFonts w:ascii="Verdana" w:hAnsi="Verdana" w:cs="Helvetica"/>
          </w:rPr>
          <w:t>MED D - Blue MedicareRx (NEJE) Late Enrollment Penalty (LEP)</w:t>
        </w:r>
      </w:hyperlink>
    </w:p>
    <w:p w14:paraId="37B89A6E" w14:textId="485516E4" w:rsidR="000267C5" w:rsidRPr="000267C5" w:rsidRDefault="00DE6CEB" w:rsidP="000267C5">
      <w:pPr>
        <w:textAlignment w:val="center"/>
        <w:rPr>
          <w:rFonts w:ascii="Verdana" w:hAnsi="Verdana" w:cs="Helvetica"/>
          <w:color w:val="000000"/>
        </w:rPr>
      </w:pPr>
      <w:hyperlink r:id="rId16" w:history="1">
        <w:r w:rsidR="000267C5" w:rsidRPr="000267C5">
          <w:rPr>
            <w:rStyle w:val="Hyperlink"/>
            <w:rFonts w:ascii="Verdana" w:hAnsi="Verdana" w:cs="Helvetica"/>
          </w:rPr>
          <w:t>MED D - Low Income Subsidy (LIS) Informational Overview</w:t>
        </w:r>
      </w:hyperlink>
    </w:p>
    <w:p w14:paraId="47CD3208" w14:textId="7BB41930" w:rsidR="000267C5" w:rsidRPr="000267C5" w:rsidRDefault="00DE6CEB" w:rsidP="000267C5">
      <w:pPr>
        <w:textAlignment w:val="center"/>
        <w:rPr>
          <w:rFonts w:ascii="Verdana" w:hAnsi="Verdana" w:cs="Helvetica"/>
          <w:color w:val="000000"/>
        </w:rPr>
      </w:pPr>
      <w:hyperlink r:id="rId17" w:history="1">
        <w:r w:rsidR="000267C5" w:rsidRPr="000267C5">
          <w:rPr>
            <w:rStyle w:val="Hyperlink"/>
            <w:rFonts w:ascii="Verdana" w:hAnsi="Verdana" w:cs="Helvetica"/>
          </w:rPr>
          <w:t>MED D - Income Related Monthly Adjustment Amount (D-IRMAA)</w:t>
        </w:r>
      </w:hyperlink>
    </w:p>
    <w:p w14:paraId="33D614F8" w14:textId="77777777" w:rsidR="00E569F2" w:rsidRPr="00E569F2" w:rsidRDefault="00E569F2" w:rsidP="00E569F2">
      <w:pPr>
        <w:jc w:val="center"/>
        <w:rPr>
          <w:rFonts w:ascii="Verdana" w:hAnsi="Verdana"/>
        </w:rPr>
      </w:pPr>
    </w:p>
    <w:p w14:paraId="785EDDA1" w14:textId="7B457CEA" w:rsidR="003414D9" w:rsidRPr="0071457B" w:rsidRDefault="003414D9" w:rsidP="00E569F2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>Not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To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Be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Reproduced</w:t>
      </w:r>
      <w:r w:rsidR="007C5C1A">
        <w:rPr>
          <w:rFonts w:ascii="Verdana" w:hAnsi="Verdana"/>
          <w:sz w:val="16"/>
          <w:szCs w:val="16"/>
        </w:rPr>
        <w:t xml:space="preserve"> </w:t>
      </w:r>
      <w:proofErr w:type="gramStart"/>
      <w:r w:rsidRPr="0071457B">
        <w:rPr>
          <w:rFonts w:ascii="Verdana" w:hAnsi="Verdana"/>
          <w:sz w:val="16"/>
          <w:szCs w:val="16"/>
        </w:rPr>
        <w:t>Or</w:t>
      </w:r>
      <w:proofErr w:type="gramEnd"/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Disclosed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to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Others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Without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Prior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Written</w:t>
      </w:r>
      <w:r w:rsidR="007C5C1A">
        <w:rPr>
          <w:rFonts w:ascii="Verdana" w:hAnsi="Verdana"/>
          <w:sz w:val="16"/>
          <w:szCs w:val="16"/>
        </w:rPr>
        <w:t xml:space="preserve"> </w:t>
      </w:r>
      <w:r w:rsidRPr="0071457B">
        <w:rPr>
          <w:rFonts w:ascii="Verdana" w:hAnsi="Verdana"/>
          <w:sz w:val="16"/>
          <w:szCs w:val="16"/>
        </w:rPr>
        <w:t>Approval</w:t>
      </w:r>
    </w:p>
    <w:p w14:paraId="69E0136C" w14:textId="47372F7D" w:rsidR="003414D9" w:rsidRDefault="003414D9" w:rsidP="00E569F2">
      <w:pPr>
        <w:jc w:val="center"/>
      </w:pPr>
      <w:r w:rsidRPr="0071457B">
        <w:rPr>
          <w:rFonts w:ascii="Verdana" w:hAnsi="Verdana"/>
          <w:b/>
          <w:color w:val="000000"/>
          <w:sz w:val="16"/>
          <w:szCs w:val="16"/>
        </w:rPr>
        <w:t>ELECTRONIC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DATA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=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OFFICIAL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VERSION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PAPER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COPY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INFORMATIONAL</w:t>
      </w:r>
      <w:r w:rsidR="007C5C1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71457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75B6" w14:textId="77777777" w:rsidR="00FB54B7" w:rsidRDefault="00FB54B7" w:rsidP="007C5C1A">
      <w:r>
        <w:separator/>
      </w:r>
    </w:p>
  </w:endnote>
  <w:endnote w:type="continuationSeparator" w:id="0">
    <w:p w14:paraId="387DC6BD" w14:textId="77777777" w:rsidR="00FB54B7" w:rsidRDefault="00FB54B7" w:rsidP="007C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B64A" w14:textId="77777777" w:rsidR="00FB54B7" w:rsidRDefault="00FB54B7" w:rsidP="007C5C1A">
      <w:r>
        <w:separator/>
      </w:r>
    </w:p>
  </w:footnote>
  <w:footnote w:type="continuationSeparator" w:id="0">
    <w:p w14:paraId="65C545A9" w14:textId="77777777" w:rsidR="00FB54B7" w:rsidRDefault="00FB54B7" w:rsidP="007C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72E"/>
    <w:multiLevelType w:val="hybridMultilevel"/>
    <w:tmpl w:val="EF7AA2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E7A84"/>
    <w:multiLevelType w:val="hybridMultilevel"/>
    <w:tmpl w:val="E6B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946D2"/>
    <w:multiLevelType w:val="hybridMultilevel"/>
    <w:tmpl w:val="9C46A1AE"/>
    <w:lvl w:ilvl="0" w:tplc="2A6486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014840"/>
    <w:multiLevelType w:val="hybridMultilevel"/>
    <w:tmpl w:val="49F0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10BD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61BF2"/>
    <w:multiLevelType w:val="hybridMultilevel"/>
    <w:tmpl w:val="B6C6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5A6930"/>
    <w:multiLevelType w:val="hybridMultilevel"/>
    <w:tmpl w:val="62A8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1DF4134"/>
    <w:multiLevelType w:val="hybridMultilevel"/>
    <w:tmpl w:val="6EA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217FB1"/>
    <w:multiLevelType w:val="hybridMultilevel"/>
    <w:tmpl w:val="A5F06830"/>
    <w:lvl w:ilvl="0" w:tplc="87CAC784">
      <w:start w:val="1"/>
      <w:numFmt w:val="decimal"/>
      <w:lvlText w:val="%1."/>
      <w:lvlJc w:val="left"/>
      <w:pPr>
        <w:ind w:left="720" w:hanging="360"/>
      </w:pPr>
      <w:rPr>
        <w:rFonts w:hint="default"/>
        <w:color w:val="0F0F0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B7EA5"/>
    <w:multiLevelType w:val="hybridMultilevel"/>
    <w:tmpl w:val="A5AC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112929"/>
    <w:multiLevelType w:val="hybridMultilevel"/>
    <w:tmpl w:val="DFD4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0BD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E395C"/>
    <w:multiLevelType w:val="hybridMultilevel"/>
    <w:tmpl w:val="6AA6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BF7029"/>
    <w:multiLevelType w:val="hybridMultilevel"/>
    <w:tmpl w:val="F128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04391">
    <w:abstractNumId w:val="6"/>
  </w:num>
  <w:num w:numId="2" w16cid:durableId="1840196654">
    <w:abstractNumId w:val="31"/>
  </w:num>
  <w:num w:numId="3" w16cid:durableId="1276137296">
    <w:abstractNumId w:val="2"/>
  </w:num>
  <w:num w:numId="4" w16cid:durableId="1125343318">
    <w:abstractNumId w:val="17"/>
  </w:num>
  <w:num w:numId="5" w16cid:durableId="649753908">
    <w:abstractNumId w:val="40"/>
  </w:num>
  <w:num w:numId="6" w16cid:durableId="1241058843">
    <w:abstractNumId w:val="3"/>
  </w:num>
  <w:num w:numId="7" w16cid:durableId="1159540477">
    <w:abstractNumId w:val="36"/>
  </w:num>
  <w:num w:numId="8" w16cid:durableId="1976444646">
    <w:abstractNumId w:val="30"/>
  </w:num>
  <w:num w:numId="9" w16cid:durableId="316108947">
    <w:abstractNumId w:val="14"/>
  </w:num>
  <w:num w:numId="10" w16cid:durableId="149828279">
    <w:abstractNumId w:val="16"/>
  </w:num>
  <w:num w:numId="11" w16cid:durableId="947739486">
    <w:abstractNumId w:val="32"/>
  </w:num>
  <w:num w:numId="12" w16cid:durableId="1350982069">
    <w:abstractNumId w:val="25"/>
  </w:num>
  <w:num w:numId="13" w16cid:durableId="789007820">
    <w:abstractNumId w:val="37"/>
  </w:num>
  <w:num w:numId="14" w16cid:durableId="325019509">
    <w:abstractNumId w:val="21"/>
  </w:num>
  <w:num w:numId="15" w16cid:durableId="1523282924">
    <w:abstractNumId w:val="24"/>
  </w:num>
  <w:num w:numId="16" w16cid:durableId="1610117754">
    <w:abstractNumId w:val="20"/>
  </w:num>
  <w:num w:numId="17" w16cid:durableId="1568221710">
    <w:abstractNumId w:val="10"/>
  </w:num>
  <w:num w:numId="18" w16cid:durableId="1671760099">
    <w:abstractNumId w:val="1"/>
  </w:num>
  <w:num w:numId="19" w16cid:durableId="702246957">
    <w:abstractNumId w:val="26"/>
  </w:num>
  <w:num w:numId="20" w16cid:durableId="1533297515">
    <w:abstractNumId w:val="15"/>
  </w:num>
  <w:num w:numId="21" w16cid:durableId="1028988306">
    <w:abstractNumId w:val="22"/>
  </w:num>
  <w:num w:numId="22" w16cid:durableId="1830098399">
    <w:abstractNumId w:val="9"/>
  </w:num>
  <w:num w:numId="23" w16cid:durableId="1036269365">
    <w:abstractNumId w:val="19"/>
  </w:num>
  <w:num w:numId="24" w16cid:durableId="988678925">
    <w:abstractNumId w:val="33"/>
  </w:num>
  <w:num w:numId="25" w16cid:durableId="1180315862">
    <w:abstractNumId w:val="35"/>
  </w:num>
  <w:num w:numId="26" w16cid:durableId="1777483348">
    <w:abstractNumId w:val="7"/>
  </w:num>
  <w:num w:numId="27" w16cid:durableId="430318632">
    <w:abstractNumId w:val="12"/>
  </w:num>
  <w:num w:numId="28" w16cid:durableId="1829205416">
    <w:abstractNumId w:val="11"/>
  </w:num>
  <w:num w:numId="29" w16cid:durableId="871528138">
    <w:abstractNumId w:val="34"/>
  </w:num>
  <w:num w:numId="30" w16cid:durableId="511409137">
    <w:abstractNumId w:val="28"/>
  </w:num>
  <w:num w:numId="31" w16cid:durableId="436483535">
    <w:abstractNumId w:val="18"/>
  </w:num>
  <w:num w:numId="32" w16cid:durableId="5872026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79324329">
    <w:abstractNumId w:val="41"/>
  </w:num>
  <w:num w:numId="34" w16cid:durableId="498622384">
    <w:abstractNumId w:val="4"/>
  </w:num>
  <w:num w:numId="35" w16cid:durableId="1731003884">
    <w:abstractNumId w:val="13"/>
  </w:num>
  <w:num w:numId="36" w16cid:durableId="227569541">
    <w:abstractNumId w:val="39"/>
  </w:num>
  <w:num w:numId="37" w16cid:durableId="1204290497">
    <w:abstractNumId w:val="29"/>
  </w:num>
  <w:num w:numId="38" w16cid:durableId="1861812996">
    <w:abstractNumId w:val="27"/>
  </w:num>
  <w:num w:numId="39" w16cid:durableId="1746682127">
    <w:abstractNumId w:val="23"/>
  </w:num>
  <w:num w:numId="40" w16cid:durableId="205289791">
    <w:abstractNumId w:val="23"/>
  </w:num>
  <w:num w:numId="41" w16cid:durableId="498884503">
    <w:abstractNumId w:val="18"/>
  </w:num>
  <w:num w:numId="42" w16cid:durableId="1029143089">
    <w:abstractNumId w:val="0"/>
  </w:num>
  <w:num w:numId="43" w16cid:durableId="2029260305">
    <w:abstractNumId w:val="38"/>
  </w:num>
  <w:num w:numId="44" w16cid:durableId="19840035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267C5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140B"/>
    <w:rsid w:val="00103AEC"/>
    <w:rsid w:val="00111D9C"/>
    <w:rsid w:val="00112998"/>
    <w:rsid w:val="00113A5A"/>
    <w:rsid w:val="0011739F"/>
    <w:rsid w:val="0013218F"/>
    <w:rsid w:val="00136C1D"/>
    <w:rsid w:val="001427CE"/>
    <w:rsid w:val="00146CA0"/>
    <w:rsid w:val="00147812"/>
    <w:rsid w:val="00152FA6"/>
    <w:rsid w:val="00165A5A"/>
    <w:rsid w:val="00173802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6C1B"/>
    <w:rsid w:val="00222EB4"/>
    <w:rsid w:val="00232153"/>
    <w:rsid w:val="002355B1"/>
    <w:rsid w:val="00243946"/>
    <w:rsid w:val="00251402"/>
    <w:rsid w:val="002525D0"/>
    <w:rsid w:val="00252938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B31FA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F05CD"/>
    <w:rsid w:val="003F5F0F"/>
    <w:rsid w:val="00411197"/>
    <w:rsid w:val="004135B9"/>
    <w:rsid w:val="004279E0"/>
    <w:rsid w:val="00430FD8"/>
    <w:rsid w:val="00440B72"/>
    <w:rsid w:val="004419F2"/>
    <w:rsid w:val="0046564E"/>
    <w:rsid w:val="00496A93"/>
    <w:rsid w:val="004A050A"/>
    <w:rsid w:val="004A0B39"/>
    <w:rsid w:val="004A7880"/>
    <w:rsid w:val="004C7C74"/>
    <w:rsid w:val="004D4F7D"/>
    <w:rsid w:val="004D6F62"/>
    <w:rsid w:val="004E1C73"/>
    <w:rsid w:val="004E7199"/>
    <w:rsid w:val="004F66D6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83E3D"/>
    <w:rsid w:val="0059366A"/>
    <w:rsid w:val="00593EA4"/>
    <w:rsid w:val="005B07DA"/>
    <w:rsid w:val="005B1455"/>
    <w:rsid w:val="005B34AE"/>
    <w:rsid w:val="005C2079"/>
    <w:rsid w:val="005C487E"/>
    <w:rsid w:val="005D127B"/>
    <w:rsid w:val="005D42D0"/>
    <w:rsid w:val="005E11ED"/>
    <w:rsid w:val="005E602B"/>
    <w:rsid w:val="005E6994"/>
    <w:rsid w:val="005E73AD"/>
    <w:rsid w:val="005F2E73"/>
    <w:rsid w:val="005F2EFA"/>
    <w:rsid w:val="006120A1"/>
    <w:rsid w:val="00626007"/>
    <w:rsid w:val="0062723F"/>
    <w:rsid w:val="00630FE9"/>
    <w:rsid w:val="00644370"/>
    <w:rsid w:val="0067441D"/>
    <w:rsid w:val="006778FA"/>
    <w:rsid w:val="00686541"/>
    <w:rsid w:val="00691F28"/>
    <w:rsid w:val="00693CA2"/>
    <w:rsid w:val="006966E6"/>
    <w:rsid w:val="006A7774"/>
    <w:rsid w:val="006B5F6D"/>
    <w:rsid w:val="006C1CBD"/>
    <w:rsid w:val="006E32DD"/>
    <w:rsid w:val="00701FF0"/>
    <w:rsid w:val="00715DA1"/>
    <w:rsid w:val="00716297"/>
    <w:rsid w:val="00716884"/>
    <w:rsid w:val="00725672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C327C"/>
    <w:rsid w:val="007C5C1A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517F0"/>
    <w:rsid w:val="00851DB6"/>
    <w:rsid w:val="00856A87"/>
    <w:rsid w:val="00864578"/>
    <w:rsid w:val="00866E0A"/>
    <w:rsid w:val="00873A48"/>
    <w:rsid w:val="008741DE"/>
    <w:rsid w:val="00875302"/>
    <w:rsid w:val="00880DC5"/>
    <w:rsid w:val="00885FE5"/>
    <w:rsid w:val="008A2EBF"/>
    <w:rsid w:val="008C19AE"/>
    <w:rsid w:val="008C3B97"/>
    <w:rsid w:val="008C4DAC"/>
    <w:rsid w:val="008C6277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774A8"/>
    <w:rsid w:val="00986297"/>
    <w:rsid w:val="00996F4D"/>
    <w:rsid w:val="009B0074"/>
    <w:rsid w:val="009B3759"/>
    <w:rsid w:val="009C3704"/>
    <w:rsid w:val="009D0137"/>
    <w:rsid w:val="009E082D"/>
    <w:rsid w:val="009E2D1B"/>
    <w:rsid w:val="009E3E01"/>
    <w:rsid w:val="00A00E73"/>
    <w:rsid w:val="00A01C58"/>
    <w:rsid w:val="00A04A3E"/>
    <w:rsid w:val="00A12366"/>
    <w:rsid w:val="00A15E55"/>
    <w:rsid w:val="00A37523"/>
    <w:rsid w:val="00A41892"/>
    <w:rsid w:val="00A45D84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3C07"/>
    <w:rsid w:val="00AB3E38"/>
    <w:rsid w:val="00AB3FBB"/>
    <w:rsid w:val="00AB5041"/>
    <w:rsid w:val="00AC4440"/>
    <w:rsid w:val="00AC76CD"/>
    <w:rsid w:val="00AD2A9D"/>
    <w:rsid w:val="00AD3C75"/>
    <w:rsid w:val="00AF3C92"/>
    <w:rsid w:val="00AF75FA"/>
    <w:rsid w:val="00B11910"/>
    <w:rsid w:val="00B24FE5"/>
    <w:rsid w:val="00B271DE"/>
    <w:rsid w:val="00B27207"/>
    <w:rsid w:val="00B3052E"/>
    <w:rsid w:val="00B4496A"/>
    <w:rsid w:val="00B55058"/>
    <w:rsid w:val="00B6318B"/>
    <w:rsid w:val="00B640F7"/>
    <w:rsid w:val="00B64B4C"/>
    <w:rsid w:val="00B672D1"/>
    <w:rsid w:val="00B72219"/>
    <w:rsid w:val="00B73604"/>
    <w:rsid w:val="00B82EBF"/>
    <w:rsid w:val="00B83078"/>
    <w:rsid w:val="00B9335B"/>
    <w:rsid w:val="00B943D6"/>
    <w:rsid w:val="00BA5A93"/>
    <w:rsid w:val="00BC326F"/>
    <w:rsid w:val="00BC34EA"/>
    <w:rsid w:val="00BC6206"/>
    <w:rsid w:val="00BD1B32"/>
    <w:rsid w:val="00BD2AB5"/>
    <w:rsid w:val="00BE22E8"/>
    <w:rsid w:val="00BE6662"/>
    <w:rsid w:val="00BF5C0B"/>
    <w:rsid w:val="00C0225C"/>
    <w:rsid w:val="00C07298"/>
    <w:rsid w:val="00C366FC"/>
    <w:rsid w:val="00C37F98"/>
    <w:rsid w:val="00C656F1"/>
    <w:rsid w:val="00C83C63"/>
    <w:rsid w:val="00C87330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D02801"/>
    <w:rsid w:val="00D033DE"/>
    <w:rsid w:val="00D05AA7"/>
    <w:rsid w:val="00D162B0"/>
    <w:rsid w:val="00D23128"/>
    <w:rsid w:val="00D3045F"/>
    <w:rsid w:val="00D41DF4"/>
    <w:rsid w:val="00D65132"/>
    <w:rsid w:val="00D6562C"/>
    <w:rsid w:val="00D66D2E"/>
    <w:rsid w:val="00D67611"/>
    <w:rsid w:val="00D76F2E"/>
    <w:rsid w:val="00D8509C"/>
    <w:rsid w:val="00D85478"/>
    <w:rsid w:val="00D9480F"/>
    <w:rsid w:val="00DA03BD"/>
    <w:rsid w:val="00DA7C37"/>
    <w:rsid w:val="00DB4B07"/>
    <w:rsid w:val="00DB5906"/>
    <w:rsid w:val="00DC6DCF"/>
    <w:rsid w:val="00DE6CEB"/>
    <w:rsid w:val="00DF2836"/>
    <w:rsid w:val="00E018FC"/>
    <w:rsid w:val="00E0783B"/>
    <w:rsid w:val="00E10958"/>
    <w:rsid w:val="00E11908"/>
    <w:rsid w:val="00E3202C"/>
    <w:rsid w:val="00E50148"/>
    <w:rsid w:val="00E505CD"/>
    <w:rsid w:val="00E5147F"/>
    <w:rsid w:val="00E569F2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F0EBC"/>
    <w:rsid w:val="00EF7747"/>
    <w:rsid w:val="00F25743"/>
    <w:rsid w:val="00F27518"/>
    <w:rsid w:val="00F32637"/>
    <w:rsid w:val="00F3710D"/>
    <w:rsid w:val="00F37692"/>
    <w:rsid w:val="00F40503"/>
    <w:rsid w:val="00F5178C"/>
    <w:rsid w:val="00F51A71"/>
    <w:rsid w:val="00F55D9A"/>
    <w:rsid w:val="00F55E62"/>
    <w:rsid w:val="00F5770B"/>
    <w:rsid w:val="00F731E2"/>
    <w:rsid w:val="00F775F2"/>
    <w:rsid w:val="00F824F0"/>
    <w:rsid w:val="00F8386D"/>
    <w:rsid w:val="00F86A35"/>
    <w:rsid w:val="00F87904"/>
    <w:rsid w:val="00FA67F8"/>
    <w:rsid w:val="00FA7AF9"/>
    <w:rsid w:val="00FB54B7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418849"/>
  <w15:chartTrackingRefBased/>
  <w15:docId w15:val="{FAD8778E-1DFE-4E56-B424-3961F84A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31FA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0267C5"/>
    <w:pPr>
      <w:spacing w:before="100" w:beforeAutospacing="1" w:after="100" w:afterAutospacing="1"/>
    </w:pPr>
  </w:style>
  <w:style w:type="character" w:customStyle="1" w:styleId="content-id">
    <w:name w:val="content-id"/>
    <w:basedOn w:val="DefaultParagraphFont"/>
    <w:rsid w:val="0002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587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689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56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348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64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676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8449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868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56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081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TSRC-PROD-021776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TSRC-PROD-022972" TargetMode="External"/><Relationship Id="rId17" Type="http://schemas.openxmlformats.org/officeDocument/2006/relationships/hyperlink" Target="CMS-PCP1-04155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MS-PCP1-018616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CMS-PCP1-024700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TSRC-PROD-0453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56D1D-2B47-4D7C-B801-E2398E2A4F0F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5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3198</Characters>
  <Application>Microsoft Office Word</Application>
  <DocSecurity>0</DocSecurity>
  <Lines>83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3771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_Toc71110310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_Toc71110309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_Toc71110308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Kristoff, Angel T</cp:lastModifiedBy>
  <cp:revision>2</cp:revision>
  <dcterms:created xsi:type="dcterms:W3CDTF">2023-12-05T19:40:00Z</dcterms:created>
  <dcterms:modified xsi:type="dcterms:W3CDTF">2023-12-05T19:40:00Z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2021-11-18T12:55:13Z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7638bb0f-00ca-4931-9c38-a4b1b78c3e11</vt:lpwstr>
  </property>
  <property fmtid="{D5CDD505-2E9C-101B-9397-08002B2CF9AE}" pid="9" name="MSIP_Label_67599526-06ca-49cc-9fa9-5307800a949a_ContentBits">
    <vt:lpwstr>0</vt:lpwstr>
  </property>
</Properties>
</file>