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4BE6" w14:textId="0FB5C5E3" w:rsidR="008F2686" w:rsidRPr="006A653C" w:rsidRDefault="00C20FC5" w:rsidP="006A653C">
      <w:pPr>
        <w:pStyle w:val="Heading1"/>
        <w:spacing w:before="0"/>
        <w:rPr>
          <w:rFonts w:ascii="Verdana" w:hAnsi="Verdana"/>
          <w:color w:val="auto"/>
          <w:sz w:val="36"/>
          <w:szCs w:val="36"/>
        </w:rPr>
      </w:pPr>
      <w:bookmarkStart w:id="0" w:name="_Toc392510965"/>
      <w:bookmarkStart w:id="1" w:name="_Toc418579433"/>
      <w:bookmarkStart w:id="2" w:name="_Toc425756995"/>
      <w:bookmarkStart w:id="3" w:name="_Toc427008160"/>
      <w:bookmarkStart w:id="4" w:name="_Toc436725448"/>
      <w:bookmarkStart w:id="5" w:name="_Toc436829707"/>
      <w:bookmarkStart w:id="6" w:name="_Toc436830307"/>
      <w:bookmarkStart w:id="7" w:name="_Toc436906820"/>
      <w:bookmarkStart w:id="8" w:name="_Toc445116239"/>
      <w:bookmarkStart w:id="9" w:name="_Toc445116502"/>
      <w:bookmarkStart w:id="10" w:name="_Toc447833547"/>
      <w:bookmarkStart w:id="11" w:name="_Toc469319507"/>
      <w:bookmarkStart w:id="12" w:name="_Toc469321404"/>
      <w:bookmarkStart w:id="13" w:name="_Toc526530816"/>
      <w:bookmarkStart w:id="14" w:name="_Toc16085507"/>
      <w:bookmarkStart w:id="15" w:name="_Toc433011979"/>
      <w:bookmarkStart w:id="16" w:name="_top"/>
      <w:bookmarkEnd w:id="16"/>
      <w:r>
        <w:rPr>
          <w:rFonts w:ascii="Verdana" w:hAnsi="Verdana"/>
          <w:color w:val="auto"/>
          <w:sz w:val="36"/>
          <w:szCs w:val="36"/>
          <w:lang w:val="en-US"/>
        </w:rPr>
        <w:t xml:space="preserve">Compass </w:t>
      </w:r>
      <w:r w:rsidR="00764302" w:rsidRPr="009C7C7C">
        <w:rPr>
          <w:rFonts w:ascii="Verdana" w:hAnsi="Verdana"/>
          <w:color w:val="auto"/>
          <w:sz w:val="36"/>
          <w:szCs w:val="36"/>
        </w:rPr>
        <w:t>MED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764302" w:rsidRPr="009C7C7C">
        <w:rPr>
          <w:rFonts w:ascii="Verdana" w:hAnsi="Verdana"/>
          <w:color w:val="auto"/>
          <w:sz w:val="36"/>
          <w:szCs w:val="36"/>
        </w:rPr>
        <w:t>D</w:t>
      </w:r>
      <w:r w:rsidR="00BC42CA">
        <w:rPr>
          <w:rFonts w:ascii="Verdana" w:hAnsi="Verdana"/>
          <w:color w:val="auto"/>
          <w:sz w:val="36"/>
          <w:szCs w:val="36"/>
          <w:lang w:val="en-US"/>
        </w:rPr>
        <w:t xml:space="preserve"> -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2A6FB0">
        <w:rPr>
          <w:rFonts w:ascii="Verdana" w:hAnsi="Verdana"/>
          <w:color w:val="auto"/>
          <w:sz w:val="36"/>
          <w:szCs w:val="36"/>
          <w:lang w:val="en-US"/>
        </w:rPr>
        <w:t>Blue</w:t>
      </w:r>
      <w:r w:rsidR="0030264F">
        <w:rPr>
          <w:rFonts w:ascii="Verdana" w:hAnsi="Verdana"/>
          <w:color w:val="auto"/>
          <w:sz w:val="36"/>
          <w:szCs w:val="36"/>
          <w:lang w:val="en-US"/>
        </w:rPr>
        <w:t xml:space="preserve"> </w:t>
      </w:r>
      <w:r w:rsidR="002A6FB0">
        <w:rPr>
          <w:rFonts w:ascii="Verdana" w:hAnsi="Verdana"/>
          <w:color w:val="auto"/>
          <w:sz w:val="36"/>
          <w:szCs w:val="36"/>
          <w:lang w:val="en-US"/>
        </w:rPr>
        <w:t>MedicareRx</w:t>
      </w:r>
      <w:r w:rsidR="0030264F">
        <w:rPr>
          <w:rFonts w:ascii="Verdana" w:hAnsi="Verdana"/>
          <w:color w:val="auto"/>
          <w:sz w:val="36"/>
          <w:szCs w:val="36"/>
          <w:lang w:val="en-US"/>
        </w:rPr>
        <w:t xml:space="preserve"> </w:t>
      </w:r>
      <w:r w:rsidR="002A6FB0">
        <w:rPr>
          <w:rFonts w:ascii="Verdana" w:hAnsi="Verdana"/>
          <w:color w:val="auto"/>
          <w:sz w:val="36"/>
          <w:szCs w:val="36"/>
          <w:lang w:val="en-US"/>
        </w:rPr>
        <w:t>(NEJE)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B91FD1">
        <w:rPr>
          <w:rFonts w:ascii="Verdana" w:hAnsi="Verdana"/>
          <w:color w:val="auto"/>
          <w:sz w:val="36"/>
          <w:szCs w:val="36"/>
        </w:rPr>
        <w:t>-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0B2707" w:rsidRPr="009C7C7C">
        <w:rPr>
          <w:rFonts w:ascii="Verdana" w:hAnsi="Verdana"/>
          <w:color w:val="auto"/>
          <w:sz w:val="36"/>
          <w:szCs w:val="36"/>
        </w:rPr>
        <w:t>Process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0B2707" w:rsidRPr="009C7C7C">
        <w:rPr>
          <w:rFonts w:ascii="Verdana" w:hAnsi="Verdana"/>
          <w:color w:val="auto"/>
          <w:sz w:val="36"/>
          <w:szCs w:val="36"/>
        </w:rPr>
        <w:t>for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0B2707" w:rsidRPr="009C7C7C">
        <w:rPr>
          <w:rFonts w:ascii="Verdana" w:hAnsi="Verdana"/>
          <w:color w:val="auto"/>
          <w:sz w:val="36"/>
          <w:szCs w:val="36"/>
        </w:rPr>
        <w:t>Good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0B2707" w:rsidRPr="009C7C7C">
        <w:rPr>
          <w:rFonts w:ascii="Verdana" w:hAnsi="Verdana"/>
          <w:color w:val="auto"/>
          <w:sz w:val="36"/>
          <w:szCs w:val="36"/>
        </w:rPr>
        <w:t>Cause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0B2707" w:rsidRPr="009C7C7C">
        <w:rPr>
          <w:rFonts w:ascii="Verdana" w:hAnsi="Verdana"/>
          <w:color w:val="auto"/>
          <w:sz w:val="36"/>
          <w:szCs w:val="36"/>
        </w:rPr>
        <w:t>Determinations</w:t>
      </w:r>
      <w:bookmarkEnd w:id="0"/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9C7C7C">
        <w:rPr>
          <w:rFonts w:ascii="Verdana" w:hAnsi="Verdana"/>
          <w:color w:val="auto"/>
          <w:sz w:val="36"/>
          <w:szCs w:val="36"/>
        </w:rPr>
        <w:t>-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9C7C7C">
        <w:rPr>
          <w:rFonts w:ascii="Verdana" w:hAnsi="Verdana"/>
          <w:color w:val="auto"/>
          <w:sz w:val="36"/>
          <w:szCs w:val="36"/>
        </w:rPr>
        <w:t>F</w:t>
      </w:r>
      <w:r w:rsidR="000B2707" w:rsidRPr="009C7C7C">
        <w:rPr>
          <w:rFonts w:ascii="Verdana" w:hAnsi="Verdana"/>
          <w:color w:val="auto"/>
          <w:sz w:val="36"/>
          <w:szCs w:val="36"/>
        </w:rPr>
        <w:t>or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4D1B01" w:rsidRPr="009C7C7C">
        <w:rPr>
          <w:rFonts w:ascii="Verdana" w:hAnsi="Verdana"/>
          <w:color w:val="auto"/>
          <w:sz w:val="36"/>
          <w:szCs w:val="36"/>
        </w:rPr>
        <w:t>Non</w:t>
      </w:r>
      <w:r w:rsidR="000B2707" w:rsidRPr="009C7C7C">
        <w:rPr>
          <w:rFonts w:ascii="Verdana" w:hAnsi="Verdana"/>
          <w:color w:val="auto"/>
          <w:sz w:val="36"/>
          <w:szCs w:val="36"/>
        </w:rPr>
        <w:t>-</w:t>
      </w:r>
      <w:r w:rsidR="004D1B01" w:rsidRPr="009C7C7C">
        <w:rPr>
          <w:rFonts w:ascii="Verdana" w:hAnsi="Verdana"/>
          <w:color w:val="auto"/>
          <w:sz w:val="36"/>
          <w:szCs w:val="36"/>
        </w:rPr>
        <w:t>payment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4D1B01" w:rsidRPr="009C7C7C">
        <w:rPr>
          <w:rFonts w:ascii="Verdana" w:hAnsi="Verdana"/>
          <w:color w:val="auto"/>
          <w:sz w:val="36"/>
          <w:szCs w:val="36"/>
        </w:rPr>
        <w:t>of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bookmarkEnd w:id="1"/>
      <w:r w:rsidR="00A25837" w:rsidRPr="009C7C7C">
        <w:rPr>
          <w:rFonts w:ascii="Verdana" w:hAnsi="Verdana"/>
          <w:color w:val="auto"/>
          <w:sz w:val="36"/>
          <w:szCs w:val="36"/>
        </w:rPr>
        <w:t>Part</w:t>
      </w:r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r w:rsidR="00A25837" w:rsidRPr="009C7C7C">
        <w:rPr>
          <w:rFonts w:ascii="Verdana" w:hAnsi="Verdana"/>
          <w:color w:val="auto"/>
          <w:sz w:val="36"/>
          <w:szCs w:val="36"/>
        </w:rPr>
        <w:t>D-IRMAA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30264F">
        <w:rPr>
          <w:rFonts w:ascii="Verdana" w:hAnsi="Verdana"/>
          <w:color w:val="auto"/>
          <w:sz w:val="36"/>
          <w:szCs w:val="36"/>
        </w:rPr>
        <w:t xml:space="preserve"> </w:t>
      </w:r>
      <w:bookmarkEnd w:id="15"/>
    </w:p>
    <w:p w14:paraId="4EB09018" w14:textId="77777777" w:rsidR="00B91C51" w:rsidRDefault="00B91C51" w:rsidP="00F44564">
      <w:pPr>
        <w:pStyle w:val="TOC1"/>
        <w:tabs>
          <w:tab w:val="right" w:leader="dot" w:pos="9350"/>
        </w:tabs>
        <w:rPr>
          <w:rFonts w:ascii="Verdana" w:hAnsi="Verdana"/>
        </w:rPr>
      </w:pPr>
    </w:p>
    <w:p w14:paraId="7FBEC879" w14:textId="77777777" w:rsidR="006B25DD" w:rsidRPr="006B25DD" w:rsidRDefault="006B25DD" w:rsidP="006B25DD"/>
    <w:p w14:paraId="6694C4E1" w14:textId="77777777" w:rsidR="00186D36" w:rsidRPr="00005B93" w:rsidRDefault="00BD66C6" w:rsidP="00186D36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"1-2" \n \h \z \u </w:instrText>
      </w:r>
      <w:r>
        <w:rPr>
          <w:rFonts w:ascii="Verdana" w:hAnsi="Verdana"/>
        </w:rPr>
        <w:fldChar w:fldCharType="separate"/>
      </w:r>
      <w:hyperlink w:anchor="_Toc16085508" w:history="1">
        <w:r w:rsidR="00186D36" w:rsidRPr="00E804CB">
          <w:rPr>
            <w:rStyle w:val="Hyperlink"/>
            <w:rFonts w:ascii="Verdana" w:hAnsi="Verdana"/>
            <w:noProof/>
          </w:rPr>
          <w:t>Overview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of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Plan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Policy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and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CMS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Requirements</w:t>
        </w:r>
      </w:hyperlink>
    </w:p>
    <w:p w14:paraId="7451D59C" w14:textId="77777777" w:rsidR="00186D36" w:rsidRPr="00005B93" w:rsidRDefault="00000000">
      <w:pPr>
        <w:pStyle w:val="TOC2"/>
        <w:rPr>
          <w:rFonts w:ascii="Calibri" w:hAnsi="Calibri"/>
          <w:noProof/>
          <w:sz w:val="22"/>
          <w:szCs w:val="22"/>
        </w:rPr>
      </w:pPr>
      <w:hyperlink w:anchor="_Toc16085509" w:history="1">
        <w:r w:rsidR="00186D36" w:rsidRPr="00E804CB">
          <w:rPr>
            <w:rStyle w:val="Hyperlink"/>
            <w:rFonts w:ascii="Verdana" w:hAnsi="Verdana"/>
            <w:noProof/>
          </w:rPr>
          <w:t>Process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for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Good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Cause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Determinations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for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Non-Payment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of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Part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D-IRMAA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Amounts</w:t>
        </w:r>
      </w:hyperlink>
    </w:p>
    <w:p w14:paraId="027CB4C4" w14:textId="77777777" w:rsidR="00186D36" w:rsidRPr="00005B93" w:rsidRDefault="00000000">
      <w:pPr>
        <w:pStyle w:val="TOC2"/>
        <w:rPr>
          <w:rFonts w:ascii="Calibri" w:hAnsi="Calibri"/>
          <w:noProof/>
          <w:sz w:val="22"/>
          <w:szCs w:val="22"/>
        </w:rPr>
      </w:pPr>
      <w:hyperlink w:anchor="_Toc16085510" w:history="1">
        <w:r w:rsidR="00186D36" w:rsidRPr="00E804CB">
          <w:rPr>
            <w:rStyle w:val="Hyperlink"/>
            <w:rFonts w:ascii="Verdana" w:hAnsi="Verdana"/>
            <w:noProof/>
          </w:rPr>
          <w:t>Process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for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Care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-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Disenrollment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for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Non-Payment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of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Part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D-IRMAA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Amounts</w:t>
        </w:r>
      </w:hyperlink>
    </w:p>
    <w:p w14:paraId="052F76AF" w14:textId="77777777" w:rsidR="00186D36" w:rsidRPr="00005B93" w:rsidRDefault="00000000">
      <w:pPr>
        <w:pStyle w:val="TOC2"/>
        <w:rPr>
          <w:rFonts w:ascii="Calibri" w:hAnsi="Calibri"/>
          <w:noProof/>
          <w:sz w:val="22"/>
          <w:szCs w:val="22"/>
        </w:rPr>
      </w:pPr>
      <w:hyperlink w:anchor="_Toc16085511" w:history="1">
        <w:r w:rsidR="00186D36" w:rsidRPr="00E804CB">
          <w:rPr>
            <w:rStyle w:val="Hyperlink"/>
            <w:rFonts w:ascii="Verdana" w:hAnsi="Verdana"/>
            <w:noProof/>
          </w:rPr>
          <w:t>Related</w:t>
        </w:r>
        <w:r w:rsidR="0030264F">
          <w:rPr>
            <w:rStyle w:val="Hyperlink"/>
            <w:rFonts w:ascii="Verdana" w:hAnsi="Verdana"/>
            <w:noProof/>
          </w:rPr>
          <w:t xml:space="preserve"> </w:t>
        </w:r>
        <w:r w:rsidR="00186D36" w:rsidRPr="00E804CB">
          <w:rPr>
            <w:rStyle w:val="Hyperlink"/>
            <w:rFonts w:ascii="Verdana" w:hAnsi="Verdana"/>
            <w:noProof/>
          </w:rPr>
          <w:t>Documents</w:t>
        </w:r>
      </w:hyperlink>
    </w:p>
    <w:p w14:paraId="08E8C2E4" w14:textId="77777777" w:rsidR="000F620E" w:rsidRDefault="00BD66C6" w:rsidP="00467DEF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489487C" w14:textId="77777777" w:rsidR="00846965" w:rsidRDefault="00846965" w:rsidP="00467DEF">
      <w:pPr>
        <w:rPr>
          <w:rFonts w:ascii="Verdana" w:hAnsi="Verdana"/>
          <w:b/>
          <w:bCs/>
        </w:rPr>
      </w:pPr>
    </w:p>
    <w:p w14:paraId="01AE9951" w14:textId="77777777" w:rsidR="00846965" w:rsidRPr="00846965" w:rsidRDefault="00846965" w:rsidP="00467DEF">
      <w:pPr>
        <w:rPr>
          <w:rFonts w:ascii="Verdana" w:eastAsia="Calibri" w:hAnsi="Verdana"/>
          <w:b/>
          <w:bCs/>
        </w:rPr>
      </w:pPr>
      <w:r w:rsidRPr="00846965">
        <w:rPr>
          <w:rFonts w:ascii="Verdana" w:hAnsi="Verdana"/>
          <w:b/>
          <w:bCs/>
        </w:rPr>
        <w:t xml:space="preserve">Description: </w:t>
      </w:r>
      <w:r w:rsidRPr="00846965">
        <w:rPr>
          <w:rFonts w:ascii="Verdana" w:hAnsi="Verdana"/>
        </w:rPr>
        <w:t>Good Cause Reinstatement guidance for NEJE for nonpayment of Part D-IRMAA.</w:t>
      </w:r>
    </w:p>
    <w:p w14:paraId="223C63F6" w14:textId="77777777" w:rsidR="005F6EF3" w:rsidRDefault="005F6EF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64302" w:rsidRPr="00BF74E9" w14:paraId="2E200ED7" w14:textId="77777777" w:rsidTr="005F6EF3">
        <w:tc>
          <w:tcPr>
            <w:tcW w:w="5000" w:type="pct"/>
            <w:shd w:val="clear" w:color="auto" w:fill="C0C0C0"/>
          </w:tcPr>
          <w:p w14:paraId="01D39C4E" w14:textId="77777777" w:rsidR="00764302" w:rsidRPr="00BF0C30" w:rsidRDefault="00764302" w:rsidP="00BF0C30">
            <w:pPr>
              <w:pStyle w:val="Heading2"/>
              <w:rPr>
                <w:rFonts w:ascii="Verdana" w:hAnsi="Verdana"/>
                <w:i w:val="0"/>
              </w:rPr>
            </w:pPr>
            <w:bookmarkStart w:id="17" w:name="_Overview"/>
            <w:bookmarkStart w:id="18" w:name="_Toc16085508"/>
            <w:bookmarkEnd w:id="17"/>
            <w:r w:rsidRPr="00BF0C30">
              <w:rPr>
                <w:rFonts w:ascii="Verdana" w:hAnsi="Verdana"/>
                <w:i w:val="0"/>
              </w:rPr>
              <w:t>Overview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="009348B4" w:rsidRPr="00BF0C30">
              <w:rPr>
                <w:rFonts w:ascii="Verdana" w:hAnsi="Verdana"/>
                <w:i w:val="0"/>
              </w:rPr>
              <w:t>of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="009E5E1B" w:rsidRPr="00BF0C30">
              <w:rPr>
                <w:rFonts w:ascii="Verdana" w:hAnsi="Verdana"/>
                <w:i w:val="0"/>
              </w:rPr>
              <w:t>Plan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="009E5E1B" w:rsidRPr="00BF0C30">
              <w:rPr>
                <w:rFonts w:ascii="Verdana" w:hAnsi="Verdana"/>
                <w:i w:val="0"/>
              </w:rPr>
              <w:t>Policy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="009E5E1B" w:rsidRPr="00BF0C30">
              <w:rPr>
                <w:rFonts w:ascii="Verdana" w:hAnsi="Verdana"/>
                <w:i w:val="0"/>
              </w:rPr>
              <w:t>and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="009E5E1B" w:rsidRPr="00BF0C30">
              <w:rPr>
                <w:rFonts w:ascii="Verdana" w:hAnsi="Verdana"/>
                <w:i w:val="0"/>
              </w:rPr>
              <w:t>CMS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="009E5E1B" w:rsidRPr="00BF0C30">
              <w:rPr>
                <w:rFonts w:ascii="Verdana" w:hAnsi="Verdana"/>
                <w:i w:val="0"/>
              </w:rPr>
              <w:t>Requirements</w:t>
            </w:r>
            <w:bookmarkEnd w:id="18"/>
          </w:p>
        </w:tc>
      </w:tr>
    </w:tbl>
    <w:p w14:paraId="1EE611EC" w14:textId="77777777" w:rsidR="00DC538E" w:rsidRDefault="000B2707" w:rsidP="00911A3C">
      <w:pPr>
        <w:rPr>
          <w:rFonts w:ascii="Verdana" w:hAnsi="Verdana"/>
        </w:rPr>
      </w:pPr>
      <w:bookmarkStart w:id="19" w:name="_Rationale"/>
      <w:bookmarkEnd w:id="19"/>
      <w:r w:rsidRPr="00D86710">
        <w:rPr>
          <w:rFonts w:ascii="Verdana" w:hAnsi="Verdana"/>
        </w:rPr>
        <w:t>If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an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individual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has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been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involuntarily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disenrolled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for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failure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to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pay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Part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D-IRMAA,</w:t>
      </w:r>
      <w:r w:rsidR="0030264F">
        <w:rPr>
          <w:rFonts w:ascii="Verdana" w:hAnsi="Verdana"/>
        </w:rPr>
        <w:t xml:space="preserve"> </w:t>
      </w:r>
      <w:r w:rsidR="005F6A78" w:rsidRPr="00D86710">
        <w:rPr>
          <w:rFonts w:ascii="Verdana" w:hAnsi="Verdana"/>
        </w:rPr>
        <w:t>they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may</w:t>
      </w:r>
      <w:r w:rsidR="0030264F">
        <w:rPr>
          <w:rFonts w:ascii="Verdana" w:hAnsi="Verdana"/>
        </w:rPr>
        <w:t xml:space="preserve"> </w:t>
      </w:r>
      <w:r w:rsidRPr="00D86710">
        <w:rPr>
          <w:rFonts w:ascii="Verdana" w:hAnsi="Verdana"/>
        </w:rPr>
        <w:t>request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a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review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of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this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decision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if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they</w:t>
      </w:r>
      <w:r w:rsidR="0030264F">
        <w:rPr>
          <w:rFonts w:ascii="Verdana" w:hAnsi="Verdana"/>
        </w:rPr>
        <w:t xml:space="preserve"> </w:t>
      </w:r>
      <w:r w:rsidR="005F6A78" w:rsidRPr="00D86710">
        <w:rPr>
          <w:rFonts w:ascii="Verdana" w:hAnsi="Verdana"/>
        </w:rPr>
        <w:t>(or</w:t>
      </w:r>
      <w:r w:rsidR="0030264F">
        <w:rPr>
          <w:rFonts w:ascii="Verdana" w:hAnsi="Verdana"/>
        </w:rPr>
        <w:t xml:space="preserve"> </w:t>
      </w:r>
      <w:r w:rsidR="005F6A78" w:rsidRPr="00D86710">
        <w:rPr>
          <w:rFonts w:ascii="Verdana" w:hAnsi="Verdana"/>
        </w:rPr>
        <w:t>their</w:t>
      </w:r>
      <w:r w:rsidR="0030264F">
        <w:rPr>
          <w:rFonts w:ascii="Verdana" w:hAnsi="Verdana"/>
        </w:rPr>
        <w:t xml:space="preserve"> </w:t>
      </w:r>
      <w:r w:rsidR="005F6A78" w:rsidRPr="00D86710">
        <w:rPr>
          <w:rFonts w:ascii="Verdana" w:hAnsi="Verdana"/>
        </w:rPr>
        <w:t>payer)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had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an</w:t>
      </w:r>
      <w:r w:rsidR="0030264F">
        <w:rPr>
          <w:rFonts w:ascii="Verdana" w:hAnsi="Verdana"/>
        </w:rPr>
        <w:t xml:space="preserve"> </w:t>
      </w:r>
      <w:r w:rsidR="005F6A78" w:rsidRPr="00D86710">
        <w:rPr>
          <w:rFonts w:ascii="Verdana" w:hAnsi="Verdana"/>
          <w:b/>
        </w:rPr>
        <w:t>uncontrollable</w:t>
      </w:r>
      <w:r w:rsidR="0030264F">
        <w:rPr>
          <w:rFonts w:ascii="Verdana" w:hAnsi="Verdana"/>
          <w:b/>
        </w:rPr>
        <w:t xml:space="preserve"> </w:t>
      </w:r>
      <w:r w:rsidR="005F6A78" w:rsidRPr="00D86710">
        <w:rPr>
          <w:rFonts w:ascii="Verdana" w:hAnsi="Verdana"/>
          <w:b/>
        </w:rPr>
        <w:t>circumstance</w:t>
      </w:r>
      <w:r w:rsidR="0030264F">
        <w:rPr>
          <w:rFonts w:ascii="Verdana" w:hAnsi="Verdana"/>
          <w:b/>
        </w:rPr>
        <w:t xml:space="preserve"> </w:t>
      </w:r>
      <w:r w:rsidR="005F6A78" w:rsidRPr="00D86710">
        <w:rPr>
          <w:rFonts w:ascii="Verdana" w:hAnsi="Verdana"/>
          <w:b/>
        </w:rPr>
        <w:t>or</w:t>
      </w:r>
      <w:r w:rsidR="0030264F">
        <w:rPr>
          <w:rFonts w:ascii="Verdana" w:hAnsi="Verdana"/>
          <w:b/>
        </w:rPr>
        <w:t xml:space="preserve"> </w:t>
      </w:r>
      <w:r w:rsidR="005F6A78" w:rsidRPr="00D86710">
        <w:rPr>
          <w:rFonts w:ascii="Verdana" w:hAnsi="Verdana"/>
          <w:b/>
        </w:rPr>
        <w:t>event</w:t>
      </w:r>
      <w:r w:rsidR="0030264F">
        <w:rPr>
          <w:rFonts w:ascii="Verdana" w:hAnsi="Verdana"/>
          <w:b/>
        </w:rPr>
        <w:t xml:space="preserve"> </w:t>
      </w:r>
      <w:r w:rsidR="005F6A78" w:rsidRPr="00D86710">
        <w:rPr>
          <w:rFonts w:ascii="Verdana" w:hAnsi="Verdana"/>
          <w:b/>
        </w:rPr>
        <w:t>that</w:t>
      </w:r>
      <w:r w:rsidR="0030264F">
        <w:rPr>
          <w:rFonts w:ascii="Verdana" w:hAnsi="Verdana"/>
          <w:b/>
        </w:rPr>
        <w:t xml:space="preserve"> </w:t>
      </w:r>
      <w:r w:rsidR="005F6A78" w:rsidRPr="00D86710">
        <w:rPr>
          <w:rFonts w:ascii="Verdana" w:hAnsi="Verdana"/>
          <w:b/>
        </w:rPr>
        <w:t>they</w:t>
      </w:r>
      <w:r w:rsidR="0030264F">
        <w:rPr>
          <w:rFonts w:ascii="Verdana" w:hAnsi="Verdana"/>
          <w:b/>
        </w:rPr>
        <w:t xml:space="preserve"> </w:t>
      </w:r>
      <w:r w:rsidR="005F6A78" w:rsidRPr="00D86710">
        <w:rPr>
          <w:rFonts w:ascii="Verdana" w:hAnsi="Verdana"/>
          <w:b/>
        </w:rPr>
        <w:t>could</w:t>
      </w:r>
      <w:r w:rsidR="0030264F">
        <w:rPr>
          <w:rFonts w:ascii="Verdana" w:hAnsi="Verdana"/>
          <w:b/>
        </w:rPr>
        <w:t xml:space="preserve"> </w:t>
      </w:r>
      <w:r w:rsidR="005F6A78" w:rsidRPr="00D86710">
        <w:rPr>
          <w:rFonts w:ascii="Verdana" w:hAnsi="Verdana"/>
          <w:b/>
        </w:rPr>
        <w:t>not</w:t>
      </w:r>
      <w:r w:rsidR="0030264F">
        <w:rPr>
          <w:rFonts w:ascii="Verdana" w:hAnsi="Verdana"/>
          <w:b/>
        </w:rPr>
        <w:t xml:space="preserve"> </w:t>
      </w:r>
      <w:r w:rsidR="00B2571A" w:rsidRPr="00D86710">
        <w:rPr>
          <w:rFonts w:ascii="Verdana" w:hAnsi="Verdana"/>
          <w:b/>
        </w:rPr>
        <w:t>foresee</w:t>
      </w:r>
      <w:r w:rsidR="0030264F">
        <w:rPr>
          <w:rFonts w:ascii="Verdana" w:hAnsi="Verdana"/>
          <w:b/>
        </w:rPr>
        <w:t xml:space="preserve"> </w:t>
      </w:r>
      <w:r w:rsidR="009348B4" w:rsidRPr="00D86710">
        <w:rPr>
          <w:rFonts w:ascii="Verdana" w:hAnsi="Verdana"/>
        </w:rPr>
        <w:t>which</w:t>
      </w:r>
      <w:r w:rsidR="0030264F">
        <w:rPr>
          <w:rFonts w:ascii="Verdana" w:hAnsi="Verdana"/>
        </w:rPr>
        <w:t xml:space="preserve"> </w:t>
      </w:r>
      <w:r w:rsidR="005F6A78" w:rsidRPr="00D86710">
        <w:rPr>
          <w:rFonts w:ascii="Verdana" w:hAnsi="Verdana"/>
        </w:rPr>
        <w:t>prevented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them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from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paying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their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Part</w:t>
      </w:r>
      <w:r w:rsidR="0030264F">
        <w:rPr>
          <w:rFonts w:ascii="Verdana" w:hAnsi="Verdana"/>
        </w:rPr>
        <w:t xml:space="preserve"> </w:t>
      </w:r>
      <w:r w:rsidR="00B705ED" w:rsidRPr="00D86710">
        <w:rPr>
          <w:rFonts w:ascii="Verdana" w:hAnsi="Verdana"/>
        </w:rPr>
        <w:t>D</w:t>
      </w:r>
      <w:r w:rsidR="003D21EC" w:rsidRPr="00D86710">
        <w:rPr>
          <w:rFonts w:ascii="Verdana" w:hAnsi="Verdana"/>
        </w:rPr>
        <w:t>-</w:t>
      </w:r>
      <w:r w:rsidR="00B705ED" w:rsidRPr="00D86710">
        <w:rPr>
          <w:rFonts w:ascii="Verdana" w:hAnsi="Verdana"/>
        </w:rPr>
        <w:t>IRMAA</w:t>
      </w:r>
      <w:r w:rsidR="0030264F">
        <w:rPr>
          <w:rFonts w:ascii="Verdana" w:hAnsi="Verdana"/>
        </w:rPr>
        <w:t xml:space="preserve"> </w:t>
      </w:r>
      <w:r w:rsidR="005F6A78" w:rsidRPr="00D86710">
        <w:rPr>
          <w:rFonts w:ascii="Verdana" w:hAnsi="Verdana"/>
        </w:rPr>
        <w:t>within</w:t>
      </w:r>
      <w:r w:rsidR="0030264F">
        <w:rPr>
          <w:rFonts w:ascii="Verdana" w:hAnsi="Verdana"/>
        </w:rPr>
        <w:t xml:space="preserve"> </w:t>
      </w:r>
      <w:r w:rsidR="005F6A78" w:rsidRPr="00D86710">
        <w:rPr>
          <w:rFonts w:ascii="Verdana" w:hAnsi="Verdana"/>
        </w:rPr>
        <w:t>the</w:t>
      </w:r>
      <w:r w:rsidR="0030264F">
        <w:rPr>
          <w:rFonts w:ascii="Verdana" w:hAnsi="Verdana"/>
        </w:rPr>
        <w:t xml:space="preserve"> </w:t>
      </w:r>
      <w:r w:rsidR="005F6A78" w:rsidRPr="00D86710">
        <w:rPr>
          <w:rFonts w:ascii="Verdana" w:hAnsi="Verdana"/>
        </w:rPr>
        <w:t>grace</w:t>
      </w:r>
      <w:r w:rsidR="0030264F">
        <w:rPr>
          <w:rFonts w:ascii="Verdana" w:hAnsi="Verdana"/>
        </w:rPr>
        <w:t xml:space="preserve"> </w:t>
      </w:r>
      <w:r w:rsidR="005F6A78" w:rsidRPr="00D86710">
        <w:rPr>
          <w:rFonts w:ascii="Verdana" w:hAnsi="Verdana"/>
        </w:rPr>
        <w:t>period</w:t>
      </w:r>
      <w:r w:rsidR="00B705ED" w:rsidRPr="00D86710">
        <w:rPr>
          <w:rFonts w:ascii="Verdana" w:hAnsi="Verdana"/>
        </w:rPr>
        <w:t>.</w:t>
      </w:r>
      <w:r w:rsidR="0030264F">
        <w:rPr>
          <w:rFonts w:ascii="Verdana" w:hAnsi="Verdana"/>
        </w:rPr>
        <w:t xml:space="preserve"> </w:t>
      </w:r>
    </w:p>
    <w:p w14:paraId="0B25399E" w14:textId="77777777" w:rsidR="00F12A2C" w:rsidRPr="00DC538E" w:rsidRDefault="00F12A2C" w:rsidP="00F12A2C">
      <w:pPr>
        <w:spacing w:line="120" w:lineRule="auto"/>
        <w:rPr>
          <w:rFonts w:ascii="Verdana" w:hAnsi="Verdana"/>
          <w:i/>
          <w:iCs/>
        </w:rPr>
      </w:pPr>
    </w:p>
    <w:p w14:paraId="7B4A3D9B" w14:textId="77777777" w:rsidR="00DC538E" w:rsidRPr="00D86710" w:rsidRDefault="00DC538E" w:rsidP="005153FC">
      <w:pPr>
        <w:numPr>
          <w:ilvl w:val="0"/>
          <w:numId w:val="5"/>
        </w:numPr>
        <w:rPr>
          <w:rFonts w:ascii="Verdana" w:hAnsi="Verdana"/>
          <w:i/>
          <w:iCs/>
        </w:rPr>
      </w:pPr>
      <w:r>
        <w:rPr>
          <w:rFonts w:ascii="Verdana" w:hAnsi="Verdana"/>
          <w:iCs/>
        </w:rPr>
        <w:t>Refer</w:t>
      </w:r>
      <w:r w:rsidR="0030264F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>to</w:t>
      </w:r>
      <w:r w:rsidR="0030264F">
        <w:rPr>
          <w:rFonts w:ascii="Verdana" w:hAnsi="Verdana"/>
          <w:iCs/>
        </w:rPr>
        <w:t xml:space="preserve"> </w:t>
      </w:r>
      <w:hyperlink w:anchor="_Process_for_Care_1" w:history="1">
        <w:r w:rsidRPr="00DC538E">
          <w:rPr>
            <w:rStyle w:val="Hyperlink"/>
            <w:rFonts w:ascii="Verdana" w:hAnsi="Verdana"/>
            <w:iCs/>
          </w:rPr>
          <w:t>Process</w:t>
        </w:r>
        <w:r w:rsidR="0030264F">
          <w:rPr>
            <w:rStyle w:val="Hyperlink"/>
            <w:rFonts w:ascii="Verdana" w:hAnsi="Verdana"/>
            <w:iCs/>
          </w:rPr>
          <w:t xml:space="preserve"> </w:t>
        </w:r>
        <w:r w:rsidRPr="00DC538E">
          <w:rPr>
            <w:rStyle w:val="Hyperlink"/>
            <w:rFonts w:ascii="Verdana" w:hAnsi="Verdana"/>
            <w:iCs/>
          </w:rPr>
          <w:t>for</w:t>
        </w:r>
        <w:r w:rsidR="0030264F">
          <w:rPr>
            <w:rStyle w:val="Hyperlink"/>
            <w:rFonts w:ascii="Verdana" w:hAnsi="Verdana"/>
            <w:iCs/>
          </w:rPr>
          <w:t xml:space="preserve"> </w:t>
        </w:r>
        <w:r w:rsidRPr="00DC538E">
          <w:rPr>
            <w:rStyle w:val="Hyperlink"/>
            <w:rFonts w:ascii="Verdana" w:hAnsi="Verdana"/>
            <w:iCs/>
          </w:rPr>
          <w:t>Care</w:t>
        </w:r>
        <w:r w:rsidR="0030264F">
          <w:rPr>
            <w:rStyle w:val="Hyperlink"/>
            <w:rFonts w:ascii="Verdana" w:hAnsi="Verdana"/>
            <w:iCs/>
          </w:rPr>
          <w:t xml:space="preserve"> </w:t>
        </w:r>
        <w:r w:rsidRPr="00DC538E">
          <w:rPr>
            <w:rStyle w:val="Hyperlink"/>
            <w:rFonts w:ascii="Verdana" w:hAnsi="Verdana"/>
            <w:iCs/>
          </w:rPr>
          <w:t>-</w:t>
        </w:r>
        <w:r w:rsidR="0030264F">
          <w:rPr>
            <w:rStyle w:val="Hyperlink"/>
            <w:rFonts w:ascii="Verdana" w:hAnsi="Verdana"/>
            <w:iCs/>
          </w:rPr>
          <w:t xml:space="preserve"> </w:t>
        </w:r>
        <w:r w:rsidRPr="00DC538E">
          <w:rPr>
            <w:rStyle w:val="Hyperlink"/>
            <w:rFonts w:ascii="Verdana" w:hAnsi="Verdana"/>
            <w:iCs/>
          </w:rPr>
          <w:t>Disenrollment</w:t>
        </w:r>
        <w:r w:rsidR="0030264F">
          <w:rPr>
            <w:rStyle w:val="Hyperlink"/>
            <w:rFonts w:ascii="Verdana" w:hAnsi="Verdana"/>
            <w:iCs/>
          </w:rPr>
          <w:t xml:space="preserve"> </w:t>
        </w:r>
        <w:r w:rsidRPr="00DC538E">
          <w:rPr>
            <w:rStyle w:val="Hyperlink"/>
            <w:rFonts w:ascii="Verdana" w:hAnsi="Verdana"/>
            <w:iCs/>
          </w:rPr>
          <w:t>for</w:t>
        </w:r>
        <w:r w:rsidR="0030264F">
          <w:rPr>
            <w:rStyle w:val="Hyperlink"/>
            <w:rFonts w:ascii="Verdana" w:hAnsi="Verdana"/>
            <w:iCs/>
          </w:rPr>
          <w:t xml:space="preserve"> </w:t>
        </w:r>
        <w:r w:rsidRPr="00DC538E">
          <w:rPr>
            <w:rStyle w:val="Hyperlink"/>
            <w:rFonts w:ascii="Verdana" w:hAnsi="Verdana"/>
            <w:iCs/>
          </w:rPr>
          <w:t>Non-Payment</w:t>
        </w:r>
        <w:r w:rsidR="0030264F">
          <w:rPr>
            <w:rStyle w:val="Hyperlink"/>
            <w:rFonts w:ascii="Verdana" w:hAnsi="Verdana"/>
            <w:iCs/>
          </w:rPr>
          <w:t xml:space="preserve"> </w:t>
        </w:r>
        <w:r w:rsidRPr="00DC538E">
          <w:rPr>
            <w:rStyle w:val="Hyperlink"/>
            <w:rFonts w:ascii="Verdana" w:hAnsi="Verdana"/>
            <w:iCs/>
          </w:rPr>
          <w:t>of</w:t>
        </w:r>
        <w:r w:rsidR="0030264F">
          <w:rPr>
            <w:rStyle w:val="Hyperlink"/>
            <w:rFonts w:ascii="Verdana" w:hAnsi="Verdana"/>
            <w:iCs/>
          </w:rPr>
          <w:t xml:space="preserve"> </w:t>
        </w:r>
        <w:r w:rsidRPr="00DC538E">
          <w:rPr>
            <w:rStyle w:val="Hyperlink"/>
            <w:rFonts w:ascii="Verdana" w:hAnsi="Verdana"/>
            <w:iCs/>
          </w:rPr>
          <w:t>Part</w:t>
        </w:r>
        <w:r w:rsidR="0030264F">
          <w:rPr>
            <w:rStyle w:val="Hyperlink"/>
            <w:rFonts w:ascii="Verdana" w:hAnsi="Verdana"/>
            <w:iCs/>
          </w:rPr>
          <w:t xml:space="preserve"> </w:t>
        </w:r>
        <w:r w:rsidRPr="00DC538E">
          <w:rPr>
            <w:rStyle w:val="Hyperlink"/>
            <w:rFonts w:ascii="Verdana" w:hAnsi="Verdana"/>
            <w:iCs/>
          </w:rPr>
          <w:t>D-IRMAA</w:t>
        </w:r>
        <w:r w:rsidR="0030264F">
          <w:rPr>
            <w:rStyle w:val="Hyperlink"/>
            <w:rFonts w:ascii="Verdana" w:hAnsi="Verdana"/>
            <w:iCs/>
          </w:rPr>
          <w:t xml:space="preserve"> </w:t>
        </w:r>
        <w:r w:rsidRPr="00DC538E">
          <w:rPr>
            <w:rStyle w:val="Hyperlink"/>
            <w:rFonts w:ascii="Verdana" w:hAnsi="Verdana"/>
            <w:iCs/>
          </w:rPr>
          <w:t>Amounts</w:t>
        </w:r>
      </w:hyperlink>
    </w:p>
    <w:p w14:paraId="6A2A7052" w14:textId="77777777" w:rsidR="000B2707" w:rsidRDefault="000B2707" w:rsidP="00F44564">
      <w:pPr>
        <w:rPr>
          <w:rFonts w:ascii="Verdana" w:hAnsi="Verdana"/>
        </w:rPr>
      </w:pPr>
    </w:p>
    <w:p w14:paraId="7923F44B" w14:textId="77777777" w:rsidR="00911A3C" w:rsidRDefault="00911A3C" w:rsidP="00911A3C">
      <w:pPr>
        <w:pStyle w:val="Default"/>
        <w:contextualSpacing/>
        <w:rPr>
          <w:rFonts w:ascii="Verdana" w:hAnsi="Verdana"/>
          <w:b/>
          <w:color w:val="auto"/>
        </w:rPr>
      </w:pPr>
      <w:bookmarkStart w:id="20" w:name="Criteria"/>
      <w:bookmarkEnd w:id="20"/>
      <w:r w:rsidRPr="00734FC5">
        <w:rPr>
          <w:rFonts w:ascii="Verdana" w:hAnsi="Verdana"/>
          <w:b/>
          <w:color w:val="auto"/>
        </w:rPr>
        <w:t>Examples</w:t>
      </w:r>
      <w:r w:rsidR="0030264F">
        <w:rPr>
          <w:rFonts w:ascii="Verdana" w:hAnsi="Verdana"/>
          <w:b/>
          <w:color w:val="auto"/>
        </w:rPr>
        <w:t xml:space="preserve"> </w:t>
      </w:r>
      <w:r w:rsidRPr="00734FC5">
        <w:rPr>
          <w:rFonts w:ascii="Verdana" w:hAnsi="Verdana"/>
          <w:b/>
          <w:color w:val="auto"/>
        </w:rPr>
        <w:t>of</w:t>
      </w:r>
      <w:r w:rsidR="0030264F">
        <w:rPr>
          <w:rFonts w:ascii="Verdana" w:hAnsi="Verdana"/>
          <w:b/>
          <w:color w:val="auto"/>
        </w:rPr>
        <w:t xml:space="preserve"> </w:t>
      </w:r>
      <w:r w:rsidRPr="00734FC5">
        <w:rPr>
          <w:rFonts w:ascii="Verdana" w:hAnsi="Verdana"/>
          <w:b/>
          <w:color w:val="auto"/>
        </w:rPr>
        <w:t>circumstances</w:t>
      </w:r>
      <w:r w:rsidR="0030264F">
        <w:rPr>
          <w:rFonts w:ascii="Verdana" w:hAnsi="Verdana"/>
          <w:b/>
          <w:color w:val="auto"/>
        </w:rPr>
        <w:t xml:space="preserve"> </w:t>
      </w:r>
      <w:r w:rsidRPr="00D86710">
        <w:rPr>
          <w:rFonts w:ascii="Verdana" w:hAnsi="Verdana"/>
          <w:b/>
          <w:color w:val="auto"/>
        </w:rPr>
        <w:t>that</w:t>
      </w:r>
      <w:r w:rsidR="0030264F">
        <w:rPr>
          <w:rFonts w:ascii="Verdana" w:hAnsi="Verdana"/>
          <w:b/>
          <w:color w:val="auto"/>
        </w:rPr>
        <w:t xml:space="preserve"> </w:t>
      </w:r>
      <w:r w:rsidRPr="00D86710">
        <w:rPr>
          <w:rFonts w:ascii="Verdana" w:hAnsi="Verdana"/>
          <w:b/>
          <w:color w:val="auto"/>
        </w:rPr>
        <w:t>may</w:t>
      </w:r>
      <w:r w:rsidR="0030264F">
        <w:rPr>
          <w:rFonts w:ascii="Verdana" w:hAnsi="Verdana"/>
          <w:b/>
          <w:color w:val="auto"/>
        </w:rPr>
        <w:t xml:space="preserve"> </w:t>
      </w:r>
      <w:r w:rsidRPr="00D86710">
        <w:rPr>
          <w:rFonts w:ascii="Verdana" w:hAnsi="Verdana"/>
          <w:b/>
          <w:color w:val="auto"/>
        </w:rPr>
        <w:t>constitute</w:t>
      </w:r>
      <w:r w:rsidR="0030264F">
        <w:rPr>
          <w:rFonts w:ascii="Verdana" w:hAnsi="Verdana"/>
          <w:b/>
          <w:color w:val="auto"/>
        </w:rPr>
        <w:t xml:space="preserve"> </w:t>
      </w:r>
      <w:r w:rsidRPr="00734FC5">
        <w:rPr>
          <w:rFonts w:ascii="Verdana" w:hAnsi="Verdana"/>
          <w:b/>
          <w:color w:val="auto"/>
        </w:rPr>
        <w:t>a</w:t>
      </w:r>
      <w:r w:rsidR="0030264F">
        <w:rPr>
          <w:rFonts w:ascii="Verdana" w:hAnsi="Verdana"/>
          <w:b/>
          <w:color w:val="auto"/>
        </w:rPr>
        <w:t xml:space="preserve"> </w:t>
      </w:r>
      <w:r w:rsidRPr="00734FC5">
        <w:rPr>
          <w:rFonts w:ascii="Verdana" w:hAnsi="Verdana"/>
          <w:b/>
          <w:color w:val="auto"/>
        </w:rPr>
        <w:t>good</w:t>
      </w:r>
      <w:r w:rsidR="0030264F">
        <w:rPr>
          <w:rFonts w:ascii="Verdana" w:hAnsi="Verdana"/>
          <w:b/>
          <w:color w:val="auto"/>
        </w:rPr>
        <w:t xml:space="preserve"> </w:t>
      </w:r>
      <w:r w:rsidRPr="00734FC5">
        <w:rPr>
          <w:rFonts w:ascii="Verdana" w:hAnsi="Verdana"/>
          <w:b/>
          <w:color w:val="auto"/>
        </w:rPr>
        <w:t>cause</w:t>
      </w:r>
      <w:r w:rsidR="0030264F">
        <w:rPr>
          <w:rFonts w:ascii="Verdana" w:hAnsi="Verdana"/>
          <w:b/>
          <w:color w:val="auto"/>
        </w:rPr>
        <w:t xml:space="preserve"> </w:t>
      </w:r>
      <w:r w:rsidRPr="00734FC5">
        <w:rPr>
          <w:rFonts w:ascii="Verdana" w:hAnsi="Verdana"/>
          <w:b/>
          <w:color w:val="auto"/>
        </w:rPr>
        <w:t>reinstatement</w:t>
      </w:r>
      <w:r w:rsidR="0030264F"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/>
          <w:color w:val="auto"/>
        </w:rPr>
        <w:t>for</w:t>
      </w:r>
      <w:r w:rsidR="0030264F"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/>
          <w:color w:val="auto"/>
        </w:rPr>
        <w:t>Part</w:t>
      </w:r>
      <w:r w:rsidR="0030264F"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/>
          <w:color w:val="auto"/>
        </w:rPr>
        <w:t>D-IRMAA</w:t>
      </w:r>
      <w:r w:rsidR="0030264F"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/>
          <w:color w:val="auto"/>
        </w:rPr>
        <w:t>(routed</w:t>
      </w:r>
      <w:r w:rsidR="0030264F"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/>
          <w:color w:val="auto"/>
        </w:rPr>
        <w:t>through</w:t>
      </w:r>
      <w:r w:rsidR="0030264F"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b/>
          <w:color w:val="auto"/>
        </w:rPr>
        <w:t>CMS)</w:t>
      </w:r>
      <w:r w:rsidRPr="00734FC5">
        <w:rPr>
          <w:rFonts w:ascii="Verdana" w:hAnsi="Verdana"/>
          <w:b/>
          <w:color w:val="auto"/>
        </w:rPr>
        <w:t>:</w:t>
      </w:r>
    </w:p>
    <w:p w14:paraId="4CC26B87" w14:textId="77777777" w:rsidR="00F12A2C" w:rsidRDefault="00F12A2C" w:rsidP="00F12A2C">
      <w:pPr>
        <w:pStyle w:val="Default"/>
        <w:spacing w:line="120" w:lineRule="auto"/>
        <w:contextualSpacing/>
        <w:rPr>
          <w:rFonts w:ascii="Verdana" w:hAnsi="Verdana"/>
          <w:color w:val="auto"/>
        </w:rPr>
      </w:pPr>
    </w:p>
    <w:p w14:paraId="735FE0C5" w14:textId="77777777" w:rsidR="00911A3C" w:rsidRDefault="00911A3C" w:rsidP="005153FC">
      <w:pPr>
        <w:pStyle w:val="Default"/>
        <w:numPr>
          <w:ilvl w:val="0"/>
          <w:numId w:val="5"/>
        </w:numPr>
        <w:contextualSpacing/>
        <w:rPr>
          <w:rFonts w:ascii="Verdana" w:hAnsi="Verdana"/>
          <w:color w:val="auto"/>
        </w:rPr>
      </w:pPr>
      <w:r w:rsidRPr="0018669A">
        <w:rPr>
          <w:rFonts w:ascii="Verdana" w:hAnsi="Verdana"/>
          <w:color w:val="auto"/>
        </w:rPr>
        <w:t>For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disenrollments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effectuated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by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CMS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for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failure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to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pay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Part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D-IRMAA,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Federal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government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error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(i.e.,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CMS,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SSA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or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RRB)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caused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the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payment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to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be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incorrect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or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late,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and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the</w:t>
      </w:r>
      <w:r w:rsidR="0030264F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beneficiary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was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unaware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of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the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error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or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unable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to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take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action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prior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to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the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disenrollment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effective</w:t>
      </w:r>
      <w:r w:rsidR="0030264F">
        <w:rPr>
          <w:rFonts w:ascii="Verdana" w:hAnsi="Verdana"/>
          <w:color w:val="auto"/>
        </w:rPr>
        <w:t xml:space="preserve"> </w:t>
      </w:r>
      <w:r w:rsidRPr="0018669A">
        <w:rPr>
          <w:rFonts w:ascii="Verdana" w:hAnsi="Verdana"/>
          <w:color w:val="auto"/>
        </w:rPr>
        <w:t>date.</w:t>
      </w:r>
      <w:r w:rsidR="0030264F">
        <w:rPr>
          <w:rFonts w:ascii="Verdana" w:hAnsi="Verdana"/>
          <w:color w:val="auto"/>
        </w:rPr>
        <w:t xml:space="preserve"> </w:t>
      </w:r>
    </w:p>
    <w:p w14:paraId="403EEBC3" w14:textId="77777777" w:rsidR="00EB4824" w:rsidRDefault="00EB4824" w:rsidP="00F44564">
      <w:pPr>
        <w:rPr>
          <w:rFonts w:ascii="Verdana" w:hAnsi="Verdana"/>
        </w:rPr>
      </w:pPr>
    </w:p>
    <w:bookmarkStart w:id="21" w:name="_Hlk166068746"/>
    <w:p w14:paraId="48E77DF8" w14:textId="293FA19F" w:rsidR="00FB2ADF" w:rsidRDefault="003D345A" w:rsidP="00FB2ADF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FB2ADF" w:rsidRPr="003D345A">
        <w:rPr>
          <w:rStyle w:val="Hyperlink"/>
          <w:rFonts w:ascii="Verdana" w:hAnsi="Verdana"/>
        </w:rPr>
        <w:t>Top</w:t>
      </w:r>
      <w:r w:rsidR="0030264F" w:rsidRPr="003D345A">
        <w:rPr>
          <w:rStyle w:val="Hyperlink"/>
          <w:rFonts w:ascii="Verdana" w:hAnsi="Verdana"/>
        </w:rPr>
        <w:t xml:space="preserve"> </w:t>
      </w:r>
      <w:r w:rsidR="00FB2ADF" w:rsidRPr="003D345A">
        <w:rPr>
          <w:rStyle w:val="Hyperlink"/>
          <w:rFonts w:ascii="Verdana" w:hAnsi="Verdana"/>
        </w:rPr>
        <w:t>of</w:t>
      </w:r>
      <w:r w:rsidR="0030264F" w:rsidRPr="003D345A">
        <w:rPr>
          <w:rStyle w:val="Hyperlink"/>
          <w:rFonts w:ascii="Verdana" w:hAnsi="Verdana"/>
        </w:rPr>
        <w:t xml:space="preserve"> </w:t>
      </w:r>
      <w:r w:rsidR="00FB2ADF" w:rsidRPr="003D345A">
        <w:rPr>
          <w:rStyle w:val="Hyperlink"/>
          <w:rFonts w:ascii="Verdana" w:hAnsi="Verdana"/>
        </w:rPr>
        <w:t>the</w:t>
      </w:r>
      <w:r w:rsidR="0030264F" w:rsidRPr="003D345A">
        <w:rPr>
          <w:rStyle w:val="Hyperlink"/>
          <w:rFonts w:ascii="Verdana" w:hAnsi="Verdana"/>
        </w:rPr>
        <w:t xml:space="preserve"> </w:t>
      </w:r>
      <w:r w:rsidR="00FB2ADF" w:rsidRPr="003D345A">
        <w:rPr>
          <w:rStyle w:val="Hyperlink"/>
          <w:rFonts w:ascii="Verdana" w:hAnsi="Verdana"/>
        </w:rPr>
        <w:t>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E5EBC" w:rsidRPr="00BF0C30" w14:paraId="4E681A8F" w14:textId="77777777" w:rsidTr="00911A3C">
        <w:tc>
          <w:tcPr>
            <w:tcW w:w="5000" w:type="pct"/>
            <w:shd w:val="clear" w:color="auto" w:fill="C0C0C0"/>
          </w:tcPr>
          <w:p w14:paraId="73D85CAC" w14:textId="77777777" w:rsidR="00CE5EBC" w:rsidRPr="00BF0C30" w:rsidRDefault="00CE5EBC" w:rsidP="00BF0C30">
            <w:pPr>
              <w:pStyle w:val="Heading2"/>
              <w:rPr>
                <w:rFonts w:ascii="Verdana" w:hAnsi="Verdana"/>
                <w:i w:val="0"/>
              </w:rPr>
            </w:pPr>
            <w:bookmarkStart w:id="22" w:name="_Criteria_for_Good"/>
            <w:bookmarkStart w:id="23" w:name="_Beneficiary_receives_favorable"/>
            <w:bookmarkStart w:id="24" w:name="_Process_for_Care"/>
            <w:bookmarkStart w:id="25" w:name="_Toc16085509"/>
            <w:bookmarkEnd w:id="21"/>
            <w:bookmarkEnd w:id="22"/>
            <w:bookmarkEnd w:id="23"/>
            <w:bookmarkEnd w:id="24"/>
            <w:r w:rsidRPr="00BF0C30">
              <w:rPr>
                <w:rFonts w:ascii="Verdana" w:hAnsi="Verdana"/>
                <w:i w:val="0"/>
              </w:rPr>
              <w:t>Process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for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Good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Cause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Determinations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for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Non-Payment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of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Part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D-IRMAA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Amounts</w:t>
            </w:r>
            <w:bookmarkEnd w:id="25"/>
          </w:p>
        </w:tc>
      </w:tr>
    </w:tbl>
    <w:p w14:paraId="0ACFC555" w14:textId="77777777" w:rsidR="00CE5EBC" w:rsidRPr="009C7C7C" w:rsidRDefault="00CE5EBC" w:rsidP="00F44564">
      <w:pPr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>CMS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holds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responsibility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for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billing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and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collection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of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Part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</w:t>
      </w:r>
      <w:r>
        <w:rPr>
          <w:rFonts w:ascii="Verdana" w:eastAsia="Calibri" w:hAnsi="Verdana"/>
        </w:rPr>
        <w:t>-</w:t>
      </w:r>
      <w:r w:rsidRPr="009C7C7C">
        <w:rPr>
          <w:rFonts w:ascii="Verdana" w:eastAsia="Calibri" w:hAnsi="Verdana"/>
        </w:rPr>
        <w:t>IRMAA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amounts.</w:t>
      </w:r>
    </w:p>
    <w:p w14:paraId="5FD1F823" w14:textId="77777777" w:rsidR="00CE5EBC" w:rsidRDefault="00CE5EBC" w:rsidP="00F44564">
      <w:pPr>
        <w:rPr>
          <w:rFonts w:ascii="Verdana" w:eastAsia="Calibri" w:hAnsi="Verdana"/>
        </w:rPr>
      </w:pPr>
    </w:p>
    <w:p w14:paraId="152941A4" w14:textId="77777777" w:rsidR="00CE5EBC" w:rsidRDefault="00CE5EBC" w:rsidP="00F44564">
      <w:pPr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>When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disenrolled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individual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contacts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plan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sponsor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following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disenrollment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for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failure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to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pay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Part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D-IRMA</w:t>
      </w:r>
      <w:r>
        <w:rPr>
          <w:rFonts w:ascii="Verdana" w:eastAsia="Calibri" w:hAnsi="Verdana"/>
        </w:rPr>
        <w:t>A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and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indicates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that</w:t>
      </w:r>
      <w:r w:rsidR="0030264F">
        <w:rPr>
          <w:rFonts w:ascii="Verdana" w:eastAsia="Calibri" w:hAnsi="Verdana"/>
        </w:rPr>
        <w:t xml:space="preserve"> </w:t>
      </w:r>
      <w:r w:rsidR="008F2686">
        <w:rPr>
          <w:rFonts w:ascii="Verdana" w:eastAsia="Calibri" w:hAnsi="Verdana"/>
        </w:rPr>
        <w:t>they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had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emergency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or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good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reason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f</w:t>
      </w:r>
      <w:r>
        <w:rPr>
          <w:rFonts w:ascii="Verdana" w:eastAsia="Calibri" w:hAnsi="Verdana"/>
        </w:rPr>
        <w:t>or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not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paying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Part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D-IRMAA,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CCR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must</w:t>
      </w:r>
      <w:r>
        <w:rPr>
          <w:rFonts w:ascii="Verdana" w:eastAsia="Calibri" w:hAnsi="Verdana"/>
        </w:rPr>
        <w:t>:</w:t>
      </w:r>
    </w:p>
    <w:p w14:paraId="6AC7EBC5" w14:textId="77777777" w:rsidR="00CE5EBC" w:rsidRDefault="00CE5EBC" w:rsidP="00F44564">
      <w:pPr>
        <w:rPr>
          <w:rFonts w:ascii="Verdana" w:eastAsia="Calibri" w:hAnsi="Verdana"/>
        </w:rPr>
      </w:pPr>
    </w:p>
    <w:p w14:paraId="12ACD171" w14:textId="77777777" w:rsidR="00CE5EBC" w:rsidRDefault="00CE5EBC" w:rsidP="005153FC">
      <w:pPr>
        <w:numPr>
          <w:ilvl w:val="0"/>
          <w:numId w:val="5"/>
        </w:numPr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>Advise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individual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to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contact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Medicare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within</w:t>
      </w:r>
      <w:r w:rsidR="0030264F">
        <w:rPr>
          <w:rFonts w:ascii="Verdana" w:eastAsia="Calibri" w:hAnsi="Verdana"/>
        </w:rPr>
        <w:t xml:space="preserve"> </w:t>
      </w:r>
      <w:r w:rsidRPr="002F0015">
        <w:rPr>
          <w:rFonts w:ascii="Verdana" w:eastAsia="Calibri" w:hAnsi="Verdana"/>
          <w:b/>
        </w:rPr>
        <w:t>60</w:t>
      </w:r>
      <w:r w:rsidR="0030264F">
        <w:rPr>
          <w:rFonts w:ascii="Verdana" w:eastAsia="Calibri" w:hAnsi="Verdana"/>
          <w:b/>
        </w:rPr>
        <w:t xml:space="preserve"> </w:t>
      </w:r>
      <w:r w:rsidRPr="002F0015">
        <w:rPr>
          <w:rFonts w:ascii="Verdana" w:eastAsia="Calibri" w:hAnsi="Verdana"/>
          <w:b/>
        </w:rPr>
        <w:t>calendar</w:t>
      </w:r>
      <w:r w:rsidR="0030264F">
        <w:rPr>
          <w:rFonts w:ascii="Verdana" w:eastAsia="Calibri" w:hAnsi="Verdana"/>
          <w:b/>
        </w:rPr>
        <w:t xml:space="preserve"> </w:t>
      </w:r>
      <w:r w:rsidRPr="002F0015">
        <w:rPr>
          <w:rFonts w:ascii="Verdana" w:eastAsia="Calibri" w:hAnsi="Verdana"/>
          <w:b/>
        </w:rPr>
        <w:t>days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of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disenrollment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effective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date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to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make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good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cause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reinstatement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request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at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1-800-MEDICARE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(</w:t>
      </w:r>
      <w:r w:rsidRPr="002F0015">
        <w:rPr>
          <w:rFonts w:ascii="Verdana" w:eastAsia="Calibri" w:hAnsi="Verdana"/>
          <w:b/>
        </w:rPr>
        <w:t>1-800-633-4227</w:t>
      </w:r>
      <w:r>
        <w:rPr>
          <w:rFonts w:ascii="Verdana" w:eastAsia="Calibri" w:hAnsi="Verdana"/>
        </w:rPr>
        <w:t>)</w:t>
      </w:r>
    </w:p>
    <w:p w14:paraId="0AEB8CAF" w14:textId="77777777" w:rsidR="00CE5EBC" w:rsidRDefault="00CE5EBC" w:rsidP="005153FC">
      <w:pPr>
        <w:numPr>
          <w:ilvl w:val="1"/>
          <w:numId w:val="5"/>
        </w:numPr>
        <w:rPr>
          <w:rFonts w:ascii="Verdana" w:eastAsia="Calibri" w:hAnsi="Verdana"/>
        </w:rPr>
      </w:pPr>
      <w:r>
        <w:rPr>
          <w:rFonts w:ascii="Verdana" w:eastAsia="Calibri" w:hAnsi="Verdana"/>
        </w:rPr>
        <w:t>TTY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users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should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use:</w:t>
      </w:r>
      <w:r w:rsidR="0030264F">
        <w:rPr>
          <w:rFonts w:ascii="Verdana" w:eastAsia="Calibri" w:hAnsi="Verdana"/>
        </w:rPr>
        <w:t xml:space="preserve">  </w:t>
      </w:r>
      <w:r w:rsidRPr="002F0015">
        <w:rPr>
          <w:rFonts w:ascii="Verdana" w:eastAsia="Calibri" w:hAnsi="Verdana"/>
          <w:b/>
        </w:rPr>
        <w:t>1-877-486-2048</w:t>
      </w:r>
      <w:r w:rsidRPr="009C7C7C">
        <w:rPr>
          <w:rFonts w:ascii="Verdana" w:eastAsia="Calibri" w:hAnsi="Verdana"/>
        </w:rPr>
        <w:t>.</w:t>
      </w:r>
      <w:r w:rsidR="0030264F">
        <w:rPr>
          <w:rFonts w:ascii="Verdana" w:eastAsia="Calibri" w:hAnsi="Verdana"/>
        </w:rPr>
        <w:t xml:space="preserve"> </w:t>
      </w:r>
    </w:p>
    <w:p w14:paraId="0980C4A2" w14:textId="77777777" w:rsidR="00CE5EBC" w:rsidRDefault="00CE5EBC" w:rsidP="00492239">
      <w:pPr>
        <w:spacing w:line="120" w:lineRule="auto"/>
        <w:ind w:left="360"/>
        <w:rPr>
          <w:rFonts w:ascii="Verdana" w:eastAsia="Calibri" w:hAnsi="Verdana"/>
        </w:rPr>
      </w:pPr>
    </w:p>
    <w:p w14:paraId="2C043107" w14:textId="77777777" w:rsidR="00CE5EBC" w:rsidRPr="009C7C7C" w:rsidRDefault="00CE5EBC" w:rsidP="005153FC">
      <w:pPr>
        <w:numPr>
          <w:ilvl w:val="0"/>
          <w:numId w:val="5"/>
        </w:numPr>
        <w:rPr>
          <w:rFonts w:ascii="Verdana" w:eastAsia="Calibri" w:hAnsi="Verdana"/>
        </w:rPr>
      </w:pPr>
      <w:r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CCR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should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also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inform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individual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that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order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to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be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reinstated,</w:t>
      </w:r>
      <w:r w:rsidR="0030264F">
        <w:rPr>
          <w:rFonts w:ascii="Verdana" w:eastAsia="Calibri" w:hAnsi="Verdana"/>
        </w:rPr>
        <w:t xml:space="preserve"> </w:t>
      </w:r>
      <w:r w:rsidR="008F2686">
        <w:rPr>
          <w:rFonts w:ascii="Verdana" w:eastAsia="Calibri" w:hAnsi="Verdana"/>
        </w:rPr>
        <w:t>they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must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meet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specific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good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cause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standards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and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must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pay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any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past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due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plan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premiums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and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Part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D-IRMAA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amounts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within</w:t>
      </w:r>
      <w:r w:rsidR="0030264F">
        <w:rPr>
          <w:rFonts w:ascii="Verdana" w:eastAsia="Calibri" w:hAnsi="Verdana"/>
        </w:rPr>
        <w:t xml:space="preserve"> </w:t>
      </w:r>
      <w:r w:rsidRPr="002F0015">
        <w:rPr>
          <w:rFonts w:ascii="Verdana" w:eastAsia="Calibri" w:hAnsi="Verdana"/>
          <w:b/>
        </w:rPr>
        <w:t>three</w:t>
      </w:r>
      <w:r w:rsidR="0030264F">
        <w:rPr>
          <w:rFonts w:ascii="Verdana" w:eastAsia="Calibri" w:hAnsi="Verdana"/>
          <w:b/>
        </w:rPr>
        <w:t xml:space="preserve"> </w:t>
      </w:r>
      <w:r w:rsidRPr="002F0015">
        <w:rPr>
          <w:rFonts w:ascii="Verdana" w:eastAsia="Calibri" w:hAnsi="Verdana"/>
          <w:b/>
        </w:rPr>
        <w:t>(3)</w:t>
      </w:r>
      <w:r w:rsidR="0030264F">
        <w:rPr>
          <w:rFonts w:ascii="Verdana" w:eastAsia="Calibri" w:hAnsi="Verdana"/>
          <w:b/>
        </w:rPr>
        <w:t xml:space="preserve"> </w:t>
      </w:r>
      <w:r w:rsidRPr="002F0015">
        <w:rPr>
          <w:rFonts w:ascii="Verdana" w:eastAsia="Calibri" w:hAnsi="Verdana"/>
          <w:b/>
        </w:rPr>
        <w:t>months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of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disenrollment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date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order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for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reinstatement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to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occur.</w:t>
      </w:r>
    </w:p>
    <w:p w14:paraId="37D99988" w14:textId="77777777" w:rsidR="00CE5EBC" w:rsidRPr="009C7C7C" w:rsidRDefault="00CE5EBC" w:rsidP="00492239">
      <w:pPr>
        <w:spacing w:line="120" w:lineRule="auto"/>
        <w:rPr>
          <w:rFonts w:ascii="Verdana" w:eastAsia="Calibri" w:hAnsi="Verdana"/>
        </w:rPr>
      </w:pPr>
    </w:p>
    <w:p w14:paraId="31E3D4E4" w14:textId="77777777" w:rsidR="00CE5EBC" w:rsidRDefault="00CE5EBC" w:rsidP="005153FC">
      <w:pPr>
        <w:numPr>
          <w:ilvl w:val="0"/>
          <w:numId w:val="5"/>
        </w:numPr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>Once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request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made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with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CMS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via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1-800-MEDICARE,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Complaint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Tracking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Module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(CTM)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case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will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be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generated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for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CMS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caseworker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action.</w:t>
      </w:r>
      <w:r w:rsidR="0030264F">
        <w:rPr>
          <w:rFonts w:ascii="Verdana" w:eastAsia="Calibri" w:hAnsi="Verdana"/>
        </w:rPr>
        <w:t xml:space="preserve"> </w:t>
      </w:r>
    </w:p>
    <w:p w14:paraId="0C6B0A8B" w14:textId="77777777" w:rsidR="00CE5EBC" w:rsidRDefault="00CE5EBC" w:rsidP="00492239">
      <w:pPr>
        <w:pStyle w:val="ListParagraph"/>
        <w:spacing w:line="120" w:lineRule="auto"/>
        <w:rPr>
          <w:rFonts w:ascii="Verdana" w:eastAsia="Calibri" w:hAnsi="Verdana"/>
        </w:rPr>
      </w:pPr>
    </w:p>
    <w:p w14:paraId="01803690" w14:textId="77777777" w:rsidR="00CE5EBC" w:rsidRDefault="00CE5EBC" w:rsidP="005153FC">
      <w:pPr>
        <w:numPr>
          <w:ilvl w:val="0"/>
          <w:numId w:val="5"/>
        </w:numPr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CMS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caseworker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will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review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request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and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will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make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favorable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or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unfavorable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good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cause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determination.</w:t>
      </w:r>
      <w:r w:rsidR="0030264F">
        <w:rPr>
          <w:rFonts w:ascii="Verdana" w:eastAsia="Calibri" w:hAnsi="Verdana"/>
        </w:rPr>
        <w:t xml:space="preserve"> </w:t>
      </w:r>
    </w:p>
    <w:p w14:paraId="2EB9F167" w14:textId="77777777" w:rsidR="00CE5EBC" w:rsidRDefault="00CE5EBC" w:rsidP="00492239">
      <w:pPr>
        <w:pStyle w:val="ListParagraph"/>
        <w:spacing w:line="120" w:lineRule="auto"/>
        <w:rPr>
          <w:rFonts w:ascii="Verdana" w:eastAsia="Calibri" w:hAnsi="Verdana"/>
        </w:rPr>
      </w:pPr>
    </w:p>
    <w:p w14:paraId="2E6ED403" w14:textId="77777777" w:rsidR="00CE5EBC" w:rsidRPr="009C7C7C" w:rsidRDefault="00CE5EBC" w:rsidP="001E58F2">
      <w:pPr>
        <w:ind w:left="720"/>
        <w:rPr>
          <w:rFonts w:ascii="Verdana" w:eastAsia="Calibri" w:hAnsi="Verdana"/>
        </w:rPr>
      </w:pPr>
      <w:r w:rsidRPr="002F0015">
        <w:rPr>
          <w:rFonts w:ascii="Verdana" w:eastAsia="Calibri" w:hAnsi="Verdana"/>
          <w:b/>
        </w:rPr>
        <w:t>CCR</w:t>
      </w:r>
      <w:r w:rsidR="0030264F">
        <w:rPr>
          <w:rFonts w:ascii="Verdana" w:eastAsia="Calibri" w:hAnsi="Verdana"/>
          <w:b/>
        </w:rPr>
        <w:t xml:space="preserve"> </w:t>
      </w:r>
      <w:r w:rsidRPr="002F0015">
        <w:rPr>
          <w:rFonts w:ascii="Verdana" w:eastAsia="Calibri" w:hAnsi="Verdana"/>
          <w:b/>
        </w:rPr>
        <w:t>Process</w:t>
      </w:r>
      <w:r w:rsidR="0030264F">
        <w:rPr>
          <w:rFonts w:ascii="Verdana" w:eastAsia="Calibri" w:hAnsi="Verdana"/>
          <w:b/>
        </w:rPr>
        <w:t xml:space="preserve"> </w:t>
      </w:r>
      <w:r w:rsidRPr="002F0015">
        <w:rPr>
          <w:rFonts w:ascii="Verdana" w:eastAsia="Calibri" w:hAnsi="Verdana"/>
          <w:b/>
        </w:rPr>
        <w:t>Note:</w:t>
      </w:r>
      <w:r w:rsidR="0030264F">
        <w:rPr>
          <w:rFonts w:ascii="Verdana" w:eastAsia="Calibri" w:hAnsi="Verdana"/>
        </w:rPr>
        <w:t xml:space="preserve">  </w:t>
      </w:r>
      <w:r w:rsidRPr="009C7C7C">
        <w:rPr>
          <w:rFonts w:ascii="Verdana" w:eastAsia="Calibri" w:hAnsi="Verdana"/>
        </w:rPr>
        <w:t>If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individual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provides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any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documentation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to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plan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regarding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inability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to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make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timely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payment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of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Part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D-IRMAA,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plan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must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provide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that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documentation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to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CMS</w:t>
      </w:r>
      <w:r>
        <w:rPr>
          <w:rFonts w:ascii="Verdana" w:eastAsia="Calibri" w:hAnsi="Verdana"/>
        </w:rPr>
        <w:t>.</w:t>
      </w:r>
      <w:r w:rsidR="0030264F">
        <w:rPr>
          <w:rFonts w:ascii="Verdana" w:eastAsia="Calibri" w:hAnsi="Verdana"/>
        </w:rPr>
        <w:t xml:space="preserve"> </w:t>
      </w:r>
    </w:p>
    <w:p w14:paraId="6CC84307" w14:textId="77777777" w:rsidR="00CE5EBC" w:rsidRPr="009C7C7C" w:rsidRDefault="00CE5EBC" w:rsidP="00492239">
      <w:pPr>
        <w:spacing w:line="120" w:lineRule="auto"/>
        <w:rPr>
          <w:rFonts w:ascii="Verdana" w:eastAsia="Calibri" w:hAnsi="Verdana"/>
        </w:rPr>
      </w:pPr>
    </w:p>
    <w:p w14:paraId="59C0541F" w14:textId="77777777" w:rsidR="00CE5EBC" w:rsidRPr="00EB6087" w:rsidRDefault="00CE5EBC" w:rsidP="005153FC">
      <w:pPr>
        <w:numPr>
          <w:ilvl w:val="0"/>
          <w:numId w:val="5"/>
        </w:numPr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>If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CMS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makes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favorable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determination,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notation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will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be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made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CTM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and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CTM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will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be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sent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to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plan.</w:t>
      </w:r>
      <w:r w:rsidR="0030264F">
        <w:rPr>
          <w:rFonts w:ascii="Verdana" w:eastAsia="Calibri" w:hAnsi="Verdana"/>
        </w:rPr>
        <w:t xml:space="preserve"> </w:t>
      </w:r>
    </w:p>
    <w:p w14:paraId="42681323" w14:textId="77777777" w:rsidR="00CE5EBC" w:rsidRDefault="00CE5EBC" w:rsidP="005153FC">
      <w:pPr>
        <w:numPr>
          <w:ilvl w:val="1"/>
          <w:numId w:val="5"/>
        </w:numPr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>If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there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are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past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due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plan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premiums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as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well,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plan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will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send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notification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to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individual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requesting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payment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of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past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due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plan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premiums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within</w:t>
      </w:r>
      <w:r w:rsidR="0030264F">
        <w:rPr>
          <w:rFonts w:ascii="Verdana" w:eastAsia="Calibri" w:hAnsi="Verdana"/>
        </w:rPr>
        <w:t xml:space="preserve"> </w:t>
      </w:r>
      <w:r w:rsidRPr="002F0015">
        <w:rPr>
          <w:rFonts w:ascii="Verdana" w:eastAsia="Calibri" w:hAnsi="Verdana"/>
          <w:b/>
        </w:rPr>
        <w:t>three</w:t>
      </w:r>
      <w:r w:rsidR="0030264F">
        <w:rPr>
          <w:rFonts w:ascii="Verdana" w:eastAsia="Calibri" w:hAnsi="Verdana"/>
          <w:b/>
        </w:rPr>
        <w:t xml:space="preserve"> </w:t>
      </w:r>
      <w:r w:rsidRPr="002F0015">
        <w:rPr>
          <w:rFonts w:ascii="Verdana" w:eastAsia="Calibri" w:hAnsi="Verdana"/>
          <w:b/>
        </w:rPr>
        <w:t>(3)</w:t>
      </w:r>
      <w:r w:rsidR="0030264F">
        <w:rPr>
          <w:rFonts w:ascii="Verdana" w:eastAsia="Calibri" w:hAnsi="Verdana"/>
          <w:b/>
        </w:rPr>
        <w:t xml:space="preserve"> </w:t>
      </w:r>
      <w:r w:rsidRPr="002F0015">
        <w:rPr>
          <w:rFonts w:ascii="Verdana" w:eastAsia="Calibri" w:hAnsi="Verdana"/>
          <w:b/>
        </w:rPr>
        <w:t>business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days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of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being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informed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of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favorable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good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cause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determination.</w:t>
      </w:r>
      <w:r w:rsidR="0030264F">
        <w:rPr>
          <w:rFonts w:ascii="Verdana" w:eastAsia="Calibri" w:hAnsi="Verdana"/>
        </w:rPr>
        <w:t xml:space="preserve"> </w:t>
      </w:r>
    </w:p>
    <w:p w14:paraId="2DB2F271" w14:textId="5C7DFA05" w:rsidR="008552D5" w:rsidRDefault="00CE5EBC" w:rsidP="005153FC">
      <w:pPr>
        <w:numPr>
          <w:ilvl w:val="1"/>
          <w:numId w:val="5"/>
        </w:numPr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>This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noti</w:t>
      </w:r>
      <w:r>
        <w:rPr>
          <w:rFonts w:ascii="Verdana" w:eastAsia="Calibri" w:hAnsi="Verdana"/>
        </w:rPr>
        <w:t>ce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will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be</w:t>
      </w:r>
      <w:r w:rsidR="0030264F">
        <w:rPr>
          <w:rFonts w:ascii="Verdana" w:eastAsia="Calibri" w:hAnsi="Verdana"/>
        </w:rPr>
        <w:t xml:space="preserve"> </w:t>
      </w:r>
      <w:r w:rsidRPr="00186D36">
        <w:rPr>
          <w:rFonts w:ascii="Verdana" w:eastAsia="Calibri" w:hAnsi="Verdana"/>
        </w:rPr>
        <w:t>sent</w:t>
      </w:r>
      <w:r w:rsidR="0030264F">
        <w:rPr>
          <w:rFonts w:ascii="Verdana" w:eastAsia="Calibri" w:hAnsi="Verdana"/>
        </w:rPr>
        <w:t xml:space="preserve"> </w:t>
      </w:r>
      <w:r w:rsidRPr="00186D36">
        <w:rPr>
          <w:rFonts w:ascii="Verdana" w:eastAsia="Calibri" w:hAnsi="Verdana"/>
        </w:rPr>
        <w:t>only</w:t>
      </w:r>
      <w:r w:rsidR="0030264F">
        <w:rPr>
          <w:rFonts w:ascii="Verdana" w:eastAsia="Calibri" w:hAnsi="Verdana"/>
        </w:rPr>
        <w:t xml:space="preserve"> </w:t>
      </w:r>
      <w:r w:rsidRPr="00186D36">
        <w:rPr>
          <w:rFonts w:ascii="Verdana" w:eastAsia="Calibri" w:hAnsi="Verdana"/>
        </w:rPr>
        <w:t>if</w:t>
      </w:r>
      <w:r w:rsidR="00B448C8">
        <w:rPr>
          <w:rFonts w:ascii="Verdana" w:eastAsia="Calibri" w:hAnsi="Verdana"/>
        </w:rPr>
        <w:t xml:space="preserve"> or</w:t>
      </w:r>
      <w:r w:rsidR="0030264F">
        <w:rPr>
          <w:rFonts w:ascii="Verdana" w:eastAsia="Calibri" w:hAnsi="Verdana"/>
        </w:rPr>
        <w:t xml:space="preserve"> </w:t>
      </w:r>
      <w:r w:rsidRPr="00186D36">
        <w:rPr>
          <w:rFonts w:ascii="Verdana" w:eastAsia="Calibri" w:hAnsi="Verdana"/>
        </w:rPr>
        <w:t>when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there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are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past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due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plan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premiums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and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specify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amount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owed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with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date</w:t>
      </w:r>
      <w:r w:rsidR="0030264F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the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payment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must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be</w:t>
      </w:r>
      <w:r w:rsidR="0030264F">
        <w:rPr>
          <w:rFonts w:ascii="Verdana" w:eastAsia="Calibri" w:hAnsi="Verdana"/>
        </w:rPr>
        <w:t xml:space="preserve"> </w:t>
      </w:r>
      <w:r w:rsidRPr="009C7C7C">
        <w:rPr>
          <w:rFonts w:ascii="Verdana" w:eastAsia="Calibri" w:hAnsi="Verdana"/>
        </w:rPr>
        <w:t>received</w:t>
      </w:r>
      <w:r>
        <w:rPr>
          <w:rFonts w:ascii="Verdana" w:eastAsia="Calibri" w:hAnsi="Verdana"/>
        </w:rPr>
        <w:t>.</w:t>
      </w:r>
      <w:r w:rsidR="0030264F">
        <w:rPr>
          <w:rFonts w:ascii="Verdana" w:eastAsia="Calibri" w:hAnsi="Verdana"/>
        </w:rPr>
        <w:t xml:space="preserve"> </w:t>
      </w:r>
    </w:p>
    <w:p w14:paraId="450BB2E4" w14:textId="77777777" w:rsidR="00C45D04" w:rsidRDefault="00C45D04" w:rsidP="00FB2ADF">
      <w:pPr>
        <w:jc w:val="right"/>
        <w:rPr>
          <w:rFonts w:ascii="Verdana" w:hAnsi="Verdana"/>
        </w:rPr>
      </w:pPr>
    </w:p>
    <w:p w14:paraId="70DA5187" w14:textId="77777777" w:rsidR="003D345A" w:rsidRDefault="003D345A" w:rsidP="003D345A">
      <w:pPr>
        <w:jc w:val="right"/>
        <w:rPr>
          <w:rFonts w:ascii="Verdana" w:hAnsi="Verdana"/>
        </w:rPr>
      </w:pPr>
      <w:hyperlink w:anchor="_top" w:history="1">
        <w:r w:rsidRPr="003D345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E5D3C" w:rsidRPr="00BF74E9" w14:paraId="7515DA20" w14:textId="77777777" w:rsidTr="00F77791">
        <w:tc>
          <w:tcPr>
            <w:tcW w:w="5000" w:type="pct"/>
            <w:shd w:val="clear" w:color="auto" w:fill="C0C0C0"/>
          </w:tcPr>
          <w:p w14:paraId="1B3255E4" w14:textId="77777777" w:rsidR="009E5D3C" w:rsidRPr="00BF0C30" w:rsidRDefault="009E5D3C" w:rsidP="00BF0C30">
            <w:pPr>
              <w:pStyle w:val="Heading2"/>
              <w:rPr>
                <w:rFonts w:ascii="Verdana" w:hAnsi="Verdana"/>
                <w:i w:val="0"/>
              </w:rPr>
            </w:pPr>
            <w:bookmarkStart w:id="26" w:name="_Process_for_Care_1"/>
            <w:bookmarkStart w:id="27" w:name="_Toc16085510"/>
            <w:bookmarkEnd w:id="26"/>
            <w:r w:rsidRPr="00BF0C30">
              <w:rPr>
                <w:rFonts w:ascii="Verdana" w:hAnsi="Verdana"/>
                <w:i w:val="0"/>
              </w:rPr>
              <w:t>Process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for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Care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="00B91FD1" w:rsidRPr="00BF0C30">
              <w:rPr>
                <w:rFonts w:ascii="Verdana" w:hAnsi="Verdana"/>
                <w:i w:val="0"/>
              </w:rPr>
              <w:t>-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Disenrollment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for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Non-Payment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of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Part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D-IRMAA</w:t>
            </w:r>
            <w:r w:rsidR="0030264F">
              <w:rPr>
                <w:rFonts w:ascii="Verdana" w:hAnsi="Verdana"/>
                <w:i w:val="0"/>
              </w:rPr>
              <w:t xml:space="preserve"> </w:t>
            </w:r>
            <w:r w:rsidRPr="00BF0C30">
              <w:rPr>
                <w:rFonts w:ascii="Verdana" w:hAnsi="Verdana"/>
                <w:i w:val="0"/>
              </w:rPr>
              <w:t>Amounts</w:t>
            </w:r>
            <w:bookmarkEnd w:id="27"/>
          </w:p>
        </w:tc>
      </w:tr>
    </w:tbl>
    <w:p w14:paraId="625DF6B5" w14:textId="77777777" w:rsidR="00F77791" w:rsidRDefault="00F77791" w:rsidP="00F44564">
      <w:pPr>
        <w:rPr>
          <w:rFonts w:ascii="Verdana" w:hAnsi="Verdana"/>
        </w:rPr>
      </w:pPr>
      <w:r>
        <w:rPr>
          <w:rFonts w:ascii="Verdana" w:hAnsi="Verdana"/>
        </w:rPr>
        <w:t>The</w:t>
      </w:r>
      <w:r w:rsidR="0030264F">
        <w:rPr>
          <w:rFonts w:ascii="Verdana" w:hAnsi="Verdana"/>
        </w:rPr>
        <w:t xml:space="preserve"> </w:t>
      </w:r>
      <w:r>
        <w:rPr>
          <w:rFonts w:ascii="Verdana" w:hAnsi="Verdana"/>
        </w:rPr>
        <w:t>CCR</w:t>
      </w:r>
      <w:r w:rsidR="0030264F">
        <w:rPr>
          <w:rFonts w:ascii="Verdana" w:hAnsi="Verdana"/>
        </w:rPr>
        <w:t xml:space="preserve"> </w:t>
      </w:r>
      <w:r>
        <w:rPr>
          <w:rFonts w:ascii="Verdana" w:hAnsi="Verdana"/>
        </w:rPr>
        <w:t>should</w:t>
      </w:r>
      <w:r w:rsidR="0030264F">
        <w:rPr>
          <w:rFonts w:ascii="Verdana" w:hAnsi="Verdana"/>
        </w:rPr>
        <w:t xml:space="preserve"> </w:t>
      </w:r>
      <w:r>
        <w:rPr>
          <w:rFonts w:ascii="Verdana" w:hAnsi="Verdana"/>
        </w:rPr>
        <w:t>perform</w:t>
      </w:r>
      <w:r w:rsidR="0030264F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30264F">
        <w:rPr>
          <w:rFonts w:ascii="Verdana" w:hAnsi="Verdana"/>
        </w:rPr>
        <w:t xml:space="preserve"> </w:t>
      </w:r>
      <w:r>
        <w:rPr>
          <w:rFonts w:ascii="Verdana" w:hAnsi="Verdana"/>
        </w:rPr>
        <w:t>following</w:t>
      </w:r>
      <w:r w:rsidR="0030264F">
        <w:rPr>
          <w:rFonts w:ascii="Verdana" w:hAnsi="Verdana"/>
        </w:rPr>
        <w:t xml:space="preserve"> </w:t>
      </w:r>
      <w:r>
        <w:rPr>
          <w:rFonts w:ascii="Verdana" w:hAnsi="Verdana"/>
        </w:rPr>
        <w:t>w</w:t>
      </w:r>
      <w:r w:rsidRPr="009C7C7C">
        <w:rPr>
          <w:rFonts w:ascii="Verdana" w:hAnsi="Verdana"/>
        </w:rPr>
        <w:t>hen</w:t>
      </w:r>
      <w:r w:rsidR="0030264F">
        <w:rPr>
          <w:rFonts w:ascii="Verdana" w:hAnsi="Verdana"/>
        </w:rPr>
        <w:t xml:space="preserve"> </w:t>
      </w:r>
      <w:r w:rsidRPr="009C7C7C">
        <w:rPr>
          <w:rFonts w:ascii="Verdana" w:hAnsi="Verdana"/>
        </w:rPr>
        <w:t>receiving</w:t>
      </w:r>
      <w:r w:rsidR="0030264F">
        <w:rPr>
          <w:rFonts w:ascii="Verdana" w:hAnsi="Verdana"/>
        </w:rPr>
        <w:t xml:space="preserve"> </w:t>
      </w:r>
      <w:r w:rsidRPr="009C7C7C">
        <w:rPr>
          <w:rFonts w:ascii="Verdana" w:hAnsi="Verdana"/>
        </w:rPr>
        <w:t>a</w:t>
      </w:r>
      <w:r w:rsidR="0030264F">
        <w:rPr>
          <w:rFonts w:ascii="Verdana" w:hAnsi="Verdana"/>
        </w:rPr>
        <w:t xml:space="preserve"> </w:t>
      </w:r>
      <w:r w:rsidRPr="009C7C7C">
        <w:rPr>
          <w:rFonts w:ascii="Verdana" w:hAnsi="Verdana"/>
        </w:rPr>
        <w:t>call</w:t>
      </w:r>
      <w:r w:rsidR="0030264F">
        <w:rPr>
          <w:rFonts w:ascii="Verdana" w:hAnsi="Verdana"/>
        </w:rPr>
        <w:t xml:space="preserve"> </w:t>
      </w:r>
      <w:r w:rsidRPr="009C7C7C">
        <w:rPr>
          <w:rFonts w:ascii="Verdana" w:hAnsi="Verdana"/>
        </w:rPr>
        <w:t>from</w:t>
      </w:r>
      <w:r w:rsidR="0030264F">
        <w:rPr>
          <w:rFonts w:ascii="Verdana" w:hAnsi="Verdana"/>
        </w:rPr>
        <w:t xml:space="preserve"> </w:t>
      </w:r>
      <w:r w:rsidRPr="009C7C7C">
        <w:rPr>
          <w:rFonts w:ascii="Verdana" w:hAnsi="Verdana"/>
        </w:rPr>
        <w:t>an</w:t>
      </w:r>
      <w:r w:rsidR="0030264F">
        <w:rPr>
          <w:rFonts w:ascii="Verdana" w:hAnsi="Verdana"/>
        </w:rPr>
        <w:t xml:space="preserve"> </w:t>
      </w:r>
      <w:r w:rsidRPr="009C7C7C">
        <w:rPr>
          <w:rFonts w:ascii="Verdana" w:hAnsi="Verdana"/>
        </w:rPr>
        <w:t>individual</w:t>
      </w:r>
      <w:r w:rsidR="0030264F">
        <w:rPr>
          <w:rFonts w:ascii="Verdana" w:hAnsi="Verdana"/>
        </w:rPr>
        <w:t xml:space="preserve"> </w:t>
      </w:r>
      <w:r w:rsidRPr="009C7C7C">
        <w:rPr>
          <w:rFonts w:ascii="Verdana" w:hAnsi="Verdana"/>
        </w:rPr>
        <w:t>who</w:t>
      </w:r>
      <w:r w:rsidR="0030264F">
        <w:rPr>
          <w:rFonts w:ascii="Verdana" w:hAnsi="Verdana"/>
        </w:rPr>
        <w:t xml:space="preserve"> </w:t>
      </w:r>
      <w:r w:rsidRPr="009C7C7C">
        <w:rPr>
          <w:rFonts w:ascii="Verdana" w:hAnsi="Verdana"/>
        </w:rPr>
        <w:t>has</w:t>
      </w:r>
      <w:r w:rsidR="0030264F">
        <w:rPr>
          <w:rFonts w:ascii="Verdana" w:hAnsi="Verdana"/>
        </w:rPr>
        <w:t xml:space="preserve"> </w:t>
      </w:r>
      <w:r w:rsidRPr="009C7C7C">
        <w:rPr>
          <w:rFonts w:ascii="Verdana" w:hAnsi="Verdana"/>
        </w:rPr>
        <w:t>been</w:t>
      </w:r>
      <w:r>
        <w:rPr>
          <w:rFonts w:ascii="Verdana" w:hAnsi="Verdana"/>
        </w:rPr>
        <w:t>:</w:t>
      </w:r>
    </w:p>
    <w:p w14:paraId="7BF532B3" w14:textId="77777777" w:rsidR="006B25DD" w:rsidRDefault="006B25DD" w:rsidP="006B25DD">
      <w:pPr>
        <w:spacing w:line="120" w:lineRule="auto"/>
        <w:rPr>
          <w:rFonts w:ascii="Verdana" w:hAnsi="Verdana"/>
        </w:rPr>
      </w:pPr>
    </w:p>
    <w:p w14:paraId="49CE6BF9" w14:textId="7145DF4D" w:rsidR="00F77791" w:rsidRDefault="00F77791" w:rsidP="005153FC">
      <w:pPr>
        <w:numPr>
          <w:ilvl w:val="0"/>
          <w:numId w:val="5"/>
        </w:numPr>
        <w:rPr>
          <w:rFonts w:ascii="Verdana" w:hAnsi="Verdana"/>
        </w:rPr>
      </w:pPr>
      <w:r w:rsidRPr="00F77791">
        <w:rPr>
          <w:rFonts w:ascii="Verdana" w:hAnsi="Verdana"/>
        </w:rPr>
        <w:t>Disenrolled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by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CMS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for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non-payment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of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PART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D-IRMAA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amounts</w:t>
      </w:r>
      <w:r w:rsidR="00813636">
        <w:rPr>
          <w:rFonts w:ascii="Verdana" w:hAnsi="Verdana"/>
        </w:rPr>
        <w:t>.</w:t>
      </w:r>
      <w:r w:rsidR="0030264F">
        <w:rPr>
          <w:rFonts w:ascii="Verdana" w:hAnsi="Verdana"/>
        </w:rPr>
        <w:t xml:space="preserve"> </w:t>
      </w:r>
    </w:p>
    <w:p w14:paraId="0F1110B8" w14:textId="5A355FDF" w:rsidR="00F77791" w:rsidRPr="00F77791" w:rsidRDefault="00F77791" w:rsidP="005153FC">
      <w:pPr>
        <w:numPr>
          <w:ilvl w:val="0"/>
          <w:numId w:val="5"/>
        </w:numPr>
        <w:rPr>
          <w:rFonts w:ascii="Verdana" w:hAnsi="Verdana"/>
        </w:rPr>
      </w:pPr>
      <w:r w:rsidRPr="00F77791">
        <w:rPr>
          <w:rFonts w:ascii="Verdana" w:hAnsi="Verdana"/>
        </w:rPr>
        <w:t>States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they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had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an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emergency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that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kept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them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from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making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their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payment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on</w:t>
      </w:r>
      <w:r w:rsidR="0030264F">
        <w:rPr>
          <w:rFonts w:ascii="Verdana" w:hAnsi="Verdana"/>
        </w:rPr>
        <w:t xml:space="preserve"> </w:t>
      </w:r>
      <w:r w:rsidRPr="00F77791">
        <w:rPr>
          <w:rFonts w:ascii="Verdana" w:hAnsi="Verdana"/>
        </w:rPr>
        <w:t>time</w:t>
      </w:r>
      <w:r w:rsidR="00477111">
        <w:rPr>
          <w:rFonts w:ascii="Verdana" w:hAnsi="Verdana"/>
        </w:rPr>
        <w:t>.</w:t>
      </w:r>
      <w:r w:rsidR="0030264F">
        <w:rPr>
          <w:rFonts w:ascii="Verdana" w:hAnsi="Verdana"/>
        </w:rPr>
        <w:t xml:space="preserve"> </w:t>
      </w:r>
    </w:p>
    <w:p w14:paraId="1CBB0D7B" w14:textId="77777777" w:rsidR="00F77791" w:rsidRPr="0095534D" w:rsidRDefault="00F77791" w:rsidP="001E58F2">
      <w:pPr>
        <w:ind w:left="720"/>
        <w:rPr>
          <w:rFonts w:ascii="Verdana" w:hAnsi="Verdana"/>
        </w:rPr>
      </w:pPr>
      <w:r w:rsidRPr="0095534D">
        <w:rPr>
          <w:rFonts w:ascii="Verdana" w:hAnsi="Verdana"/>
          <w:b/>
        </w:rPr>
        <w:t>AND</w:t>
      </w:r>
      <w:r w:rsidR="0030264F">
        <w:rPr>
          <w:rFonts w:ascii="Verdana" w:hAnsi="Verdana"/>
        </w:rPr>
        <w:t xml:space="preserve"> </w:t>
      </w:r>
    </w:p>
    <w:p w14:paraId="4F00E8B9" w14:textId="77777777" w:rsidR="00F77791" w:rsidRDefault="00F77791" w:rsidP="005153FC">
      <w:pPr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I</w:t>
      </w:r>
      <w:r w:rsidRPr="0095534D">
        <w:rPr>
          <w:rFonts w:ascii="Verdana" w:hAnsi="Verdana"/>
        </w:rPr>
        <w:t>s</w:t>
      </w:r>
      <w:r w:rsidR="0030264F">
        <w:rPr>
          <w:rFonts w:ascii="Verdana" w:hAnsi="Verdana"/>
        </w:rPr>
        <w:t xml:space="preserve"> </w:t>
      </w:r>
      <w:r w:rsidRPr="0095534D">
        <w:rPr>
          <w:rFonts w:ascii="Verdana" w:hAnsi="Verdana"/>
        </w:rPr>
        <w:t>re</w:t>
      </w:r>
      <w:r>
        <w:rPr>
          <w:rFonts w:ascii="Verdana" w:hAnsi="Verdana"/>
        </w:rPr>
        <w:t>questing</w:t>
      </w:r>
      <w:r w:rsidR="0030264F">
        <w:rPr>
          <w:rFonts w:ascii="Verdana" w:hAnsi="Verdana"/>
        </w:rPr>
        <w:t xml:space="preserve"> </w:t>
      </w:r>
      <w:r>
        <w:rPr>
          <w:rFonts w:ascii="Verdana" w:hAnsi="Verdana"/>
        </w:rPr>
        <w:t>review</w:t>
      </w:r>
      <w:r w:rsidR="0030264F">
        <w:rPr>
          <w:rFonts w:ascii="Verdana" w:hAnsi="Verdana"/>
        </w:rPr>
        <w:t xml:space="preserve"> </w:t>
      </w:r>
      <w:r>
        <w:rPr>
          <w:rFonts w:ascii="Verdana" w:hAnsi="Verdana"/>
        </w:rPr>
        <w:t>of</w:t>
      </w:r>
      <w:r w:rsidR="0030264F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30264F">
        <w:rPr>
          <w:rFonts w:ascii="Verdana" w:hAnsi="Verdana"/>
        </w:rPr>
        <w:t xml:space="preserve"> </w:t>
      </w:r>
      <w:r>
        <w:rPr>
          <w:rFonts w:ascii="Verdana" w:hAnsi="Verdana"/>
        </w:rPr>
        <w:t>decision</w:t>
      </w:r>
      <w:r w:rsidR="0030264F">
        <w:rPr>
          <w:rFonts w:ascii="Verdana" w:hAnsi="Verdana"/>
        </w:rPr>
        <w:t xml:space="preserve"> </w:t>
      </w:r>
    </w:p>
    <w:p w14:paraId="70ECCE28" w14:textId="77777777" w:rsidR="00F77791" w:rsidRDefault="00F77791" w:rsidP="00F44564">
      <w:pPr>
        <w:ind w:left="360"/>
        <w:rPr>
          <w:rFonts w:ascii="Verdana" w:hAnsi="Verdana"/>
        </w:rPr>
      </w:pPr>
    </w:p>
    <w:p w14:paraId="47ADC346" w14:textId="01712DDD" w:rsidR="00F77791" w:rsidRPr="009C7C7C" w:rsidRDefault="00A57CE6" w:rsidP="00F44564">
      <w:pPr>
        <w:pStyle w:val="ListParagraph"/>
        <w:ind w:left="0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2990FB6E" wp14:editId="6504BA6F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791" w:rsidRPr="009C7C7C">
        <w:rPr>
          <w:rFonts w:ascii="Verdana" w:hAnsi="Verdana"/>
          <w:b/>
        </w:rPr>
        <w:t>The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CCR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should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not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make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any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promises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of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reinstatement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to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the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beneficiary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during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this</w:t>
      </w:r>
      <w:r w:rsidR="0030264F">
        <w:rPr>
          <w:rFonts w:ascii="Verdana" w:hAnsi="Verdana"/>
          <w:b/>
        </w:rPr>
        <w:t xml:space="preserve"> </w:t>
      </w:r>
      <w:r w:rsidR="00F77791" w:rsidRPr="009C7C7C">
        <w:rPr>
          <w:rFonts w:ascii="Verdana" w:hAnsi="Verdana"/>
          <w:b/>
        </w:rPr>
        <w:t>discussion.</w:t>
      </w:r>
    </w:p>
    <w:p w14:paraId="3E1A3ABA" w14:textId="77777777" w:rsidR="009E5D3C" w:rsidRPr="00A10B99" w:rsidRDefault="009E5D3C" w:rsidP="00F44564">
      <w:pPr>
        <w:pStyle w:val="ListParagraph"/>
        <w:ind w:left="0"/>
        <w:rPr>
          <w:rFonts w:ascii="Verdana" w:hAnsi="Verdana"/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2370"/>
        <w:gridCol w:w="1766"/>
        <w:gridCol w:w="8015"/>
      </w:tblGrid>
      <w:tr w:rsidR="00127A64" w:rsidRPr="00D26E65" w14:paraId="3D9F4883" w14:textId="77777777" w:rsidTr="00272605"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F4BC0FF" w14:textId="77777777" w:rsidR="009E5D3C" w:rsidRPr="00D26E65" w:rsidRDefault="009E5D3C" w:rsidP="00F44564">
            <w:pPr>
              <w:jc w:val="center"/>
              <w:rPr>
                <w:rFonts w:ascii="Verdana" w:hAnsi="Verdana"/>
                <w:b/>
              </w:rPr>
            </w:pPr>
            <w:r w:rsidRPr="00D26E65">
              <w:rPr>
                <w:rFonts w:ascii="Verdana" w:hAnsi="Verdana"/>
                <w:b/>
              </w:rPr>
              <w:t>Step</w:t>
            </w:r>
          </w:p>
        </w:tc>
        <w:tc>
          <w:tcPr>
            <w:tcW w:w="13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6837BECA" w14:textId="77777777" w:rsidR="009E5D3C" w:rsidRPr="00D26E65" w:rsidRDefault="009E5D3C" w:rsidP="00F44564">
            <w:pPr>
              <w:jc w:val="center"/>
              <w:rPr>
                <w:rFonts w:ascii="Verdana" w:hAnsi="Verdana"/>
                <w:b/>
              </w:rPr>
            </w:pPr>
            <w:r w:rsidRPr="00D26E65">
              <w:rPr>
                <w:rFonts w:ascii="Verdana" w:hAnsi="Verdana"/>
                <w:b/>
              </w:rPr>
              <w:t>Action</w:t>
            </w:r>
          </w:p>
        </w:tc>
      </w:tr>
      <w:tr w:rsidR="000E74D0" w:rsidRPr="00D26E65" w14:paraId="6A4DFD4C" w14:textId="77777777" w:rsidTr="00272605">
        <w:trPr>
          <w:trHeight w:val="4452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ADB078" w14:textId="77777777" w:rsidR="000E74D0" w:rsidRPr="00D26E65" w:rsidRDefault="00186D36" w:rsidP="00F4456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3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7AE20" w14:textId="77777777" w:rsidR="000E74D0" w:rsidRPr="006A653C" w:rsidRDefault="000E74D0" w:rsidP="006A653C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6A653C">
              <w:rPr>
                <w:rFonts w:ascii="Verdana" w:hAnsi="Verdana"/>
              </w:rPr>
              <w:t>Confirm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the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reason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for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disenrollment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is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non-payment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Part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D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IRMAA</w:t>
            </w:r>
          </w:p>
          <w:p w14:paraId="4AC00D37" w14:textId="77777777" w:rsidR="000E74D0" w:rsidRPr="006A653C" w:rsidRDefault="000E74D0" w:rsidP="006A653C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6A653C">
              <w:rPr>
                <w:rFonts w:ascii="Verdana" w:hAnsi="Verdana"/>
              </w:rPr>
              <w:t>Confirm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that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the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caller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is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contacting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the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plan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within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  <w:b/>
              </w:rPr>
              <w:t>60</w:t>
            </w:r>
            <w:r w:rsidR="0030264F" w:rsidRPr="006A653C">
              <w:rPr>
                <w:rFonts w:ascii="Verdana" w:hAnsi="Verdana"/>
                <w:b/>
              </w:rPr>
              <w:t xml:space="preserve"> </w:t>
            </w:r>
            <w:r w:rsidRPr="006A653C">
              <w:rPr>
                <w:rFonts w:ascii="Verdana" w:hAnsi="Verdana"/>
                <w:b/>
              </w:rPr>
              <w:t>days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of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the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disenrollment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effective</w:t>
            </w:r>
            <w:r w:rsidR="0030264F" w:rsidRPr="006A653C">
              <w:rPr>
                <w:rFonts w:ascii="Verdana" w:hAnsi="Verdana"/>
              </w:rPr>
              <w:t xml:space="preserve"> </w:t>
            </w:r>
            <w:r w:rsidRPr="006A653C">
              <w:rPr>
                <w:rFonts w:ascii="Verdana" w:hAnsi="Verdana"/>
              </w:rPr>
              <w:t>date</w:t>
            </w:r>
          </w:p>
          <w:p w14:paraId="44C7E01B" w14:textId="77777777" w:rsidR="000E74D0" w:rsidRPr="009E5D3C" w:rsidRDefault="000E74D0" w:rsidP="00F44564">
            <w:pPr>
              <w:rPr>
                <w:rFonts w:ascii="Verdana" w:hAnsi="Verdana"/>
              </w:rPr>
            </w:pPr>
          </w:p>
          <w:p w14:paraId="42ED3F94" w14:textId="77777777" w:rsidR="00851617" w:rsidRPr="00851617" w:rsidRDefault="00851617" w:rsidP="00851617">
            <w:pPr>
              <w:rPr>
                <w:color w:val="000000"/>
                <w:sz w:val="27"/>
                <w:szCs w:val="27"/>
              </w:rPr>
            </w:pPr>
            <w:r w:rsidRPr="00851617">
              <w:rPr>
                <w:rFonts w:ascii="Verdana" w:hAnsi="Verdana"/>
                <w:b/>
                <w:bCs/>
                <w:color w:val="000000"/>
              </w:rPr>
              <w:t>Note:</w:t>
            </w:r>
            <w:r w:rsidR="0030264F">
              <w:rPr>
                <w:rFonts w:ascii="Verdana" w:hAnsi="Verdana"/>
                <w:color w:val="000000"/>
              </w:rPr>
              <w:t xml:space="preserve">  </w:t>
            </w:r>
            <w:r w:rsidRPr="00851617">
              <w:rPr>
                <w:rFonts w:ascii="Verdana" w:hAnsi="Verdana"/>
                <w:color w:val="000000"/>
              </w:rPr>
              <w:t>If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reason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for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disenrollment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is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other:</w:t>
            </w:r>
          </w:p>
          <w:p w14:paraId="22ACED74" w14:textId="7EE991F8" w:rsidR="00851617" w:rsidRPr="00851617" w:rsidRDefault="00851617" w:rsidP="005153FC">
            <w:pPr>
              <w:numPr>
                <w:ilvl w:val="0"/>
                <w:numId w:val="6"/>
              </w:numPr>
              <w:rPr>
                <w:color w:val="000000"/>
              </w:rPr>
            </w:pPr>
            <w:r w:rsidRPr="00851617">
              <w:rPr>
                <w:rFonts w:ascii="Verdana" w:hAnsi="Verdana"/>
                <w:b/>
                <w:bCs/>
                <w:color w:val="000000"/>
              </w:rPr>
              <w:t>Plan</w:t>
            </w:r>
            <w:r w:rsidR="0030264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51617">
              <w:rPr>
                <w:rFonts w:ascii="Verdana" w:hAnsi="Verdana"/>
                <w:b/>
                <w:bCs/>
                <w:color w:val="000000"/>
              </w:rPr>
              <w:t>Error:</w:t>
            </w:r>
            <w:r w:rsidR="0030264F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plan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may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need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to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review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if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an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error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has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been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made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in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billing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or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calculating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payments,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plan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may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reinstate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enrollee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due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to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“plan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error</w:t>
            </w:r>
            <w:r w:rsidR="00492239" w:rsidRPr="00851617">
              <w:rPr>
                <w:rFonts w:ascii="Verdana" w:hAnsi="Verdana"/>
                <w:color w:val="000000"/>
              </w:rPr>
              <w:t>,”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but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this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is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not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considered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a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Good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Cause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reinstatement.</w:t>
            </w:r>
          </w:p>
          <w:p w14:paraId="5F1E4911" w14:textId="336A8B71" w:rsidR="00851617" w:rsidRPr="00851617" w:rsidRDefault="00851617" w:rsidP="005153FC">
            <w:pPr>
              <w:numPr>
                <w:ilvl w:val="0"/>
                <w:numId w:val="6"/>
              </w:numPr>
              <w:rPr>
                <w:color w:val="000000"/>
              </w:rPr>
            </w:pPr>
            <w:r w:rsidRPr="00851617">
              <w:rPr>
                <w:rFonts w:ascii="Verdana" w:hAnsi="Verdana"/>
                <w:b/>
                <w:bCs/>
                <w:color w:val="000000"/>
              </w:rPr>
              <w:t>Federal</w:t>
            </w:r>
            <w:r w:rsidR="0030264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51617">
              <w:rPr>
                <w:rFonts w:ascii="Verdana" w:hAnsi="Verdana"/>
                <w:b/>
                <w:bCs/>
                <w:color w:val="000000"/>
              </w:rPr>
              <w:t>Government</w:t>
            </w:r>
            <w:r w:rsidR="0030264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51617">
              <w:rPr>
                <w:rFonts w:ascii="Verdana" w:hAnsi="Verdana"/>
                <w:b/>
                <w:bCs/>
                <w:color w:val="000000"/>
              </w:rPr>
              <w:t>Error:</w:t>
            </w:r>
            <w:r w:rsidR="0030264F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Pr="00851617">
              <w:rPr>
                <w:rFonts w:ascii="Verdana" w:hAnsi="Verdana"/>
                <w:color w:val="000000"/>
              </w:rPr>
              <w:t>Disenrollments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effectuated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by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CMS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for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failure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to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pay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Part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D-IRMAA,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CMS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may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reinstate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enrollee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due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to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“Federal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Government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Error</w:t>
            </w:r>
            <w:r w:rsidR="00492239" w:rsidRPr="00851617">
              <w:rPr>
                <w:rFonts w:ascii="Verdana" w:hAnsi="Verdana"/>
                <w:color w:val="000000"/>
              </w:rPr>
              <w:t>.”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This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occurs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when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Federal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Government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(i.e.,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CMS,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SSA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or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RRB)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caused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payment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to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not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be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applied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and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enrollee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was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unaware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of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error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or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unable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to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take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action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prior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to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disenrollment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effective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date.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This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would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be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considered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a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Good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Cause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reinstatement.</w:t>
            </w:r>
          </w:p>
          <w:p w14:paraId="27E5E76C" w14:textId="77777777" w:rsidR="00851617" w:rsidRPr="00851617" w:rsidRDefault="00851617" w:rsidP="005153FC">
            <w:pPr>
              <w:numPr>
                <w:ilvl w:val="1"/>
                <w:numId w:val="4"/>
              </w:numPr>
              <w:ind w:left="1100" w:firstLine="0"/>
              <w:rPr>
                <w:color w:val="000000"/>
              </w:rPr>
            </w:pPr>
            <w:r w:rsidRPr="00851617">
              <w:rPr>
                <w:rFonts w:ascii="Verdana" w:hAnsi="Verdana"/>
                <w:color w:val="000000"/>
              </w:rPr>
              <w:t>Advise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individual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that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they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b/>
                <w:bCs/>
                <w:color w:val="000000"/>
              </w:rPr>
              <w:t>MUST</w:t>
            </w:r>
            <w:r w:rsidR="0030264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contact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Medicare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within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b/>
                <w:bCs/>
                <w:color w:val="000000"/>
              </w:rPr>
              <w:t>60</w:t>
            </w:r>
            <w:r w:rsidR="0030264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51617">
              <w:rPr>
                <w:rFonts w:ascii="Verdana" w:hAnsi="Verdana"/>
                <w:b/>
                <w:bCs/>
                <w:color w:val="000000"/>
              </w:rPr>
              <w:t>calendar</w:t>
            </w:r>
            <w:r w:rsidR="0030264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851617">
              <w:rPr>
                <w:rFonts w:ascii="Verdana" w:hAnsi="Verdana"/>
                <w:b/>
                <w:bCs/>
                <w:color w:val="000000"/>
              </w:rPr>
              <w:t>days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of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the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disenrollment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effective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date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to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request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a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Good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Cause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reinstatement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for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non-payment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for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Part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IRMAA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at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1-800-MEDICARE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(</w:t>
            </w:r>
            <w:r w:rsidRPr="00851617">
              <w:rPr>
                <w:rFonts w:ascii="Verdana" w:hAnsi="Verdana"/>
                <w:b/>
                <w:bCs/>
                <w:color w:val="000000"/>
              </w:rPr>
              <w:t>1-800-633-4227</w:t>
            </w:r>
            <w:r w:rsidRPr="00851617">
              <w:rPr>
                <w:rFonts w:ascii="Verdana" w:hAnsi="Verdana"/>
                <w:color w:val="000000"/>
              </w:rPr>
              <w:t>)</w:t>
            </w:r>
          </w:p>
          <w:p w14:paraId="39EBD055" w14:textId="77777777" w:rsidR="00851617" w:rsidRPr="00851617" w:rsidRDefault="00851617" w:rsidP="005153FC">
            <w:pPr>
              <w:numPr>
                <w:ilvl w:val="1"/>
                <w:numId w:val="4"/>
              </w:numPr>
              <w:ind w:left="1100" w:firstLine="0"/>
              <w:rPr>
                <w:color w:val="000000"/>
              </w:rPr>
            </w:pPr>
            <w:r w:rsidRPr="00851617">
              <w:rPr>
                <w:rFonts w:ascii="Verdana" w:hAnsi="Verdana"/>
                <w:color w:val="000000"/>
              </w:rPr>
              <w:t>TTY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users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should</w:t>
            </w:r>
            <w:r w:rsidR="0030264F">
              <w:rPr>
                <w:rFonts w:ascii="Verdana" w:hAnsi="Verdana"/>
                <w:color w:val="000000"/>
              </w:rPr>
              <w:t xml:space="preserve"> </w:t>
            </w:r>
            <w:r w:rsidRPr="00851617">
              <w:rPr>
                <w:rFonts w:ascii="Verdana" w:hAnsi="Verdana"/>
                <w:color w:val="000000"/>
              </w:rPr>
              <w:t>use:</w:t>
            </w:r>
            <w:r w:rsidR="0030264F">
              <w:rPr>
                <w:rFonts w:ascii="Verdana" w:hAnsi="Verdana"/>
                <w:color w:val="000000"/>
              </w:rPr>
              <w:t xml:space="preserve">  </w:t>
            </w:r>
            <w:r w:rsidRPr="00851617">
              <w:rPr>
                <w:rFonts w:ascii="Verdana" w:hAnsi="Verdana"/>
                <w:b/>
                <w:bCs/>
                <w:color w:val="000000"/>
              </w:rPr>
              <w:t>1-877-486-2048</w:t>
            </w:r>
            <w:r w:rsidRPr="00851617">
              <w:rPr>
                <w:rFonts w:ascii="Verdana" w:hAnsi="Verdana"/>
                <w:color w:val="000000"/>
              </w:rPr>
              <w:t>.</w:t>
            </w:r>
          </w:p>
          <w:p w14:paraId="26A42C44" w14:textId="77777777" w:rsidR="000E74D0" w:rsidRPr="009E5D3C" w:rsidRDefault="000E74D0" w:rsidP="00F44564">
            <w:pPr>
              <w:rPr>
                <w:rFonts w:ascii="Verdana" w:hAnsi="Verdana"/>
              </w:rPr>
            </w:pPr>
          </w:p>
          <w:p w14:paraId="0342E8F3" w14:textId="3182F59F" w:rsidR="000E74D0" w:rsidRPr="009E5D3C" w:rsidRDefault="000E74D0" w:rsidP="005153FC">
            <w:pPr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9E5D3C">
              <w:rPr>
                <w:rFonts w:ascii="Verdana" w:hAnsi="Verdana"/>
              </w:rPr>
              <w:t>For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those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beneficiaries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who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have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been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disenrolled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for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non-payment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of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premiums,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on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="00E501B3">
              <w:rPr>
                <w:rFonts w:ascii="Verdana" w:hAnsi="Verdana"/>
              </w:rPr>
              <w:t xml:space="preserve">Member Snapshot Landing </w:t>
            </w:r>
            <w:r w:rsidR="006A653C">
              <w:rPr>
                <w:rFonts w:ascii="Verdana" w:hAnsi="Verdana"/>
              </w:rPr>
              <w:t>P</w:t>
            </w:r>
            <w:r w:rsidR="00674E4D">
              <w:rPr>
                <w:rFonts w:ascii="Verdana" w:hAnsi="Verdana"/>
              </w:rPr>
              <w:t>age</w:t>
            </w:r>
            <w:r w:rsidRPr="009E5D3C">
              <w:rPr>
                <w:rFonts w:ascii="Verdana" w:hAnsi="Verdana"/>
              </w:rPr>
              <w:t>,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CCR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will</w:t>
            </w:r>
            <w:r w:rsidR="0030264F"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see</w:t>
            </w:r>
            <w:r w:rsidR="0030264F">
              <w:rPr>
                <w:rFonts w:ascii="Verdana" w:hAnsi="Verdana"/>
              </w:rPr>
              <w:t xml:space="preserve"> </w:t>
            </w:r>
            <w:r w:rsidR="00674E4D" w:rsidRPr="0043407D">
              <w:rPr>
                <w:rFonts w:ascii="Verdana" w:hAnsi="Verdana"/>
                <w:b/>
                <w:bCs/>
              </w:rPr>
              <w:t>Inactive</w:t>
            </w:r>
            <w:r w:rsidR="00674E4D">
              <w:rPr>
                <w:rFonts w:ascii="Verdana" w:hAnsi="Verdana"/>
              </w:rPr>
              <w:t xml:space="preserve"> and the </w:t>
            </w:r>
            <w:r w:rsidR="00674E4D" w:rsidRPr="0043407D">
              <w:rPr>
                <w:rFonts w:ascii="Verdana" w:hAnsi="Verdana"/>
                <w:b/>
                <w:bCs/>
              </w:rPr>
              <w:t>Disenrollment Effective Date:</w:t>
            </w:r>
            <w:r w:rsidR="00674E4D">
              <w:rPr>
                <w:rFonts w:ascii="Verdana" w:hAnsi="Verdana"/>
              </w:rPr>
              <w:t xml:space="preserve"> </w:t>
            </w:r>
          </w:p>
          <w:p w14:paraId="38EF6741" w14:textId="77777777" w:rsidR="00B262F4" w:rsidRDefault="00B262F4" w:rsidP="00F44564">
            <w:pPr>
              <w:jc w:val="center"/>
              <w:rPr>
                <w:rFonts w:ascii="Verdana" w:hAnsi="Verdana"/>
                <w:b/>
              </w:rPr>
            </w:pPr>
          </w:p>
          <w:p w14:paraId="5358EC33" w14:textId="0776AC7C" w:rsidR="000E74D0" w:rsidRPr="00503961" w:rsidRDefault="00A57CE6" w:rsidP="00F4456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4582EEF" wp14:editId="0ED3EEFD">
                  <wp:extent cx="3981450" cy="2943225"/>
                  <wp:effectExtent l="19050" t="1905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94322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AB1FE40" w14:textId="77777777" w:rsidR="000E74D0" w:rsidRDefault="000E74D0" w:rsidP="00680877">
            <w:pPr>
              <w:rPr>
                <w:rFonts w:ascii="Verdana" w:hAnsi="Verdana"/>
                <w:b/>
              </w:rPr>
            </w:pPr>
          </w:p>
          <w:p w14:paraId="42E815DC" w14:textId="61A03928" w:rsidR="00680877" w:rsidRDefault="00680877" w:rsidP="00680877">
            <w:pPr>
              <w:numPr>
                <w:ilvl w:val="0"/>
                <w:numId w:val="12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To c</w:t>
            </w:r>
            <w:r w:rsidRPr="009E5D3C">
              <w:rPr>
                <w:rFonts w:ascii="Verdana" w:hAnsi="Verdana"/>
              </w:rPr>
              <w:t>onfirm</w:t>
            </w:r>
            <w:r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reason</w:t>
            </w:r>
            <w:r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disenrollment</w:t>
            </w:r>
            <w:r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non-payment</w:t>
            </w:r>
            <w:r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Part</w:t>
            </w:r>
            <w:r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D</w:t>
            </w:r>
            <w:r>
              <w:rPr>
                <w:rFonts w:ascii="Verdana" w:hAnsi="Verdana"/>
              </w:rPr>
              <w:t xml:space="preserve"> </w:t>
            </w:r>
            <w:r w:rsidRPr="009E5D3C">
              <w:rPr>
                <w:rFonts w:ascii="Verdana" w:hAnsi="Verdana"/>
              </w:rPr>
              <w:t>IRMAA</w:t>
            </w:r>
            <w:r>
              <w:rPr>
                <w:rFonts w:ascii="Verdana" w:hAnsi="Verdana"/>
              </w:rPr>
              <w:t xml:space="preserve">, the CCR should check the </w:t>
            </w:r>
            <w:r w:rsidR="004F0186" w:rsidRPr="006A653C">
              <w:rPr>
                <w:rFonts w:ascii="Verdana" w:hAnsi="Verdana"/>
                <w:b/>
                <w:bCs/>
              </w:rPr>
              <w:t>Medicare D</w:t>
            </w:r>
            <w:r w:rsidR="004F0186">
              <w:rPr>
                <w:rFonts w:ascii="Verdana" w:hAnsi="Verdana"/>
              </w:rPr>
              <w:t xml:space="preserve"> tab.</w:t>
            </w:r>
          </w:p>
          <w:p w14:paraId="0BB32C19" w14:textId="77777777" w:rsidR="000E74D0" w:rsidRDefault="000E74D0" w:rsidP="00F44564">
            <w:pPr>
              <w:rPr>
                <w:rFonts w:ascii="Verdana" w:hAnsi="Verdana"/>
                <w:b/>
              </w:rPr>
            </w:pPr>
          </w:p>
          <w:p w14:paraId="73AF6B7C" w14:textId="549F58AD" w:rsidR="000E74D0" w:rsidRDefault="00A57CE6" w:rsidP="00F44564">
            <w:pPr>
              <w:jc w:val="center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B2718D5" wp14:editId="779B7B7B">
                  <wp:extent cx="7858125" cy="2181225"/>
                  <wp:effectExtent l="19050" t="1905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8125" cy="218122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ADD09D3" w14:textId="77777777" w:rsidR="004F0186" w:rsidRDefault="004F0186" w:rsidP="00F44564">
            <w:pPr>
              <w:jc w:val="center"/>
              <w:rPr>
                <w:rFonts w:ascii="Verdana" w:hAnsi="Verdana"/>
                <w:b/>
                <w:noProof/>
              </w:rPr>
            </w:pPr>
          </w:p>
          <w:p w14:paraId="1892E381" w14:textId="45204E47" w:rsidR="0003487D" w:rsidRDefault="00D16934">
            <w:pPr>
              <w:numPr>
                <w:ilvl w:val="1"/>
                <w:numId w:val="12"/>
              </w:numPr>
              <w:rPr>
                <w:rFonts w:ascii="Verdana" w:hAnsi="Verdana"/>
                <w:bCs/>
                <w:noProof/>
              </w:rPr>
            </w:pPr>
            <w:r w:rsidRPr="00CB4191">
              <w:rPr>
                <w:rFonts w:ascii="Verdana" w:hAnsi="Verdana"/>
                <w:bCs/>
                <w:noProof/>
              </w:rPr>
              <w:t xml:space="preserve">On the </w:t>
            </w:r>
            <w:r w:rsidRPr="006A653C">
              <w:rPr>
                <w:rFonts w:ascii="Verdana" w:hAnsi="Verdana"/>
                <w:bCs/>
                <w:noProof/>
              </w:rPr>
              <w:t xml:space="preserve">Medicare D </w:t>
            </w:r>
            <w:r w:rsidR="00D843B7" w:rsidRPr="006A653C">
              <w:rPr>
                <w:rFonts w:ascii="Verdana" w:hAnsi="Verdana"/>
                <w:bCs/>
                <w:noProof/>
              </w:rPr>
              <w:t>Landing Page</w:t>
            </w:r>
            <w:r w:rsidRPr="00CB4191">
              <w:rPr>
                <w:rFonts w:ascii="Verdana" w:hAnsi="Verdana"/>
                <w:bCs/>
                <w:noProof/>
              </w:rPr>
              <w:t xml:space="preserve">, verify the </w:t>
            </w:r>
            <w:r w:rsidRPr="00CB4191">
              <w:rPr>
                <w:rFonts w:ascii="Verdana" w:hAnsi="Verdana"/>
                <w:b/>
                <w:noProof/>
              </w:rPr>
              <w:t>Disenrollment Application Date</w:t>
            </w:r>
            <w:r w:rsidRPr="00CB4191">
              <w:rPr>
                <w:rFonts w:ascii="Verdana" w:hAnsi="Verdana"/>
                <w:bCs/>
                <w:noProof/>
              </w:rPr>
              <w:t xml:space="preserve"> in the </w:t>
            </w:r>
            <w:r w:rsidRPr="00CB4191">
              <w:rPr>
                <w:rFonts w:ascii="Verdana" w:hAnsi="Verdana"/>
                <w:b/>
                <w:noProof/>
              </w:rPr>
              <w:t>Enrollment Details</w:t>
            </w:r>
            <w:r w:rsidRPr="00CB4191">
              <w:rPr>
                <w:rFonts w:ascii="Verdana" w:hAnsi="Verdana"/>
                <w:bCs/>
                <w:noProof/>
              </w:rPr>
              <w:t xml:space="preserve"> section of the </w:t>
            </w:r>
            <w:r w:rsidRPr="00CB4191">
              <w:rPr>
                <w:rFonts w:ascii="Verdana" w:hAnsi="Verdana"/>
                <w:b/>
                <w:noProof/>
              </w:rPr>
              <w:t>Eligibility &amp; Plan</w:t>
            </w:r>
            <w:r w:rsidRPr="00CB4191">
              <w:rPr>
                <w:rFonts w:ascii="Verdana" w:hAnsi="Verdana"/>
                <w:bCs/>
                <w:noProof/>
              </w:rPr>
              <w:t xml:space="preserve"> tab</w:t>
            </w:r>
            <w:r w:rsidR="0003487D">
              <w:rPr>
                <w:rFonts w:ascii="Verdana" w:hAnsi="Verdana"/>
                <w:bCs/>
                <w:noProof/>
              </w:rPr>
              <w:t>.</w:t>
            </w:r>
          </w:p>
          <w:p w14:paraId="7F1392D1" w14:textId="6CFB4001" w:rsidR="00D16934" w:rsidRPr="00CB4191" w:rsidRDefault="0003487D">
            <w:pPr>
              <w:numPr>
                <w:ilvl w:val="1"/>
                <w:numId w:val="12"/>
              </w:numPr>
              <w:rPr>
                <w:rFonts w:ascii="Verdana" w:hAnsi="Verdana"/>
                <w:bCs/>
                <w:noProof/>
              </w:rPr>
            </w:pPr>
            <w:r>
              <w:rPr>
                <w:rFonts w:ascii="Verdana" w:hAnsi="Verdana"/>
                <w:bCs/>
                <w:noProof/>
              </w:rPr>
              <w:t>C</w:t>
            </w:r>
            <w:r w:rsidR="00D16934" w:rsidRPr="00CB4191">
              <w:rPr>
                <w:rFonts w:ascii="Verdana" w:hAnsi="Verdana"/>
                <w:bCs/>
                <w:noProof/>
              </w:rPr>
              <w:t xml:space="preserve">lick the </w:t>
            </w:r>
            <w:r w:rsidR="00D16934" w:rsidRPr="00CB4191">
              <w:rPr>
                <w:rFonts w:ascii="Verdana" w:hAnsi="Verdana"/>
                <w:b/>
                <w:noProof/>
              </w:rPr>
              <w:t>View All</w:t>
            </w:r>
            <w:r w:rsidR="00D16934" w:rsidRPr="00CB4191">
              <w:rPr>
                <w:rFonts w:ascii="Verdana" w:hAnsi="Verdana"/>
                <w:bCs/>
                <w:noProof/>
              </w:rPr>
              <w:t xml:space="preserve"> hyperlink in the </w:t>
            </w:r>
            <w:r w:rsidR="00D16934" w:rsidRPr="0003487D">
              <w:rPr>
                <w:rFonts w:ascii="Verdana" w:hAnsi="Verdana"/>
                <w:b/>
                <w:noProof/>
              </w:rPr>
              <w:t>Medicare D Alerts</w:t>
            </w:r>
            <w:r w:rsidR="00D16934" w:rsidRPr="00CB4191">
              <w:rPr>
                <w:rFonts w:ascii="Verdana" w:hAnsi="Verdana"/>
                <w:bCs/>
                <w:noProof/>
              </w:rPr>
              <w:t xml:space="preserve"> panel to review </w:t>
            </w:r>
            <w:r w:rsidR="00A6362A">
              <w:rPr>
                <w:rFonts w:ascii="Verdana" w:hAnsi="Verdana"/>
                <w:bCs/>
                <w:noProof/>
              </w:rPr>
              <w:t>alerts</w:t>
            </w:r>
            <w:r w:rsidR="00D16934" w:rsidRPr="00CB4191">
              <w:rPr>
                <w:rFonts w:ascii="Verdana" w:hAnsi="Verdana"/>
                <w:bCs/>
                <w:noProof/>
              </w:rPr>
              <w:t xml:space="preserve"> pertaining to the beneficiary’s disenrollment</w:t>
            </w:r>
            <w:r w:rsidR="00A6362A">
              <w:rPr>
                <w:rFonts w:ascii="Verdana" w:hAnsi="Verdana"/>
                <w:bCs/>
                <w:noProof/>
              </w:rPr>
              <w:t>.</w:t>
            </w:r>
          </w:p>
          <w:p w14:paraId="0CDF3702" w14:textId="09302871" w:rsidR="000E74D0" w:rsidRPr="009C600C" w:rsidRDefault="000E74D0" w:rsidP="004F0186">
            <w:pPr>
              <w:ind w:left="360"/>
              <w:rPr>
                <w:rFonts w:ascii="Verdana" w:hAnsi="Verdana"/>
              </w:rPr>
            </w:pPr>
          </w:p>
        </w:tc>
      </w:tr>
      <w:tr w:rsidR="009C600C" w:rsidRPr="00D26E65" w14:paraId="33DF5862" w14:textId="77777777" w:rsidTr="00272605">
        <w:trPr>
          <w:trHeight w:val="620"/>
        </w:trPr>
        <w:tc>
          <w:tcPr>
            <w:tcW w:w="86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96E905" w14:textId="77777777" w:rsidR="00127A64" w:rsidRDefault="00186D36" w:rsidP="00F4456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137610A7" w14:textId="77777777" w:rsidR="00127A64" w:rsidRPr="00D26E65" w:rsidRDefault="00127A64" w:rsidP="00F44564">
            <w:pPr>
              <w:jc w:val="center"/>
              <w:rPr>
                <w:rFonts w:ascii="Verdana" w:hAnsi="Verdana"/>
                <w:b/>
              </w:rPr>
            </w:pPr>
            <w:r w:rsidRPr="00D26E65">
              <w:rPr>
                <w:rFonts w:ascii="Verdana" w:hAnsi="Verdana"/>
                <w:b/>
              </w:rPr>
              <w:t>If</w:t>
            </w:r>
            <w:r w:rsidR="0030264F">
              <w:rPr>
                <w:rFonts w:ascii="Verdana" w:hAnsi="Verdana"/>
                <w:b/>
              </w:rPr>
              <w:t xml:space="preserve"> </w:t>
            </w:r>
            <w:r w:rsidRPr="00D26E65">
              <w:rPr>
                <w:rFonts w:ascii="Verdana" w:hAnsi="Verdana"/>
                <w:b/>
              </w:rPr>
              <w:t>the</w:t>
            </w:r>
            <w:r w:rsidR="0030264F">
              <w:rPr>
                <w:rFonts w:ascii="Verdana" w:hAnsi="Verdana"/>
                <w:b/>
              </w:rPr>
              <w:t xml:space="preserve"> </w:t>
            </w:r>
            <w:r w:rsidRPr="00D26E65">
              <w:rPr>
                <w:rFonts w:ascii="Verdana" w:hAnsi="Verdana"/>
                <w:b/>
              </w:rPr>
              <w:t>beneficiary</w:t>
            </w:r>
            <w:r w:rsidR="0030264F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or</w:t>
            </w:r>
            <w:r w:rsidR="0030264F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authorized</w:t>
            </w:r>
            <w:r w:rsidR="0030264F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representative</w:t>
            </w:r>
            <w:r w:rsidR="0030264F">
              <w:rPr>
                <w:rFonts w:ascii="Verdana" w:hAnsi="Verdana"/>
                <w:b/>
              </w:rPr>
              <w:t xml:space="preserve"> </w:t>
            </w:r>
            <w:r w:rsidRPr="00D26E65">
              <w:rPr>
                <w:rFonts w:ascii="Verdana" w:hAnsi="Verdana"/>
                <w:b/>
              </w:rPr>
              <w:t>has</w:t>
            </w:r>
            <w:r w:rsidR="0030264F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received</w:t>
            </w:r>
            <w:r w:rsidRPr="00D26E65">
              <w:rPr>
                <w:rFonts w:ascii="Verdana" w:hAnsi="Verdana"/>
                <w:b/>
              </w:rPr>
              <w:t>…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369941C" w14:textId="77777777" w:rsidR="00127A64" w:rsidRDefault="00127A64" w:rsidP="00F44564">
            <w:pPr>
              <w:jc w:val="center"/>
              <w:rPr>
                <w:b/>
                <w:bCs/>
                <w:sz w:val="28"/>
                <w:szCs w:val="28"/>
              </w:rPr>
            </w:pPr>
            <w:r w:rsidRPr="00D26E65">
              <w:rPr>
                <w:rFonts w:ascii="Verdana" w:hAnsi="Verdana"/>
                <w:b/>
              </w:rPr>
              <w:t>Then…</w:t>
            </w:r>
          </w:p>
          <w:p w14:paraId="7463CDE9" w14:textId="77777777" w:rsidR="00127A64" w:rsidRPr="00D26E65" w:rsidRDefault="00127A64" w:rsidP="00F4456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9C600C" w:rsidRPr="00D26E65" w14:paraId="07480CAF" w14:textId="77777777" w:rsidTr="00272605">
        <w:trPr>
          <w:trHeight w:val="1470"/>
        </w:trPr>
        <w:tc>
          <w:tcPr>
            <w:tcW w:w="8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E8171" w14:textId="77777777" w:rsidR="00127A64" w:rsidRDefault="00127A64" w:rsidP="00F4456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89DB9" w14:textId="77777777" w:rsidR="00127A64" w:rsidRDefault="00127A64" w:rsidP="00F44564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127A64">
              <w:rPr>
                <w:rFonts w:ascii="Verdana" w:hAnsi="Verdana"/>
                <w:bCs/>
              </w:rPr>
              <w:t>Notification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of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Involuntary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Disenrollment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by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CMS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for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Failure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to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Pay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the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Part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D-Income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Related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Monthly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Adjustment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Amount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127A64">
              <w:rPr>
                <w:rFonts w:ascii="Verdana" w:hAnsi="Verdana"/>
                <w:bCs/>
              </w:rPr>
              <w:t>(</w:t>
            </w:r>
            <w:r w:rsidRPr="00BD05C3">
              <w:rPr>
                <w:rFonts w:ascii="Verdana" w:hAnsi="Verdana"/>
                <w:bCs/>
              </w:rPr>
              <w:t>Exhibit</w:t>
            </w:r>
            <w:r w:rsidR="0030264F" w:rsidRPr="00BD05C3">
              <w:rPr>
                <w:rFonts w:ascii="Verdana" w:hAnsi="Verdana"/>
                <w:bCs/>
              </w:rPr>
              <w:t xml:space="preserve"> </w:t>
            </w:r>
            <w:r w:rsidRPr="00BD05C3">
              <w:rPr>
                <w:rFonts w:ascii="Verdana" w:hAnsi="Verdana"/>
                <w:bCs/>
              </w:rPr>
              <w:t>21a</w:t>
            </w:r>
            <w:r w:rsidRPr="00127A64">
              <w:rPr>
                <w:rFonts w:ascii="Verdana" w:hAnsi="Verdana"/>
                <w:bCs/>
              </w:rPr>
              <w:t>)</w:t>
            </w:r>
            <w:r w:rsidR="0030264F">
              <w:rPr>
                <w:rFonts w:ascii="Verdana" w:hAnsi="Verdana"/>
              </w:rPr>
              <w:t xml:space="preserve"> </w:t>
            </w:r>
          </w:p>
          <w:p w14:paraId="3B579B99" w14:textId="77777777" w:rsidR="00127A64" w:rsidRPr="00127A64" w:rsidRDefault="00127A64" w:rsidP="00F44564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90ACF" w14:textId="18BEB6F5" w:rsidR="00127A64" w:rsidRPr="00127A64" w:rsidRDefault="00A57CE6" w:rsidP="00F44564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5EA847D" wp14:editId="5C46873B">
                  <wp:extent cx="285750" cy="1809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CCA52F" w14:textId="77777777" w:rsidR="00127A64" w:rsidRDefault="00127A64" w:rsidP="00846965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Medicare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disenrolled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from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plan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because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did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not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pay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Part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D-IRMAA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amount.</w:t>
            </w:r>
          </w:p>
          <w:p w14:paraId="3EE9DBC2" w14:textId="77777777" w:rsidR="00F77791" w:rsidRPr="00F77791" w:rsidRDefault="00127A64" w:rsidP="00846965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should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contact</w:t>
            </w:r>
            <w:r w:rsidR="0030264F">
              <w:rPr>
                <w:rFonts w:ascii="Verdana" w:hAnsi="Verdana"/>
              </w:rPr>
              <w:t xml:space="preserve"> </w:t>
            </w:r>
            <w:r w:rsidR="00F77791">
              <w:rPr>
                <w:rFonts w:ascii="Verdana" w:hAnsi="Verdana"/>
              </w:rPr>
              <w:t>Medicare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within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60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calendar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days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of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disenrollment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effective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date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to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make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1A12BD">
              <w:rPr>
                <w:rFonts w:ascii="Verdana" w:hAnsi="Verdana"/>
              </w:rPr>
              <w:t>go</w:t>
            </w:r>
            <w:r w:rsidR="00F77791">
              <w:rPr>
                <w:rFonts w:ascii="Verdana" w:hAnsi="Verdana"/>
              </w:rPr>
              <w:t>od</w:t>
            </w:r>
            <w:r w:rsidR="0030264F">
              <w:rPr>
                <w:rFonts w:ascii="Verdana" w:hAnsi="Verdana"/>
              </w:rPr>
              <w:t xml:space="preserve"> </w:t>
            </w:r>
            <w:r w:rsidR="00F77791">
              <w:rPr>
                <w:rFonts w:ascii="Verdana" w:hAnsi="Verdana"/>
              </w:rPr>
              <w:t>cause</w:t>
            </w:r>
            <w:r w:rsidR="0030264F">
              <w:rPr>
                <w:rFonts w:ascii="Verdana" w:hAnsi="Verdana"/>
              </w:rPr>
              <w:t xml:space="preserve"> </w:t>
            </w:r>
            <w:r w:rsidR="00F77791">
              <w:rPr>
                <w:rFonts w:ascii="Verdana" w:hAnsi="Verdana"/>
              </w:rPr>
              <w:t>reinstatement</w:t>
            </w:r>
            <w:r w:rsidR="0030264F">
              <w:rPr>
                <w:rFonts w:ascii="Verdana" w:hAnsi="Verdana"/>
              </w:rPr>
              <w:t xml:space="preserve"> </w:t>
            </w:r>
            <w:r w:rsidR="00F77791">
              <w:rPr>
                <w:rFonts w:ascii="Verdana" w:hAnsi="Verdana"/>
              </w:rPr>
              <w:t>request</w:t>
            </w:r>
            <w:r w:rsidR="0030264F">
              <w:rPr>
                <w:rFonts w:ascii="Verdana" w:hAnsi="Verdana"/>
              </w:rPr>
              <w:t xml:space="preserve"> </w:t>
            </w:r>
            <w:r w:rsidR="00F77791">
              <w:rPr>
                <w:rFonts w:ascii="Verdana" w:hAnsi="Verdana"/>
              </w:rPr>
              <w:t>at</w:t>
            </w:r>
            <w:r w:rsidR="0030264F">
              <w:rPr>
                <w:rFonts w:ascii="Verdana" w:hAnsi="Verdana"/>
              </w:rPr>
              <w:t xml:space="preserve"> </w:t>
            </w:r>
            <w:r w:rsidR="00F77791" w:rsidRPr="001A12BD">
              <w:rPr>
                <w:rFonts w:ascii="Verdana" w:hAnsi="Verdana"/>
              </w:rPr>
              <w:t>1-800-MEDICARE</w:t>
            </w:r>
            <w:r w:rsidR="0030264F">
              <w:rPr>
                <w:rFonts w:ascii="Verdana" w:hAnsi="Verdana"/>
              </w:rPr>
              <w:t xml:space="preserve"> </w:t>
            </w:r>
            <w:r w:rsidR="00F77791" w:rsidRPr="001A12BD">
              <w:rPr>
                <w:rFonts w:ascii="Verdana" w:hAnsi="Verdana"/>
              </w:rPr>
              <w:t>(</w:t>
            </w:r>
            <w:r w:rsidR="00F77791" w:rsidRPr="00F77791">
              <w:rPr>
                <w:rFonts w:ascii="Verdana" w:hAnsi="Verdana"/>
                <w:b/>
              </w:rPr>
              <w:t>1-800-633-4227</w:t>
            </w:r>
            <w:r w:rsidR="00F507AA" w:rsidRPr="00F507AA">
              <w:rPr>
                <w:rFonts w:ascii="Verdana" w:hAnsi="Verdana"/>
              </w:rPr>
              <w:t>)</w:t>
            </w:r>
            <w:r w:rsidR="001E58F2">
              <w:rPr>
                <w:rFonts w:ascii="Verdana" w:hAnsi="Verdana"/>
              </w:rPr>
              <w:t>.</w:t>
            </w:r>
          </w:p>
          <w:p w14:paraId="2CA07998" w14:textId="77777777" w:rsidR="00127A64" w:rsidRDefault="00F77791" w:rsidP="00846965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TTY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users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should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use:</w:t>
            </w:r>
            <w:r w:rsidR="0030264F">
              <w:rPr>
                <w:rFonts w:ascii="Verdana" w:hAnsi="Verdana"/>
              </w:rPr>
              <w:t xml:space="preserve">  </w:t>
            </w:r>
            <w:r w:rsidRPr="00F77791">
              <w:rPr>
                <w:rFonts w:ascii="Verdana" w:hAnsi="Verdana"/>
                <w:b/>
              </w:rPr>
              <w:t>1-877-486-2048</w:t>
            </w:r>
            <w:r w:rsidR="00186D36" w:rsidRPr="00186D36">
              <w:rPr>
                <w:rFonts w:ascii="Verdana" w:hAnsi="Verdana"/>
              </w:rPr>
              <w:t>.</w:t>
            </w:r>
          </w:p>
          <w:p w14:paraId="23658713" w14:textId="77777777" w:rsidR="00127A64" w:rsidRDefault="001E58F2" w:rsidP="00846965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127A64" w:rsidRPr="001A12BD">
              <w:rPr>
                <w:rFonts w:ascii="Verdana" w:hAnsi="Verdana"/>
              </w:rPr>
              <w:t>n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order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to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be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reinstated,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you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must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meet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specific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good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cause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standards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and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must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pay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all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overdue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plan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premiums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and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Part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D-IRMAA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amounts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within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three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months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of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disenrollment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date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in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order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for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reinstatement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to</w:t>
            </w:r>
            <w:r w:rsidR="0030264F">
              <w:rPr>
                <w:rFonts w:ascii="Verdana" w:hAnsi="Verdana"/>
              </w:rPr>
              <w:t xml:space="preserve"> </w:t>
            </w:r>
            <w:r w:rsidR="00127A64" w:rsidRPr="001A12BD">
              <w:rPr>
                <w:rFonts w:ascii="Verdana" w:hAnsi="Verdana"/>
              </w:rPr>
              <w:t>occur.</w:t>
            </w:r>
          </w:p>
          <w:p w14:paraId="08FBA8FD" w14:textId="77777777" w:rsidR="00127A64" w:rsidRDefault="00127A64" w:rsidP="00846965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Once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request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is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made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CMS,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they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will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open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case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reviewed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and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notify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you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of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decision</w:t>
            </w:r>
            <w:r w:rsidR="001E58F2">
              <w:rPr>
                <w:rFonts w:ascii="Verdana" w:hAnsi="Verdana"/>
              </w:rPr>
              <w:t>.</w:t>
            </w:r>
          </w:p>
          <w:p w14:paraId="398EB785" w14:textId="77777777" w:rsidR="00FB752F" w:rsidRPr="00FB752F" w:rsidRDefault="00FB752F" w:rsidP="00F44564">
            <w:pPr>
              <w:rPr>
                <w:rFonts w:ascii="Verdana" w:hAnsi="Verdana"/>
              </w:rPr>
            </w:pPr>
          </w:p>
          <w:p w14:paraId="33233957" w14:textId="77777777" w:rsidR="00FB752F" w:rsidRDefault="00FB752F" w:rsidP="00F44564">
            <w:pPr>
              <w:tabs>
                <w:tab w:val="left" w:pos="3720"/>
              </w:tabs>
              <w:ind w:left="360"/>
              <w:rPr>
                <w:rFonts w:ascii="Verdana" w:hAnsi="Verdana"/>
                <w:b/>
              </w:rPr>
            </w:pPr>
            <w:r w:rsidRPr="00FB752F">
              <w:rPr>
                <w:rFonts w:ascii="Verdana" w:hAnsi="Verdana"/>
                <w:b/>
              </w:rPr>
              <w:t>CCR</w:t>
            </w:r>
            <w:r w:rsidR="0030264F">
              <w:rPr>
                <w:rFonts w:ascii="Verdana" w:hAnsi="Verdana"/>
                <w:b/>
              </w:rPr>
              <w:t xml:space="preserve"> </w:t>
            </w:r>
            <w:r w:rsidRPr="00FB752F">
              <w:rPr>
                <w:rFonts w:ascii="Verdana" w:hAnsi="Verdana"/>
                <w:b/>
              </w:rPr>
              <w:t>Process</w:t>
            </w:r>
            <w:r w:rsidR="0030264F">
              <w:rPr>
                <w:rFonts w:ascii="Verdana" w:hAnsi="Verdana"/>
                <w:b/>
              </w:rPr>
              <w:t xml:space="preserve"> </w:t>
            </w:r>
            <w:r w:rsidRPr="00FB752F">
              <w:rPr>
                <w:rFonts w:ascii="Verdana" w:hAnsi="Verdana"/>
                <w:b/>
              </w:rPr>
              <w:t>Note:</w:t>
            </w:r>
          </w:p>
          <w:p w14:paraId="6A72F6D7" w14:textId="77777777" w:rsidR="00AA6E6F" w:rsidRPr="00FB752F" w:rsidRDefault="00AA6E6F" w:rsidP="00AA6E6F">
            <w:pPr>
              <w:tabs>
                <w:tab w:val="left" w:pos="3720"/>
              </w:tabs>
              <w:spacing w:line="120" w:lineRule="auto"/>
              <w:ind w:left="360"/>
              <w:rPr>
                <w:rFonts w:ascii="Verdana" w:hAnsi="Verdana"/>
                <w:b/>
              </w:rPr>
            </w:pPr>
          </w:p>
          <w:p w14:paraId="695B9825" w14:textId="77777777" w:rsidR="00FB752F" w:rsidRPr="00FB752F" w:rsidRDefault="00FB752F" w:rsidP="005153FC">
            <w:pPr>
              <w:numPr>
                <w:ilvl w:val="0"/>
                <w:numId w:val="2"/>
              </w:numPr>
              <w:ind w:left="720"/>
              <w:rPr>
                <w:rFonts w:ascii="Verdana" w:hAnsi="Verdana"/>
              </w:rPr>
            </w:pPr>
            <w:r w:rsidRPr="00FB752F">
              <w:rPr>
                <w:rFonts w:ascii="Verdana" w:hAnsi="Verdana"/>
              </w:rPr>
              <w:t>An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individual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who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has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been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disenrolled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by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CMS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for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failure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to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pay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Part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D-IRMAA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remains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disenrolled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from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plan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and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does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not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have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access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to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services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until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reinstatement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occurs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and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is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reported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to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plan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or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plan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is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contacted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by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CMS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caseworker.</w:t>
            </w:r>
          </w:p>
          <w:p w14:paraId="79E89F9A" w14:textId="77777777" w:rsidR="00FB752F" w:rsidRPr="00FB752F" w:rsidRDefault="00FB752F" w:rsidP="005153FC">
            <w:pPr>
              <w:numPr>
                <w:ilvl w:val="0"/>
                <w:numId w:val="1"/>
              </w:numPr>
              <w:ind w:left="720"/>
              <w:rPr>
                <w:rFonts w:ascii="Verdana" w:hAnsi="Verdana"/>
              </w:rPr>
            </w:pPr>
            <w:r w:rsidRPr="00FB752F">
              <w:rPr>
                <w:rFonts w:ascii="Verdana" w:hAnsi="Verdana"/>
              </w:rPr>
              <w:t>If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CMS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determines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that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enrollee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is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eligible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for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a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Good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Cause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reinstatement,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and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once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enrollee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pays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past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due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Part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D-IRMAA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amounts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direct</w:t>
            </w:r>
            <w:r w:rsidR="00E40E63">
              <w:rPr>
                <w:rFonts w:ascii="Verdana" w:hAnsi="Verdana"/>
              </w:rPr>
              <w:t>ly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to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CMS,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CMS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notifies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plan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and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coverage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will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be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continuous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from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disenrollment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effective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date.</w:t>
            </w:r>
            <w:r w:rsidR="0030264F">
              <w:rPr>
                <w:rFonts w:ascii="Verdana" w:hAnsi="Verdana"/>
              </w:rPr>
              <w:t xml:space="preserve"> </w:t>
            </w:r>
          </w:p>
          <w:p w14:paraId="6C3FC0D1" w14:textId="77777777" w:rsidR="00FB752F" w:rsidRPr="00FB752F" w:rsidRDefault="00FB752F" w:rsidP="005153FC">
            <w:pPr>
              <w:numPr>
                <w:ilvl w:val="0"/>
                <w:numId w:val="1"/>
              </w:numPr>
              <w:ind w:left="720"/>
              <w:rPr>
                <w:rFonts w:ascii="Verdana" w:hAnsi="Verdana"/>
              </w:rPr>
            </w:pPr>
            <w:r w:rsidRPr="00FB752F">
              <w:rPr>
                <w:rFonts w:ascii="Verdana" w:hAnsi="Verdana"/>
              </w:rPr>
              <w:t>For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employer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group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plans,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enrollee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must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continue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to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be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eligible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for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enrollment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in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that</w:t>
            </w:r>
            <w:r w:rsidR="0030264F">
              <w:rPr>
                <w:rFonts w:ascii="Verdana" w:hAnsi="Verdana"/>
              </w:rPr>
              <w:t xml:space="preserve"> </w:t>
            </w:r>
            <w:r w:rsidRPr="00FB752F">
              <w:rPr>
                <w:rFonts w:ascii="Verdana" w:hAnsi="Verdana"/>
              </w:rPr>
              <w:t>plan.</w:t>
            </w:r>
          </w:p>
          <w:p w14:paraId="64D50517" w14:textId="77777777" w:rsidR="00FB752F" w:rsidRPr="001A12BD" w:rsidRDefault="00FB752F" w:rsidP="00F44564">
            <w:pPr>
              <w:rPr>
                <w:rFonts w:ascii="Verdana" w:hAnsi="Verdana"/>
              </w:rPr>
            </w:pPr>
          </w:p>
          <w:p w14:paraId="5B31243D" w14:textId="77777777" w:rsidR="00127A64" w:rsidRPr="00D26E65" w:rsidRDefault="00127A64" w:rsidP="00F44564">
            <w:pPr>
              <w:rPr>
                <w:rFonts w:ascii="Verdana" w:hAnsi="Verdana"/>
                <w:b/>
              </w:rPr>
            </w:pPr>
            <w:r w:rsidRPr="001A12BD">
              <w:rPr>
                <w:rFonts w:ascii="Verdana" w:hAnsi="Verdana"/>
                <w:b/>
              </w:rPr>
              <w:t>Proceed</w:t>
            </w:r>
            <w:r w:rsidR="0030264F">
              <w:rPr>
                <w:rFonts w:ascii="Verdana" w:hAnsi="Verdana"/>
                <w:b/>
              </w:rPr>
              <w:t xml:space="preserve"> </w:t>
            </w:r>
            <w:r w:rsidRPr="001A12BD">
              <w:rPr>
                <w:rFonts w:ascii="Verdana" w:hAnsi="Verdana"/>
                <w:b/>
              </w:rPr>
              <w:t>to</w:t>
            </w:r>
            <w:r w:rsidR="0030264F">
              <w:rPr>
                <w:rFonts w:ascii="Verdana" w:hAnsi="Verdana"/>
                <w:b/>
              </w:rPr>
              <w:t xml:space="preserve"> </w:t>
            </w:r>
            <w:r w:rsidRPr="001A12BD">
              <w:rPr>
                <w:rFonts w:ascii="Verdana" w:hAnsi="Verdana"/>
                <w:b/>
              </w:rPr>
              <w:t>Step</w:t>
            </w:r>
            <w:r w:rsidR="0030264F">
              <w:rPr>
                <w:rFonts w:ascii="Verdana" w:hAnsi="Verdana"/>
                <w:b/>
              </w:rPr>
              <w:t xml:space="preserve"> </w:t>
            </w:r>
            <w:r w:rsidR="00186D36">
              <w:rPr>
                <w:rFonts w:ascii="Verdana" w:hAnsi="Verdana"/>
                <w:b/>
              </w:rPr>
              <w:t>3.</w:t>
            </w:r>
          </w:p>
        </w:tc>
      </w:tr>
      <w:tr w:rsidR="00127A64" w:rsidRPr="00D26E65" w14:paraId="7AD3053D" w14:textId="77777777" w:rsidTr="00272605">
        <w:trPr>
          <w:trHeight w:val="69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1B44DA" w14:textId="77777777" w:rsidR="00127A64" w:rsidRDefault="00186D36" w:rsidP="00F4456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3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D50A4" w14:textId="77777777" w:rsidR="00127A64" w:rsidRDefault="00127A64" w:rsidP="00F44564">
            <w:pPr>
              <w:rPr>
                <w:rFonts w:ascii="Verdana" w:hAnsi="Verdana"/>
              </w:rPr>
            </w:pPr>
            <w:r w:rsidRPr="00127A64">
              <w:rPr>
                <w:rFonts w:ascii="Verdana" w:hAnsi="Verdana"/>
              </w:rPr>
              <w:t>Ask</w:t>
            </w:r>
            <w:r w:rsidR="0030264F">
              <w:rPr>
                <w:rFonts w:ascii="Verdana" w:hAnsi="Verdana"/>
              </w:rPr>
              <w:t xml:space="preserve"> </w:t>
            </w:r>
            <w:r w:rsidRPr="00127A64">
              <w:rPr>
                <w:rFonts w:ascii="Verdana" w:hAnsi="Verdana"/>
              </w:rPr>
              <w:t>if</w:t>
            </w:r>
            <w:r w:rsidR="0030264F">
              <w:rPr>
                <w:rFonts w:ascii="Verdana" w:hAnsi="Verdana"/>
              </w:rPr>
              <w:t xml:space="preserve"> </w:t>
            </w:r>
            <w:r w:rsidRPr="00127A64">
              <w:rPr>
                <w:rFonts w:ascii="Verdana" w:hAnsi="Verdana"/>
              </w:rPr>
              <w:t>there</w:t>
            </w:r>
            <w:r w:rsidR="0030264F">
              <w:rPr>
                <w:rFonts w:ascii="Verdana" w:hAnsi="Verdana"/>
              </w:rPr>
              <w:t xml:space="preserve"> </w:t>
            </w:r>
            <w:r w:rsidRPr="00127A64">
              <w:rPr>
                <w:rFonts w:ascii="Verdana" w:hAnsi="Verdana"/>
              </w:rPr>
              <w:t>are</w:t>
            </w:r>
            <w:r w:rsidR="0030264F">
              <w:rPr>
                <w:rFonts w:ascii="Verdana" w:hAnsi="Verdana"/>
              </w:rPr>
              <w:t xml:space="preserve"> </w:t>
            </w:r>
            <w:r w:rsidRPr="00127A64">
              <w:rPr>
                <w:rFonts w:ascii="Verdana" w:hAnsi="Verdana"/>
              </w:rPr>
              <w:t>any</w:t>
            </w:r>
            <w:r w:rsidR="0030264F">
              <w:rPr>
                <w:rFonts w:ascii="Verdana" w:hAnsi="Verdana"/>
              </w:rPr>
              <w:t xml:space="preserve"> </w:t>
            </w:r>
            <w:r w:rsidRPr="00127A64">
              <w:rPr>
                <w:rFonts w:ascii="Verdana" w:hAnsi="Verdana"/>
              </w:rPr>
              <w:t>other</w:t>
            </w:r>
            <w:r w:rsidR="0030264F">
              <w:rPr>
                <w:rFonts w:ascii="Verdana" w:hAnsi="Verdana"/>
              </w:rPr>
              <w:t xml:space="preserve"> </w:t>
            </w:r>
            <w:r w:rsidRPr="00127A64">
              <w:rPr>
                <w:rFonts w:ascii="Verdana" w:hAnsi="Verdana"/>
              </w:rPr>
              <w:t>benefit</w:t>
            </w:r>
            <w:r w:rsidR="0030264F">
              <w:rPr>
                <w:rFonts w:ascii="Verdana" w:hAnsi="Verdana"/>
              </w:rPr>
              <w:t xml:space="preserve"> </w:t>
            </w:r>
            <w:r w:rsidRPr="00127A64">
              <w:rPr>
                <w:rFonts w:ascii="Verdana" w:hAnsi="Verdana"/>
              </w:rPr>
              <w:t>questions.</w:t>
            </w:r>
          </w:p>
          <w:p w14:paraId="347B575B" w14:textId="77777777" w:rsidR="00846965" w:rsidRPr="00127A64" w:rsidRDefault="00846965" w:rsidP="00F44564">
            <w:pPr>
              <w:rPr>
                <w:rFonts w:ascii="Verdana" w:hAnsi="Verdana"/>
              </w:rPr>
            </w:pPr>
          </w:p>
        </w:tc>
      </w:tr>
      <w:tr w:rsidR="009C600C" w:rsidRPr="00D26E65" w14:paraId="50DD4A7B" w14:textId="77777777" w:rsidTr="00272605">
        <w:trPr>
          <w:trHeight w:val="67"/>
        </w:trPr>
        <w:tc>
          <w:tcPr>
            <w:tcW w:w="8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7CE46F" w14:textId="77777777" w:rsidR="00127A64" w:rsidRDefault="00127A64" w:rsidP="00F4456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2E541FC3" w14:textId="77777777" w:rsidR="00127A64" w:rsidRDefault="00127A64" w:rsidP="00F4456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11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6C534079" w14:textId="77777777" w:rsidR="00127A64" w:rsidRDefault="00127A64" w:rsidP="00F4456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9C600C" w:rsidRPr="00D26E65" w14:paraId="6722C73A" w14:textId="77777777" w:rsidTr="00272605">
        <w:trPr>
          <w:trHeight w:val="67"/>
        </w:trPr>
        <w:tc>
          <w:tcPr>
            <w:tcW w:w="8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7F3982" w14:textId="77777777" w:rsidR="00127A64" w:rsidRDefault="00127A64" w:rsidP="00F4456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E0E7D" w14:textId="77777777" w:rsidR="00127A64" w:rsidRPr="00127A64" w:rsidRDefault="00127A64" w:rsidP="00F44564">
            <w:pPr>
              <w:rPr>
                <w:rFonts w:ascii="Verdana" w:hAnsi="Verdana"/>
              </w:rPr>
            </w:pPr>
            <w:r w:rsidRPr="00127A64">
              <w:rPr>
                <w:rFonts w:ascii="Verdana" w:hAnsi="Verdana"/>
              </w:rPr>
              <w:t>Yes</w:t>
            </w:r>
          </w:p>
        </w:tc>
        <w:tc>
          <w:tcPr>
            <w:tcW w:w="11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E9839" w14:textId="77777777" w:rsidR="00127A64" w:rsidRDefault="00127A64" w:rsidP="005153F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top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Address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any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benefit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issues.</w:t>
            </w:r>
            <w:r w:rsidR="0030264F">
              <w:rPr>
                <w:rFonts w:ascii="Verdana" w:hAnsi="Verdana"/>
                <w:bCs/>
              </w:rPr>
              <w:t xml:space="preserve"> </w:t>
            </w:r>
          </w:p>
          <w:p w14:paraId="3DF268C5" w14:textId="77777777" w:rsidR="00127A64" w:rsidRPr="005F7875" w:rsidRDefault="00127A64" w:rsidP="005153F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top"/>
              <w:rPr>
                <w:rFonts w:ascii="Verdana" w:hAnsi="Verdana"/>
                <w:bCs/>
              </w:rPr>
            </w:pPr>
            <w:r w:rsidRPr="005F7875">
              <w:rPr>
                <w:rFonts w:ascii="Verdana" w:hAnsi="Verdana"/>
                <w:bCs/>
              </w:rPr>
              <w:t>Document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and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close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the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call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according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to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current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policies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and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procedures.</w:t>
            </w:r>
          </w:p>
          <w:p w14:paraId="17AA31E6" w14:textId="62C86708" w:rsidR="00127A64" w:rsidRPr="005F7875" w:rsidRDefault="00127A64" w:rsidP="005153FC">
            <w:pPr>
              <w:numPr>
                <w:ilvl w:val="1"/>
                <w:numId w:val="9"/>
              </w:numPr>
              <w:rPr>
                <w:rFonts w:ascii="Verdana" w:hAnsi="Verdana"/>
              </w:rPr>
            </w:pPr>
            <w:r w:rsidRPr="005F7875">
              <w:rPr>
                <w:rFonts w:ascii="Verdana" w:hAnsi="Verdana"/>
                <w:bCs/>
              </w:rPr>
              <w:t>Refer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to</w:t>
            </w:r>
            <w:r w:rsidR="000D5C78">
              <w:rPr>
                <w:rFonts w:ascii="Verdana" w:hAnsi="Verdana"/>
                <w:bCs/>
              </w:rPr>
              <w:t xml:space="preserve"> </w:t>
            </w:r>
            <w:hyperlink r:id="rId15" w:anchor="!/view?docid=0296717e-6df6-4184-b337-13abcd4b070b" w:tgtFrame="_blank" w:history="1">
              <w:r w:rsidR="000D5C78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0D5C78">
              <w:rPr>
                <w:rFonts w:ascii="Verdana" w:hAnsi="Verdana"/>
                <w:color w:val="000000"/>
              </w:rPr>
              <w:t> and </w:t>
            </w:r>
            <w:hyperlink r:id="rId16" w:anchor="!/view?docid=433711aa-8fa6-447c-872b-bd69cd6cd7c0" w:tgtFrame="_blank" w:history="1">
              <w:r w:rsidR="000D5C78">
                <w:rPr>
                  <w:rStyle w:val="Hyperlink"/>
                  <w:rFonts w:ascii="Verdana" w:hAnsi="Verdana"/>
                </w:rPr>
                <w:t>Compass MED D - Call Documentation Job Aid</w:t>
              </w:r>
            </w:hyperlink>
            <w:r w:rsidRPr="00186D36">
              <w:rPr>
                <w:rFonts w:ascii="Verdana" w:hAnsi="Verdana"/>
              </w:rPr>
              <w:t>.</w:t>
            </w:r>
          </w:p>
          <w:p w14:paraId="77490058" w14:textId="77777777" w:rsidR="00127A64" w:rsidRPr="005F7875" w:rsidRDefault="00127A64" w:rsidP="00F44564">
            <w:pPr>
              <w:rPr>
                <w:rFonts w:ascii="Verdana" w:hAnsi="Verdana"/>
                <w:b/>
              </w:rPr>
            </w:pPr>
          </w:p>
          <w:p w14:paraId="6911FA22" w14:textId="77777777" w:rsidR="00127A64" w:rsidRDefault="00127A64" w:rsidP="00F4456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Resolution</w:t>
            </w:r>
            <w:r w:rsidR="0030264F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Time:</w:t>
            </w:r>
          </w:p>
          <w:p w14:paraId="57E5DC59" w14:textId="77777777" w:rsidR="00127A64" w:rsidRPr="00F12A2C" w:rsidRDefault="00127A64" w:rsidP="00F44564">
            <w:pPr>
              <w:rPr>
                <w:rFonts w:ascii="Verdana" w:hAnsi="Verdana" w:cs="Arial"/>
                <w:bCs/>
              </w:rPr>
            </w:pPr>
            <w:r w:rsidRPr="00F12A2C">
              <w:rPr>
                <w:rFonts w:ascii="Verdana" w:hAnsi="Verdana" w:cs="Arial"/>
                <w:bCs/>
              </w:rPr>
              <w:t>Information</w:t>
            </w:r>
            <w:r w:rsidR="0030264F" w:rsidRPr="00F12A2C">
              <w:rPr>
                <w:rFonts w:ascii="Verdana" w:hAnsi="Verdana" w:cs="Arial"/>
                <w:bCs/>
              </w:rPr>
              <w:t xml:space="preserve"> </w:t>
            </w:r>
            <w:r w:rsidRPr="00F12A2C">
              <w:rPr>
                <w:rFonts w:ascii="Verdana" w:hAnsi="Verdana" w:cs="Arial"/>
                <w:bCs/>
              </w:rPr>
              <w:t>=</w:t>
            </w:r>
            <w:r w:rsidR="0030264F" w:rsidRPr="00F12A2C">
              <w:rPr>
                <w:rFonts w:ascii="Verdana" w:hAnsi="Verdana" w:cs="Arial"/>
                <w:bCs/>
              </w:rPr>
              <w:t xml:space="preserve"> </w:t>
            </w:r>
            <w:r w:rsidRPr="00F12A2C">
              <w:rPr>
                <w:rFonts w:ascii="Verdana" w:hAnsi="Verdana" w:cs="Arial"/>
                <w:bCs/>
              </w:rPr>
              <w:t>immediately</w:t>
            </w:r>
          </w:p>
          <w:p w14:paraId="71B5D113" w14:textId="77777777" w:rsidR="000D5C78" w:rsidRDefault="000D5C78" w:rsidP="00F44564">
            <w:pPr>
              <w:rPr>
                <w:rFonts w:ascii="Verdana" w:hAnsi="Verdana"/>
                <w:b/>
              </w:rPr>
            </w:pPr>
          </w:p>
        </w:tc>
      </w:tr>
      <w:tr w:rsidR="009C600C" w:rsidRPr="00D26E65" w14:paraId="0FFBFC07" w14:textId="77777777" w:rsidTr="00272605">
        <w:trPr>
          <w:trHeight w:val="67"/>
        </w:trPr>
        <w:tc>
          <w:tcPr>
            <w:tcW w:w="8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41E9B1" w14:textId="77777777" w:rsidR="00127A64" w:rsidRDefault="00127A64" w:rsidP="00F4456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EFB2D" w14:textId="77777777" w:rsidR="00127A64" w:rsidRPr="00127A64" w:rsidRDefault="00127A64" w:rsidP="00F44564">
            <w:pPr>
              <w:rPr>
                <w:rFonts w:ascii="Verdana" w:hAnsi="Verdana"/>
              </w:rPr>
            </w:pPr>
            <w:r w:rsidRPr="00127A64">
              <w:rPr>
                <w:rFonts w:ascii="Verdana" w:hAnsi="Verdana"/>
              </w:rPr>
              <w:t>No</w:t>
            </w:r>
          </w:p>
        </w:tc>
        <w:tc>
          <w:tcPr>
            <w:tcW w:w="11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6B8F4" w14:textId="77777777" w:rsidR="00127A64" w:rsidRPr="005F7875" w:rsidRDefault="00127A64" w:rsidP="0086190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top"/>
              <w:rPr>
                <w:rFonts w:ascii="Verdana" w:hAnsi="Verdana"/>
                <w:bCs/>
              </w:rPr>
            </w:pPr>
            <w:r w:rsidRPr="005F7875">
              <w:rPr>
                <w:rFonts w:ascii="Verdana" w:hAnsi="Verdana"/>
                <w:bCs/>
              </w:rPr>
              <w:t>Document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and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close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the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call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according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to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current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policies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and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procedures.</w:t>
            </w:r>
          </w:p>
          <w:p w14:paraId="2EA2CA56" w14:textId="0F0941EE" w:rsidR="00127A64" w:rsidRPr="00186D36" w:rsidRDefault="00127A64" w:rsidP="000D5C78">
            <w:pPr>
              <w:numPr>
                <w:ilvl w:val="1"/>
                <w:numId w:val="9"/>
              </w:numPr>
              <w:rPr>
                <w:rFonts w:ascii="Verdana" w:hAnsi="Verdana"/>
              </w:rPr>
            </w:pPr>
            <w:r w:rsidRPr="005F7875">
              <w:rPr>
                <w:rFonts w:ascii="Verdana" w:hAnsi="Verdana"/>
                <w:bCs/>
              </w:rPr>
              <w:t>Refer</w:t>
            </w:r>
            <w:r w:rsidR="0030264F">
              <w:rPr>
                <w:rFonts w:ascii="Verdana" w:hAnsi="Verdana"/>
                <w:bCs/>
              </w:rPr>
              <w:t xml:space="preserve"> </w:t>
            </w:r>
            <w:r w:rsidRPr="005F7875">
              <w:rPr>
                <w:rFonts w:ascii="Verdana" w:hAnsi="Verdana"/>
                <w:bCs/>
              </w:rPr>
              <w:t>to</w:t>
            </w:r>
            <w:r w:rsidR="0030264F">
              <w:rPr>
                <w:rFonts w:ascii="Verdana" w:hAnsi="Verdana"/>
                <w:bCs/>
              </w:rPr>
              <w:t xml:space="preserve"> </w:t>
            </w:r>
            <w:hyperlink r:id="rId17" w:anchor="!/view?docid=0296717e-6df6-4184-b337-13abcd4b070b" w:tgtFrame="_blank" w:history="1">
              <w:r w:rsidR="00272605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272605">
              <w:rPr>
                <w:rFonts w:ascii="Verdana" w:hAnsi="Verdana"/>
                <w:color w:val="000000"/>
              </w:rPr>
              <w:t> and </w:t>
            </w:r>
            <w:hyperlink r:id="rId18" w:anchor="!/view?docid=433711aa-8fa6-447c-872b-bd69cd6cd7c0" w:tgtFrame="_blank" w:history="1">
              <w:r w:rsidR="00272605">
                <w:rPr>
                  <w:rStyle w:val="Hyperlink"/>
                  <w:rFonts w:ascii="Verdana" w:hAnsi="Verdana"/>
                </w:rPr>
                <w:t>Compass MED D - Call Documentation Job Aid</w:t>
              </w:r>
            </w:hyperlink>
            <w:r w:rsidRPr="00D91F7B">
              <w:rPr>
                <w:rFonts w:ascii="Verdana" w:hAnsi="Verdana"/>
              </w:rPr>
              <w:t>.</w:t>
            </w:r>
          </w:p>
          <w:p w14:paraId="36391903" w14:textId="77777777" w:rsidR="00127A64" w:rsidRPr="005F7875" w:rsidRDefault="00127A64" w:rsidP="00F44564">
            <w:pPr>
              <w:rPr>
                <w:rFonts w:ascii="Verdana" w:hAnsi="Verdana"/>
                <w:b/>
              </w:rPr>
            </w:pPr>
          </w:p>
          <w:p w14:paraId="14BCDE97" w14:textId="77777777" w:rsidR="002D3413" w:rsidRDefault="002D3413" w:rsidP="00F4456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Resolution</w:t>
            </w:r>
            <w:r w:rsidR="0030264F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Time:</w:t>
            </w:r>
          </w:p>
          <w:p w14:paraId="3BB4CD68" w14:textId="77777777" w:rsidR="00127A64" w:rsidRPr="00F12A2C" w:rsidRDefault="002D3413" w:rsidP="00F44564">
            <w:pPr>
              <w:rPr>
                <w:rFonts w:ascii="Verdana" w:hAnsi="Verdana" w:cs="Arial"/>
                <w:bCs/>
              </w:rPr>
            </w:pPr>
            <w:r w:rsidRPr="00F12A2C">
              <w:rPr>
                <w:rFonts w:ascii="Verdana" w:hAnsi="Verdana" w:cs="Arial"/>
                <w:bCs/>
              </w:rPr>
              <w:t>Information</w:t>
            </w:r>
            <w:r w:rsidR="0030264F" w:rsidRPr="00F12A2C">
              <w:rPr>
                <w:rFonts w:ascii="Verdana" w:hAnsi="Verdana" w:cs="Arial"/>
                <w:bCs/>
              </w:rPr>
              <w:t xml:space="preserve"> </w:t>
            </w:r>
            <w:r w:rsidRPr="00F12A2C">
              <w:rPr>
                <w:rFonts w:ascii="Verdana" w:hAnsi="Verdana" w:cs="Arial"/>
                <w:bCs/>
              </w:rPr>
              <w:t>=</w:t>
            </w:r>
            <w:r w:rsidR="0030264F" w:rsidRPr="00F12A2C">
              <w:rPr>
                <w:rFonts w:ascii="Verdana" w:hAnsi="Verdana" w:cs="Arial"/>
                <w:bCs/>
              </w:rPr>
              <w:t xml:space="preserve"> </w:t>
            </w:r>
            <w:r w:rsidRPr="00F12A2C">
              <w:rPr>
                <w:rFonts w:ascii="Verdana" w:hAnsi="Verdana" w:cs="Arial"/>
                <w:bCs/>
              </w:rPr>
              <w:t>immediately</w:t>
            </w:r>
          </w:p>
          <w:p w14:paraId="2CB3FCF5" w14:textId="77777777" w:rsidR="00AA6E6F" w:rsidRDefault="00AA6E6F" w:rsidP="00F44564">
            <w:pPr>
              <w:rPr>
                <w:rFonts w:ascii="Verdana" w:hAnsi="Verdana"/>
                <w:b/>
              </w:rPr>
            </w:pPr>
          </w:p>
        </w:tc>
      </w:tr>
    </w:tbl>
    <w:p w14:paraId="510054C9" w14:textId="77777777" w:rsidR="00BF7F4C" w:rsidRDefault="00BF7F4C" w:rsidP="00F44564">
      <w:pPr>
        <w:jc w:val="right"/>
        <w:rPr>
          <w:rFonts w:ascii="Verdana" w:hAnsi="Verdana" w:cs="Arial"/>
          <w:bCs/>
          <w:color w:val="333333"/>
        </w:rPr>
      </w:pPr>
    </w:p>
    <w:p w14:paraId="2540CE50" w14:textId="77777777" w:rsidR="003D345A" w:rsidRDefault="003D345A" w:rsidP="003D345A">
      <w:pPr>
        <w:jc w:val="right"/>
        <w:rPr>
          <w:rFonts w:ascii="Verdana" w:hAnsi="Verdana"/>
        </w:rPr>
      </w:pPr>
      <w:hyperlink w:anchor="_top" w:history="1">
        <w:r w:rsidRPr="003D345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238AB" w:rsidRPr="00BF74E9" w14:paraId="0C92476D" w14:textId="77777777" w:rsidTr="00FB2ADF">
        <w:tc>
          <w:tcPr>
            <w:tcW w:w="5000" w:type="pct"/>
            <w:shd w:val="clear" w:color="auto" w:fill="C0C0C0"/>
          </w:tcPr>
          <w:p w14:paraId="5E195301" w14:textId="77777777" w:rsidR="001238AB" w:rsidRPr="00BF0C30" w:rsidRDefault="00FB2ADF" w:rsidP="00FB2ADF">
            <w:pPr>
              <w:pStyle w:val="Heading2"/>
              <w:rPr>
                <w:rFonts w:ascii="Verdana" w:hAnsi="Verdana"/>
                <w:i w:val="0"/>
              </w:rPr>
            </w:pPr>
            <w:bookmarkStart w:id="28" w:name="_Toc16085511"/>
            <w:r>
              <w:rPr>
                <w:rFonts w:ascii="Verdana" w:hAnsi="Verdana"/>
                <w:i w:val="0"/>
                <w:lang w:val="en-US"/>
              </w:rPr>
              <w:t>Related</w:t>
            </w:r>
            <w:r w:rsidR="0030264F">
              <w:rPr>
                <w:rFonts w:ascii="Verdana" w:hAnsi="Verdana"/>
                <w:i w:val="0"/>
                <w:lang w:val="en-US"/>
              </w:rPr>
              <w:t xml:space="preserve"> </w:t>
            </w:r>
            <w:r w:rsidR="001238AB" w:rsidRPr="00BF0C30">
              <w:rPr>
                <w:rFonts w:ascii="Verdana" w:hAnsi="Verdana"/>
                <w:i w:val="0"/>
              </w:rPr>
              <w:t>Documents</w:t>
            </w:r>
            <w:bookmarkEnd w:id="28"/>
          </w:p>
        </w:tc>
      </w:tr>
    </w:tbl>
    <w:p w14:paraId="62CACFF3" w14:textId="2238ED91" w:rsidR="00FB2ADF" w:rsidRPr="00F374EB" w:rsidRDefault="00CF4FC8" w:rsidP="005153FC">
      <w:pPr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 w:cs="Verdana"/>
        </w:rPr>
        <w:t>Refer to the “</w:t>
      </w:r>
      <w:r w:rsidR="00FB2ADF">
        <w:rPr>
          <w:rFonts w:ascii="Verdana" w:hAnsi="Verdana" w:cs="Verdana"/>
        </w:rPr>
        <w:t>Grievance</w:t>
      </w:r>
      <w:r w:rsidR="0030264F">
        <w:rPr>
          <w:rFonts w:ascii="Verdana" w:hAnsi="Verdana" w:cs="Verdana"/>
        </w:rPr>
        <w:t xml:space="preserve"> </w:t>
      </w:r>
      <w:r w:rsidR="00FB2ADF">
        <w:rPr>
          <w:rFonts w:ascii="Verdana" w:hAnsi="Verdana" w:cs="Verdana"/>
        </w:rPr>
        <w:t>Standard</w:t>
      </w:r>
      <w:r w:rsidR="0030264F">
        <w:rPr>
          <w:rFonts w:ascii="Verdana" w:hAnsi="Verdana" w:cs="Verdana"/>
        </w:rPr>
        <w:t xml:space="preserve"> </w:t>
      </w:r>
      <w:r w:rsidR="00FB2ADF">
        <w:rPr>
          <w:rFonts w:ascii="Verdana" w:hAnsi="Verdana" w:cs="Verdana"/>
        </w:rPr>
        <w:t>Verbiage</w:t>
      </w:r>
      <w:r w:rsidR="0030264F">
        <w:rPr>
          <w:rFonts w:ascii="Verdana" w:hAnsi="Verdana" w:cs="Verdana"/>
        </w:rPr>
        <w:t xml:space="preserve"> </w:t>
      </w:r>
      <w:r w:rsidR="00FB2ADF">
        <w:rPr>
          <w:rFonts w:ascii="Verdana" w:hAnsi="Verdana" w:cs="Verdana"/>
        </w:rPr>
        <w:t>(for</w:t>
      </w:r>
      <w:r w:rsidR="0030264F">
        <w:rPr>
          <w:rFonts w:ascii="Verdana" w:hAnsi="Verdana" w:cs="Verdana"/>
        </w:rPr>
        <w:t xml:space="preserve"> </w:t>
      </w:r>
      <w:r w:rsidR="00FB2ADF">
        <w:rPr>
          <w:rFonts w:ascii="Verdana" w:hAnsi="Verdana" w:cs="Verdana"/>
        </w:rPr>
        <w:t>use</w:t>
      </w:r>
      <w:r w:rsidR="0030264F">
        <w:rPr>
          <w:rFonts w:ascii="Verdana" w:hAnsi="Verdana" w:cs="Verdana"/>
        </w:rPr>
        <w:t xml:space="preserve"> </w:t>
      </w:r>
      <w:r w:rsidR="00FB2ADF">
        <w:rPr>
          <w:rFonts w:ascii="Verdana" w:hAnsi="Verdana" w:cs="Verdana"/>
        </w:rPr>
        <w:t>in</w:t>
      </w:r>
      <w:r w:rsidR="0030264F">
        <w:rPr>
          <w:rFonts w:ascii="Verdana" w:hAnsi="Verdana" w:cs="Verdana"/>
        </w:rPr>
        <w:t xml:space="preserve"> </w:t>
      </w:r>
      <w:r w:rsidR="00FB2ADF">
        <w:rPr>
          <w:rFonts w:ascii="Verdana" w:hAnsi="Verdana" w:cs="Verdana"/>
        </w:rPr>
        <w:t>Discussion</w:t>
      </w:r>
      <w:r w:rsidR="0030264F">
        <w:rPr>
          <w:rFonts w:ascii="Verdana" w:hAnsi="Verdana" w:cs="Verdana"/>
        </w:rPr>
        <w:t xml:space="preserve"> </w:t>
      </w:r>
      <w:r w:rsidR="00FB2ADF">
        <w:rPr>
          <w:rFonts w:ascii="Verdana" w:hAnsi="Verdana" w:cs="Verdana"/>
        </w:rPr>
        <w:t>with</w:t>
      </w:r>
      <w:r w:rsidR="0030264F">
        <w:rPr>
          <w:rFonts w:ascii="Verdana" w:hAnsi="Verdana" w:cs="Verdana"/>
        </w:rPr>
        <w:t xml:space="preserve"> </w:t>
      </w:r>
      <w:r w:rsidR="00FB2ADF">
        <w:rPr>
          <w:rFonts w:ascii="Verdana" w:hAnsi="Verdana" w:cs="Verdana"/>
        </w:rPr>
        <w:t>Beneficiary)</w:t>
      </w:r>
      <w:r>
        <w:rPr>
          <w:rFonts w:ascii="Verdana" w:hAnsi="Verdana" w:cs="Verdana"/>
        </w:rPr>
        <w:t>”</w:t>
      </w:r>
      <w:r w:rsidR="0030264F">
        <w:rPr>
          <w:rFonts w:ascii="Verdana" w:hAnsi="Verdana" w:cs="Verdana"/>
        </w:rPr>
        <w:t xml:space="preserve"> </w:t>
      </w:r>
      <w:r w:rsidR="00FB2ADF">
        <w:rPr>
          <w:rFonts w:ascii="Verdana" w:hAnsi="Verdana" w:cs="Verdana"/>
        </w:rPr>
        <w:t>section</w:t>
      </w:r>
      <w:r w:rsidR="0030264F">
        <w:rPr>
          <w:rFonts w:ascii="Verdana" w:hAnsi="Verdana" w:cs="Verdana"/>
        </w:rPr>
        <w:t xml:space="preserve"> </w:t>
      </w:r>
      <w:r w:rsidR="00FB2ADF">
        <w:rPr>
          <w:rFonts w:ascii="Verdana" w:hAnsi="Verdana" w:cs="Verdana"/>
        </w:rPr>
        <w:t>in</w:t>
      </w:r>
      <w:r w:rsidR="0030264F">
        <w:rPr>
          <w:rFonts w:ascii="Verdana" w:hAnsi="Verdana" w:cs="Verdana"/>
        </w:rPr>
        <w:t xml:space="preserve"> </w:t>
      </w:r>
      <w:hyperlink r:id="rId19" w:anchor="!/view?docid=70034f51-77df-49a4-ae97-7d3d63b216b3" w:history="1">
        <w:r w:rsidRPr="007530B1">
          <w:rPr>
            <w:rStyle w:val="Hyperlink"/>
            <w:rFonts w:ascii="Verdana" w:hAnsi="Verdana" w:cs="Verdana"/>
          </w:rPr>
          <w:t>Compass MED D - Grievances Index</w:t>
        </w:r>
      </w:hyperlink>
      <w:r>
        <w:rPr>
          <w:rFonts w:ascii="Verdana" w:hAnsi="Verdana" w:cs="Verdana"/>
          <w:color w:val="0000FF"/>
          <w:u w:val="single"/>
        </w:rPr>
        <w:t>.</w:t>
      </w:r>
    </w:p>
    <w:bookmarkStart w:id="29" w:name="OLE_LINK7"/>
    <w:p w14:paraId="199895B1" w14:textId="77777777" w:rsidR="00002F78" w:rsidRPr="00002F78" w:rsidRDefault="00002F78" w:rsidP="00002F78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002F78">
        <w:rPr>
          <w:rFonts w:ascii="Verdana" w:hAnsi="Verdana"/>
        </w:rPr>
        <w:fldChar w:fldCharType="begin"/>
      </w:r>
      <w:r w:rsidRPr="00002F78">
        <w:rPr>
          <w:rFonts w:ascii="Verdana" w:hAnsi="Verdana"/>
        </w:rPr>
        <w:instrText xml:space="preserve"> HYPERLINK "https://thesource.cvshealth.com/nuxeo/thesource/" \l "!/view?docid=c954b131-7884-494c-b4bb-dfc12fdc846f" </w:instrText>
      </w:r>
      <w:r w:rsidRPr="00002F78">
        <w:rPr>
          <w:rFonts w:ascii="Verdana" w:hAnsi="Verdana"/>
        </w:rPr>
      </w:r>
      <w:r w:rsidRPr="00002F78">
        <w:rPr>
          <w:rFonts w:ascii="Verdana" w:hAnsi="Verdana"/>
        </w:rPr>
        <w:fldChar w:fldCharType="separate"/>
      </w:r>
      <w:r w:rsidRPr="00002F78">
        <w:rPr>
          <w:rFonts w:ascii="Verdana" w:hAnsi="Verdana"/>
          <w:color w:val="0000FF"/>
          <w:u w:val="single"/>
        </w:rPr>
        <w:t>Universal Medicare D - Consultative Call Flow (CCF) Process</w:t>
      </w:r>
      <w:r w:rsidRPr="00002F78">
        <w:rPr>
          <w:rFonts w:ascii="Verdana" w:hAnsi="Verdana"/>
        </w:rPr>
        <w:fldChar w:fldCharType="end"/>
      </w:r>
      <w:bookmarkEnd w:id="29"/>
    </w:p>
    <w:p w14:paraId="0DB356CF" w14:textId="77777777" w:rsidR="00186D36" w:rsidRPr="00DB4BE5" w:rsidRDefault="00186D36" w:rsidP="00186D36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>Parent</w:t>
      </w:r>
      <w:r w:rsidR="0030264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SOP:</w:t>
      </w:r>
      <w:r w:rsidR="0030264F">
        <w:rPr>
          <w:rFonts w:ascii="Verdana" w:hAnsi="Verdana"/>
          <w:b/>
        </w:rPr>
        <w:t xml:space="preserve">  </w:t>
      </w:r>
      <w:r w:rsidRPr="00DB4BE5">
        <w:rPr>
          <w:rFonts w:ascii="Verdana" w:hAnsi="Verdana"/>
          <w:bCs/>
        </w:rPr>
        <w:t>CALL-0048:</w:t>
      </w:r>
      <w:r w:rsidR="0030264F">
        <w:rPr>
          <w:rFonts w:ascii="Verdana" w:hAnsi="Verdana"/>
          <w:bCs/>
        </w:rPr>
        <w:t xml:space="preserve"> </w:t>
      </w:r>
      <w:r w:rsidR="0030264F">
        <w:rPr>
          <w:rFonts w:ascii="Verdana" w:hAnsi="Verdana"/>
          <w:bCs/>
          <w:color w:val="333333"/>
        </w:rPr>
        <w:t xml:space="preserve"> </w:t>
      </w:r>
      <w:hyperlink r:id="rId20" w:tgtFrame="_blank" w:history="1">
        <w:r w:rsidRPr="00DB4BE5">
          <w:rPr>
            <w:rStyle w:val="Hyperlink"/>
            <w:rFonts w:ascii="Verdana" w:hAnsi="Verdana"/>
          </w:rPr>
          <w:t>Medicare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Part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D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Customer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Care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Call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Center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Requirements-CVS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Caremark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Part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D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Services,</w:t>
        </w:r>
        <w:r w:rsidR="0030264F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L.L.C.</w:t>
        </w:r>
      </w:hyperlink>
    </w:p>
    <w:p w14:paraId="3415FCD2" w14:textId="623549FF" w:rsidR="00186D36" w:rsidRDefault="00186D36" w:rsidP="00186D36">
      <w:pPr>
        <w:rPr>
          <w:rFonts w:ascii="Verdana" w:hAnsi="Verdana"/>
        </w:rPr>
      </w:pPr>
      <w:r>
        <w:rPr>
          <w:rFonts w:ascii="Verdana" w:hAnsi="Verdana"/>
          <w:b/>
        </w:rPr>
        <w:t>Abbreviations/Definitions:</w:t>
      </w:r>
      <w:r w:rsidR="0030264F">
        <w:rPr>
          <w:rFonts w:ascii="Verdana" w:hAnsi="Verdana"/>
          <w:b/>
        </w:rPr>
        <w:t xml:space="preserve">  </w:t>
      </w:r>
      <w:hyperlink r:id="rId21" w:history="1">
        <w:r>
          <w:rPr>
            <w:rStyle w:val="Hyperlink"/>
            <w:rFonts w:ascii="Verdana" w:hAnsi="Verdana"/>
          </w:rPr>
          <w:t>Abbreviations</w:t>
        </w:r>
        <w:r w:rsidR="0030264F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/</w:t>
        </w:r>
        <w:r w:rsidR="0030264F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Definitions</w:t>
        </w:r>
      </w:hyperlink>
    </w:p>
    <w:p w14:paraId="4A90D1EA" w14:textId="77777777" w:rsidR="00186D36" w:rsidRPr="000E28BD" w:rsidRDefault="00186D36" w:rsidP="00BF0C30">
      <w:pPr>
        <w:ind w:left="360"/>
        <w:rPr>
          <w:rStyle w:val="tableentry"/>
          <w:rFonts w:ascii="Verdana" w:hAnsi="Verdana" w:cs="Times New Roman"/>
          <w:sz w:val="24"/>
          <w:szCs w:val="24"/>
        </w:rPr>
      </w:pPr>
    </w:p>
    <w:p w14:paraId="476262C0" w14:textId="77777777" w:rsidR="003D345A" w:rsidRDefault="003D345A" w:rsidP="003D345A">
      <w:pPr>
        <w:jc w:val="right"/>
        <w:rPr>
          <w:rFonts w:ascii="Verdana" w:hAnsi="Verdana"/>
        </w:rPr>
      </w:pPr>
      <w:hyperlink w:anchor="_top" w:history="1">
        <w:r w:rsidRPr="003D345A">
          <w:rPr>
            <w:rStyle w:val="Hyperlink"/>
            <w:rFonts w:ascii="Verdana" w:hAnsi="Verdana"/>
          </w:rPr>
          <w:t>Top of the Document</w:t>
        </w:r>
      </w:hyperlink>
    </w:p>
    <w:p w14:paraId="30D1DEBE" w14:textId="2B85CEFC" w:rsidR="00764302" w:rsidRDefault="00764302" w:rsidP="00F44564">
      <w:pPr>
        <w:jc w:val="right"/>
        <w:rPr>
          <w:rFonts w:ascii="Verdana" w:hAnsi="Verdana"/>
        </w:rPr>
      </w:pPr>
    </w:p>
    <w:p w14:paraId="7E5AE59A" w14:textId="77777777" w:rsidR="00764302" w:rsidRPr="00C247CB" w:rsidRDefault="00764302" w:rsidP="00F44564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</w:t>
      </w:r>
      <w:r w:rsidR="0030264F">
        <w:rPr>
          <w:rFonts w:ascii="Verdana" w:hAnsi="Verdana"/>
          <w:sz w:val="16"/>
          <w:szCs w:val="16"/>
        </w:rPr>
        <w:t xml:space="preserve"> </w:t>
      </w:r>
      <w:r w:rsidR="002C6796" w:rsidRPr="00C247CB">
        <w:rPr>
          <w:rFonts w:ascii="Verdana" w:hAnsi="Verdana"/>
          <w:sz w:val="16"/>
          <w:szCs w:val="16"/>
        </w:rPr>
        <w:t>to</w:t>
      </w:r>
      <w:r w:rsidR="0030264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Be</w:t>
      </w:r>
      <w:r w:rsidR="0030264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Reproduced</w:t>
      </w:r>
      <w:r w:rsidR="0030264F">
        <w:rPr>
          <w:rFonts w:ascii="Verdana" w:hAnsi="Verdana"/>
          <w:sz w:val="16"/>
          <w:szCs w:val="16"/>
        </w:rPr>
        <w:t xml:space="preserve"> </w:t>
      </w:r>
      <w:r w:rsidR="002C6796" w:rsidRPr="00C247CB">
        <w:rPr>
          <w:rFonts w:ascii="Verdana" w:hAnsi="Verdana"/>
          <w:sz w:val="16"/>
          <w:szCs w:val="16"/>
        </w:rPr>
        <w:t>or</w:t>
      </w:r>
      <w:r w:rsidR="0030264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Disclosed</w:t>
      </w:r>
      <w:r w:rsidR="0030264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30264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Others</w:t>
      </w:r>
      <w:r w:rsidR="0030264F">
        <w:rPr>
          <w:rFonts w:ascii="Verdana" w:hAnsi="Verdana"/>
          <w:sz w:val="16"/>
          <w:szCs w:val="16"/>
        </w:rPr>
        <w:t xml:space="preserve"> </w:t>
      </w:r>
      <w:r w:rsidR="002C6796" w:rsidRPr="00C247CB">
        <w:rPr>
          <w:rFonts w:ascii="Verdana" w:hAnsi="Verdana"/>
          <w:sz w:val="16"/>
          <w:szCs w:val="16"/>
        </w:rPr>
        <w:t>without</w:t>
      </w:r>
      <w:r w:rsidR="0030264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Prior</w:t>
      </w:r>
      <w:r w:rsidR="0030264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Written</w:t>
      </w:r>
      <w:r w:rsidR="0030264F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Approval</w:t>
      </w:r>
    </w:p>
    <w:p w14:paraId="00274933" w14:textId="562A625C" w:rsidR="004E235C" w:rsidRDefault="00764302" w:rsidP="00F44564">
      <w:pPr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>ELECTRONIC</w:t>
      </w:r>
      <w:r w:rsidR="0030264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DATA</w:t>
      </w:r>
      <w:r w:rsidR="0030264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=</w:t>
      </w:r>
      <w:r w:rsidR="0030264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OFFICIAL</w:t>
      </w:r>
      <w:r w:rsidR="0030264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VERSION</w:t>
      </w:r>
      <w:r w:rsidR="0030264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7530B1">
        <w:rPr>
          <w:rFonts w:ascii="Verdana" w:hAnsi="Verdana"/>
          <w:b/>
          <w:color w:val="000000"/>
          <w:sz w:val="16"/>
          <w:szCs w:val="16"/>
        </w:rPr>
        <w:t>/</w:t>
      </w:r>
      <w:r w:rsidR="0030264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</w:t>
      </w:r>
      <w:r w:rsidR="0030264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COPY</w:t>
      </w:r>
      <w:r w:rsidR="0030264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8F2686">
        <w:rPr>
          <w:rFonts w:ascii="Verdana" w:hAnsi="Verdana"/>
          <w:b/>
          <w:color w:val="000000"/>
          <w:sz w:val="16"/>
          <w:szCs w:val="16"/>
        </w:rPr>
        <w:t>=</w:t>
      </w:r>
      <w:r w:rsidR="0030264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INFORMATIONAL</w:t>
      </w:r>
      <w:r w:rsidR="0030264F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4E235C" w:rsidSect="00CB4E77">
      <w:foot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0F06" w14:textId="77777777" w:rsidR="00CD4507" w:rsidRDefault="00CD4507" w:rsidP="00A81C38">
      <w:r>
        <w:separator/>
      </w:r>
    </w:p>
  </w:endnote>
  <w:endnote w:type="continuationSeparator" w:id="0">
    <w:p w14:paraId="4AEB4F52" w14:textId="77777777" w:rsidR="00CD4507" w:rsidRDefault="00CD4507" w:rsidP="00A81C38">
      <w:r>
        <w:continuationSeparator/>
      </w:r>
    </w:p>
  </w:endnote>
  <w:endnote w:type="continuationNotice" w:id="1">
    <w:p w14:paraId="2EA04CBA" w14:textId="77777777" w:rsidR="00CD4507" w:rsidRDefault="00CD45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1BAE" w14:textId="77777777" w:rsidR="00A81C38" w:rsidRDefault="00A81C3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11BD8">
      <w:rPr>
        <w:noProof/>
      </w:rPr>
      <w:t>8</w:t>
    </w:r>
    <w:r>
      <w:rPr>
        <w:noProof/>
      </w:rPr>
      <w:fldChar w:fldCharType="end"/>
    </w:r>
  </w:p>
  <w:p w14:paraId="6BA8A891" w14:textId="77777777" w:rsidR="00A81C38" w:rsidRDefault="00A81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173C" w14:textId="77777777" w:rsidR="00CD4507" w:rsidRDefault="00CD4507" w:rsidP="00A81C38">
      <w:r>
        <w:separator/>
      </w:r>
    </w:p>
  </w:footnote>
  <w:footnote w:type="continuationSeparator" w:id="0">
    <w:p w14:paraId="3E35067D" w14:textId="77777777" w:rsidR="00CD4507" w:rsidRDefault="00CD4507" w:rsidP="00A81C38">
      <w:r>
        <w:continuationSeparator/>
      </w:r>
    </w:p>
  </w:footnote>
  <w:footnote w:type="continuationNotice" w:id="1">
    <w:p w14:paraId="195EE6B9" w14:textId="77777777" w:rsidR="00CD4507" w:rsidRDefault="00CD45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57B"/>
    <w:multiLevelType w:val="hybridMultilevel"/>
    <w:tmpl w:val="4866E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46BD9"/>
    <w:multiLevelType w:val="multilevel"/>
    <w:tmpl w:val="CCFC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74D8A"/>
    <w:multiLevelType w:val="hybridMultilevel"/>
    <w:tmpl w:val="0E6A7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157E74"/>
    <w:multiLevelType w:val="multilevel"/>
    <w:tmpl w:val="983A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735D8"/>
    <w:multiLevelType w:val="hybridMultilevel"/>
    <w:tmpl w:val="D6AC2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082171"/>
    <w:multiLevelType w:val="hybridMultilevel"/>
    <w:tmpl w:val="AA98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8013A"/>
    <w:multiLevelType w:val="hybridMultilevel"/>
    <w:tmpl w:val="64629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E030C6"/>
    <w:multiLevelType w:val="hybridMultilevel"/>
    <w:tmpl w:val="36BA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C67C0"/>
    <w:multiLevelType w:val="hybridMultilevel"/>
    <w:tmpl w:val="1E5C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F5E58"/>
    <w:multiLevelType w:val="multilevel"/>
    <w:tmpl w:val="CCFC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C640F4"/>
    <w:multiLevelType w:val="hybridMultilevel"/>
    <w:tmpl w:val="36BAF4E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160716"/>
    <w:multiLevelType w:val="hybridMultilevel"/>
    <w:tmpl w:val="3798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752C7"/>
    <w:multiLevelType w:val="hybridMultilevel"/>
    <w:tmpl w:val="E57E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E5C89"/>
    <w:multiLevelType w:val="hybridMultilevel"/>
    <w:tmpl w:val="7E0AD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5833359">
    <w:abstractNumId w:val="2"/>
  </w:num>
  <w:num w:numId="2" w16cid:durableId="666708968">
    <w:abstractNumId w:val="4"/>
  </w:num>
  <w:num w:numId="3" w16cid:durableId="282157813">
    <w:abstractNumId w:val="6"/>
  </w:num>
  <w:num w:numId="4" w16cid:durableId="224728040">
    <w:abstractNumId w:val="3"/>
  </w:num>
  <w:num w:numId="5" w16cid:durableId="1859275994">
    <w:abstractNumId w:val="7"/>
  </w:num>
  <w:num w:numId="6" w16cid:durableId="471870187">
    <w:abstractNumId w:val="9"/>
  </w:num>
  <w:num w:numId="7" w16cid:durableId="953706359">
    <w:abstractNumId w:val="1"/>
  </w:num>
  <w:num w:numId="8" w16cid:durableId="474838103">
    <w:abstractNumId w:val="12"/>
  </w:num>
  <w:num w:numId="9" w16cid:durableId="250354770">
    <w:abstractNumId w:val="0"/>
  </w:num>
  <w:num w:numId="10" w16cid:durableId="636758451">
    <w:abstractNumId w:val="11"/>
  </w:num>
  <w:num w:numId="11" w16cid:durableId="1971592577">
    <w:abstractNumId w:val="8"/>
  </w:num>
  <w:num w:numId="12" w16cid:durableId="639576981">
    <w:abstractNumId w:val="5"/>
  </w:num>
  <w:num w:numId="13" w16cid:durableId="1890460927">
    <w:abstractNumId w:val="13"/>
  </w:num>
  <w:num w:numId="14" w16cid:durableId="16679789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02"/>
    <w:rsid w:val="00002F78"/>
    <w:rsid w:val="00005B93"/>
    <w:rsid w:val="00005E29"/>
    <w:rsid w:val="00026BA0"/>
    <w:rsid w:val="00030384"/>
    <w:rsid w:val="00033678"/>
    <w:rsid w:val="0003487D"/>
    <w:rsid w:val="00042403"/>
    <w:rsid w:val="000450AB"/>
    <w:rsid w:val="00050F4D"/>
    <w:rsid w:val="00057C88"/>
    <w:rsid w:val="000637C3"/>
    <w:rsid w:val="00065CE2"/>
    <w:rsid w:val="000672BA"/>
    <w:rsid w:val="00084C9C"/>
    <w:rsid w:val="00097B8D"/>
    <w:rsid w:val="000A1065"/>
    <w:rsid w:val="000A164C"/>
    <w:rsid w:val="000A6590"/>
    <w:rsid w:val="000A662F"/>
    <w:rsid w:val="000B2707"/>
    <w:rsid w:val="000C614E"/>
    <w:rsid w:val="000D3141"/>
    <w:rsid w:val="000D5C78"/>
    <w:rsid w:val="000E02E6"/>
    <w:rsid w:val="000E28BD"/>
    <w:rsid w:val="000E74D0"/>
    <w:rsid w:val="000F20D1"/>
    <w:rsid w:val="000F4AF6"/>
    <w:rsid w:val="000F5466"/>
    <w:rsid w:val="000F620E"/>
    <w:rsid w:val="001045D2"/>
    <w:rsid w:val="001112D0"/>
    <w:rsid w:val="0011411B"/>
    <w:rsid w:val="001171C5"/>
    <w:rsid w:val="001238AB"/>
    <w:rsid w:val="00127A64"/>
    <w:rsid w:val="001352C9"/>
    <w:rsid w:val="00140D4C"/>
    <w:rsid w:val="001427F6"/>
    <w:rsid w:val="00143F51"/>
    <w:rsid w:val="001504A0"/>
    <w:rsid w:val="00153C5F"/>
    <w:rsid w:val="0015687D"/>
    <w:rsid w:val="0016713D"/>
    <w:rsid w:val="00184B45"/>
    <w:rsid w:val="0018669A"/>
    <w:rsid w:val="00186D36"/>
    <w:rsid w:val="00186E95"/>
    <w:rsid w:val="00195E98"/>
    <w:rsid w:val="0019793F"/>
    <w:rsid w:val="001A12BD"/>
    <w:rsid w:val="001A63BC"/>
    <w:rsid w:val="001B5982"/>
    <w:rsid w:val="001B71B0"/>
    <w:rsid w:val="001B7FFB"/>
    <w:rsid w:val="001C36B3"/>
    <w:rsid w:val="001C547B"/>
    <w:rsid w:val="001C6E22"/>
    <w:rsid w:val="001D3CF6"/>
    <w:rsid w:val="001E250C"/>
    <w:rsid w:val="001E55FD"/>
    <w:rsid w:val="001E58F2"/>
    <w:rsid w:val="001F02D4"/>
    <w:rsid w:val="001F4237"/>
    <w:rsid w:val="001F4CB4"/>
    <w:rsid w:val="001F58A2"/>
    <w:rsid w:val="002104E9"/>
    <w:rsid w:val="00220EF8"/>
    <w:rsid w:val="00221EC2"/>
    <w:rsid w:val="002255C0"/>
    <w:rsid w:val="00231C7C"/>
    <w:rsid w:val="00231F0A"/>
    <w:rsid w:val="00233F49"/>
    <w:rsid w:val="00242235"/>
    <w:rsid w:val="00271B23"/>
    <w:rsid w:val="00272605"/>
    <w:rsid w:val="002746B5"/>
    <w:rsid w:val="00277914"/>
    <w:rsid w:val="0028186F"/>
    <w:rsid w:val="0028316B"/>
    <w:rsid w:val="00291F8C"/>
    <w:rsid w:val="002956FA"/>
    <w:rsid w:val="002A1DF9"/>
    <w:rsid w:val="002A6FB0"/>
    <w:rsid w:val="002B0B57"/>
    <w:rsid w:val="002B2814"/>
    <w:rsid w:val="002C17D4"/>
    <w:rsid w:val="002C2FDF"/>
    <w:rsid w:val="002C4E0D"/>
    <w:rsid w:val="002C6796"/>
    <w:rsid w:val="002D02A5"/>
    <w:rsid w:val="002D3413"/>
    <w:rsid w:val="002E565C"/>
    <w:rsid w:val="002F0015"/>
    <w:rsid w:val="002F421E"/>
    <w:rsid w:val="002F7B04"/>
    <w:rsid w:val="0030264F"/>
    <w:rsid w:val="00311F15"/>
    <w:rsid w:val="003241E7"/>
    <w:rsid w:val="00325684"/>
    <w:rsid w:val="00344AB8"/>
    <w:rsid w:val="0034614B"/>
    <w:rsid w:val="003466DB"/>
    <w:rsid w:val="003467CF"/>
    <w:rsid w:val="00365695"/>
    <w:rsid w:val="003673FF"/>
    <w:rsid w:val="00367CD5"/>
    <w:rsid w:val="00392708"/>
    <w:rsid w:val="003928CA"/>
    <w:rsid w:val="00392962"/>
    <w:rsid w:val="003B0F69"/>
    <w:rsid w:val="003B7288"/>
    <w:rsid w:val="003D21EC"/>
    <w:rsid w:val="003D345A"/>
    <w:rsid w:val="003D6A8A"/>
    <w:rsid w:val="003D790E"/>
    <w:rsid w:val="003F3850"/>
    <w:rsid w:val="003F4C29"/>
    <w:rsid w:val="0040764B"/>
    <w:rsid w:val="00414F32"/>
    <w:rsid w:val="0042058A"/>
    <w:rsid w:val="00422D5C"/>
    <w:rsid w:val="0043046B"/>
    <w:rsid w:val="0043092D"/>
    <w:rsid w:val="004311A9"/>
    <w:rsid w:val="00433F93"/>
    <w:rsid w:val="0043407D"/>
    <w:rsid w:val="00434216"/>
    <w:rsid w:val="004343C4"/>
    <w:rsid w:val="00435886"/>
    <w:rsid w:val="00435F38"/>
    <w:rsid w:val="004366AD"/>
    <w:rsid w:val="00445CFF"/>
    <w:rsid w:val="00446B4E"/>
    <w:rsid w:val="00452321"/>
    <w:rsid w:val="00456AAF"/>
    <w:rsid w:val="00460E1B"/>
    <w:rsid w:val="00462D26"/>
    <w:rsid w:val="00463CCF"/>
    <w:rsid w:val="00467DEF"/>
    <w:rsid w:val="00470FB7"/>
    <w:rsid w:val="004729A0"/>
    <w:rsid w:val="00477111"/>
    <w:rsid w:val="004825AF"/>
    <w:rsid w:val="00483D92"/>
    <w:rsid w:val="00484EB6"/>
    <w:rsid w:val="0048793E"/>
    <w:rsid w:val="00492239"/>
    <w:rsid w:val="004934E4"/>
    <w:rsid w:val="004B1F97"/>
    <w:rsid w:val="004D1B01"/>
    <w:rsid w:val="004D6CCF"/>
    <w:rsid w:val="004E235C"/>
    <w:rsid w:val="004E7062"/>
    <w:rsid w:val="004F0186"/>
    <w:rsid w:val="004F0F40"/>
    <w:rsid w:val="004F159F"/>
    <w:rsid w:val="004F5196"/>
    <w:rsid w:val="004F53CC"/>
    <w:rsid w:val="004F6FEC"/>
    <w:rsid w:val="00500AAE"/>
    <w:rsid w:val="00503961"/>
    <w:rsid w:val="005073AB"/>
    <w:rsid w:val="00511CF1"/>
    <w:rsid w:val="0051224C"/>
    <w:rsid w:val="005153FC"/>
    <w:rsid w:val="00517ED1"/>
    <w:rsid w:val="00521E7D"/>
    <w:rsid w:val="00522853"/>
    <w:rsid w:val="0052634E"/>
    <w:rsid w:val="00530D53"/>
    <w:rsid w:val="00542809"/>
    <w:rsid w:val="0054471F"/>
    <w:rsid w:val="00555382"/>
    <w:rsid w:val="00557B26"/>
    <w:rsid w:val="00561D41"/>
    <w:rsid w:val="00562747"/>
    <w:rsid w:val="005627AD"/>
    <w:rsid w:val="005712C3"/>
    <w:rsid w:val="0057143B"/>
    <w:rsid w:val="00574F22"/>
    <w:rsid w:val="00581D6B"/>
    <w:rsid w:val="005829B7"/>
    <w:rsid w:val="00582CE8"/>
    <w:rsid w:val="00583DB6"/>
    <w:rsid w:val="00584493"/>
    <w:rsid w:val="00593246"/>
    <w:rsid w:val="00593B4D"/>
    <w:rsid w:val="0059408A"/>
    <w:rsid w:val="005A3D67"/>
    <w:rsid w:val="005A7692"/>
    <w:rsid w:val="005A79FC"/>
    <w:rsid w:val="005B4121"/>
    <w:rsid w:val="005B6B79"/>
    <w:rsid w:val="005C0542"/>
    <w:rsid w:val="005C0ECB"/>
    <w:rsid w:val="005D2DD5"/>
    <w:rsid w:val="005D3AEE"/>
    <w:rsid w:val="005E0FC6"/>
    <w:rsid w:val="005E5FD4"/>
    <w:rsid w:val="005F0C5C"/>
    <w:rsid w:val="005F0F68"/>
    <w:rsid w:val="005F2ADB"/>
    <w:rsid w:val="005F3CE4"/>
    <w:rsid w:val="005F6A78"/>
    <w:rsid w:val="005F6EF3"/>
    <w:rsid w:val="005F74A6"/>
    <w:rsid w:val="005F7875"/>
    <w:rsid w:val="00603F27"/>
    <w:rsid w:val="00611BD8"/>
    <w:rsid w:val="00615664"/>
    <w:rsid w:val="0062113B"/>
    <w:rsid w:val="006228B1"/>
    <w:rsid w:val="00626EE9"/>
    <w:rsid w:val="0065343F"/>
    <w:rsid w:val="0065409D"/>
    <w:rsid w:val="006558CD"/>
    <w:rsid w:val="00655BEC"/>
    <w:rsid w:val="00661E47"/>
    <w:rsid w:val="006626BD"/>
    <w:rsid w:val="00674E4D"/>
    <w:rsid w:val="0067518F"/>
    <w:rsid w:val="00680877"/>
    <w:rsid w:val="00687462"/>
    <w:rsid w:val="006A653C"/>
    <w:rsid w:val="006B25DD"/>
    <w:rsid w:val="006D2233"/>
    <w:rsid w:val="006D6864"/>
    <w:rsid w:val="006E081C"/>
    <w:rsid w:val="006F1CB9"/>
    <w:rsid w:val="006F1D06"/>
    <w:rsid w:val="006F2400"/>
    <w:rsid w:val="006F3081"/>
    <w:rsid w:val="00703725"/>
    <w:rsid w:val="00705361"/>
    <w:rsid w:val="00706A44"/>
    <w:rsid w:val="00711637"/>
    <w:rsid w:val="00713BC2"/>
    <w:rsid w:val="00723510"/>
    <w:rsid w:val="00726FBE"/>
    <w:rsid w:val="00734FC5"/>
    <w:rsid w:val="00736942"/>
    <w:rsid w:val="0073707F"/>
    <w:rsid w:val="007415AF"/>
    <w:rsid w:val="00744FFB"/>
    <w:rsid w:val="007503A6"/>
    <w:rsid w:val="00752860"/>
    <w:rsid w:val="007530B1"/>
    <w:rsid w:val="007566C5"/>
    <w:rsid w:val="00764302"/>
    <w:rsid w:val="00775AE5"/>
    <w:rsid w:val="00790BC2"/>
    <w:rsid w:val="007923AF"/>
    <w:rsid w:val="0079512C"/>
    <w:rsid w:val="007A23D9"/>
    <w:rsid w:val="007A2F54"/>
    <w:rsid w:val="007A7823"/>
    <w:rsid w:val="007C0026"/>
    <w:rsid w:val="007C796F"/>
    <w:rsid w:val="007D0D6E"/>
    <w:rsid w:val="007D3770"/>
    <w:rsid w:val="007D6785"/>
    <w:rsid w:val="007E4F59"/>
    <w:rsid w:val="007F569A"/>
    <w:rsid w:val="00803403"/>
    <w:rsid w:val="0080425B"/>
    <w:rsid w:val="00804AA2"/>
    <w:rsid w:val="00805057"/>
    <w:rsid w:val="00813636"/>
    <w:rsid w:val="00816F4D"/>
    <w:rsid w:val="00827814"/>
    <w:rsid w:val="00832A49"/>
    <w:rsid w:val="00832BAD"/>
    <w:rsid w:val="008404AE"/>
    <w:rsid w:val="00846965"/>
    <w:rsid w:val="00851617"/>
    <w:rsid w:val="00853AC3"/>
    <w:rsid w:val="008552D5"/>
    <w:rsid w:val="0085564F"/>
    <w:rsid w:val="008557C2"/>
    <w:rsid w:val="00861905"/>
    <w:rsid w:val="00864A64"/>
    <w:rsid w:val="0087212C"/>
    <w:rsid w:val="00877199"/>
    <w:rsid w:val="00883D1B"/>
    <w:rsid w:val="0088701F"/>
    <w:rsid w:val="008973C0"/>
    <w:rsid w:val="008A2F92"/>
    <w:rsid w:val="008A3C33"/>
    <w:rsid w:val="008B09A4"/>
    <w:rsid w:val="008B09D7"/>
    <w:rsid w:val="008B363E"/>
    <w:rsid w:val="008B68EF"/>
    <w:rsid w:val="008E27B3"/>
    <w:rsid w:val="008F0664"/>
    <w:rsid w:val="008F2686"/>
    <w:rsid w:val="009024E4"/>
    <w:rsid w:val="00906335"/>
    <w:rsid w:val="00906D48"/>
    <w:rsid w:val="00911A3C"/>
    <w:rsid w:val="00917D4A"/>
    <w:rsid w:val="0092482D"/>
    <w:rsid w:val="00930EE7"/>
    <w:rsid w:val="009348B4"/>
    <w:rsid w:val="00937024"/>
    <w:rsid w:val="00943F93"/>
    <w:rsid w:val="00951AA2"/>
    <w:rsid w:val="0095534D"/>
    <w:rsid w:val="0096297B"/>
    <w:rsid w:val="0096331A"/>
    <w:rsid w:val="0096465D"/>
    <w:rsid w:val="00970B45"/>
    <w:rsid w:val="00971185"/>
    <w:rsid w:val="00972CED"/>
    <w:rsid w:val="00976379"/>
    <w:rsid w:val="00987E05"/>
    <w:rsid w:val="00992582"/>
    <w:rsid w:val="009A2D1C"/>
    <w:rsid w:val="009A3D7F"/>
    <w:rsid w:val="009B0051"/>
    <w:rsid w:val="009B300F"/>
    <w:rsid w:val="009C1937"/>
    <w:rsid w:val="009C600C"/>
    <w:rsid w:val="009C7C7C"/>
    <w:rsid w:val="009D0B54"/>
    <w:rsid w:val="009D5576"/>
    <w:rsid w:val="009E2E21"/>
    <w:rsid w:val="009E4C18"/>
    <w:rsid w:val="009E5D3C"/>
    <w:rsid w:val="009E5E1B"/>
    <w:rsid w:val="009F0984"/>
    <w:rsid w:val="009F6EA7"/>
    <w:rsid w:val="00A06075"/>
    <w:rsid w:val="00A07C00"/>
    <w:rsid w:val="00A10B99"/>
    <w:rsid w:val="00A14838"/>
    <w:rsid w:val="00A152E6"/>
    <w:rsid w:val="00A24945"/>
    <w:rsid w:val="00A25837"/>
    <w:rsid w:val="00A259DA"/>
    <w:rsid w:val="00A30495"/>
    <w:rsid w:val="00A333CD"/>
    <w:rsid w:val="00A36F08"/>
    <w:rsid w:val="00A5166B"/>
    <w:rsid w:val="00A55006"/>
    <w:rsid w:val="00A57B9F"/>
    <w:rsid w:val="00A57CE6"/>
    <w:rsid w:val="00A60C6C"/>
    <w:rsid w:val="00A61A0B"/>
    <w:rsid w:val="00A62C83"/>
    <w:rsid w:val="00A6362A"/>
    <w:rsid w:val="00A71563"/>
    <w:rsid w:val="00A71A84"/>
    <w:rsid w:val="00A77EB6"/>
    <w:rsid w:val="00A80B50"/>
    <w:rsid w:val="00A81C38"/>
    <w:rsid w:val="00A84293"/>
    <w:rsid w:val="00AA2646"/>
    <w:rsid w:val="00AA6E6F"/>
    <w:rsid w:val="00AB2AD7"/>
    <w:rsid w:val="00AC0652"/>
    <w:rsid w:val="00AC1EA9"/>
    <w:rsid w:val="00AC35B8"/>
    <w:rsid w:val="00AD01EB"/>
    <w:rsid w:val="00AD385B"/>
    <w:rsid w:val="00AD40D3"/>
    <w:rsid w:val="00AD6F04"/>
    <w:rsid w:val="00AD7661"/>
    <w:rsid w:val="00AE2932"/>
    <w:rsid w:val="00AF6CFD"/>
    <w:rsid w:val="00B03407"/>
    <w:rsid w:val="00B04EEF"/>
    <w:rsid w:val="00B16DC2"/>
    <w:rsid w:val="00B20A8D"/>
    <w:rsid w:val="00B2571A"/>
    <w:rsid w:val="00B262F4"/>
    <w:rsid w:val="00B2662C"/>
    <w:rsid w:val="00B32254"/>
    <w:rsid w:val="00B364E5"/>
    <w:rsid w:val="00B36988"/>
    <w:rsid w:val="00B448C8"/>
    <w:rsid w:val="00B6015F"/>
    <w:rsid w:val="00B63E5C"/>
    <w:rsid w:val="00B705ED"/>
    <w:rsid w:val="00B76A69"/>
    <w:rsid w:val="00B87098"/>
    <w:rsid w:val="00B91C51"/>
    <w:rsid w:val="00B91FD1"/>
    <w:rsid w:val="00B923F2"/>
    <w:rsid w:val="00BA078E"/>
    <w:rsid w:val="00BA42BE"/>
    <w:rsid w:val="00BA4C40"/>
    <w:rsid w:val="00BB1474"/>
    <w:rsid w:val="00BB1914"/>
    <w:rsid w:val="00BB7E8C"/>
    <w:rsid w:val="00BC10A4"/>
    <w:rsid w:val="00BC42CA"/>
    <w:rsid w:val="00BC440D"/>
    <w:rsid w:val="00BD05C3"/>
    <w:rsid w:val="00BD2371"/>
    <w:rsid w:val="00BD66C6"/>
    <w:rsid w:val="00BE1930"/>
    <w:rsid w:val="00BE3DB4"/>
    <w:rsid w:val="00BF0C30"/>
    <w:rsid w:val="00BF5E4B"/>
    <w:rsid w:val="00BF7F4C"/>
    <w:rsid w:val="00C11C62"/>
    <w:rsid w:val="00C14A9E"/>
    <w:rsid w:val="00C176E3"/>
    <w:rsid w:val="00C17D90"/>
    <w:rsid w:val="00C20FC5"/>
    <w:rsid w:val="00C22F68"/>
    <w:rsid w:val="00C3279A"/>
    <w:rsid w:val="00C358FF"/>
    <w:rsid w:val="00C45D04"/>
    <w:rsid w:val="00C5619B"/>
    <w:rsid w:val="00C571A2"/>
    <w:rsid w:val="00C57AC7"/>
    <w:rsid w:val="00C702EA"/>
    <w:rsid w:val="00C777E6"/>
    <w:rsid w:val="00C82EC4"/>
    <w:rsid w:val="00C8747C"/>
    <w:rsid w:val="00C950C3"/>
    <w:rsid w:val="00CA0F97"/>
    <w:rsid w:val="00CB2F92"/>
    <w:rsid w:val="00CB4191"/>
    <w:rsid w:val="00CB49D6"/>
    <w:rsid w:val="00CB4E77"/>
    <w:rsid w:val="00CC262F"/>
    <w:rsid w:val="00CC2CAA"/>
    <w:rsid w:val="00CD4507"/>
    <w:rsid w:val="00CE1F18"/>
    <w:rsid w:val="00CE5EBC"/>
    <w:rsid w:val="00CF32D5"/>
    <w:rsid w:val="00CF4FC8"/>
    <w:rsid w:val="00D00907"/>
    <w:rsid w:val="00D03FE9"/>
    <w:rsid w:val="00D06D53"/>
    <w:rsid w:val="00D14D1F"/>
    <w:rsid w:val="00D16934"/>
    <w:rsid w:val="00D2058C"/>
    <w:rsid w:val="00D26E65"/>
    <w:rsid w:val="00D3380E"/>
    <w:rsid w:val="00D440E6"/>
    <w:rsid w:val="00D5753E"/>
    <w:rsid w:val="00D600D4"/>
    <w:rsid w:val="00D618BF"/>
    <w:rsid w:val="00D652D2"/>
    <w:rsid w:val="00D843B7"/>
    <w:rsid w:val="00D8628E"/>
    <w:rsid w:val="00D86710"/>
    <w:rsid w:val="00D9084A"/>
    <w:rsid w:val="00D91F7B"/>
    <w:rsid w:val="00D9794F"/>
    <w:rsid w:val="00DB4299"/>
    <w:rsid w:val="00DC032D"/>
    <w:rsid w:val="00DC34A4"/>
    <w:rsid w:val="00DC538E"/>
    <w:rsid w:val="00DC6DCA"/>
    <w:rsid w:val="00DC7BE2"/>
    <w:rsid w:val="00DD10A5"/>
    <w:rsid w:val="00DD1B2F"/>
    <w:rsid w:val="00DD6AAD"/>
    <w:rsid w:val="00DD739F"/>
    <w:rsid w:val="00DE22CF"/>
    <w:rsid w:val="00DE65DD"/>
    <w:rsid w:val="00DF73CD"/>
    <w:rsid w:val="00E022B5"/>
    <w:rsid w:val="00E12282"/>
    <w:rsid w:val="00E21F5A"/>
    <w:rsid w:val="00E2529C"/>
    <w:rsid w:val="00E37093"/>
    <w:rsid w:val="00E40E63"/>
    <w:rsid w:val="00E4343E"/>
    <w:rsid w:val="00E44EAD"/>
    <w:rsid w:val="00E45662"/>
    <w:rsid w:val="00E47ECF"/>
    <w:rsid w:val="00E501B3"/>
    <w:rsid w:val="00E51120"/>
    <w:rsid w:val="00E56096"/>
    <w:rsid w:val="00E600BE"/>
    <w:rsid w:val="00E6291C"/>
    <w:rsid w:val="00E63DAF"/>
    <w:rsid w:val="00E64144"/>
    <w:rsid w:val="00E646F9"/>
    <w:rsid w:val="00E657AF"/>
    <w:rsid w:val="00E777D0"/>
    <w:rsid w:val="00E77E1C"/>
    <w:rsid w:val="00E80532"/>
    <w:rsid w:val="00E97964"/>
    <w:rsid w:val="00E97BA3"/>
    <w:rsid w:val="00EA0579"/>
    <w:rsid w:val="00EA68E5"/>
    <w:rsid w:val="00EB3858"/>
    <w:rsid w:val="00EB3E47"/>
    <w:rsid w:val="00EB4824"/>
    <w:rsid w:val="00EB6087"/>
    <w:rsid w:val="00EB638B"/>
    <w:rsid w:val="00EC70A7"/>
    <w:rsid w:val="00ED0DB3"/>
    <w:rsid w:val="00ED3906"/>
    <w:rsid w:val="00ED3FAD"/>
    <w:rsid w:val="00EE3B7E"/>
    <w:rsid w:val="00EF02BE"/>
    <w:rsid w:val="00F0197B"/>
    <w:rsid w:val="00F02A60"/>
    <w:rsid w:val="00F03963"/>
    <w:rsid w:val="00F07841"/>
    <w:rsid w:val="00F1039F"/>
    <w:rsid w:val="00F12A2C"/>
    <w:rsid w:val="00F14ABC"/>
    <w:rsid w:val="00F14DFA"/>
    <w:rsid w:val="00F3395E"/>
    <w:rsid w:val="00F374EB"/>
    <w:rsid w:val="00F44564"/>
    <w:rsid w:val="00F45CD0"/>
    <w:rsid w:val="00F507AA"/>
    <w:rsid w:val="00F50F58"/>
    <w:rsid w:val="00F56990"/>
    <w:rsid w:val="00F61DEA"/>
    <w:rsid w:val="00F63CB4"/>
    <w:rsid w:val="00F77791"/>
    <w:rsid w:val="00F8417F"/>
    <w:rsid w:val="00F93250"/>
    <w:rsid w:val="00FA287A"/>
    <w:rsid w:val="00FA360B"/>
    <w:rsid w:val="00FA7F47"/>
    <w:rsid w:val="00FB2ADF"/>
    <w:rsid w:val="00FB752F"/>
    <w:rsid w:val="00FC1347"/>
    <w:rsid w:val="00FD26F0"/>
    <w:rsid w:val="00FD359D"/>
    <w:rsid w:val="00FE692A"/>
    <w:rsid w:val="00FE75AE"/>
    <w:rsid w:val="53D2F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2C682"/>
  <w15:chartTrackingRefBased/>
  <w15:docId w15:val="{1C82EBA4-476F-4463-8663-8E46B364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5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0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6430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8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764302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764302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43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764302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3241E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56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6AAF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456AAF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AA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6AAF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AA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56AAF"/>
    <w:rPr>
      <w:rFonts w:ascii="Tahoma" w:eastAsia="Times New Roman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3D6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rsid w:val="005A3D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3D6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5A3D6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8E27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ableentry">
    <w:name w:val="tableentry"/>
    <w:rsid w:val="005C0ECB"/>
    <w:rPr>
      <w:rFonts w:ascii="Arial" w:hAnsi="Arial" w:cs="Arial" w:hint="default"/>
      <w:sz w:val="18"/>
      <w:szCs w:val="18"/>
    </w:rPr>
  </w:style>
  <w:style w:type="paragraph" w:styleId="NormalWeb">
    <w:name w:val="Normal (Web)"/>
    <w:basedOn w:val="Normal"/>
    <w:uiPriority w:val="99"/>
    <w:rsid w:val="00ED3906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BD66C6"/>
  </w:style>
  <w:style w:type="paragraph" w:styleId="TOC2">
    <w:name w:val="toc 2"/>
    <w:basedOn w:val="Normal"/>
    <w:next w:val="Normal"/>
    <w:autoRedefine/>
    <w:uiPriority w:val="39"/>
    <w:unhideWhenUsed/>
    <w:rsid w:val="00140D4C"/>
    <w:pPr>
      <w:tabs>
        <w:tab w:val="right" w:leader="dot" w:pos="9350"/>
      </w:tabs>
    </w:pPr>
  </w:style>
  <w:style w:type="paragraph" w:styleId="Revision">
    <w:name w:val="Revision"/>
    <w:hidden/>
    <w:uiPriority w:val="99"/>
    <w:semiHidden/>
    <w:rsid w:val="00414F32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A2583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rsid w:val="00A25837"/>
    <w:rPr>
      <w:rFonts w:ascii="Cambria" w:eastAsia="Times New Roman" w:hAnsi="Cambria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81C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1C38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8F2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98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7880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75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5490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204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48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61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92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88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77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21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CMS-2-017428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SecureDocRenderer?documentId=CALL-0048&amp;uid=pnpdev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6DAF9E-F417-4880-8B59-5109851E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FC39E-464D-47C0-AC4B-531B8EA5613B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DD11B9BE-9906-42B2-A2D2-DE1746CB45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5D613C-E185-43C2-9D8B-0704C3B009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1342</Words>
  <Characters>7650</Characters>
  <Application>Microsoft Office Word</Application>
  <DocSecurity>0</DocSecurity>
  <Lines>63</Lines>
  <Paragraphs>17</Paragraphs>
  <ScaleCrop>false</ScaleCrop>
  <Company>Caremark</Company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Garcia</dc:creator>
  <cp:keywords/>
  <cp:lastModifiedBy>Mcintyre, Elizabeth L</cp:lastModifiedBy>
  <cp:revision>7</cp:revision>
  <cp:lastPrinted>2011-12-01T02:12:00Z</cp:lastPrinted>
  <dcterms:created xsi:type="dcterms:W3CDTF">2024-05-08T18:37:00Z</dcterms:created>
  <dcterms:modified xsi:type="dcterms:W3CDTF">2024-05-08T18:52:00Z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2023-05-24T14:44:58Z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8ef1e9ad-66b4-47b4-a42a-5f5f5f21ca6d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