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00A6" w14:textId="309288FD" w:rsidR="00DE7A25" w:rsidRDefault="003324D1" w:rsidP="00DE7A25">
      <w:pPr>
        <w:pStyle w:val="Heading1"/>
        <w:spacing w:after="0"/>
        <w:rPr>
          <w:rFonts w:ascii="Verdana" w:hAnsi="Verdana"/>
          <w:color w:val="auto"/>
          <w:sz w:val="18"/>
          <w:szCs w:val="18"/>
        </w:rPr>
      </w:pPr>
      <w:r>
        <w:rPr>
          <w:rFonts w:ascii="Verdana" w:hAnsi="Verdana"/>
          <w:color w:val="000000"/>
          <w:sz w:val="36"/>
          <w:szCs w:val="36"/>
        </w:rPr>
        <w:t>Med D – 100</w:t>
      </w:r>
      <w:r w:rsidR="009E6CDC">
        <w:rPr>
          <w:rFonts w:ascii="Verdana" w:hAnsi="Verdana"/>
          <w:color w:val="000000"/>
          <w:sz w:val="36"/>
          <w:szCs w:val="36"/>
        </w:rPr>
        <w:t>-</w:t>
      </w:r>
      <w:r>
        <w:rPr>
          <w:rFonts w:ascii="Verdana" w:hAnsi="Verdana"/>
          <w:color w:val="000000"/>
          <w:sz w:val="36"/>
          <w:szCs w:val="36"/>
        </w:rPr>
        <w:t>Day Supply Benefit</w:t>
      </w:r>
    </w:p>
    <w:p w14:paraId="592F8C49" w14:textId="77777777" w:rsidR="00DE7A25" w:rsidRPr="00DE7A25" w:rsidRDefault="00DE7A25" w:rsidP="00DE7A25">
      <w:pPr>
        <w:spacing w:after="0" w:line="240" w:lineRule="auto"/>
        <w:rPr>
          <w:rFonts w:ascii="Verdana" w:hAnsi="Verdana"/>
          <w:sz w:val="24"/>
          <w:szCs w:val="24"/>
        </w:rPr>
      </w:pPr>
    </w:p>
    <w:p w14:paraId="0D7A18BE" w14:textId="77777777" w:rsidR="00027091" w:rsidRDefault="00027091">
      <w:pPr>
        <w:pStyle w:val="TOC2"/>
      </w:pPr>
    </w:p>
    <w:p w14:paraId="79C9774C" w14:textId="20B2FBFF" w:rsidR="00027091" w:rsidRDefault="00DE7A25">
      <w:pPr>
        <w:pStyle w:val="TOC2"/>
        <w:rPr>
          <w:rFonts w:asciiTheme="minorHAnsi" w:eastAsiaTheme="minorEastAsia" w:hAnsiTheme="minorHAnsi" w:cstheme="minorBidi"/>
          <w:color w:val="auto"/>
          <w:kern w:val="2"/>
          <w:sz w:val="22"/>
          <w:szCs w:val="22"/>
          <w:u w:val="none"/>
          <w14:ligatures w14:val="standardContextual"/>
        </w:rPr>
      </w:pPr>
      <w:r w:rsidRPr="00DE7A25">
        <w:fldChar w:fldCharType="begin"/>
      </w:r>
      <w:r w:rsidRPr="00DE7A25">
        <w:instrText xml:space="preserve"> TOC \o "2-2" \n \p " " \h \z \u </w:instrText>
      </w:r>
      <w:r w:rsidRPr="00DE7A25">
        <w:fldChar w:fldCharType="separate"/>
      </w:r>
      <w:hyperlink w:anchor="_Toc181627823" w:history="1">
        <w:r w:rsidR="00027091" w:rsidRPr="00465226">
          <w:rPr>
            <w:rStyle w:val="Hyperlink"/>
          </w:rPr>
          <w:t>Overview</w:t>
        </w:r>
      </w:hyperlink>
    </w:p>
    <w:p w14:paraId="40F28FAD" w14:textId="2A6ED4CA" w:rsidR="00027091" w:rsidRDefault="00000000">
      <w:pPr>
        <w:pStyle w:val="TOC2"/>
        <w:rPr>
          <w:rFonts w:asciiTheme="minorHAnsi" w:eastAsiaTheme="minorEastAsia" w:hAnsiTheme="minorHAnsi" w:cstheme="minorBidi"/>
          <w:color w:val="auto"/>
          <w:kern w:val="2"/>
          <w:sz w:val="22"/>
          <w:szCs w:val="22"/>
          <w:u w:val="none"/>
          <w14:ligatures w14:val="standardContextual"/>
        </w:rPr>
      </w:pPr>
      <w:hyperlink w:anchor="_Toc181627824" w:history="1">
        <w:r w:rsidR="00027091" w:rsidRPr="00465226">
          <w:rPr>
            <w:rStyle w:val="Hyperlink"/>
          </w:rPr>
          <w:t>FAQS</w:t>
        </w:r>
      </w:hyperlink>
    </w:p>
    <w:p w14:paraId="02E2955B" w14:textId="347EBD6F" w:rsidR="00DE7A25" w:rsidRPr="00DE7A25" w:rsidRDefault="00DE7A25" w:rsidP="00DE7A25">
      <w:pPr>
        <w:spacing w:after="0" w:line="240" w:lineRule="auto"/>
        <w:rPr>
          <w:rFonts w:ascii="Verdana" w:hAnsi="Verdana"/>
          <w:sz w:val="24"/>
          <w:szCs w:val="24"/>
        </w:rPr>
      </w:pPr>
      <w:r w:rsidRPr="00DE7A25">
        <w:rPr>
          <w:rFonts w:ascii="Verdana" w:hAnsi="Verdana"/>
          <w:noProof/>
          <w:color w:val="3333FF"/>
          <w:sz w:val="24"/>
          <w:szCs w:val="24"/>
          <w:u w:val="single"/>
        </w:rPr>
        <w:fldChar w:fldCharType="end"/>
      </w:r>
    </w:p>
    <w:p w14:paraId="4988718A" w14:textId="77777777" w:rsidR="00DE7A25" w:rsidRPr="00DE7A25" w:rsidRDefault="00DE7A25" w:rsidP="00DE7A25">
      <w:pPr>
        <w:spacing w:after="0" w:line="240" w:lineRule="auto"/>
        <w:rPr>
          <w:rFonts w:ascii="Verdana" w:hAnsi="Verdana"/>
          <w:sz w:val="24"/>
          <w:szCs w:val="24"/>
        </w:rPr>
      </w:pPr>
    </w:p>
    <w:p w14:paraId="12789ECB" w14:textId="421EBDC9" w:rsidR="00DE7A25" w:rsidRPr="00DE7A25" w:rsidRDefault="00DE7A25" w:rsidP="00DE7A25">
      <w:pPr>
        <w:spacing w:after="0" w:line="240" w:lineRule="auto"/>
        <w:rPr>
          <w:rFonts w:ascii="Verdana" w:hAnsi="Verdana"/>
          <w:color w:val="000000"/>
          <w:sz w:val="24"/>
          <w:szCs w:val="24"/>
        </w:rPr>
      </w:pPr>
      <w:bookmarkStart w:id="0" w:name="_Overview"/>
      <w:bookmarkEnd w:id="0"/>
      <w:r w:rsidRPr="00DE7A25">
        <w:rPr>
          <w:rFonts w:ascii="Verdana" w:hAnsi="Verdana"/>
          <w:b/>
          <w:sz w:val="24"/>
          <w:szCs w:val="24"/>
        </w:rPr>
        <w:t xml:space="preserve">Description:  </w:t>
      </w:r>
      <w:r w:rsidR="003324D1">
        <w:rPr>
          <w:rFonts w:ascii="Verdana" w:hAnsi="Verdana"/>
          <w:sz w:val="24"/>
          <w:szCs w:val="24"/>
        </w:rPr>
        <w:t>This document provides information on the 100</w:t>
      </w:r>
      <w:r w:rsidR="009E6CDC">
        <w:rPr>
          <w:rFonts w:ascii="Verdana" w:hAnsi="Verdana"/>
          <w:sz w:val="24"/>
          <w:szCs w:val="24"/>
        </w:rPr>
        <w:t>-</w:t>
      </w:r>
      <w:r w:rsidR="003324D1">
        <w:rPr>
          <w:rFonts w:ascii="Verdana" w:hAnsi="Verdana"/>
          <w:sz w:val="24"/>
          <w:szCs w:val="24"/>
        </w:rPr>
        <w:t xml:space="preserve">Day Supply benefit for Medicare D. </w:t>
      </w:r>
      <w:r w:rsidRPr="00DE7A25">
        <w:rPr>
          <w:rFonts w:ascii="Verdana" w:hAnsi="Verdana"/>
          <w:color w:val="000000"/>
          <w:sz w:val="24"/>
          <w:szCs w:val="24"/>
        </w:rPr>
        <w:t xml:space="preserve"> </w:t>
      </w:r>
    </w:p>
    <w:p w14:paraId="38708C31" w14:textId="77777777" w:rsidR="00DE7A25" w:rsidRPr="00DE7A25" w:rsidRDefault="00DE7A25" w:rsidP="00DE7A25">
      <w:pPr>
        <w:spacing w:after="0" w:line="240" w:lineRule="auto"/>
        <w:jc w:val="right"/>
        <w:rPr>
          <w:rStyle w:val="Hyperlink"/>
          <w:rFonts w:ascii="Verdana" w:hAnsi="Verdana"/>
          <w:sz w:val="24"/>
          <w:szCs w:val="24"/>
        </w:rPr>
      </w:pPr>
      <w:bookmarkStart w:id="1" w:name="_Rationale"/>
      <w:bookmarkStart w:id="2" w:name="_Definitions"/>
      <w:bookmarkStart w:id="3" w:name="_Abbreviations/Definitions"/>
      <w:bookmarkStart w:id="4" w:name="_Log_Activity"/>
      <w:bookmarkEnd w:id="1"/>
      <w:bookmarkEnd w:id="2"/>
      <w:bookmarkEnd w:id="3"/>
      <w:bookmarkEnd w:id="4"/>
    </w:p>
    <w:p w14:paraId="0A3F3443" w14:textId="77777777" w:rsidR="00D3443D" w:rsidRPr="00DE7A25" w:rsidRDefault="00D3443D" w:rsidP="00D3443D">
      <w:pPr>
        <w:jc w:val="right"/>
        <w:rPr>
          <w:rFonts w:ascii="Verdana" w:hAnsi="Verdan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3443D" w14:paraId="55102E9F" w14:textId="77777777" w:rsidTr="003324D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5C4AC3B" w14:textId="700AFD32" w:rsidR="00D3443D" w:rsidRDefault="00D3443D" w:rsidP="00B134F7">
            <w:pPr>
              <w:pStyle w:val="Heading2"/>
              <w:spacing w:before="0" w:after="0"/>
              <w:rPr>
                <w:rFonts w:ascii="Verdana" w:hAnsi="Verdana"/>
                <w:i w:val="0"/>
              </w:rPr>
            </w:pPr>
            <w:bookmarkStart w:id="5" w:name="_Toc181627823"/>
            <w:r>
              <w:rPr>
                <w:rFonts w:ascii="Verdana" w:hAnsi="Verdana"/>
                <w:i w:val="0"/>
              </w:rPr>
              <w:t>Overview</w:t>
            </w:r>
            <w:bookmarkEnd w:id="5"/>
            <w:r>
              <w:rPr>
                <w:rFonts w:ascii="Verdana" w:hAnsi="Verdana"/>
                <w:i w:val="0"/>
              </w:rPr>
              <w:t xml:space="preserve"> </w:t>
            </w:r>
          </w:p>
        </w:tc>
      </w:tr>
    </w:tbl>
    <w:p w14:paraId="099FE7EB" w14:textId="77777777" w:rsidR="003324D1" w:rsidRDefault="003324D1" w:rsidP="003324D1">
      <w:pPr>
        <w:pStyle w:val="ListParagraph"/>
        <w:rPr>
          <w:rFonts w:ascii="Verdana" w:hAnsi="Verdana"/>
          <w:sz w:val="24"/>
          <w:szCs w:val="24"/>
        </w:rPr>
      </w:pPr>
    </w:p>
    <w:p w14:paraId="2B6DE4C8" w14:textId="79CF4062" w:rsidR="003324D1" w:rsidRPr="003324D1" w:rsidRDefault="003324D1" w:rsidP="003324D1">
      <w:pPr>
        <w:rPr>
          <w:rFonts w:ascii="Verdana" w:hAnsi="Verdana"/>
          <w:sz w:val="24"/>
          <w:szCs w:val="24"/>
        </w:rPr>
      </w:pPr>
      <w:r>
        <w:rPr>
          <w:rFonts w:ascii="Verdana" w:hAnsi="Verdana"/>
          <w:sz w:val="24"/>
          <w:szCs w:val="24"/>
        </w:rPr>
        <w:t>Compass will allow Med D Customer Care to identify clients who offer 100</w:t>
      </w:r>
      <w:r w:rsidR="009E6CDC">
        <w:rPr>
          <w:rFonts w:ascii="Verdana" w:hAnsi="Verdana"/>
          <w:sz w:val="24"/>
          <w:szCs w:val="24"/>
        </w:rPr>
        <w:t>-</w:t>
      </w:r>
      <w:r>
        <w:rPr>
          <w:rFonts w:ascii="Verdana" w:hAnsi="Verdana"/>
          <w:sz w:val="24"/>
          <w:szCs w:val="24"/>
        </w:rPr>
        <w:t xml:space="preserve">Day Supply benefits. This benefit is based on the client formulary and the tiers chosen by the client. This benefit is currently available for scripts filled at both mail and retail. </w:t>
      </w:r>
    </w:p>
    <w:p w14:paraId="4F90D166" w14:textId="0C72DBDD" w:rsidR="003324D1" w:rsidRPr="003324D1" w:rsidRDefault="003324D1" w:rsidP="00D3443D">
      <w:pPr>
        <w:rPr>
          <w:rFonts w:ascii="Verdana" w:hAnsi="Verdana"/>
          <w:sz w:val="24"/>
          <w:szCs w:val="24"/>
        </w:rPr>
      </w:pPr>
      <w:r w:rsidRPr="003324D1">
        <w:rPr>
          <w:rFonts w:ascii="Verdana" w:hAnsi="Verdana"/>
          <w:sz w:val="24"/>
          <w:szCs w:val="24"/>
        </w:rPr>
        <w:t>The 100</w:t>
      </w:r>
      <w:r w:rsidR="009E6CDC">
        <w:rPr>
          <w:rFonts w:ascii="Verdana" w:hAnsi="Verdana"/>
          <w:sz w:val="24"/>
          <w:szCs w:val="24"/>
        </w:rPr>
        <w:t>-</w:t>
      </w:r>
      <w:r>
        <w:rPr>
          <w:rFonts w:ascii="Verdana" w:hAnsi="Verdana"/>
          <w:sz w:val="24"/>
          <w:szCs w:val="24"/>
        </w:rPr>
        <w:t xml:space="preserve">Day Supply benefit will be visible when refilling an order, requesting a new prescription, and when </w:t>
      </w:r>
      <w:r w:rsidRPr="00110672">
        <w:rPr>
          <w:rFonts w:ascii="Verdana" w:hAnsi="Verdana"/>
          <w:sz w:val="24"/>
          <w:szCs w:val="24"/>
        </w:rPr>
        <w:t>running a test claim</w:t>
      </w:r>
      <w:r w:rsidR="00110672" w:rsidRPr="00110672">
        <w:rPr>
          <w:rFonts w:ascii="Verdana" w:hAnsi="Verdana"/>
          <w:sz w:val="24"/>
          <w:szCs w:val="24"/>
        </w:rPr>
        <w:t>.</w:t>
      </w:r>
    </w:p>
    <w:p w14:paraId="7C5E1D8B" w14:textId="3F7638E4" w:rsidR="003324D1" w:rsidRDefault="00976833" w:rsidP="00D3443D">
      <w:pPr>
        <w:rPr>
          <w:rFonts w:ascii="Verdana" w:hAnsi="Verdana"/>
          <w:sz w:val="24"/>
          <w:szCs w:val="24"/>
        </w:rPr>
      </w:pPr>
      <w:r w:rsidRPr="00976833">
        <w:rPr>
          <w:rFonts w:ascii="Verdana" w:hAnsi="Verdana"/>
          <w:sz w:val="24"/>
          <w:szCs w:val="24"/>
        </w:rPr>
        <w:t>Refer to</w:t>
      </w:r>
      <w:r>
        <w:rPr>
          <w:rFonts w:ascii="Verdana" w:hAnsi="Verdana"/>
          <w:sz w:val="24"/>
          <w:szCs w:val="24"/>
        </w:rPr>
        <w:t xml:space="preserve"> the following work instructions for where 100</w:t>
      </w:r>
      <w:r w:rsidR="009E6CDC">
        <w:rPr>
          <w:rFonts w:ascii="Verdana" w:hAnsi="Verdana"/>
          <w:sz w:val="24"/>
          <w:szCs w:val="24"/>
        </w:rPr>
        <w:t>-</w:t>
      </w:r>
      <w:r>
        <w:rPr>
          <w:rFonts w:ascii="Verdana" w:hAnsi="Verdana"/>
          <w:sz w:val="24"/>
          <w:szCs w:val="24"/>
        </w:rPr>
        <w:t>Day Supply will be visible:</w:t>
      </w:r>
    </w:p>
    <w:p w14:paraId="4B6C845C" w14:textId="59DD38DE" w:rsidR="00976833" w:rsidRPr="009E6CDC" w:rsidRDefault="00000000" w:rsidP="00976833">
      <w:pPr>
        <w:pStyle w:val="ListParagraph"/>
        <w:numPr>
          <w:ilvl w:val="0"/>
          <w:numId w:val="2"/>
        </w:numPr>
        <w:rPr>
          <w:rFonts w:ascii="Verdana" w:hAnsi="Verdana"/>
          <w:sz w:val="24"/>
          <w:szCs w:val="24"/>
        </w:rPr>
      </w:pPr>
      <w:hyperlink r:id="rId8" w:anchor="!/view?docid=a7684ce9-c2bc-4cbc-ab37-c1ffb7789706" w:history="1">
        <w:r w:rsidR="00976833" w:rsidRPr="009E6CDC">
          <w:rPr>
            <w:rStyle w:val="Hyperlink"/>
            <w:rFonts w:ascii="Verdana" w:hAnsi="Verdana"/>
            <w:sz w:val="24"/>
            <w:szCs w:val="24"/>
          </w:rPr>
          <w:t>Compass - Obtaining a New Prescription (Rx) for the Member (New Rx Request)</w:t>
        </w:r>
      </w:hyperlink>
      <w:r w:rsidR="00976833" w:rsidRPr="009E6CDC">
        <w:rPr>
          <w:rFonts w:ascii="Verdana" w:hAnsi="Verdana"/>
          <w:sz w:val="24"/>
          <w:szCs w:val="24"/>
        </w:rPr>
        <w:t xml:space="preserve"> </w:t>
      </w:r>
    </w:p>
    <w:p w14:paraId="1D1EACD8" w14:textId="252FF249" w:rsidR="00976833" w:rsidRPr="009E6CDC" w:rsidRDefault="00000000" w:rsidP="00976833">
      <w:pPr>
        <w:pStyle w:val="ListParagraph"/>
        <w:numPr>
          <w:ilvl w:val="0"/>
          <w:numId w:val="2"/>
        </w:numPr>
        <w:rPr>
          <w:rFonts w:ascii="Verdana" w:hAnsi="Verdana"/>
          <w:sz w:val="24"/>
          <w:szCs w:val="24"/>
        </w:rPr>
      </w:pPr>
      <w:hyperlink r:id="rId9" w:anchor="!/view?docid=8bf9e4c9-2459-48b1-b0e1-6079bf9e222d" w:history="1">
        <w:r w:rsidR="00976833" w:rsidRPr="009E6CDC">
          <w:rPr>
            <w:rStyle w:val="Hyperlink"/>
            <w:rFonts w:ascii="Verdana" w:hAnsi="Verdana"/>
            <w:sz w:val="24"/>
            <w:szCs w:val="24"/>
          </w:rPr>
          <w:t>Compass - New Rx Request Scenario Guide (Popups, Warnings, and Written Prescription)</w:t>
        </w:r>
      </w:hyperlink>
    </w:p>
    <w:p w14:paraId="3CD991C4" w14:textId="118FBF0E" w:rsidR="00976833" w:rsidRPr="009E6CDC" w:rsidRDefault="00000000" w:rsidP="00976833">
      <w:pPr>
        <w:pStyle w:val="ListParagraph"/>
        <w:numPr>
          <w:ilvl w:val="0"/>
          <w:numId w:val="2"/>
        </w:numPr>
        <w:rPr>
          <w:rFonts w:ascii="Verdana" w:hAnsi="Verdana"/>
          <w:sz w:val="24"/>
          <w:szCs w:val="24"/>
        </w:rPr>
      </w:pPr>
      <w:hyperlink r:id="rId10" w:anchor="!/view?docid=8141872c-9978-4ed0-b8fb-b01327e40243" w:history="1">
        <w:r w:rsidR="00976833" w:rsidRPr="009E6CDC">
          <w:rPr>
            <w:rStyle w:val="Hyperlink"/>
            <w:rFonts w:ascii="Verdana" w:hAnsi="Verdana"/>
            <w:sz w:val="24"/>
            <w:szCs w:val="24"/>
          </w:rPr>
          <w:t>Aetna Compass - Obtaining a New Prescription (Rx) for the Member (New Rx Request)</w:t>
        </w:r>
      </w:hyperlink>
    </w:p>
    <w:p w14:paraId="696AD9DB" w14:textId="6EA92EED" w:rsidR="00976833" w:rsidRPr="009E6CDC" w:rsidRDefault="00000000" w:rsidP="00976833">
      <w:pPr>
        <w:pStyle w:val="ListParagraph"/>
        <w:numPr>
          <w:ilvl w:val="0"/>
          <w:numId w:val="2"/>
        </w:numPr>
        <w:rPr>
          <w:rFonts w:ascii="Verdana" w:hAnsi="Verdana"/>
          <w:sz w:val="24"/>
          <w:szCs w:val="24"/>
        </w:rPr>
      </w:pPr>
      <w:hyperlink r:id="rId11" w:anchor="!/view?docid=c6c12d89-f8a3-441d-8942-57a6beaec93f" w:history="1">
        <w:r w:rsidR="00976833" w:rsidRPr="009E6CDC">
          <w:rPr>
            <w:rStyle w:val="Hyperlink"/>
            <w:rFonts w:ascii="Verdana" w:hAnsi="Verdana"/>
            <w:sz w:val="24"/>
            <w:szCs w:val="24"/>
          </w:rPr>
          <w:t>Aetna Compass - New Rx Request Scenario Guide (Popups, Warnings, and Written Prescription)</w:t>
        </w:r>
      </w:hyperlink>
    </w:p>
    <w:p w14:paraId="664263AD" w14:textId="77777777" w:rsidR="00976833" w:rsidRPr="00DE7A25" w:rsidRDefault="00000000" w:rsidP="00976833">
      <w:pPr>
        <w:jc w:val="right"/>
        <w:rPr>
          <w:rFonts w:ascii="Verdana" w:hAnsi="Verdana"/>
          <w:sz w:val="24"/>
          <w:szCs w:val="24"/>
        </w:rPr>
      </w:pPr>
      <w:hyperlink w:anchor="_top" w:history="1">
        <w:r w:rsidR="00976833" w:rsidRPr="00D3443D">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976833" w14:paraId="66787C58" w14:textId="77777777" w:rsidTr="00B134F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BF6CF39" w14:textId="2B486618" w:rsidR="00976833" w:rsidRDefault="00976833" w:rsidP="00B134F7">
            <w:pPr>
              <w:pStyle w:val="Heading2"/>
              <w:spacing w:before="0" w:after="0"/>
              <w:rPr>
                <w:rFonts w:ascii="Verdana" w:hAnsi="Verdana"/>
                <w:i w:val="0"/>
              </w:rPr>
            </w:pPr>
            <w:bookmarkStart w:id="6" w:name="_Toc181627824"/>
            <w:r>
              <w:rPr>
                <w:rFonts w:ascii="Verdana" w:hAnsi="Verdana"/>
                <w:i w:val="0"/>
              </w:rPr>
              <w:t>FAQS</w:t>
            </w:r>
            <w:bookmarkEnd w:id="6"/>
            <w:r>
              <w:rPr>
                <w:rFonts w:ascii="Verdana" w:hAnsi="Verdana"/>
                <w:i w:val="0"/>
              </w:rPr>
              <w:t xml:space="preserve"> </w:t>
            </w:r>
          </w:p>
        </w:tc>
      </w:tr>
    </w:tbl>
    <w:p w14:paraId="71310C4A" w14:textId="77777777" w:rsidR="00976833" w:rsidRDefault="00976833" w:rsidP="00976833">
      <w:pPr>
        <w:rPr>
          <w:rFonts w:ascii="Verdana" w:hAnsi="Verdana"/>
          <w:sz w:val="24"/>
          <w:szCs w:val="24"/>
        </w:rPr>
      </w:pPr>
    </w:p>
    <w:p w14:paraId="50BF015A" w14:textId="47966F1A" w:rsidR="00DE7A25" w:rsidRDefault="00976833" w:rsidP="00976833">
      <w:pPr>
        <w:rPr>
          <w:rFonts w:ascii="Verdana" w:hAnsi="Verdana"/>
          <w:sz w:val="24"/>
          <w:szCs w:val="24"/>
        </w:rPr>
      </w:pPr>
      <w:r>
        <w:rPr>
          <w:rFonts w:ascii="Verdana" w:hAnsi="Verdana"/>
          <w:sz w:val="24"/>
          <w:szCs w:val="24"/>
        </w:rPr>
        <w:t>Refer to the following Frequently Asked Questions:</w:t>
      </w:r>
    </w:p>
    <w:tbl>
      <w:tblPr>
        <w:tblStyle w:val="TableGrid"/>
        <w:tblW w:w="5000" w:type="pct"/>
        <w:tblLook w:val="04A0" w:firstRow="1" w:lastRow="0" w:firstColumn="1" w:lastColumn="0" w:noHBand="0" w:noVBand="1"/>
      </w:tblPr>
      <w:tblGrid>
        <w:gridCol w:w="720"/>
        <w:gridCol w:w="2156"/>
        <w:gridCol w:w="6474"/>
      </w:tblGrid>
      <w:tr w:rsidR="00B85460" w14:paraId="3E216625" w14:textId="77777777" w:rsidTr="00646D39">
        <w:tc>
          <w:tcPr>
            <w:tcW w:w="385" w:type="pct"/>
            <w:shd w:val="clear" w:color="auto" w:fill="E6E6E6"/>
          </w:tcPr>
          <w:p w14:paraId="5ED92500" w14:textId="4E0D2AF0" w:rsidR="00976833" w:rsidRPr="00976833" w:rsidRDefault="00976833" w:rsidP="00976833">
            <w:pPr>
              <w:jc w:val="center"/>
              <w:rPr>
                <w:rFonts w:ascii="Verdana" w:hAnsi="Verdana"/>
                <w:b/>
                <w:sz w:val="24"/>
                <w:szCs w:val="24"/>
              </w:rPr>
            </w:pPr>
            <w:r>
              <w:rPr>
                <w:rFonts w:ascii="Verdana" w:hAnsi="Verdana"/>
                <w:b/>
                <w:sz w:val="24"/>
                <w:szCs w:val="24"/>
              </w:rPr>
              <w:t>#</w:t>
            </w:r>
          </w:p>
        </w:tc>
        <w:tc>
          <w:tcPr>
            <w:tcW w:w="1153" w:type="pct"/>
            <w:shd w:val="clear" w:color="auto" w:fill="E6E6E6"/>
          </w:tcPr>
          <w:p w14:paraId="1025997D" w14:textId="3E46D9C0" w:rsidR="00976833" w:rsidRPr="00976833" w:rsidRDefault="00976833" w:rsidP="00976833">
            <w:pPr>
              <w:jc w:val="center"/>
              <w:rPr>
                <w:rFonts w:ascii="Verdana" w:hAnsi="Verdana"/>
                <w:b/>
                <w:sz w:val="24"/>
                <w:szCs w:val="24"/>
              </w:rPr>
            </w:pPr>
            <w:r>
              <w:rPr>
                <w:rFonts w:ascii="Verdana" w:hAnsi="Verdana"/>
                <w:b/>
                <w:sz w:val="24"/>
                <w:szCs w:val="24"/>
              </w:rPr>
              <w:t>Question</w:t>
            </w:r>
          </w:p>
        </w:tc>
        <w:tc>
          <w:tcPr>
            <w:tcW w:w="3462" w:type="pct"/>
            <w:shd w:val="clear" w:color="auto" w:fill="E6E6E6"/>
          </w:tcPr>
          <w:p w14:paraId="4B6D60A5" w14:textId="45CAD27C" w:rsidR="00976833" w:rsidRPr="00976833" w:rsidRDefault="00976833" w:rsidP="00976833">
            <w:pPr>
              <w:jc w:val="center"/>
              <w:rPr>
                <w:rFonts w:ascii="Verdana" w:hAnsi="Verdana"/>
                <w:b/>
                <w:sz w:val="24"/>
                <w:szCs w:val="24"/>
              </w:rPr>
            </w:pPr>
            <w:r w:rsidRPr="00976833">
              <w:rPr>
                <w:rFonts w:ascii="Verdana" w:hAnsi="Verdana"/>
                <w:b/>
                <w:sz w:val="24"/>
                <w:szCs w:val="24"/>
              </w:rPr>
              <w:t>A</w:t>
            </w:r>
            <w:r>
              <w:rPr>
                <w:rFonts w:ascii="Verdana" w:hAnsi="Verdana"/>
                <w:b/>
                <w:sz w:val="24"/>
                <w:szCs w:val="24"/>
              </w:rPr>
              <w:t>nswer</w:t>
            </w:r>
          </w:p>
        </w:tc>
      </w:tr>
      <w:tr w:rsidR="00976833" w14:paraId="287E8F31" w14:textId="77777777" w:rsidTr="00646D39">
        <w:tc>
          <w:tcPr>
            <w:tcW w:w="385" w:type="pct"/>
          </w:tcPr>
          <w:p w14:paraId="33C1ECE0" w14:textId="203E8556" w:rsidR="00976833" w:rsidRPr="00976833" w:rsidRDefault="00976833" w:rsidP="00976833">
            <w:pPr>
              <w:jc w:val="center"/>
              <w:rPr>
                <w:rFonts w:ascii="Verdana" w:hAnsi="Verdana"/>
                <w:b/>
                <w:sz w:val="24"/>
                <w:szCs w:val="24"/>
              </w:rPr>
            </w:pPr>
            <w:r>
              <w:rPr>
                <w:rFonts w:ascii="Verdana" w:hAnsi="Verdana"/>
                <w:b/>
                <w:sz w:val="24"/>
                <w:szCs w:val="24"/>
              </w:rPr>
              <w:t>1</w:t>
            </w:r>
          </w:p>
        </w:tc>
        <w:tc>
          <w:tcPr>
            <w:tcW w:w="1153" w:type="pct"/>
          </w:tcPr>
          <w:p w14:paraId="12E1DC67" w14:textId="6AC83645" w:rsidR="00976833" w:rsidRPr="00D3443D" w:rsidRDefault="00976833" w:rsidP="00976833">
            <w:pPr>
              <w:rPr>
                <w:rFonts w:ascii="Verdana" w:hAnsi="Verdana"/>
                <w:b/>
                <w:bCs/>
                <w:sz w:val="24"/>
                <w:szCs w:val="24"/>
              </w:rPr>
            </w:pPr>
            <w:r w:rsidRPr="00D3443D">
              <w:rPr>
                <w:rFonts w:ascii="Verdana" w:hAnsi="Verdana"/>
                <w:b/>
                <w:bCs/>
                <w:sz w:val="24"/>
                <w:szCs w:val="24"/>
              </w:rPr>
              <w:t xml:space="preserve">What is </w:t>
            </w:r>
            <w:r>
              <w:rPr>
                <w:rFonts w:ascii="Verdana" w:hAnsi="Verdana"/>
                <w:b/>
                <w:bCs/>
                <w:sz w:val="24"/>
                <w:szCs w:val="24"/>
              </w:rPr>
              <w:t>a</w:t>
            </w:r>
            <w:r w:rsidRPr="00D3443D">
              <w:rPr>
                <w:rFonts w:ascii="Verdana" w:hAnsi="Verdana"/>
                <w:b/>
                <w:bCs/>
                <w:sz w:val="24"/>
                <w:szCs w:val="24"/>
              </w:rPr>
              <w:t xml:space="preserve"> 100-day suppl</w:t>
            </w:r>
            <w:r>
              <w:rPr>
                <w:rFonts w:ascii="Verdana" w:hAnsi="Verdana"/>
                <w:b/>
                <w:bCs/>
                <w:sz w:val="24"/>
                <w:szCs w:val="24"/>
              </w:rPr>
              <w:t>y</w:t>
            </w:r>
            <w:r w:rsidRPr="00D3443D">
              <w:rPr>
                <w:rFonts w:ascii="Verdana" w:hAnsi="Verdana"/>
                <w:b/>
                <w:bCs/>
                <w:sz w:val="24"/>
                <w:szCs w:val="24"/>
              </w:rPr>
              <w:t xml:space="preserve">? </w:t>
            </w:r>
          </w:p>
          <w:p w14:paraId="31A91A1A" w14:textId="77777777" w:rsidR="00976833" w:rsidRPr="00D3443D" w:rsidRDefault="00976833" w:rsidP="00976833">
            <w:pPr>
              <w:rPr>
                <w:rFonts w:ascii="Verdana" w:hAnsi="Verdana"/>
                <w:b/>
                <w:bCs/>
                <w:sz w:val="24"/>
                <w:szCs w:val="24"/>
              </w:rPr>
            </w:pPr>
          </w:p>
        </w:tc>
        <w:tc>
          <w:tcPr>
            <w:tcW w:w="3462" w:type="pct"/>
          </w:tcPr>
          <w:p w14:paraId="239F296B" w14:textId="77777777" w:rsidR="00646D39" w:rsidRPr="00646D39" w:rsidRDefault="00B85460" w:rsidP="00646D39">
            <w:pPr>
              <w:pStyle w:val="NormalWeb"/>
              <w:rPr>
                <w:rFonts w:ascii="Verdana" w:hAnsi="Verdana"/>
              </w:rPr>
            </w:pPr>
            <w:r>
              <w:rPr>
                <w:noProof/>
              </w:rPr>
              <w:drawing>
                <wp:inline distT="0" distB="0" distL="0" distR="0" wp14:anchorId="67740C22" wp14:editId="6A0254B5">
                  <wp:extent cx="236855" cy="21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55" cy="211455"/>
                          </a:xfrm>
                          <a:prstGeom prst="rect">
                            <a:avLst/>
                          </a:prstGeom>
                          <a:noFill/>
                          <a:ln>
                            <a:noFill/>
                          </a:ln>
                        </pic:spPr>
                      </pic:pic>
                    </a:graphicData>
                  </a:graphic>
                </wp:inline>
              </w:drawing>
            </w:r>
            <w:r>
              <w:rPr>
                <w:rFonts w:ascii="Verdana" w:hAnsi="Verdana"/>
              </w:rPr>
              <w:t xml:space="preserve"> </w:t>
            </w:r>
            <w:r w:rsidR="00646D39" w:rsidRPr="00646D39">
              <w:rPr>
                <w:rFonts w:ascii="Verdana" w:hAnsi="Verdana"/>
              </w:rPr>
              <w:t>A 100-day supply is an extended prescription supply that helps those on Medicare:</w:t>
            </w:r>
          </w:p>
          <w:p w14:paraId="49B4393C" w14:textId="32B245EE" w:rsidR="00646D39" w:rsidRPr="00646D39" w:rsidRDefault="00646D39" w:rsidP="00110672">
            <w:pPr>
              <w:pStyle w:val="NormalWeb"/>
              <w:numPr>
                <w:ilvl w:val="0"/>
                <w:numId w:val="5"/>
              </w:numPr>
              <w:rPr>
                <w:rFonts w:ascii="Verdana" w:hAnsi="Verdana"/>
              </w:rPr>
            </w:pPr>
            <w:r w:rsidRPr="00646D39">
              <w:rPr>
                <w:rFonts w:ascii="Verdana" w:hAnsi="Verdana"/>
              </w:rPr>
              <w:t>Save money on prescriptions</w:t>
            </w:r>
          </w:p>
          <w:p w14:paraId="029D60DD" w14:textId="77777777" w:rsidR="00646D39" w:rsidRDefault="00646D39" w:rsidP="00110672">
            <w:pPr>
              <w:pStyle w:val="NormalWeb"/>
              <w:numPr>
                <w:ilvl w:val="0"/>
                <w:numId w:val="5"/>
              </w:numPr>
              <w:rPr>
                <w:rFonts w:ascii="Verdana" w:hAnsi="Verdana"/>
              </w:rPr>
            </w:pPr>
            <w:r w:rsidRPr="00646D39">
              <w:rPr>
                <w:rFonts w:ascii="Verdana" w:hAnsi="Verdana"/>
              </w:rPr>
              <w:t>Take medications as directed for chronic conditions by having more supply on hand</w:t>
            </w:r>
          </w:p>
          <w:p w14:paraId="24CD6CCB" w14:textId="754F69DE" w:rsidR="00646D39" w:rsidRPr="00646D39" w:rsidRDefault="00646D39" w:rsidP="00110672">
            <w:pPr>
              <w:pStyle w:val="NormalWeb"/>
              <w:numPr>
                <w:ilvl w:val="0"/>
                <w:numId w:val="5"/>
              </w:numPr>
              <w:rPr>
                <w:rFonts w:ascii="Verdana" w:hAnsi="Verdana"/>
              </w:rPr>
            </w:pPr>
            <w:r w:rsidRPr="00646D39">
              <w:rPr>
                <w:rFonts w:ascii="Verdana" w:hAnsi="Verdana"/>
              </w:rPr>
              <w:t>Minimize trips to the pharmacy</w:t>
            </w:r>
          </w:p>
          <w:p w14:paraId="6E340930" w14:textId="482E1C22" w:rsidR="00646D39" w:rsidRPr="00110672" w:rsidRDefault="00646D39" w:rsidP="00646D39">
            <w:pPr>
              <w:pStyle w:val="NormalWeb"/>
              <w:rPr>
                <w:rFonts w:ascii="Verdana" w:hAnsi="Verdana"/>
              </w:rPr>
            </w:pPr>
            <w:r w:rsidRPr="00646D39">
              <w:rPr>
                <w:rFonts w:ascii="Verdana" w:hAnsi="Verdana"/>
              </w:rPr>
              <w:t xml:space="preserve">Financial incentives differ by plan, but most offer a 100-DS for the same copay as a 90-DS or better, giving the member at least 10 days of medication free with each fill. </w:t>
            </w:r>
          </w:p>
          <w:p w14:paraId="3F5B3149" w14:textId="77777777" w:rsidR="00976833" w:rsidRPr="00D3443D" w:rsidRDefault="00976833" w:rsidP="00110672">
            <w:pPr>
              <w:pStyle w:val="NormalWeb"/>
            </w:pPr>
          </w:p>
        </w:tc>
      </w:tr>
      <w:tr w:rsidR="00646D39" w14:paraId="0FDDE462" w14:textId="77777777" w:rsidTr="00646D39">
        <w:tc>
          <w:tcPr>
            <w:tcW w:w="385" w:type="pct"/>
          </w:tcPr>
          <w:p w14:paraId="0306A015" w14:textId="41679D71" w:rsidR="00646D39" w:rsidRDefault="00646D39" w:rsidP="00646D39">
            <w:pPr>
              <w:jc w:val="center"/>
              <w:rPr>
                <w:rFonts w:ascii="Verdana" w:hAnsi="Verdana"/>
                <w:b/>
                <w:sz w:val="24"/>
                <w:szCs w:val="24"/>
              </w:rPr>
            </w:pPr>
            <w:r>
              <w:rPr>
                <w:rFonts w:ascii="Verdana" w:hAnsi="Verdana"/>
                <w:b/>
                <w:sz w:val="24"/>
                <w:szCs w:val="24"/>
              </w:rPr>
              <w:t>2</w:t>
            </w:r>
          </w:p>
        </w:tc>
        <w:tc>
          <w:tcPr>
            <w:tcW w:w="1153" w:type="pct"/>
          </w:tcPr>
          <w:p w14:paraId="4DE170D4" w14:textId="77777777" w:rsidR="00646D39" w:rsidRDefault="00646D39" w:rsidP="00646D39">
            <w:pPr>
              <w:rPr>
                <w:rFonts w:ascii="Verdana" w:hAnsi="Verdana"/>
                <w:b/>
                <w:bCs/>
                <w:sz w:val="24"/>
                <w:szCs w:val="24"/>
              </w:rPr>
            </w:pPr>
            <w:r>
              <w:rPr>
                <w:rFonts w:ascii="Verdana" w:hAnsi="Verdana"/>
                <w:b/>
                <w:bCs/>
                <w:sz w:val="24"/>
                <w:szCs w:val="24"/>
              </w:rPr>
              <w:t xml:space="preserve">Which medications are covered for a </w:t>
            </w:r>
            <w:r w:rsidRPr="00646D39">
              <w:rPr>
                <w:rFonts w:ascii="Verdana" w:hAnsi="Verdana"/>
                <w:b/>
                <w:bCs/>
                <w:sz w:val="24"/>
                <w:szCs w:val="24"/>
              </w:rPr>
              <w:t>100-day supply</w:t>
            </w:r>
            <w:r>
              <w:rPr>
                <w:rFonts w:ascii="Verdana" w:hAnsi="Verdana"/>
                <w:b/>
                <w:bCs/>
                <w:sz w:val="24"/>
                <w:szCs w:val="24"/>
              </w:rPr>
              <w:t>?</w:t>
            </w:r>
          </w:p>
          <w:p w14:paraId="303805EB" w14:textId="77777777" w:rsidR="00646D39" w:rsidRPr="00D3443D" w:rsidRDefault="00646D39" w:rsidP="00646D39">
            <w:pPr>
              <w:rPr>
                <w:rFonts w:ascii="Verdana" w:hAnsi="Verdana"/>
                <w:b/>
                <w:bCs/>
                <w:sz w:val="24"/>
                <w:szCs w:val="24"/>
              </w:rPr>
            </w:pPr>
          </w:p>
        </w:tc>
        <w:tc>
          <w:tcPr>
            <w:tcW w:w="3462" w:type="pct"/>
          </w:tcPr>
          <w:p w14:paraId="7047DC5E" w14:textId="076230F9" w:rsidR="00646D39" w:rsidRDefault="00646D39" w:rsidP="00646D39">
            <w:pPr>
              <w:pStyle w:val="NormalWeb"/>
              <w:rPr>
                <w:noProof/>
              </w:rPr>
            </w:pPr>
            <w:r w:rsidRPr="006141BC">
              <w:rPr>
                <w:rFonts w:ascii="Verdana" w:hAnsi="Verdana"/>
              </w:rPr>
              <w:t>Maintenance medications for the following conditions: diabetes, high blood pressure and high cholesterol</w:t>
            </w:r>
          </w:p>
        </w:tc>
      </w:tr>
      <w:tr w:rsidR="00B85460" w14:paraId="24DFB99B" w14:textId="77777777" w:rsidTr="00646D39">
        <w:tc>
          <w:tcPr>
            <w:tcW w:w="385" w:type="pct"/>
          </w:tcPr>
          <w:p w14:paraId="225868DE" w14:textId="2BFA241D" w:rsidR="00976833" w:rsidRPr="00976833" w:rsidRDefault="00646D39" w:rsidP="00976833">
            <w:pPr>
              <w:jc w:val="center"/>
              <w:rPr>
                <w:rFonts w:ascii="Verdana" w:hAnsi="Verdana"/>
                <w:b/>
                <w:sz w:val="24"/>
                <w:szCs w:val="24"/>
              </w:rPr>
            </w:pPr>
            <w:r>
              <w:rPr>
                <w:rFonts w:ascii="Verdana" w:hAnsi="Verdana"/>
                <w:b/>
                <w:sz w:val="24"/>
                <w:szCs w:val="24"/>
              </w:rPr>
              <w:t>3</w:t>
            </w:r>
          </w:p>
        </w:tc>
        <w:tc>
          <w:tcPr>
            <w:tcW w:w="1153" w:type="pct"/>
          </w:tcPr>
          <w:p w14:paraId="58927E7D" w14:textId="6C056615" w:rsidR="00976833" w:rsidRPr="00D3443D" w:rsidRDefault="00976833" w:rsidP="00976833">
            <w:pPr>
              <w:rPr>
                <w:rFonts w:ascii="Verdana" w:hAnsi="Verdana"/>
                <w:b/>
                <w:bCs/>
                <w:sz w:val="24"/>
                <w:szCs w:val="24"/>
              </w:rPr>
            </w:pPr>
            <w:r w:rsidRPr="00D3443D">
              <w:rPr>
                <w:rFonts w:ascii="Verdana" w:hAnsi="Verdana"/>
                <w:b/>
                <w:bCs/>
                <w:sz w:val="24"/>
                <w:szCs w:val="24"/>
              </w:rPr>
              <w:t xml:space="preserve">How can </w:t>
            </w:r>
            <w:r w:rsidR="00B85460">
              <w:rPr>
                <w:rFonts w:ascii="Verdana" w:hAnsi="Verdana"/>
                <w:b/>
                <w:bCs/>
                <w:sz w:val="24"/>
                <w:szCs w:val="24"/>
              </w:rPr>
              <w:t xml:space="preserve">a beneficiary obtain a 100-day supply? </w:t>
            </w:r>
          </w:p>
          <w:p w14:paraId="3514BC66" w14:textId="77777777" w:rsidR="00976833" w:rsidRDefault="00976833" w:rsidP="00976833">
            <w:pPr>
              <w:rPr>
                <w:rFonts w:ascii="Verdana" w:hAnsi="Verdana"/>
                <w:sz w:val="24"/>
                <w:szCs w:val="24"/>
              </w:rPr>
            </w:pPr>
          </w:p>
        </w:tc>
        <w:tc>
          <w:tcPr>
            <w:tcW w:w="3462" w:type="pct"/>
          </w:tcPr>
          <w:p w14:paraId="76CCD991" w14:textId="77777777" w:rsidR="00B85460" w:rsidRPr="00B85460" w:rsidRDefault="00B85460" w:rsidP="00B85460">
            <w:pPr>
              <w:pStyle w:val="ListParagraph"/>
              <w:numPr>
                <w:ilvl w:val="0"/>
                <w:numId w:val="3"/>
              </w:numPr>
              <w:rPr>
                <w:rFonts w:ascii="Verdana" w:hAnsi="Verdana"/>
                <w:sz w:val="24"/>
                <w:szCs w:val="24"/>
              </w:rPr>
            </w:pPr>
            <w:r w:rsidRPr="00B85460">
              <w:rPr>
                <w:rFonts w:ascii="Verdana" w:hAnsi="Verdana"/>
                <w:sz w:val="24"/>
                <w:szCs w:val="24"/>
              </w:rPr>
              <w:t>CCRs should run</w:t>
            </w:r>
            <w:r w:rsidR="00976833" w:rsidRPr="00B85460">
              <w:rPr>
                <w:rFonts w:ascii="Verdana" w:hAnsi="Verdana"/>
                <w:sz w:val="24"/>
                <w:szCs w:val="24"/>
              </w:rPr>
              <w:t xml:space="preserve"> a test claim</w:t>
            </w:r>
            <w:r w:rsidRPr="00B85460">
              <w:rPr>
                <w:rFonts w:ascii="Verdana" w:hAnsi="Verdana"/>
                <w:sz w:val="24"/>
                <w:szCs w:val="24"/>
              </w:rPr>
              <w:t xml:space="preserve"> to determine if the medication qualifies for a 100-day supply. </w:t>
            </w:r>
          </w:p>
          <w:p w14:paraId="053D617A" w14:textId="77777777" w:rsidR="00B85460" w:rsidRDefault="00B85460" w:rsidP="00976833">
            <w:pPr>
              <w:rPr>
                <w:rFonts w:ascii="Verdana" w:hAnsi="Verdana"/>
                <w:sz w:val="24"/>
                <w:szCs w:val="24"/>
              </w:rPr>
            </w:pPr>
          </w:p>
          <w:p w14:paraId="0132BA38" w14:textId="2BC37A73" w:rsidR="00B85460" w:rsidRPr="00B85460" w:rsidRDefault="00B85460" w:rsidP="00B85460">
            <w:pPr>
              <w:pStyle w:val="ListParagraph"/>
              <w:numPr>
                <w:ilvl w:val="0"/>
                <w:numId w:val="3"/>
              </w:numPr>
              <w:rPr>
                <w:rFonts w:ascii="Verdana" w:hAnsi="Verdana"/>
                <w:sz w:val="24"/>
                <w:szCs w:val="24"/>
              </w:rPr>
            </w:pPr>
            <w:r w:rsidRPr="00B85460">
              <w:rPr>
                <w:rFonts w:ascii="Verdana" w:hAnsi="Verdana"/>
                <w:sz w:val="24"/>
                <w:szCs w:val="24"/>
              </w:rPr>
              <w:t xml:space="preserve">CCRs can advise the beneficiary on </w:t>
            </w:r>
            <w:r w:rsidR="00976833" w:rsidRPr="00B85460">
              <w:rPr>
                <w:rFonts w:ascii="Verdana" w:hAnsi="Verdana"/>
                <w:sz w:val="24"/>
                <w:szCs w:val="24"/>
              </w:rPr>
              <w:t xml:space="preserve">how </w:t>
            </w:r>
            <w:r w:rsidRPr="00B85460">
              <w:rPr>
                <w:rFonts w:ascii="Verdana" w:hAnsi="Verdana"/>
                <w:sz w:val="24"/>
                <w:szCs w:val="24"/>
              </w:rPr>
              <w:t xml:space="preserve">they can </w:t>
            </w:r>
            <w:r w:rsidR="00976833" w:rsidRPr="00B85460">
              <w:rPr>
                <w:rFonts w:ascii="Verdana" w:hAnsi="Verdana"/>
                <w:sz w:val="24"/>
                <w:szCs w:val="24"/>
              </w:rPr>
              <w:t>spend less and save money on their prescriptions, simply by switching to 100-day supplies. </w:t>
            </w:r>
          </w:p>
          <w:p w14:paraId="3AC7ED18" w14:textId="77777777" w:rsidR="00B85460" w:rsidRDefault="00B85460" w:rsidP="00976833">
            <w:pPr>
              <w:rPr>
                <w:rFonts w:ascii="Verdana" w:hAnsi="Verdana"/>
                <w:sz w:val="24"/>
                <w:szCs w:val="24"/>
              </w:rPr>
            </w:pPr>
          </w:p>
          <w:p w14:paraId="4E69966D" w14:textId="5E95CD63" w:rsidR="00976833" w:rsidRPr="00B85460" w:rsidRDefault="00976833" w:rsidP="00B85460">
            <w:pPr>
              <w:pStyle w:val="ListParagraph"/>
              <w:numPr>
                <w:ilvl w:val="0"/>
                <w:numId w:val="3"/>
              </w:numPr>
              <w:rPr>
                <w:rFonts w:ascii="Verdana" w:hAnsi="Verdana"/>
                <w:sz w:val="24"/>
                <w:szCs w:val="24"/>
              </w:rPr>
            </w:pPr>
            <w:r w:rsidRPr="00B85460">
              <w:rPr>
                <w:rFonts w:ascii="Verdana" w:hAnsi="Verdana"/>
                <w:sz w:val="24"/>
                <w:szCs w:val="24"/>
              </w:rPr>
              <w:t>Some plans offer discounts through Mail Service Pharmacy only, while others offer discounts at both Retail and Mail Pharmacy. </w:t>
            </w:r>
          </w:p>
          <w:p w14:paraId="34BBD4CE" w14:textId="0D7DFB0C" w:rsidR="00976833" w:rsidRDefault="00976833" w:rsidP="00976833">
            <w:pPr>
              <w:rPr>
                <w:rFonts w:ascii="Verdana" w:hAnsi="Verdana"/>
                <w:sz w:val="24"/>
                <w:szCs w:val="24"/>
              </w:rPr>
            </w:pPr>
          </w:p>
        </w:tc>
      </w:tr>
      <w:tr w:rsidR="00976833" w14:paraId="75955BA8" w14:textId="77777777" w:rsidTr="00646D39">
        <w:tc>
          <w:tcPr>
            <w:tcW w:w="385" w:type="pct"/>
          </w:tcPr>
          <w:p w14:paraId="35B74F93" w14:textId="36482542" w:rsidR="00976833" w:rsidRPr="00976833" w:rsidRDefault="00646D39" w:rsidP="00976833">
            <w:pPr>
              <w:jc w:val="center"/>
              <w:rPr>
                <w:rFonts w:ascii="Verdana" w:hAnsi="Verdana"/>
                <w:b/>
                <w:sz w:val="24"/>
                <w:szCs w:val="24"/>
              </w:rPr>
            </w:pPr>
            <w:r>
              <w:rPr>
                <w:rFonts w:ascii="Verdana" w:hAnsi="Verdana"/>
                <w:b/>
                <w:sz w:val="24"/>
                <w:szCs w:val="24"/>
              </w:rPr>
              <w:t>4</w:t>
            </w:r>
          </w:p>
        </w:tc>
        <w:tc>
          <w:tcPr>
            <w:tcW w:w="1153" w:type="pct"/>
          </w:tcPr>
          <w:p w14:paraId="3662ADA7" w14:textId="77777777" w:rsidR="00976833" w:rsidRPr="00D3443D" w:rsidRDefault="00976833" w:rsidP="00976833">
            <w:pPr>
              <w:rPr>
                <w:rFonts w:ascii="Verdana" w:hAnsi="Verdana"/>
                <w:b/>
                <w:bCs/>
                <w:sz w:val="24"/>
                <w:szCs w:val="24"/>
              </w:rPr>
            </w:pPr>
            <w:r w:rsidRPr="00D3443D">
              <w:rPr>
                <w:rFonts w:ascii="Verdana" w:hAnsi="Verdana"/>
                <w:b/>
                <w:bCs/>
                <w:sz w:val="24"/>
                <w:szCs w:val="24"/>
              </w:rPr>
              <w:t>Why are 100-day supplies important to Medicare beneficiaries (members)?</w:t>
            </w:r>
          </w:p>
          <w:p w14:paraId="54748A93" w14:textId="77777777" w:rsidR="00976833" w:rsidRDefault="00976833" w:rsidP="00976833">
            <w:pPr>
              <w:rPr>
                <w:rFonts w:ascii="Verdana" w:hAnsi="Verdana"/>
                <w:sz w:val="24"/>
                <w:szCs w:val="24"/>
              </w:rPr>
            </w:pPr>
          </w:p>
        </w:tc>
        <w:tc>
          <w:tcPr>
            <w:tcW w:w="3462" w:type="pct"/>
          </w:tcPr>
          <w:p w14:paraId="2395DCE8" w14:textId="77777777" w:rsidR="00B85460" w:rsidRDefault="00B85460" w:rsidP="00027091">
            <w:pPr>
              <w:rPr>
                <w:rFonts w:ascii="Verdana" w:hAnsi="Verdana"/>
                <w:sz w:val="24"/>
                <w:szCs w:val="24"/>
              </w:rPr>
            </w:pPr>
            <w:r w:rsidRPr="00027091">
              <w:rPr>
                <w:rFonts w:ascii="Verdana" w:hAnsi="Verdana"/>
                <w:sz w:val="24"/>
                <w:szCs w:val="24"/>
              </w:rPr>
              <w:t>Beneficiaries</w:t>
            </w:r>
            <w:r w:rsidR="00976833" w:rsidRPr="00027091">
              <w:rPr>
                <w:rFonts w:ascii="Verdana" w:hAnsi="Verdana"/>
                <w:sz w:val="24"/>
                <w:szCs w:val="24"/>
              </w:rPr>
              <w:t xml:space="preserve"> can save money on prescriptions by filling them for 100-day supplies.  </w:t>
            </w:r>
          </w:p>
          <w:p w14:paraId="5CDC4F7F" w14:textId="77777777" w:rsidR="00027091" w:rsidRPr="00027091" w:rsidRDefault="00027091" w:rsidP="00027091">
            <w:pPr>
              <w:rPr>
                <w:rFonts w:ascii="Verdana" w:hAnsi="Verdana"/>
                <w:sz w:val="24"/>
                <w:szCs w:val="24"/>
              </w:rPr>
            </w:pPr>
          </w:p>
          <w:p w14:paraId="4E48C136" w14:textId="77777777" w:rsidR="00B85460" w:rsidRPr="00027091" w:rsidRDefault="00B85460" w:rsidP="00027091">
            <w:pPr>
              <w:pStyle w:val="ListParagraph"/>
              <w:numPr>
                <w:ilvl w:val="0"/>
                <w:numId w:val="4"/>
              </w:numPr>
              <w:rPr>
                <w:rFonts w:ascii="Verdana" w:hAnsi="Verdana"/>
                <w:sz w:val="24"/>
                <w:szCs w:val="24"/>
              </w:rPr>
            </w:pPr>
            <w:r w:rsidRPr="00027091">
              <w:rPr>
                <w:rFonts w:ascii="Verdana" w:hAnsi="Verdana"/>
                <w:sz w:val="24"/>
                <w:szCs w:val="24"/>
              </w:rPr>
              <w:t>M</w:t>
            </w:r>
            <w:r w:rsidR="00976833" w:rsidRPr="00027091">
              <w:rPr>
                <w:rFonts w:ascii="Verdana" w:hAnsi="Verdana"/>
                <w:sz w:val="24"/>
                <w:szCs w:val="24"/>
              </w:rPr>
              <w:t xml:space="preserve">ost plans offer a 100-DS for the same copay as a 90-DS, giving the member 10 days of medication free with each fill. </w:t>
            </w:r>
          </w:p>
          <w:p w14:paraId="422C19AC" w14:textId="77777777" w:rsidR="00027091" w:rsidRDefault="00027091" w:rsidP="00027091">
            <w:pPr>
              <w:pStyle w:val="ListParagraph"/>
              <w:rPr>
                <w:rFonts w:ascii="Verdana" w:hAnsi="Verdana"/>
                <w:sz w:val="24"/>
                <w:szCs w:val="24"/>
              </w:rPr>
            </w:pPr>
          </w:p>
          <w:p w14:paraId="1C7FA817" w14:textId="73DB612E" w:rsidR="00976833" w:rsidRPr="00027091" w:rsidRDefault="00976833" w:rsidP="00027091">
            <w:pPr>
              <w:pStyle w:val="ListParagraph"/>
              <w:numPr>
                <w:ilvl w:val="0"/>
                <w:numId w:val="4"/>
              </w:numPr>
              <w:rPr>
                <w:rFonts w:ascii="Verdana" w:hAnsi="Verdana"/>
                <w:sz w:val="24"/>
                <w:szCs w:val="24"/>
              </w:rPr>
            </w:pPr>
            <w:r w:rsidRPr="00027091">
              <w:rPr>
                <w:rFonts w:ascii="Verdana" w:hAnsi="Verdana"/>
                <w:sz w:val="24"/>
                <w:szCs w:val="24"/>
              </w:rPr>
              <w:t xml:space="preserve">The financial incentives differ by plan; but it’s common for a plan to offer a 90- or 100-day supply of a drug for the same cost as a 60-day, or even a 30-day supply. This can result in members saving anywhere from 33-70% annually on the cost of their prescriptions just by filling them in 100-day supplies. </w:t>
            </w:r>
          </w:p>
          <w:p w14:paraId="15F510E2" w14:textId="77777777" w:rsidR="00976833" w:rsidRDefault="00976833" w:rsidP="00976833">
            <w:pPr>
              <w:rPr>
                <w:rFonts w:ascii="Verdana" w:hAnsi="Verdana"/>
                <w:sz w:val="24"/>
                <w:szCs w:val="24"/>
              </w:rPr>
            </w:pPr>
          </w:p>
        </w:tc>
      </w:tr>
      <w:tr w:rsidR="00027091" w14:paraId="6049BD4E" w14:textId="77777777" w:rsidTr="00646D39">
        <w:tc>
          <w:tcPr>
            <w:tcW w:w="385" w:type="pct"/>
          </w:tcPr>
          <w:p w14:paraId="79BE2A03" w14:textId="6D8256FA" w:rsidR="00027091" w:rsidRDefault="00646D39" w:rsidP="00976833">
            <w:pPr>
              <w:jc w:val="center"/>
              <w:rPr>
                <w:rFonts w:ascii="Verdana" w:hAnsi="Verdana"/>
                <w:b/>
                <w:sz w:val="24"/>
                <w:szCs w:val="24"/>
              </w:rPr>
            </w:pPr>
            <w:r>
              <w:rPr>
                <w:rFonts w:ascii="Verdana" w:hAnsi="Verdana"/>
                <w:b/>
                <w:sz w:val="24"/>
                <w:szCs w:val="24"/>
              </w:rPr>
              <w:t>5</w:t>
            </w:r>
          </w:p>
        </w:tc>
        <w:tc>
          <w:tcPr>
            <w:tcW w:w="1153" w:type="pct"/>
          </w:tcPr>
          <w:p w14:paraId="0F5E9E38" w14:textId="5F122F8D" w:rsidR="00027091" w:rsidRPr="00D3443D" w:rsidRDefault="00027091" w:rsidP="00976833">
            <w:pPr>
              <w:rPr>
                <w:rFonts w:ascii="Verdana" w:hAnsi="Verdana"/>
                <w:b/>
                <w:bCs/>
                <w:sz w:val="24"/>
                <w:szCs w:val="24"/>
              </w:rPr>
            </w:pPr>
            <w:r>
              <w:rPr>
                <w:rFonts w:ascii="Verdana" w:hAnsi="Verdana"/>
                <w:b/>
                <w:bCs/>
                <w:sz w:val="24"/>
                <w:szCs w:val="24"/>
              </w:rPr>
              <w:t>When do I offer a 100-day supply?</w:t>
            </w:r>
          </w:p>
        </w:tc>
        <w:tc>
          <w:tcPr>
            <w:tcW w:w="3462" w:type="pct"/>
          </w:tcPr>
          <w:p w14:paraId="1142B84C" w14:textId="036D49C7" w:rsidR="00027091" w:rsidRDefault="00027091" w:rsidP="00027091">
            <w:pPr>
              <w:rPr>
                <w:rFonts w:ascii="Verdana" w:hAnsi="Verdana"/>
                <w:sz w:val="24"/>
                <w:szCs w:val="24"/>
              </w:rPr>
            </w:pPr>
            <w:r>
              <w:rPr>
                <w:rFonts w:ascii="Verdana" w:hAnsi="Verdana"/>
                <w:sz w:val="24"/>
                <w:szCs w:val="24"/>
              </w:rPr>
              <w:t>It’s appropriate to offer whenever a test claim, new Rx request, or prescription refill indicates a 100-day supply is available.</w:t>
            </w:r>
          </w:p>
          <w:p w14:paraId="3BE877D3" w14:textId="3E216478" w:rsidR="00027091" w:rsidRPr="00027091" w:rsidRDefault="00027091" w:rsidP="00027091">
            <w:pPr>
              <w:rPr>
                <w:rFonts w:ascii="Verdana" w:hAnsi="Verdana"/>
                <w:sz w:val="24"/>
                <w:szCs w:val="24"/>
              </w:rPr>
            </w:pPr>
          </w:p>
        </w:tc>
      </w:tr>
    </w:tbl>
    <w:p w14:paraId="2A7E2B24" w14:textId="77777777" w:rsidR="00DE7A25" w:rsidRPr="00DE7A25" w:rsidRDefault="00DE7A25" w:rsidP="00027091">
      <w:pPr>
        <w:spacing w:after="0" w:line="240" w:lineRule="auto"/>
        <w:rPr>
          <w:rFonts w:ascii="Verdana" w:eastAsia="Times New Roman" w:hAnsi="Verdana"/>
          <w:sz w:val="24"/>
          <w:szCs w:val="24"/>
        </w:rPr>
      </w:pPr>
    </w:p>
    <w:p w14:paraId="68E3B6A5" w14:textId="77777777" w:rsidR="00DE7A25" w:rsidRPr="00DE7A25" w:rsidRDefault="00DE7A25" w:rsidP="00DE7A25">
      <w:pPr>
        <w:spacing w:after="0" w:line="240" w:lineRule="auto"/>
        <w:jc w:val="right"/>
        <w:rPr>
          <w:rFonts w:ascii="Verdana" w:eastAsia="Times New Roman" w:hAnsi="Verdana"/>
          <w:sz w:val="24"/>
          <w:szCs w:val="24"/>
        </w:rPr>
      </w:pPr>
    </w:p>
    <w:p w14:paraId="6E52515A" w14:textId="6F078515" w:rsidR="00DE7A25" w:rsidRDefault="00000000" w:rsidP="00DE7A25">
      <w:pPr>
        <w:spacing w:after="0" w:line="240" w:lineRule="auto"/>
        <w:jc w:val="right"/>
        <w:rPr>
          <w:rFonts w:ascii="Verdana" w:hAnsi="Verdana"/>
          <w:sz w:val="24"/>
          <w:szCs w:val="24"/>
        </w:rPr>
      </w:pPr>
      <w:hyperlink w:anchor="_top" w:history="1">
        <w:r w:rsidR="00DE7A25" w:rsidRPr="00DE7A25">
          <w:rPr>
            <w:rStyle w:val="Hyperlink"/>
            <w:rFonts w:ascii="Verdana" w:hAnsi="Verdana"/>
            <w:sz w:val="24"/>
            <w:szCs w:val="24"/>
          </w:rPr>
          <w:t>Top of the Document</w:t>
        </w:r>
      </w:hyperlink>
      <w:bookmarkStart w:id="7" w:name="_Override_Reference_Table"/>
      <w:bookmarkEnd w:id="7"/>
      <w:r w:rsidR="00DE7A25" w:rsidRPr="00DE7A25">
        <w:rPr>
          <w:rFonts w:ascii="Verdana" w:hAnsi="Verdana"/>
          <w:sz w:val="24"/>
          <w:szCs w:val="24"/>
        </w:rPr>
        <w:t xml:space="preserve"> </w:t>
      </w:r>
    </w:p>
    <w:p w14:paraId="7F724108" w14:textId="77777777" w:rsidR="00DE7A25" w:rsidRPr="00DE7A25" w:rsidRDefault="00DE7A25" w:rsidP="00DE7A25">
      <w:pPr>
        <w:spacing w:after="0" w:line="240" w:lineRule="auto"/>
        <w:jc w:val="right"/>
        <w:rPr>
          <w:rFonts w:ascii="Verdana" w:hAnsi="Verdana"/>
          <w:sz w:val="24"/>
          <w:szCs w:val="24"/>
        </w:rPr>
      </w:pPr>
    </w:p>
    <w:p w14:paraId="6707E2A1" w14:textId="77777777" w:rsidR="00DE7A25" w:rsidRDefault="00DE7A25" w:rsidP="00DE7A25">
      <w:pPr>
        <w:spacing w:after="0" w:line="240" w:lineRule="auto"/>
        <w:jc w:val="center"/>
        <w:rPr>
          <w:rFonts w:ascii="Verdana" w:hAnsi="Verdana"/>
          <w:sz w:val="16"/>
          <w:szCs w:val="16"/>
        </w:rPr>
      </w:pPr>
      <w:r>
        <w:rPr>
          <w:rFonts w:ascii="Verdana" w:hAnsi="Verdana"/>
          <w:sz w:val="16"/>
          <w:szCs w:val="16"/>
        </w:rPr>
        <w:t xml:space="preserve">Not To Be Reproduced </w:t>
      </w:r>
      <w:proofErr w:type="gramStart"/>
      <w:r>
        <w:rPr>
          <w:rFonts w:ascii="Verdana" w:hAnsi="Verdana"/>
          <w:sz w:val="16"/>
          <w:szCs w:val="16"/>
        </w:rPr>
        <w:t>Or</w:t>
      </w:r>
      <w:proofErr w:type="gramEnd"/>
      <w:r>
        <w:rPr>
          <w:rFonts w:ascii="Verdana" w:hAnsi="Verdana"/>
          <w:sz w:val="16"/>
          <w:szCs w:val="16"/>
        </w:rPr>
        <w:t xml:space="preserve"> Disclosed to Others Without Prior Written Approval</w:t>
      </w:r>
    </w:p>
    <w:p w14:paraId="348E1AEC" w14:textId="77777777" w:rsidR="00DE7A25" w:rsidRDefault="00DE7A25" w:rsidP="00DE7A25">
      <w:pPr>
        <w:spacing w:after="0" w:line="240" w:lineRule="auto"/>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2834D808" w14:textId="77777777" w:rsidR="00466250" w:rsidRDefault="00466250"/>
    <w:sectPr w:rsidR="00466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195FB" w14:textId="77777777" w:rsidR="00AC2EF2" w:rsidRDefault="00AC2EF2" w:rsidP="00DE7A25">
      <w:pPr>
        <w:spacing w:after="0" w:line="240" w:lineRule="auto"/>
      </w:pPr>
      <w:r>
        <w:separator/>
      </w:r>
    </w:p>
  </w:endnote>
  <w:endnote w:type="continuationSeparator" w:id="0">
    <w:p w14:paraId="1E051019" w14:textId="77777777" w:rsidR="00AC2EF2" w:rsidRDefault="00AC2EF2" w:rsidP="00DE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7D14C" w14:textId="77777777" w:rsidR="00AC2EF2" w:rsidRDefault="00AC2EF2" w:rsidP="00DE7A25">
      <w:pPr>
        <w:spacing w:after="0" w:line="240" w:lineRule="auto"/>
      </w:pPr>
      <w:r>
        <w:separator/>
      </w:r>
    </w:p>
  </w:footnote>
  <w:footnote w:type="continuationSeparator" w:id="0">
    <w:p w14:paraId="699A450B" w14:textId="77777777" w:rsidR="00AC2EF2" w:rsidRDefault="00AC2EF2" w:rsidP="00DE7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2D1F"/>
    <w:multiLevelType w:val="hybridMultilevel"/>
    <w:tmpl w:val="8B76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60C80"/>
    <w:multiLevelType w:val="hybridMultilevel"/>
    <w:tmpl w:val="74E6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D6341"/>
    <w:multiLevelType w:val="hybridMultilevel"/>
    <w:tmpl w:val="2858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1780E"/>
    <w:multiLevelType w:val="hybridMultilevel"/>
    <w:tmpl w:val="FEF2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0730E"/>
    <w:multiLevelType w:val="hybridMultilevel"/>
    <w:tmpl w:val="4882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841536">
    <w:abstractNumId w:val="3"/>
  </w:num>
  <w:num w:numId="2" w16cid:durableId="257446735">
    <w:abstractNumId w:val="1"/>
  </w:num>
  <w:num w:numId="3" w16cid:durableId="703554418">
    <w:abstractNumId w:val="2"/>
  </w:num>
  <w:num w:numId="4" w16cid:durableId="1232692754">
    <w:abstractNumId w:val="4"/>
  </w:num>
  <w:num w:numId="5" w16cid:durableId="1762220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5"/>
    <w:rsid w:val="00027091"/>
    <w:rsid w:val="00110672"/>
    <w:rsid w:val="003324D1"/>
    <w:rsid w:val="003627BC"/>
    <w:rsid w:val="003C232E"/>
    <w:rsid w:val="00466250"/>
    <w:rsid w:val="00562B83"/>
    <w:rsid w:val="00646D39"/>
    <w:rsid w:val="00976833"/>
    <w:rsid w:val="009E2594"/>
    <w:rsid w:val="009E6CDC"/>
    <w:rsid w:val="00AC2EF2"/>
    <w:rsid w:val="00B8456C"/>
    <w:rsid w:val="00B85460"/>
    <w:rsid w:val="00C323AD"/>
    <w:rsid w:val="00C653CC"/>
    <w:rsid w:val="00CC5F5C"/>
    <w:rsid w:val="00D3443D"/>
    <w:rsid w:val="00DE7A25"/>
    <w:rsid w:val="00E65C0E"/>
    <w:rsid w:val="00EB7188"/>
    <w:rsid w:val="00FC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007A"/>
  <w15:chartTrackingRefBased/>
  <w15:docId w15:val="{60E89FFD-15A8-4170-91CA-A795DB0B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833"/>
  </w:style>
  <w:style w:type="paragraph" w:styleId="Heading1">
    <w:name w:val="heading 1"/>
    <w:basedOn w:val="Normal"/>
    <w:next w:val="Heading4"/>
    <w:link w:val="Heading1Char"/>
    <w:qFormat/>
    <w:rsid w:val="00DE7A25"/>
    <w:pPr>
      <w:spacing w:after="240" w:line="240" w:lineRule="auto"/>
      <w:outlineLvl w:val="0"/>
    </w:pPr>
    <w:rPr>
      <w:rFonts w:ascii="Arial" w:eastAsia="Times New Roman" w:hAnsi="Arial" w:cs="Arial"/>
      <w:b/>
      <w:color w:val="FF9900"/>
      <w:sz w:val="32"/>
      <w:szCs w:val="20"/>
    </w:rPr>
  </w:style>
  <w:style w:type="paragraph" w:styleId="Heading2">
    <w:name w:val="heading 2"/>
    <w:basedOn w:val="Normal"/>
    <w:next w:val="Normal"/>
    <w:link w:val="Heading2Char"/>
    <w:semiHidden/>
    <w:unhideWhenUsed/>
    <w:qFormat/>
    <w:rsid w:val="00DE7A25"/>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DE7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A25"/>
    <w:rPr>
      <w:rFonts w:ascii="Arial" w:eastAsia="Times New Roman" w:hAnsi="Arial" w:cs="Arial"/>
      <w:b/>
      <w:color w:val="FF9900"/>
      <w:sz w:val="32"/>
      <w:szCs w:val="20"/>
    </w:rPr>
  </w:style>
  <w:style w:type="character" w:customStyle="1" w:styleId="Heading2Char">
    <w:name w:val="Heading 2 Char"/>
    <w:basedOn w:val="DefaultParagraphFont"/>
    <w:link w:val="Heading2"/>
    <w:semiHidden/>
    <w:rsid w:val="00DE7A25"/>
    <w:rPr>
      <w:rFonts w:ascii="Arial" w:eastAsia="Times New Roman" w:hAnsi="Arial" w:cs="Arial"/>
      <w:b/>
      <w:bCs/>
      <w:i/>
      <w:iCs/>
      <w:sz w:val="28"/>
      <w:szCs w:val="28"/>
    </w:rPr>
  </w:style>
  <w:style w:type="character" w:styleId="Hyperlink">
    <w:name w:val="Hyperlink"/>
    <w:uiPriority w:val="99"/>
    <w:unhideWhenUsed/>
    <w:rsid w:val="00DE7A25"/>
    <w:rPr>
      <w:color w:val="0000FF"/>
      <w:u w:val="single"/>
    </w:rPr>
  </w:style>
  <w:style w:type="paragraph" w:styleId="TOC2">
    <w:name w:val="toc 2"/>
    <w:basedOn w:val="Normal"/>
    <w:next w:val="Normal"/>
    <w:autoRedefine/>
    <w:uiPriority w:val="39"/>
    <w:unhideWhenUsed/>
    <w:rsid w:val="00DE7A25"/>
    <w:pPr>
      <w:tabs>
        <w:tab w:val="right" w:leader="dot" w:pos="12950"/>
      </w:tabs>
      <w:spacing w:after="0" w:line="240" w:lineRule="auto"/>
    </w:pPr>
    <w:rPr>
      <w:rFonts w:ascii="Verdana" w:eastAsia="Times New Roman" w:hAnsi="Verdana" w:cs="Times New Roman"/>
      <w:noProof/>
      <w:color w:val="3333FF"/>
      <w:sz w:val="24"/>
      <w:szCs w:val="24"/>
      <w:u w:val="single"/>
    </w:rPr>
  </w:style>
  <w:style w:type="character" w:customStyle="1" w:styleId="Heading4Char">
    <w:name w:val="Heading 4 Char"/>
    <w:basedOn w:val="DefaultParagraphFont"/>
    <w:link w:val="Heading4"/>
    <w:uiPriority w:val="9"/>
    <w:semiHidden/>
    <w:rsid w:val="00DE7A2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443D"/>
    <w:rPr>
      <w:color w:val="605E5C"/>
      <w:shd w:val="clear" w:color="auto" w:fill="E1DFDD"/>
    </w:rPr>
  </w:style>
  <w:style w:type="paragraph" w:styleId="ListParagraph">
    <w:name w:val="List Paragraph"/>
    <w:basedOn w:val="Normal"/>
    <w:uiPriority w:val="34"/>
    <w:qFormat/>
    <w:rsid w:val="003324D1"/>
    <w:pPr>
      <w:ind w:left="720"/>
      <w:contextualSpacing/>
    </w:pPr>
  </w:style>
  <w:style w:type="table" w:styleId="TableGrid">
    <w:name w:val="Table Grid"/>
    <w:basedOn w:val="TableNormal"/>
    <w:uiPriority w:val="39"/>
    <w:rsid w:val="0097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546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46D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878959">
      <w:bodyDiv w:val="1"/>
      <w:marLeft w:val="0"/>
      <w:marRight w:val="0"/>
      <w:marTop w:val="0"/>
      <w:marBottom w:val="0"/>
      <w:divBdr>
        <w:top w:val="none" w:sz="0" w:space="0" w:color="auto"/>
        <w:left w:val="none" w:sz="0" w:space="0" w:color="auto"/>
        <w:bottom w:val="none" w:sz="0" w:space="0" w:color="auto"/>
        <w:right w:val="none" w:sz="0" w:space="0" w:color="auto"/>
      </w:divBdr>
    </w:div>
    <w:div w:id="1093935316">
      <w:bodyDiv w:val="1"/>
      <w:marLeft w:val="0"/>
      <w:marRight w:val="0"/>
      <w:marTop w:val="0"/>
      <w:marBottom w:val="0"/>
      <w:divBdr>
        <w:top w:val="none" w:sz="0" w:space="0" w:color="auto"/>
        <w:left w:val="none" w:sz="0" w:space="0" w:color="auto"/>
        <w:bottom w:val="none" w:sz="0" w:space="0" w:color="auto"/>
        <w:right w:val="none" w:sz="0" w:space="0" w:color="auto"/>
      </w:divBdr>
    </w:div>
    <w:div w:id="149672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5" Type="http://schemas.openxmlformats.org/officeDocument/2006/relationships/webSettings" Target="webSettings.xml"/><Relationship Id="rId10"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449F0-684D-47AC-B53F-5753F2C6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Kristoff, Angel T</cp:lastModifiedBy>
  <cp:revision>2</cp:revision>
  <dcterms:created xsi:type="dcterms:W3CDTF">2024-11-21T21:21:00Z</dcterms:created>
  <dcterms:modified xsi:type="dcterms:W3CDTF">2024-11-21T21:21:00Z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2022-07-27T16:42:24Z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7682c61f-a894-4012-bce7-ec5510cf36ea</vt:lpwstr>
  </property>
  <property fmtid="{D5CDD505-2E9C-101B-9397-08002B2CF9AE}" pid="8" name="MSIP_Label_67599526-06ca-49cc-9fa9-5307800a949a_ContentBits">
    <vt:lpwstr>0</vt:lpwstr>
  </property>
</Properties>
</file>