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86056" w14:textId="77777777" w:rsidR="004530BA" w:rsidRPr="00056494" w:rsidRDefault="004530BA" w:rsidP="004530BA">
      <w:pPr>
        <w:pStyle w:val="Heading1"/>
        <w:spacing w:before="120" w:after="120"/>
        <w:rPr>
          <w:color w:val="000000"/>
          <w:szCs w:val="36"/>
        </w:rPr>
      </w:pPr>
      <w:bookmarkStart w:id="0" w:name="_top"/>
      <w:bookmarkStart w:id="1" w:name="OLE_LINK3"/>
      <w:bookmarkEnd w:id="0"/>
      <w:r w:rsidRPr="00056494">
        <w:rPr>
          <w:color w:val="000000"/>
          <w:szCs w:val="36"/>
        </w:rPr>
        <w:t xml:space="preserve">Compass MED D - Blue </w:t>
      </w:r>
      <w:proofErr w:type="spellStart"/>
      <w:r w:rsidRPr="00056494">
        <w:rPr>
          <w:color w:val="000000"/>
          <w:szCs w:val="36"/>
        </w:rPr>
        <w:t>MedicareRx</w:t>
      </w:r>
      <w:proofErr w:type="spellEnd"/>
      <w:r w:rsidRPr="00056494">
        <w:rPr>
          <w:color w:val="000000"/>
          <w:szCs w:val="36"/>
        </w:rPr>
        <w:t xml:space="preserve"> (</w:t>
      </w:r>
      <w:proofErr w:type="spellStart"/>
      <w:r w:rsidRPr="00056494">
        <w:rPr>
          <w:color w:val="000000"/>
          <w:szCs w:val="36"/>
        </w:rPr>
        <w:t>NEJE</w:t>
      </w:r>
      <w:proofErr w:type="spellEnd"/>
      <w:r w:rsidRPr="00056494">
        <w:rPr>
          <w:color w:val="000000"/>
          <w:szCs w:val="36"/>
        </w:rPr>
        <w:t xml:space="preserve">) - Premium Billing Payment IVR </w:t>
      </w:r>
    </w:p>
    <w:bookmarkEnd w:id="1"/>
    <w:p w14:paraId="7183C612" w14:textId="0FBECFD9" w:rsidR="004530BA" w:rsidRDefault="004530BA" w:rsidP="004530BA">
      <w:pPr>
        <w:pStyle w:val="TOC2"/>
        <w:tabs>
          <w:tab w:val="right" w:leader="dot" w:pos="12950"/>
        </w:tabs>
        <w:spacing w:before="120" w:after="120"/>
        <w:rPr>
          <w:rFonts w:asciiTheme="minorHAnsi" w:eastAsiaTheme="minorEastAsia" w:hAnsiTheme="minorHAnsi" w:cstheme="minorBidi"/>
          <w:noProof/>
          <w:color w:val="auto"/>
          <w:kern w:val="2"/>
          <w:u w:val="none"/>
          <w14:ligatures w14:val="standardContextual"/>
        </w:rPr>
      </w:pPr>
      <w:r w:rsidRPr="00056494">
        <w:fldChar w:fldCharType="begin"/>
      </w:r>
      <w:r w:rsidRPr="00056494">
        <w:instrText xml:space="preserve"> TOC \o "2-2" \n \h \z \u </w:instrText>
      </w:r>
      <w:r w:rsidRPr="00056494">
        <w:fldChar w:fldCharType="separate"/>
      </w:r>
      <w:hyperlink w:anchor="_Toc194581417" w:history="1">
        <w:r w:rsidRPr="005F348C">
          <w:rPr>
            <w:rStyle w:val="Hyperlink"/>
            <w:rFonts w:eastAsiaTheme="majorEastAsia"/>
            <w:noProof/>
          </w:rPr>
          <w:t>Determining if Premium Billing Payment IVR Will Provide Resolution</w:t>
        </w:r>
      </w:hyperlink>
    </w:p>
    <w:p w14:paraId="67528AC9" w14:textId="5DE3E296" w:rsidR="004530BA" w:rsidRDefault="004530BA" w:rsidP="004530BA">
      <w:pPr>
        <w:pStyle w:val="TOC2"/>
        <w:tabs>
          <w:tab w:val="right" w:leader="dot" w:pos="12950"/>
        </w:tabs>
        <w:spacing w:before="120" w:after="120"/>
        <w:rPr>
          <w:rFonts w:asciiTheme="minorHAnsi" w:eastAsiaTheme="minorEastAsia" w:hAnsiTheme="minorHAnsi" w:cstheme="minorBidi"/>
          <w:noProof/>
          <w:color w:val="auto"/>
          <w:kern w:val="2"/>
          <w:u w:val="none"/>
          <w14:ligatures w14:val="standardContextual"/>
        </w:rPr>
      </w:pPr>
      <w:hyperlink w:anchor="_Toc194581418" w:history="1">
        <w:r w:rsidRPr="005F348C">
          <w:rPr>
            <w:rStyle w:val="Hyperlink"/>
            <w:rFonts w:eastAsiaTheme="majorEastAsia"/>
            <w:noProof/>
          </w:rPr>
          <w:t>Tips to Prepare a Beneficiary to use the Premium Payment IVR</w:t>
        </w:r>
      </w:hyperlink>
    </w:p>
    <w:p w14:paraId="64A330BC" w14:textId="4941A3A5" w:rsidR="004530BA" w:rsidRDefault="004530BA" w:rsidP="004530BA">
      <w:pPr>
        <w:pStyle w:val="TOC2"/>
        <w:tabs>
          <w:tab w:val="right" w:leader="dot" w:pos="12950"/>
        </w:tabs>
        <w:spacing w:before="120" w:after="120"/>
        <w:rPr>
          <w:rFonts w:asciiTheme="minorHAnsi" w:eastAsiaTheme="minorEastAsia" w:hAnsiTheme="minorHAnsi" w:cstheme="minorBidi"/>
          <w:noProof/>
          <w:color w:val="auto"/>
          <w:kern w:val="2"/>
          <w:u w:val="none"/>
          <w14:ligatures w14:val="standardContextual"/>
        </w:rPr>
      </w:pPr>
      <w:hyperlink w:anchor="_Toc194581419" w:history="1">
        <w:r w:rsidRPr="005F348C">
          <w:rPr>
            <w:rStyle w:val="Hyperlink"/>
            <w:rFonts w:eastAsiaTheme="majorEastAsia"/>
            <w:noProof/>
          </w:rPr>
          <w:t>Premium Payment IVR Numbers</w:t>
        </w:r>
      </w:hyperlink>
    </w:p>
    <w:p w14:paraId="639195D4" w14:textId="23DEFCAF" w:rsidR="004530BA" w:rsidRDefault="004530BA" w:rsidP="004530BA">
      <w:pPr>
        <w:pStyle w:val="TOC2"/>
        <w:tabs>
          <w:tab w:val="right" w:leader="dot" w:pos="12950"/>
        </w:tabs>
        <w:spacing w:before="120" w:after="120"/>
        <w:rPr>
          <w:rFonts w:asciiTheme="minorHAnsi" w:eastAsiaTheme="minorEastAsia" w:hAnsiTheme="minorHAnsi" w:cstheme="minorBidi"/>
          <w:noProof/>
          <w:color w:val="auto"/>
          <w:kern w:val="2"/>
          <w:u w:val="none"/>
          <w14:ligatures w14:val="standardContextual"/>
        </w:rPr>
      </w:pPr>
      <w:hyperlink w:anchor="_Toc194581420" w:history="1">
        <w:r w:rsidRPr="005F348C">
          <w:rPr>
            <w:rStyle w:val="Hyperlink"/>
            <w:rFonts w:eastAsiaTheme="majorEastAsia"/>
            <w:noProof/>
          </w:rPr>
          <w:t>General Premium Payment IVR Flow</w:t>
        </w:r>
      </w:hyperlink>
    </w:p>
    <w:p w14:paraId="632DD7AE" w14:textId="0D7539EA" w:rsidR="004530BA" w:rsidRDefault="004530BA" w:rsidP="004530BA">
      <w:pPr>
        <w:pStyle w:val="TOC2"/>
        <w:tabs>
          <w:tab w:val="right" w:leader="dot" w:pos="12950"/>
        </w:tabs>
        <w:spacing w:before="120" w:after="120"/>
        <w:rPr>
          <w:rFonts w:asciiTheme="minorHAnsi" w:eastAsiaTheme="minorEastAsia" w:hAnsiTheme="minorHAnsi" w:cstheme="minorBidi"/>
          <w:noProof/>
          <w:color w:val="auto"/>
          <w:kern w:val="2"/>
          <w:u w:val="none"/>
          <w14:ligatures w14:val="standardContextual"/>
        </w:rPr>
      </w:pPr>
      <w:hyperlink w:anchor="_Toc194581421" w:history="1">
        <w:r w:rsidRPr="005F348C">
          <w:rPr>
            <w:rStyle w:val="Hyperlink"/>
            <w:rFonts w:eastAsiaTheme="majorEastAsia"/>
            <w:noProof/>
          </w:rPr>
          <w:t>Related Documents</w:t>
        </w:r>
      </w:hyperlink>
    </w:p>
    <w:p w14:paraId="562D2A95" w14:textId="70B81D1A" w:rsidR="004530BA" w:rsidRPr="00056494" w:rsidRDefault="004530BA" w:rsidP="004530BA">
      <w:pPr>
        <w:pStyle w:val="TOC2"/>
        <w:tabs>
          <w:tab w:val="right" w:leader="dot" w:pos="12950"/>
        </w:tabs>
        <w:spacing w:before="120" w:after="120"/>
      </w:pPr>
      <w:r w:rsidRPr="00056494">
        <w:fldChar w:fldCharType="end"/>
      </w:r>
    </w:p>
    <w:p w14:paraId="1DC77A63" w14:textId="77777777" w:rsidR="004530BA" w:rsidRPr="00056494" w:rsidRDefault="004530BA" w:rsidP="004530BA">
      <w:pPr>
        <w:spacing w:before="120" w:after="120"/>
        <w:ind w:right="473"/>
      </w:pPr>
      <w:bookmarkStart w:id="2" w:name="_Overview"/>
      <w:bookmarkEnd w:id="2"/>
      <w:r w:rsidRPr="00056494">
        <w:rPr>
          <w:b/>
          <w:bCs/>
        </w:rPr>
        <w:t xml:space="preserve">Description:  </w:t>
      </w:r>
      <w:r w:rsidRPr="00056494">
        <w:t xml:space="preserve">Provides MED D Care CCRs </w:t>
      </w:r>
      <w:proofErr w:type="gramStart"/>
      <w:r w:rsidRPr="00056494">
        <w:t>a guide</w:t>
      </w:r>
      <w:proofErr w:type="gramEnd"/>
      <w:r w:rsidRPr="00056494">
        <w:t xml:space="preserve"> to the Premium Billing Payment IVR for </w:t>
      </w:r>
      <w:r w:rsidRPr="00056494">
        <w:rPr>
          <w:b/>
        </w:rPr>
        <w:t xml:space="preserve">Blue </w:t>
      </w:r>
      <w:proofErr w:type="spellStart"/>
      <w:r w:rsidRPr="00056494">
        <w:rPr>
          <w:b/>
        </w:rPr>
        <w:t>MedicareRx</w:t>
      </w:r>
      <w:proofErr w:type="spellEnd"/>
      <w:r w:rsidRPr="00056494">
        <w:rPr>
          <w:b/>
        </w:rPr>
        <w:t xml:space="preserve"> (</w:t>
      </w:r>
      <w:proofErr w:type="spellStart"/>
      <w:r w:rsidRPr="00056494">
        <w:rPr>
          <w:b/>
        </w:rPr>
        <w:t>NEJE</w:t>
      </w:r>
      <w:proofErr w:type="spellEnd"/>
      <w:r w:rsidRPr="00056494">
        <w:rPr>
          <w:b/>
        </w:rPr>
        <w:t>)</w:t>
      </w:r>
      <w:r w:rsidRPr="00056494">
        <w:t xml:space="preserve"> beneficiaries.</w:t>
      </w:r>
    </w:p>
    <w:p w14:paraId="08AEDCCB" w14:textId="77777777" w:rsidR="004530BA" w:rsidRPr="00056494" w:rsidRDefault="004530BA" w:rsidP="004530BA">
      <w:pPr>
        <w:spacing w:before="120" w:after="12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530BA" w:rsidRPr="00056494" w14:paraId="6E63B7A0" w14:textId="77777777" w:rsidTr="00581F7D">
        <w:tc>
          <w:tcPr>
            <w:tcW w:w="5000" w:type="pct"/>
            <w:shd w:val="clear" w:color="auto" w:fill="C0C0C0"/>
          </w:tcPr>
          <w:p w14:paraId="37590D65" w14:textId="77777777" w:rsidR="004530BA" w:rsidRPr="00056494" w:rsidRDefault="004530BA" w:rsidP="00581F7D">
            <w:pPr>
              <w:pStyle w:val="Heading2"/>
              <w:spacing w:before="120" w:after="120"/>
              <w:rPr>
                <w:i/>
                <w:iCs/>
              </w:rPr>
            </w:pPr>
            <w:bookmarkStart w:id="3" w:name="_Determining_if_Premium"/>
            <w:bookmarkStart w:id="4" w:name="_Toc194581417"/>
            <w:bookmarkEnd w:id="3"/>
            <w:r w:rsidRPr="00056494">
              <w:t>Determining if Premium Billing Payment IVR Will Provide Resolution</w:t>
            </w:r>
            <w:bookmarkEnd w:id="4"/>
          </w:p>
        </w:tc>
      </w:tr>
    </w:tbl>
    <w:p w14:paraId="02887076" w14:textId="77777777" w:rsidR="004530BA" w:rsidRPr="00056494" w:rsidRDefault="004530BA" w:rsidP="004530BA">
      <w:pPr>
        <w:spacing w:before="120" w:after="120"/>
        <w:ind w:right="473"/>
      </w:pPr>
      <w:r w:rsidRPr="00056494">
        <w:t xml:space="preserve">Beneficiaries may call in response to a Premium Billing Letter, Invoice, or Dunning call and need to make a payment or wish to add EFT/RCD autopay. </w:t>
      </w:r>
    </w:p>
    <w:p w14:paraId="474F11BE" w14:textId="77777777" w:rsidR="004530BA" w:rsidRPr="00056494" w:rsidRDefault="004530BA" w:rsidP="004530BA">
      <w:pPr>
        <w:numPr>
          <w:ilvl w:val="0"/>
          <w:numId w:val="25"/>
        </w:numPr>
        <w:spacing w:before="120" w:after="120"/>
        <w:ind w:right="473"/>
      </w:pPr>
      <w:r w:rsidRPr="00056494">
        <w:t xml:space="preserve">MED D Care CCRs must review a few different areas within Compass prior to advising the beneficiary whether the Premium Billing Payment IVR system will provide resolution. </w:t>
      </w:r>
    </w:p>
    <w:p w14:paraId="3F688CAE" w14:textId="77777777" w:rsidR="004530BA" w:rsidRPr="00056494" w:rsidRDefault="004530BA" w:rsidP="004530BA">
      <w:pPr>
        <w:numPr>
          <w:ilvl w:val="0"/>
          <w:numId w:val="25"/>
        </w:numPr>
        <w:spacing w:before="120" w:after="120"/>
        <w:ind w:right="473"/>
      </w:pPr>
      <w:r w:rsidRPr="00056494">
        <w:t>CCRs may also inform the beneficiary of what to expect when using this IVR.</w:t>
      </w:r>
    </w:p>
    <w:p w14:paraId="28E9B3D9" w14:textId="77777777" w:rsidR="004530BA" w:rsidRPr="00056494" w:rsidRDefault="004530BA" w:rsidP="004530BA">
      <w:pPr>
        <w:spacing w:before="120" w:after="120"/>
        <w:rPr>
          <w:rFonts w:cs="Arial"/>
        </w:rPr>
      </w:pPr>
    </w:p>
    <w:p w14:paraId="28A54DFF" w14:textId="77777777" w:rsidR="004530BA" w:rsidRPr="00056494" w:rsidRDefault="004530BA" w:rsidP="004530BA">
      <w:pPr>
        <w:spacing w:before="120" w:after="120"/>
      </w:pPr>
      <w:r w:rsidRPr="00056494">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722"/>
        <w:gridCol w:w="5038"/>
        <w:gridCol w:w="5427"/>
      </w:tblGrid>
      <w:tr w:rsidR="004530BA" w:rsidRPr="00056494" w14:paraId="236797E3" w14:textId="77777777" w:rsidTr="00581F7D">
        <w:trPr>
          <w:trHeight w:val="395"/>
        </w:trPr>
        <w:tc>
          <w:tcPr>
            <w:tcW w:w="118" w:type="pct"/>
            <w:shd w:val="pct10" w:color="auto" w:fill="auto"/>
          </w:tcPr>
          <w:p w14:paraId="68ADF205" w14:textId="77777777" w:rsidR="004530BA" w:rsidRPr="00056494" w:rsidRDefault="004530BA" w:rsidP="00581F7D">
            <w:pPr>
              <w:spacing w:before="120" w:after="120"/>
              <w:jc w:val="center"/>
              <w:rPr>
                <w:b/>
              </w:rPr>
            </w:pPr>
            <w:r w:rsidRPr="00056494">
              <w:rPr>
                <w:b/>
              </w:rPr>
              <w:t>Step</w:t>
            </w:r>
          </w:p>
        </w:tc>
        <w:tc>
          <w:tcPr>
            <w:tcW w:w="4882" w:type="pct"/>
            <w:gridSpan w:val="3"/>
            <w:tcBorders>
              <w:bottom w:val="single" w:sz="4" w:space="0" w:color="auto"/>
            </w:tcBorders>
            <w:shd w:val="pct10" w:color="auto" w:fill="auto"/>
          </w:tcPr>
          <w:p w14:paraId="742AA778" w14:textId="77777777" w:rsidR="004530BA" w:rsidRPr="00056494" w:rsidRDefault="004530BA" w:rsidP="00581F7D">
            <w:pPr>
              <w:spacing w:before="120" w:after="120"/>
              <w:jc w:val="center"/>
              <w:rPr>
                <w:b/>
              </w:rPr>
            </w:pPr>
            <w:r w:rsidRPr="00056494">
              <w:rPr>
                <w:b/>
              </w:rPr>
              <w:t>Action</w:t>
            </w:r>
          </w:p>
        </w:tc>
      </w:tr>
      <w:tr w:rsidR="004530BA" w:rsidRPr="00056494" w14:paraId="55F292D8" w14:textId="77777777" w:rsidTr="00581F7D">
        <w:trPr>
          <w:trHeight w:val="744"/>
        </w:trPr>
        <w:tc>
          <w:tcPr>
            <w:tcW w:w="118" w:type="pct"/>
          </w:tcPr>
          <w:p w14:paraId="583AAB84" w14:textId="77777777" w:rsidR="004530BA" w:rsidRPr="00056494" w:rsidRDefault="004530BA" w:rsidP="00581F7D">
            <w:pPr>
              <w:spacing w:before="120" w:after="120"/>
              <w:jc w:val="center"/>
              <w:rPr>
                <w:b/>
              </w:rPr>
            </w:pPr>
            <w:r w:rsidRPr="00056494">
              <w:rPr>
                <w:b/>
              </w:rPr>
              <w:t>1</w:t>
            </w:r>
          </w:p>
        </w:tc>
        <w:tc>
          <w:tcPr>
            <w:tcW w:w="4882" w:type="pct"/>
            <w:gridSpan w:val="3"/>
            <w:tcBorders>
              <w:bottom w:val="single" w:sz="4" w:space="0" w:color="auto"/>
            </w:tcBorders>
          </w:tcPr>
          <w:p w14:paraId="5DD2CECD" w14:textId="77777777" w:rsidR="004530BA" w:rsidRPr="00056494" w:rsidRDefault="004530BA" w:rsidP="00581F7D">
            <w:pPr>
              <w:autoSpaceDE w:val="0"/>
              <w:autoSpaceDN w:val="0"/>
              <w:adjustRightInd w:val="0"/>
              <w:spacing w:before="120" w:after="120"/>
            </w:pPr>
            <w:r w:rsidRPr="00056494">
              <w:t xml:space="preserve">From the Member Snapshot Landing Page in Compass, click the </w:t>
            </w:r>
            <w:r w:rsidRPr="00056494">
              <w:rPr>
                <w:b/>
              </w:rPr>
              <w:t>Medicare D Landing Page</w:t>
            </w:r>
            <w:r w:rsidRPr="00056494">
              <w:t>:</w:t>
            </w:r>
          </w:p>
          <w:p w14:paraId="7B54853B" w14:textId="77777777" w:rsidR="004530BA" w:rsidRPr="00056494" w:rsidRDefault="004530BA" w:rsidP="00581F7D">
            <w:pPr>
              <w:numPr>
                <w:ilvl w:val="0"/>
                <w:numId w:val="38"/>
              </w:numPr>
              <w:autoSpaceDE w:val="0"/>
              <w:autoSpaceDN w:val="0"/>
              <w:adjustRightInd w:val="0"/>
              <w:spacing w:before="120" w:after="120"/>
            </w:pPr>
            <w:r w:rsidRPr="00056494">
              <w:t xml:space="preserve">Click the </w:t>
            </w:r>
            <w:r w:rsidRPr="00056494">
              <w:rPr>
                <w:b/>
              </w:rPr>
              <w:t xml:space="preserve">Premium Billing </w:t>
            </w:r>
            <w:r w:rsidRPr="00056494">
              <w:t>tab; t</w:t>
            </w:r>
            <w:r w:rsidRPr="00056494">
              <w:rPr>
                <w:color w:val="000000"/>
              </w:rPr>
              <w:t>he </w:t>
            </w:r>
            <w:r w:rsidRPr="00056494">
              <w:rPr>
                <w:b/>
                <w:bCs/>
                <w:color w:val="000000"/>
              </w:rPr>
              <w:t>Date Range</w:t>
            </w:r>
            <w:r w:rsidRPr="00056494">
              <w:rPr>
                <w:color w:val="000000"/>
              </w:rPr>
              <w:t> will automatically populate under the </w:t>
            </w:r>
            <w:r w:rsidRPr="00056494">
              <w:rPr>
                <w:b/>
                <w:bCs/>
                <w:color w:val="000000"/>
              </w:rPr>
              <w:t>Premium Details</w:t>
            </w:r>
            <w:r w:rsidRPr="00056494">
              <w:rPr>
                <w:color w:val="000000"/>
              </w:rPr>
              <w:t> section. (</w:t>
            </w:r>
            <w:bookmarkStart w:id="5" w:name="OLE_LINK42"/>
            <w:r w:rsidRPr="00056494">
              <w:rPr>
                <w:color w:val="000000"/>
              </w:rPr>
              <w:t>Click the chevron arrow to expand/collapse each section</w:t>
            </w:r>
            <w:bookmarkEnd w:id="5"/>
            <w:r w:rsidRPr="00056494">
              <w:rPr>
                <w:color w:val="000000"/>
              </w:rPr>
              <w:t>)</w:t>
            </w:r>
            <w:r w:rsidRPr="00056494">
              <w:t>.</w:t>
            </w:r>
          </w:p>
          <w:p w14:paraId="748824D0" w14:textId="77777777" w:rsidR="004530BA" w:rsidRPr="00056494" w:rsidRDefault="004530BA" w:rsidP="00581F7D">
            <w:pPr>
              <w:numPr>
                <w:ilvl w:val="0"/>
                <w:numId w:val="38"/>
              </w:numPr>
              <w:autoSpaceDE w:val="0"/>
              <w:autoSpaceDN w:val="0"/>
              <w:adjustRightInd w:val="0"/>
              <w:spacing w:before="120" w:after="120"/>
            </w:pPr>
            <w:r w:rsidRPr="00056494">
              <w:t xml:space="preserve">Set the </w:t>
            </w:r>
            <w:r w:rsidRPr="00056494">
              <w:rPr>
                <w:b/>
              </w:rPr>
              <w:t>Date Range:</w:t>
            </w:r>
            <w:r w:rsidRPr="00056494">
              <w:t xml:space="preserve">  To ensure the </w:t>
            </w:r>
            <w:r w:rsidRPr="00056494">
              <w:rPr>
                <w:b/>
              </w:rPr>
              <w:t>Stock ID</w:t>
            </w:r>
            <w:r w:rsidRPr="00056494">
              <w:t xml:space="preserve"> column in the </w:t>
            </w:r>
            <w:r w:rsidRPr="00056494">
              <w:rPr>
                <w:b/>
                <w:bCs/>
                <w:color w:val="000000"/>
              </w:rPr>
              <w:t>Billing Cycle &amp; Payment Method </w:t>
            </w:r>
            <w:r w:rsidRPr="00056494">
              <w:t xml:space="preserve">section will display correctly, change the </w:t>
            </w:r>
            <w:r w:rsidRPr="00056494">
              <w:rPr>
                <w:b/>
                <w:bCs/>
              </w:rPr>
              <w:t xml:space="preserve">End Date </w:t>
            </w:r>
            <w:r w:rsidRPr="00056494">
              <w:t>field to the end of the next year (</w:t>
            </w:r>
            <w:r w:rsidRPr="00056494">
              <w:rPr>
                <w:b/>
                <w:bCs/>
              </w:rPr>
              <w:t>Example:</w:t>
            </w:r>
            <w:r w:rsidRPr="00056494">
              <w:t xml:space="preserve">  </w:t>
            </w:r>
            <w:r w:rsidRPr="00056494">
              <w:rPr>
                <w:b/>
              </w:rPr>
              <w:t>12/31/2025</w:t>
            </w:r>
            <w:r w:rsidRPr="00056494">
              <w:t>).</w:t>
            </w:r>
          </w:p>
          <w:p w14:paraId="25F92D7C" w14:textId="77777777" w:rsidR="004530BA" w:rsidRPr="00056494" w:rsidRDefault="004530BA" w:rsidP="00581F7D">
            <w:pPr>
              <w:spacing w:before="120" w:after="120"/>
            </w:pPr>
          </w:p>
          <w:p w14:paraId="6352B381" w14:textId="77777777" w:rsidR="004530BA" w:rsidRPr="00056494" w:rsidRDefault="004530BA" w:rsidP="00581F7D">
            <w:pPr>
              <w:spacing w:before="120" w:after="120"/>
              <w:jc w:val="center"/>
              <w:rPr>
                <w:noProof/>
              </w:rPr>
            </w:pPr>
            <w:r w:rsidRPr="00056494">
              <w:rPr>
                <w:noProof/>
              </w:rPr>
              <w:drawing>
                <wp:inline distT="0" distB="0" distL="0" distR="0" wp14:anchorId="36BB0849" wp14:editId="24CA0746">
                  <wp:extent cx="5915025" cy="3943350"/>
                  <wp:effectExtent l="0" t="0" r="0" b="0"/>
                  <wp:docPr id="3"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3943350"/>
                          </a:xfrm>
                          <a:prstGeom prst="rect">
                            <a:avLst/>
                          </a:prstGeom>
                          <a:noFill/>
                          <a:ln>
                            <a:noFill/>
                          </a:ln>
                        </pic:spPr>
                      </pic:pic>
                    </a:graphicData>
                  </a:graphic>
                </wp:inline>
              </w:drawing>
            </w:r>
          </w:p>
          <w:p w14:paraId="76BD444F" w14:textId="77777777" w:rsidR="004530BA" w:rsidRPr="00056494" w:rsidRDefault="004530BA" w:rsidP="00581F7D">
            <w:pPr>
              <w:spacing w:before="120" w:after="120"/>
              <w:jc w:val="center"/>
            </w:pPr>
          </w:p>
        </w:tc>
      </w:tr>
      <w:tr w:rsidR="004530BA" w:rsidRPr="00056494" w14:paraId="1CB30980" w14:textId="77777777" w:rsidTr="00581F7D">
        <w:trPr>
          <w:trHeight w:val="744"/>
        </w:trPr>
        <w:tc>
          <w:tcPr>
            <w:tcW w:w="118" w:type="pct"/>
            <w:vMerge w:val="restart"/>
          </w:tcPr>
          <w:p w14:paraId="55F843F5" w14:textId="77777777" w:rsidR="004530BA" w:rsidRPr="00056494" w:rsidRDefault="004530BA" w:rsidP="00581F7D">
            <w:pPr>
              <w:spacing w:before="120" w:after="120"/>
              <w:jc w:val="center"/>
              <w:rPr>
                <w:b/>
              </w:rPr>
            </w:pPr>
            <w:r w:rsidRPr="00056494">
              <w:rPr>
                <w:b/>
              </w:rPr>
              <w:t>2</w:t>
            </w:r>
          </w:p>
        </w:tc>
        <w:tc>
          <w:tcPr>
            <w:tcW w:w="4882" w:type="pct"/>
            <w:gridSpan w:val="3"/>
            <w:tcBorders>
              <w:top w:val="single" w:sz="4" w:space="0" w:color="auto"/>
              <w:bottom w:val="single" w:sz="4" w:space="0" w:color="auto"/>
            </w:tcBorders>
          </w:tcPr>
          <w:p w14:paraId="3053DF87" w14:textId="77777777" w:rsidR="004530BA" w:rsidRPr="00056494" w:rsidRDefault="004530BA" w:rsidP="00581F7D">
            <w:pPr>
              <w:tabs>
                <w:tab w:val="left" w:pos="2405"/>
                <w:tab w:val="center" w:pos="6158"/>
              </w:tabs>
              <w:spacing w:before="120" w:after="120"/>
            </w:pPr>
            <w:r w:rsidRPr="00056494">
              <w:t xml:space="preserve">Review the current </w:t>
            </w:r>
            <w:r w:rsidRPr="00056494">
              <w:rPr>
                <w:b/>
              </w:rPr>
              <w:t xml:space="preserve">Stock ID </w:t>
            </w:r>
            <w:r w:rsidRPr="00056494">
              <w:rPr>
                <w:bCs/>
              </w:rPr>
              <w:t xml:space="preserve">column </w:t>
            </w:r>
            <w:r w:rsidRPr="00056494">
              <w:t xml:space="preserve">listed in the </w:t>
            </w:r>
            <w:r w:rsidRPr="00056494">
              <w:rPr>
                <w:b/>
              </w:rPr>
              <w:t>Billing Cycle &amp; Payment Method</w:t>
            </w:r>
            <w:r w:rsidRPr="00056494">
              <w:t xml:space="preserve"> section of the </w:t>
            </w:r>
            <w:r w:rsidRPr="00056494">
              <w:rPr>
                <w:b/>
              </w:rPr>
              <w:t xml:space="preserve">Premium Billing </w:t>
            </w:r>
            <w:r w:rsidRPr="00056494">
              <w:t>tab:</w:t>
            </w:r>
          </w:p>
        </w:tc>
      </w:tr>
      <w:tr w:rsidR="004530BA" w:rsidRPr="00056494" w14:paraId="41C5355C" w14:textId="77777777" w:rsidTr="00581F7D">
        <w:trPr>
          <w:trHeight w:val="332"/>
        </w:trPr>
        <w:tc>
          <w:tcPr>
            <w:tcW w:w="118" w:type="pct"/>
            <w:vMerge/>
          </w:tcPr>
          <w:p w14:paraId="1B80239B" w14:textId="77777777" w:rsidR="004530BA" w:rsidRPr="00056494" w:rsidRDefault="004530BA" w:rsidP="00581F7D">
            <w:pPr>
              <w:spacing w:before="120" w:after="120"/>
              <w:jc w:val="center"/>
              <w:rPr>
                <w:b/>
              </w:rPr>
            </w:pPr>
          </w:p>
        </w:tc>
        <w:tc>
          <w:tcPr>
            <w:tcW w:w="968" w:type="pct"/>
            <w:shd w:val="pct10" w:color="auto" w:fill="auto"/>
          </w:tcPr>
          <w:p w14:paraId="1DE2BC50" w14:textId="77777777" w:rsidR="004530BA" w:rsidRPr="00056494" w:rsidRDefault="004530BA" w:rsidP="00581F7D">
            <w:pPr>
              <w:spacing w:before="120" w:after="120"/>
              <w:jc w:val="center"/>
              <w:rPr>
                <w:b/>
              </w:rPr>
            </w:pPr>
            <w:r w:rsidRPr="00056494">
              <w:rPr>
                <w:b/>
              </w:rPr>
              <w:t>If…</w:t>
            </w:r>
          </w:p>
        </w:tc>
        <w:tc>
          <w:tcPr>
            <w:tcW w:w="3914" w:type="pct"/>
            <w:gridSpan w:val="2"/>
            <w:shd w:val="pct10" w:color="auto" w:fill="auto"/>
          </w:tcPr>
          <w:p w14:paraId="1E5F1C16" w14:textId="77777777" w:rsidR="004530BA" w:rsidRPr="00056494" w:rsidRDefault="004530BA" w:rsidP="00581F7D">
            <w:pPr>
              <w:spacing w:before="120" w:after="120"/>
              <w:jc w:val="center"/>
              <w:rPr>
                <w:b/>
              </w:rPr>
            </w:pPr>
            <w:r w:rsidRPr="00056494">
              <w:rPr>
                <w:b/>
              </w:rPr>
              <w:t>Then…</w:t>
            </w:r>
          </w:p>
        </w:tc>
      </w:tr>
      <w:tr w:rsidR="004530BA" w:rsidRPr="00056494" w14:paraId="651BD2BF" w14:textId="77777777" w:rsidTr="00581F7D">
        <w:trPr>
          <w:trHeight w:val="742"/>
        </w:trPr>
        <w:tc>
          <w:tcPr>
            <w:tcW w:w="118" w:type="pct"/>
            <w:vMerge/>
          </w:tcPr>
          <w:p w14:paraId="459CDB32" w14:textId="77777777" w:rsidR="004530BA" w:rsidRPr="00056494" w:rsidRDefault="004530BA" w:rsidP="00581F7D">
            <w:pPr>
              <w:spacing w:before="120" w:after="120"/>
              <w:jc w:val="center"/>
              <w:rPr>
                <w:b/>
              </w:rPr>
            </w:pPr>
          </w:p>
        </w:tc>
        <w:tc>
          <w:tcPr>
            <w:tcW w:w="968" w:type="pct"/>
          </w:tcPr>
          <w:p w14:paraId="2D91DFA9" w14:textId="77777777" w:rsidR="004530BA" w:rsidRPr="00056494" w:rsidRDefault="004530BA" w:rsidP="00581F7D">
            <w:pPr>
              <w:spacing w:before="120" w:after="120"/>
            </w:pPr>
            <w:r w:rsidRPr="00056494">
              <w:t xml:space="preserve">A </w:t>
            </w:r>
            <w:r w:rsidRPr="00056494">
              <w:rPr>
                <w:b/>
              </w:rPr>
              <w:t>Stock ID</w:t>
            </w:r>
            <w:r w:rsidRPr="00056494">
              <w:t xml:space="preserve"> of </w:t>
            </w:r>
            <w:r w:rsidRPr="00056494">
              <w:rPr>
                <w:b/>
              </w:rPr>
              <w:t>INV</w:t>
            </w:r>
            <w:r w:rsidRPr="00056494">
              <w:t xml:space="preserve"> </w:t>
            </w:r>
          </w:p>
          <w:p w14:paraId="503E2FB5" w14:textId="77777777" w:rsidR="004530BA" w:rsidRPr="00056494" w:rsidRDefault="004530BA" w:rsidP="00581F7D">
            <w:pPr>
              <w:spacing w:before="120" w:after="120"/>
            </w:pPr>
          </w:p>
        </w:tc>
        <w:tc>
          <w:tcPr>
            <w:tcW w:w="3914" w:type="pct"/>
            <w:gridSpan w:val="2"/>
          </w:tcPr>
          <w:p w14:paraId="7CB9205F" w14:textId="77777777" w:rsidR="004530BA" w:rsidRPr="00056494" w:rsidRDefault="004530BA" w:rsidP="00581F7D">
            <w:pPr>
              <w:spacing w:before="120" w:after="120"/>
            </w:pPr>
            <w:r w:rsidRPr="00056494">
              <w:t xml:space="preserve">Proceed to </w:t>
            </w:r>
            <w:r w:rsidRPr="00056494">
              <w:rPr>
                <w:b/>
              </w:rPr>
              <w:t>Step 3</w:t>
            </w:r>
            <w:r w:rsidRPr="00056494">
              <w:t>.</w:t>
            </w:r>
          </w:p>
        </w:tc>
      </w:tr>
      <w:tr w:rsidR="004530BA" w:rsidRPr="00056494" w14:paraId="7B26BDD1" w14:textId="77777777" w:rsidTr="00581F7D">
        <w:trPr>
          <w:trHeight w:val="794"/>
        </w:trPr>
        <w:tc>
          <w:tcPr>
            <w:tcW w:w="118" w:type="pct"/>
            <w:vMerge/>
          </w:tcPr>
          <w:p w14:paraId="7770DB80" w14:textId="77777777" w:rsidR="004530BA" w:rsidRPr="00056494" w:rsidRDefault="004530BA" w:rsidP="00581F7D">
            <w:pPr>
              <w:spacing w:before="120" w:after="120"/>
              <w:jc w:val="center"/>
              <w:rPr>
                <w:b/>
              </w:rPr>
            </w:pPr>
          </w:p>
        </w:tc>
        <w:tc>
          <w:tcPr>
            <w:tcW w:w="968" w:type="pct"/>
            <w:vMerge w:val="restart"/>
          </w:tcPr>
          <w:p w14:paraId="3FA1AFD7" w14:textId="77777777" w:rsidR="004530BA" w:rsidRPr="00056494" w:rsidRDefault="004530BA" w:rsidP="00581F7D">
            <w:pPr>
              <w:spacing w:before="120" w:after="120"/>
              <w:rPr>
                <w:b/>
              </w:rPr>
            </w:pPr>
            <w:r w:rsidRPr="00056494">
              <w:rPr>
                <w:b/>
              </w:rPr>
              <w:t xml:space="preserve">Stock ID </w:t>
            </w:r>
            <w:r w:rsidRPr="00056494">
              <w:t>of</w:t>
            </w:r>
            <w:r w:rsidRPr="00056494">
              <w:rPr>
                <w:b/>
              </w:rPr>
              <w:t xml:space="preserve"> EFT </w:t>
            </w:r>
            <w:r w:rsidRPr="00056494">
              <w:t>or</w:t>
            </w:r>
            <w:r w:rsidRPr="00056494">
              <w:rPr>
                <w:b/>
              </w:rPr>
              <w:t xml:space="preserve"> RCD</w:t>
            </w:r>
          </w:p>
          <w:p w14:paraId="38E3AC23" w14:textId="77777777" w:rsidR="004530BA" w:rsidRPr="00056494" w:rsidRDefault="004530BA" w:rsidP="00581F7D">
            <w:pPr>
              <w:spacing w:before="120" w:after="120"/>
              <w:rPr>
                <w:b/>
              </w:rPr>
            </w:pPr>
          </w:p>
          <w:p w14:paraId="114F9D2C" w14:textId="77777777" w:rsidR="004530BA" w:rsidRPr="00056494" w:rsidRDefault="004530BA" w:rsidP="00581F7D">
            <w:pPr>
              <w:spacing w:before="120" w:after="120"/>
              <w:ind w:right="473"/>
            </w:pPr>
          </w:p>
        </w:tc>
        <w:tc>
          <w:tcPr>
            <w:tcW w:w="3914" w:type="pct"/>
            <w:gridSpan w:val="2"/>
            <w:tcBorders>
              <w:bottom w:val="single" w:sz="4" w:space="0" w:color="auto"/>
            </w:tcBorders>
          </w:tcPr>
          <w:p w14:paraId="364D6E63" w14:textId="77777777" w:rsidR="004530BA" w:rsidRPr="00056494" w:rsidRDefault="004530BA" w:rsidP="00581F7D">
            <w:pPr>
              <w:autoSpaceDE w:val="0"/>
              <w:autoSpaceDN w:val="0"/>
              <w:adjustRightInd w:val="0"/>
              <w:spacing w:before="120" w:after="120"/>
              <w:ind w:right="473"/>
              <w:rPr>
                <w:rFonts w:cs="Arial"/>
                <w:color w:val="000000"/>
              </w:rPr>
            </w:pPr>
            <w:r w:rsidRPr="00056494">
              <w:t xml:space="preserve">The beneficiary is already enrolled in an Automatic Credit Card/Debit Card (RCD) or EFT/ACH payments for the </w:t>
            </w:r>
            <w:r w:rsidRPr="00056494">
              <w:rPr>
                <w:b/>
              </w:rPr>
              <w:t>current month</w:t>
            </w:r>
            <w:r w:rsidRPr="00056494">
              <w:t xml:space="preserve"> and red warning message will display</w:t>
            </w:r>
            <w:r w:rsidRPr="00056494">
              <w:rPr>
                <w:rFonts w:cs="Arial"/>
                <w:color w:val="000000"/>
              </w:rPr>
              <w:t>.</w:t>
            </w:r>
          </w:p>
          <w:p w14:paraId="539097CB" w14:textId="77777777" w:rsidR="004530BA" w:rsidRPr="00056494" w:rsidRDefault="004530BA" w:rsidP="00581F7D">
            <w:pPr>
              <w:autoSpaceDE w:val="0"/>
              <w:autoSpaceDN w:val="0"/>
              <w:adjustRightInd w:val="0"/>
              <w:spacing w:before="120" w:after="120"/>
              <w:ind w:right="473"/>
              <w:rPr>
                <w:rFonts w:cs="Arial"/>
                <w:color w:val="000000"/>
              </w:rPr>
            </w:pPr>
          </w:p>
          <w:p w14:paraId="6D1C19B0" w14:textId="77777777" w:rsidR="004530BA" w:rsidRPr="00056494" w:rsidRDefault="004530BA" w:rsidP="00581F7D">
            <w:pPr>
              <w:autoSpaceDE w:val="0"/>
              <w:autoSpaceDN w:val="0"/>
              <w:adjustRightInd w:val="0"/>
              <w:spacing w:before="120" w:after="120"/>
              <w:ind w:right="473"/>
              <w:jc w:val="center"/>
              <w:rPr>
                <w:noProof/>
              </w:rPr>
            </w:pPr>
            <w:r w:rsidRPr="00056494">
              <w:rPr>
                <w:noProof/>
              </w:rPr>
              <w:drawing>
                <wp:inline distT="0" distB="0" distL="0" distR="0" wp14:anchorId="7D7FA77E" wp14:editId="7585DC92">
                  <wp:extent cx="4791075" cy="5534025"/>
                  <wp:effectExtent l="0" t="0" r="0" b="0"/>
                  <wp:docPr id="4"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5534025"/>
                          </a:xfrm>
                          <a:prstGeom prst="rect">
                            <a:avLst/>
                          </a:prstGeom>
                          <a:noFill/>
                          <a:ln>
                            <a:noFill/>
                          </a:ln>
                        </pic:spPr>
                      </pic:pic>
                    </a:graphicData>
                  </a:graphic>
                </wp:inline>
              </w:drawing>
            </w:r>
          </w:p>
          <w:p w14:paraId="6A12780F" w14:textId="77777777" w:rsidR="004530BA" w:rsidRPr="00056494" w:rsidRDefault="004530BA" w:rsidP="00581F7D">
            <w:pPr>
              <w:spacing w:before="120" w:after="120"/>
              <w:rPr>
                <w:b/>
              </w:rPr>
            </w:pPr>
          </w:p>
          <w:p w14:paraId="6194D2DB" w14:textId="77777777" w:rsidR="004530BA" w:rsidRPr="00056494" w:rsidRDefault="004530BA" w:rsidP="00581F7D">
            <w:pPr>
              <w:spacing w:before="120" w:after="120"/>
              <w:ind w:left="720"/>
            </w:pPr>
            <w:r w:rsidRPr="00056494">
              <w:rPr>
                <w:rFonts w:cs="Arial"/>
                <w:noProof/>
                <w:color w:val="000000"/>
              </w:rPr>
              <w:drawing>
                <wp:inline distT="0" distB="0" distL="0" distR="0" wp14:anchorId="0F2E418A" wp14:editId="7C950786">
                  <wp:extent cx="238125" cy="20002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056494">
              <w:rPr>
                <w:rFonts w:cs="Arial"/>
                <w:color w:val="000000"/>
              </w:rPr>
              <w:t xml:space="preserve">  </w:t>
            </w:r>
            <w:r w:rsidRPr="00056494">
              <w:rPr>
                <w:b/>
              </w:rPr>
              <w:t xml:space="preserve">The Premium Payment IVR </w:t>
            </w:r>
            <w:r w:rsidRPr="00056494">
              <w:t xml:space="preserve">will </w:t>
            </w:r>
            <w:r w:rsidRPr="00056494">
              <w:rPr>
                <w:b/>
              </w:rPr>
              <w:t xml:space="preserve">NOT </w:t>
            </w:r>
            <w:r w:rsidRPr="00056494">
              <w:t xml:space="preserve">make </w:t>
            </w:r>
            <w:r w:rsidRPr="00056494">
              <w:rPr>
                <w:b/>
              </w:rPr>
              <w:t>changes</w:t>
            </w:r>
            <w:r w:rsidRPr="00056494">
              <w:t xml:space="preserve"> to the existing autopay, for </w:t>
            </w:r>
            <w:r w:rsidRPr="00056494">
              <w:rPr>
                <w:b/>
              </w:rPr>
              <w:t>Autopay updates</w:t>
            </w:r>
            <w:r w:rsidRPr="00056494">
              <w:t>, refer to the appropriate autopay work instruction:</w:t>
            </w:r>
          </w:p>
          <w:p w14:paraId="2569FB9E" w14:textId="77777777" w:rsidR="004530BA" w:rsidRPr="00056494" w:rsidRDefault="004530BA" w:rsidP="00581F7D">
            <w:pPr>
              <w:numPr>
                <w:ilvl w:val="0"/>
                <w:numId w:val="29"/>
              </w:numPr>
              <w:spacing w:before="120" w:after="120"/>
              <w:ind w:left="1440"/>
            </w:pPr>
            <w:hyperlink r:id="rId8" w:anchor="!/view?docid=4cf25a7a-fee5-426a-8eeb-b91e1eee8789" w:history="1">
              <w:r w:rsidRPr="00056494">
                <w:rPr>
                  <w:rStyle w:val="Hyperlink"/>
                  <w:rFonts w:eastAsiaTheme="majorEastAsia"/>
                </w:rPr>
                <w:t xml:space="preserve">Compass MED D - Blue </w:t>
              </w:r>
              <w:proofErr w:type="spellStart"/>
              <w:r w:rsidRPr="00056494">
                <w:rPr>
                  <w:rStyle w:val="Hyperlink"/>
                  <w:rFonts w:eastAsiaTheme="majorEastAsia"/>
                </w:rPr>
                <w:t>MedicareRx</w:t>
              </w:r>
              <w:proofErr w:type="spellEnd"/>
              <w:r w:rsidRPr="00056494">
                <w:rPr>
                  <w:rStyle w:val="Hyperlink"/>
                  <w:rFonts w:eastAsiaTheme="majorEastAsia"/>
                </w:rPr>
                <w:t xml:space="preserve"> (</w:t>
              </w:r>
              <w:proofErr w:type="spellStart"/>
              <w:r w:rsidRPr="00056494">
                <w:rPr>
                  <w:rStyle w:val="Hyperlink"/>
                  <w:rFonts w:eastAsiaTheme="majorEastAsia"/>
                </w:rPr>
                <w:t>NEJE</w:t>
              </w:r>
              <w:proofErr w:type="spellEnd"/>
              <w:r w:rsidRPr="00056494">
                <w:rPr>
                  <w:rStyle w:val="Hyperlink"/>
                  <w:rFonts w:eastAsiaTheme="majorEastAsia"/>
                </w:rPr>
                <w:t>) - Premium Billing Credit Card Single-Sign-On (</w:t>
              </w:r>
              <w:proofErr w:type="spellStart"/>
              <w:r w:rsidRPr="00056494">
                <w:rPr>
                  <w:rStyle w:val="Hyperlink"/>
                  <w:rFonts w:eastAsiaTheme="majorEastAsia"/>
                </w:rPr>
                <w:t>SSO</w:t>
              </w:r>
              <w:proofErr w:type="spellEnd"/>
              <w:r w:rsidRPr="00056494">
                <w:rPr>
                  <w:rStyle w:val="Hyperlink"/>
                  <w:rFonts w:eastAsiaTheme="majorEastAsia"/>
                </w:rPr>
                <w:t>) Processes (066463)</w:t>
              </w:r>
            </w:hyperlink>
          </w:p>
          <w:p w14:paraId="6DE6B0FD" w14:textId="77777777" w:rsidR="004530BA" w:rsidRPr="00056494" w:rsidRDefault="004530BA" w:rsidP="00581F7D">
            <w:pPr>
              <w:numPr>
                <w:ilvl w:val="0"/>
                <w:numId w:val="29"/>
              </w:numPr>
              <w:spacing w:before="120" w:after="120"/>
              <w:ind w:left="1440"/>
            </w:pPr>
            <w:hyperlink r:id="rId9" w:anchor="!/view?docid=cfab5ae2-a27a-4504-a84f-3a408367d032" w:history="1">
              <w:r w:rsidRPr="00056494">
                <w:rPr>
                  <w:rStyle w:val="Hyperlink"/>
                  <w:rFonts w:eastAsiaTheme="majorEastAsia"/>
                </w:rPr>
                <w:t xml:space="preserve">Compass MED D - Blue </w:t>
              </w:r>
              <w:proofErr w:type="spellStart"/>
              <w:r w:rsidRPr="00056494">
                <w:rPr>
                  <w:rStyle w:val="Hyperlink"/>
                  <w:rFonts w:eastAsiaTheme="majorEastAsia"/>
                </w:rPr>
                <w:t>MedicareRx</w:t>
              </w:r>
              <w:proofErr w:type="spellEnd"/>
              <w:r w:rsidRPr="00056494">
                <w:rPr>
                  <w:rStyle w:val="Hyperlink"/>
                  <w:rFonts w:eastAsiaTheme="majorEastAsia"/>
                </w:rPr>
                <w:t xml:space="preserve"> (</w:t>
              </w:r>
              <w:proofErr w:type="spellStart"/>
              <w:r w:rsidRPr="00056494">
                <w:rPr>
                  <w:rStyle w:val="Hyperlink"/>
                  <w:rFonts w:eastAsiaTheme="majorEastAsia"/>
                </w:rPr>
                <w:t>NEJE</w:t>
              </w:r>
              <w:proofErr w:type="spellEnd"/>
              <w:r w:rsidRPr="00056494">
                <w:rPr>
                  <w:rStyle w:val="Hyperlink"/>
                  <w:rFonts w:eastAsiaTheme="majorEastAsia"/>
                </w:rPr>
                <w:t>) - Premium Billing E-Check/EFT Single-Sign-On (</w:t>
              </w:r>
              <w:proofErr w:type="spellStart"/>
              <w:r w:rsidRPr="00056494">
                <w:rPr>
                  <w:rStyle w:val="Hyperlink"/>
                  <w:rFonts w:eastAsiaTheme="majorEastAsia"/>
                </w:rPr>
                <w:t>SSO</w:t>
              </w:r>
              <w:proofErr w:type="spellEnd"/>
              <w:r w:rsidRPr="00056494">
                <w:rPr>
                  <w:rStyle w:val="Hyperlink"/>
                  <w:rFonts w:eastAsiaTheme="majorEastAsia"/>
                </w:rPr>
                <w:t>) Processes (066478)</w:t>
              </w:r>
            </w:hyperlink>
            <w:r w:rsidRPr="00056494">
              <w:t xml:space="preserve"> </w:t>
            </w:r>
          </w:p>
          <w:p w14:paraId="4620DCE2" w14:textId="77777777" w:rsidR="004530BA" w:rsidRPr="00056494" w:rsidRDefault="004530BA" w:rsidP="00581F7D">
            <w:pPr>
              <w:spacing w:before="120" w:after="120"/>
            </w:pPr>
          </w:p>
          <w:p w14:paraId="75C6B76B" w14:textId="77777777" w:rsidR="004530BA" w:rsidRPr="00056494" w:rsidRDefault="004530BA" w:rsidP="00581F7D">
            <w:pPr>
              <w:spacing w:before="120" w:after="120"/>
              <w:rPr>
                <w:rFonts w:cs="Arial"/>
                <w:bCs/>
              </w:rPr>
            </w:pPr>
            <w:r w:rsidRPr="00056494">
              <w:rPr>
                <w:rFonts w:cs="Arial"/>
                <w:bCs/>
              </w:rPr>
              <w:t>Verify timing of the beneficiary’s call to accurately advise beneficiary about their Premium and IVR use:</w:t>
            </w:r>
          </w:p>
          <w:p w14:paraId="63778499" w14:textId="77777777" w:rsidR="004530BA" w:rsidRPr="00056494" w:rsidRDefault="004530BA" w:rsidP="00581F7D">
            <w:pPr>
              <w:spacing w:before="120" w:after="120"/>
              <w:rPr>
                <w:rFonts w:cs="Arial"/>
                <w:bCs/>
              </w:rPr>
            </w:pPr>
          </w:p>
        </w:tc>
      </w:tr>
      <w:tr w:rsidR="004530BA" w:rsidRPr="00056494" w14:paraId="34A3C57A" w14:textId="77777777" w:rsidTr="00581F7D">
        <w:trPr>
          <w:trHeight w:val="794"/>
        </w:trPr>
        <w:tc>
          <w:tcPr>
            <w:tcW w:w="118" w:type="pct"/>
            <w:vMerge/>
          </w:tcPr>
          <w:p w14:paraId="184CEBC5" w14:textId="77777777" w:rsidR="004530BA" w:rsidRPr="00056494" w:rsidRDefault="004530BA" w:rsidP="00581F7D">
            <w:pPr>
              <w:spacing w:before="120" w:after="120"/>
              <w:jc w:val="center"/>
              <w:rPr>
                <w:b/>
              </w:rPr>
            </w:pPr>
          </w:p>
        </w:tc>
        <w:tc>
          <w:tcPr>
            <w:tcW w:w="968" w:type="pct"/>
            <w:vMerge/>
          </w:tcPr>
          <w:p w14:paraId="59FDAD52" w14:textId="77777777" w:rsidR="004530BA" w:rsidRPr="00056494" w:rsidRDefault="004530BA" w:rsidP="00581F7D">
            <w:pPr>
              <w:spacing w:before="120" w:after="120"/>
              <w:rPr>
                <w:b/>
              </w:rPr>
            </w:pPr>
          </w:p>
        </w:tc>
        <w:tc>
          <w:tcPr>
            <w:tcW w:w="1884" w:type="pct"/>
            <w:shd w:val="pct10" w:color="auto" w:fill="auto"/>
          </w:tcPr>
          <w:p w14:paraId="73EF0AF0" w14:textId="77777777" w:rsidR="004530BA" w:rsidRPr="00056494" w:rsidRDefault="004530BA" w:rsidP="00581F7D">
            <w:pPr>
              <w:autoSpaceDE w:val="0"/>
              <w:autoSpaceDN w:val="0"/>
              <w:adjustRightInd w:val="0"/>
              <w:spacing w:before="120" w:after="120"/>
              <w:ind w:right="473"/>
              <w:jc w:val="center"/>
              <w:rPr>
                <w:b/>
              </w:rPr>
            </w:pPr>
            <w:r w:rsidRPr="00056494">
              <w:rPr>
                <w:b/>
              </w:rPr>
              <w:t>If caller would like to make a separate One-Time payment via</w:t>
            </w:r>
            <w:r w:rsidRPr="00056494">
              <w:t xml:space="preserve"> the </w:t>
            </w:r>
            <w:r w:rsidRPr="00056494">
              <w:rPr>
                <w:b/>
              </w:rPr>
              <w:t>Premium Payment IVR</w:t>
            </w:r>
            <w:r w:rsidRPr="00056494">
              <w:t xml:space="preserve"> and</w:t>
            </w:r>
            <w:r w:rsidRPr="00056494">
              <w:rPr>
                <w:b/>
              </w:rPr>
              <w:t>…</w:t>
            </w:r>
          </w:p>
        </w:tc>
        <w:tc>
          <w:tcPr>
            <w:tcW w:w="2030" w:type="pct"/>
            <w:shd w:val="pct10" w:color="auto" w:fill="auto"/>
          </w:tcPr>
          <w:p w14:paraId="34838576" w14:textId="77777777" w:rsidR="004530BA" w:rsidRPr="00056494" w:rsidRDefault="004530BA" w:rsidP="00581F7D">
            <w:pPr>
              <w:autoSpaceDE w:val="0"/>
              <w:autoSpaceDN w:val="0"/>
              <w:adjustRightInd w:val="0"/>
              <w:spacing w:before="120" w:after="120"/>
              <w:ind w:right="473"/>
              <w:jc w:val="center"/>
              <w:rPr>
                <w:b/>
              </w:rPr>
            </w:pPr>
            <w:r w:rsidRPr="00056494">
              <w:rPr>
                <w:b/>
              </w:rPr>
              <w:t>Then…</w:t>
            </w:r>
          </w:p>
        </w:tc>
      </w:tr>
      <w:tr w:rsidR="004530BA" w:rsidRPr="00056494" w14:paraId="317CF0FE" w14:textId="77777777" w:rsidTr="00581F7D">
        <w:trPr>
          <w:trHeight w:val="794"/>
        </w:trPr>
        <w:tc>
          <w:tcPr>
            <w:tcW w:w="118" w:type="pct"/>
            <w:vMerge/>
          </w:tcPr>
          <w:p w14:paraId="09DBA959" w14:textId="77777777" w:rsidR="004530BA" w:rsidRPr="00056494" w:rsidRDefault="004530BA" w:rsidP="00581F7D">
            <w:pPr>
              <w:spacing w:before="120" w:after="120"/>
              <w:jc w:val="center"/>
              <w:rPr>
                <w:b/>
              </w:rPr>
            </w:pPr>
          </w:p>
        </w:tc>
        <w:tc>
          <w:tcPr>
            <w:tcW w:w="968" w:type="pct"/>
            <w:vMerge/>
          </w:tcPr>
          <w:p w14:paraId="4AFC6E82" w14:textId="77777777" w:rsidR="004530BA" w:rsidRPr="00056494" w:rsidRDefault="004530BA" w:rsidP="00581F7D">
            <w:pPr>
              <w:spacing w:before="120" w:after="120"/>
              <w:rPr>
                <w:b/>
              </w:rPr>
            </w:pPr>
          </w:p>
        </w:tc>
        <w:tc>
          <w:tcPr>
            <w:tcW w:w="1884" w:type="pct"/>
          </w:tcPr>
          <w:p w14:paraId="51284D63" w14:textId="77777777" w:rsidR="004530BA" w:rsidRPr="00056494" w:rsidRDefault="004530BA" w:rsidP="00581F7D">
            <w:pPr>
              <w:autoSpaceDE w:val="0"/>
              <w:autoSpaceDN w:val="0"/>
              <w:adjustRightInd w:val="0"/>
              <w:spacing w:before="120" w:after="120"/>
              <w:ind w:right="473"/>
            </w:pPr>
            <w:r w:rsidRPr="00056494">
              <w:t xml:space="preserve">Today is the </w:t>
            </w:r>
            <w:proofErr w:type="spellStart"/>
            <w:r w:rsidRPr="00056494">
              <w:rPr>
                <w:b/>
              </w:rPr>
              <w:t>1st-4th</w:t>
            </w:r>
            <w:proofErr w:type="spellEnd"/>
            <w:r w:rsidRPr="00056494">
              <w:t xml:space="preserve"> of the month</w:t>
            </w:r>
          </w:p>
        </w:tc>
        <w:tc>
          <w:tcPr>
            <w:tcW w:w="2030" w:type="pct"/>
          </w:tcPr>
          <w:p w14:paraId="122DB8D7" w14:textId="77777777" w:rsidR="004530BA" w:rsidRPr="00056494" w:rsidRDefault="004530BA" w:rsidP="00581F7D">
            <w:pPr>
              <w:autoSpaceDE w:val="0"/>
              <w:autoSpaceDN w:val="0"/>
              <w:adjustRightInd w:val="0"/>
              <w:spacing w:before="120" w:after="120"/>
              <w:ind w:right="473"/>
            </w:pPr>
            <w:r w:rsidRPr="00056494">
              <w:t xml:space="preserve">Beneficiaries may make a premium payment through the IVR. These payments should be posted by the 5th and </w:t>
            </w:r>
            <w:r w:rsidRPr="00056494">
              <w:rPr>
                <w:b/>
              </w:rPr>
              <w:t>will</w:t>
            </w:r>
            <w:r w:rsidRPr="00056494">
              <w:t xml:space="preserve"> affect whether there is an RCD/EFT premium charge for the month and/or the amount charged.</w:t>
            </w:r>
          </w:p>
          <w:p w14:paraId="7F18DCD4" w14:textId="77777777" w:rsidR="004530BA" w:rsidRPr="00056494" w:rsidRDefault="004530BA" w:rsidP="00581F7D">
            <w:pPr>
              <w:autoSpaceDE w:val="0"/>
              <w:autoSpaceDN w:val="0"/>
              <w:adjustRightInd w:val="0"/>
              <w:spacing w:before="120" w:after="120"/>
              <w:ind w:right="473"/>
            </w:pPr>
          </w:p>
          <w:p w14:paraId="77DCB137" w14:textId="77777777" w:rsidR="004530BA" w:rsidRPr="00056494" w:rsidRDefault="004530BA" w:rsidP="00581F7D">
            <w:pPr>
              <w:spacing w:before="120" w:after="120"/>
              <w:ind w:right="473"/>
            </w:pPr>
            <w:r w:rsidRPr="00056494">
              <w:rPr>
                <w:rFonts w:cs="Arial"/>
                <w:b/>
              </w:rPr>
              <w:t xml:space="preserve">Note:  </w:t>
            </w:r>
            <w:r w:rsidRPr="00056494">
              <w:rPr>
                <w:rFonts w:cs="Arial"/>
              </w:rPr>
              <w:t>Payments can take up to</w:t>
            </w:r>
            <w:r w:rsidRPr="00056494">
              <w:rPr>
                <w:rFonts w:cs="Arial"/>
                <w:b/>
              </w:rPr>
              <w:t xml:space="preserve"> 3</w:t>
            </w:r>
            <w:r w:rsidRPr="00056494">
              <w:rPr>
                <w:rFonts w:cs="Arial"/>
              </w:rPr>
              <w:t xml:space="preserve"> calendar days to be visible in Compass.</w:t>
            </w:r>
          </w:p>
          <w:p w14:paraId="68878317" w14:textId="77777777" w:rsidR="004530BA" w:rsidRPr="00056494" w:rsidRDefault="004530BA" w:rsidP="00581F7D">
            <w:pPr>
              <w:spacing w:before="120" w:after="120"/>
            </w:pPr>
          </w:p>
          <w:p w14:paraId="31BCE9CA" w14:textId="77777777" w:rsidR="004530BA" w:rsidRPr="00056494" w:rsidRDefault="004530BA" w:rsidP="00581F7D">
            <w:pPr>
              <w:spacing w:before="120" w:after="120"/>
              <w:ind w:right="473"/>
            </w:pPr>
            <w:r w:rsidRPr="00056494">
              <w:rPr>
                <w:rFonts w:cs="Arial"/>
                <w:noProof/>
                <w:color w:val="000000"/>
              </w:rPr>
              <w:drawing>
                <wp:inline distT="0" distB="0" distL="0" distR="0" wp14:anchorId="7C4E88F3" wp14:editId="6BE8DA6B">
                  <wp:extent cx="238125" cy="20002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056494">
              <w:rPr>
                <w:rFonts w:cs="Arial"/>
                <w:color w:val="000000"/>
              </w:rPr>
              <w:t xml:space="preserve">  </w:t>
            </w:r>
            <w:r w:rsidRPr="00056494">
              <w:rPr>
                <w:color w:val="000000"/>
              </w:rPr>
              <w:t>Notify the Beneficiary that</w:t>
            </w:r>
            <w:r w:rsidRPr="00056494">
              <w:rPr>
                <w:rFonts w:cs="Arial"/>
                <w:color w:val="000000"/>
              </w:rPr>
              <w:t xml:space="preserve"> </w:t>
            </w:r>
            <w:proofErr w:type="spellStart"/>
            <w:r w:rsidRPr="00056494">
              <w:rPr>
                <w:b/>
                <w:color w:val="000000"/>
              </w:rPr>
              <w:t>InstaMed</w:t>
            </w:r>
            <w:proofErr w:type="spellEnd"/>
            <w:r w:rsidRPr="00056494">
              <w:rPr>
                <w:color w:val="000000"/>
              </w:rPr>
              <w:t xml:space="preserve"> processes Medicare Part D premium payments </w:t>
            </w:r>
            <w:r w:rsidRPr="00056494">
              <w:rPr>
                <w:b/>
                <w:color w:val="000000"/>
              </w:rPr>
              <w:t xml:space="preserve">on behalf of Blue </w:t>
            </w:r>
            <w:proofErr w:type="spellStart"/>
            <w:r w:rsidRPr="00056494">
              <w:rPr>
                <w:b/>
                <w:color w:val="000000"/>
              </w:rPr>
              <w:t>MedicareRx</w:t>
            </w:r>
            <w:proofErr w:type="spellEnd"/>
            <w:r w:rsidRPr="00056494">
              <w:rPr>
                <w:color w:val="000000"/>
              </w:rPr>
              <w:t>.</w:t>
            </w:r>
          </w:p>
          <w:p w14:paraId="3761BB75" w14:textId="77777777" w:rsidR="004530BA" w:rsidRPr="00056494" w:rsidRDefault="004530BA" w:rsidP="00581F7D">
            <w:pPr>
              <w:autoSpaceDE w:val="0"/>
              <w:autoSpaceDN w:val="0"/>
              <w:adjustRightInd w:val="0"/>
              <w:spacing w:before="120" w:after="120"/>
              <w:ind w:right="473"/>
            </w:pPr>
          </w:p>
          <w:p w14:paraId="3B613F83" w14:textId="77777777" w:rsidR="004530BA" w:rsidRPr="00056494" w:rsidRDefault="004530BA" w:rsidP="00581F7D">
            <w:pPr>
              <w:autoSpaceDE w:val="0"/>
              <w:autoSpaceDN w:val="0"/>
              <w:adjustRightInd w:val="0"/>
              <w:spacing w:before="120" w:after="120"/>
              <w:ind w:right="473"/>
            </w:pPr>
            <w:r w:rsidRPr="00056494">
              <w:t xml:space="preserve">Proceed to </w:t>
            </w:r>
            <w:r w:rsidRPr="00056494">
              <w:rPr>
                <w:b/>
              </w:rPr>
              <w:t>Step 3</w:t>
            </w:r>
            <w:r w:rsidRPr="00056494">
              <w:t>.</w:t>
            </w:r>
          </w:p>
          <w:p w14:paraId="1CCE4D6C" w14:textId="77777777" w:rsidR="004530BA" w:rsidRPr="00056494" w:rsidRDefault="004530BA" w:rsidP="00581F7D">
            <w:pPr>
              <w:autoSpaceDE w:val="0"/>
              <w:autoSpaceDN w:val="0"/>
              <w:adjustRightInd w:val="0"/>
              <w:spacing w:before="120" w:after="120"/>
              <w:ind w:right="473"/>
            </w:pPr>
          </w:p>
        </w:tc>
      </w:tr>
      <w:tr w:rsidR="004530BA" w:rsidRPr="00056494" w14:paraId="45AF96F8" w14:textId="77777777" w:rsidTr="00581F7D">
        <w:trPr>
          <w:trHeight w:val="794"/>
        </w:trPr>
        <w:tc>
          <w:tcPr>
            <w:tcW w:w="118" w:type="pct"/>
            <w:vMerge/>
          </w:tcPr>
          <w:p w14:paraId="21360210" w14:textId="77777777" w:rsidR="004530BA" w:rsidRPr="00056494" w:rsidRDefault="004530BA" w:rsidP="00581F7D">
            <w:pPr>
              <w:spacing w:before="120" w:after="120"/>
              <w:jc w:val="center"/>
              <w:rPr>
                <w:b/>
              </w:rPr>
            </w:pPr>
          </w:p>
        </w:tc>
        <w:tc>
          <w:tcPr>
            <w:tcW w:w="968" w:type="pct"/>
            <w:vMerge/>
          </w:tcPr>
          <w:p w14:paraId="2FF9E5B9" w14:textId="77777777" w:rsidR="004530BA" w:rsidRPr="00056494" w:rsidRDefault="004530BA" w:rsidP="00581F7D">
            <w:pPr>
              <w:spacing w:before="120" w:after="120"/>
              <w:rPr>
                <w:b/>
              </w:rPr>
            </w:pPr>
          </w:p>
        </w:tc>
        <w:tc>
          <w:tcPr>
            <w:tcW w:w="1884" w:type="pct"/>
          </w:tcPr>
          <w:p w14:paraId="20EEAFBE" w14:textId="77777777" w:rsidR="004530BA" w:rsidRPr="00056494" w:rsidRDefault="004530BA" w:rsidP="00581F7D">
            <w:pPr>
              <w:autoSpaceDE w:val="0"/>
              <w:autoSpaceDN w:val="0"/>
              <w:adjustRightInd w:val="0"/>
              <w:spacing w:before="120" w:after="120"/>
              <w:ind w:right="473"/>
            </w:pPr>
            <w:r w:rsidRPr="00056494">
              <w:t xml:space="preserve">Today is the </w:t>
            </w:r>
            <w:proofErr w:type="spellStart"/>
            <w:r w:rsidRPr="00056494">
              <w:rPr>
                <w:b/>
              </w:rPr>
              <w:t>5th-7th</w:t>
            </w:r>
            <w:proofErr w:type="spellEnd"/>
            <w:r w:rsidRPr="00056494">
              <w:t xml:space="preserve"> of the month</w:t>
            </w:r>
          </w:p>
        </w:tc>
        <w:tc>
          <w:tcPr>
            <w:tcW w:w="2030" w:type="pct"/>
          </w:tcPr>
          <w:p w14:paraId="7FD8D513" w14:textId="77777777" w:rsidR="004530BA" w:rsidRPr="00056494" w:rsidRDefault="004530BA" w:rsidP="00581F7D">
            <w:pPr>
              <w:autoSpaceDE w:val="0"/>
              <w:autoSpaceDN w:val="0"/>
              <w:adjustRightInd w:val="0"/>
              <w:spacing w:before="120" w:after="120"/>
              <w:ind w:right="473"/>
            </w:pPr>
            <w:r w:rsidRPr="00056494">
              <w:t xml:space="preserve">Beneficiaries may make a premium payment through the IVR; however, this will </w:t>
            </w:r>
            <w:r w:rsidRPr="00056494">
              <w:rPr>
                <w:b/>
              </w:rPr>
              <w:t>not</w:t>
            </w:r>
            <w:r w:rsidRPr="00056494">
              <w:t xml:space="preserve"> affect the scheduled RCD/EFT charge for the month. This may lead to double charges </w:t>
            </w:r>
            <w:proofErr w:type="gramStart"/>
            <w:r w:rsidRPr="00056494">
              <w:t>to</w:t>
            </w:r>
            <w:proofErr w:type="gramEnd"/>
            <w:r w:rsidRPr="00056494">
              <w:t xml:space="preserve"> the beneficiary.</w:t>
            </w:r>
          </w:p>
          <w:p w14:paraId="3C733DED" w14:textId="77777777" w:rsidR="004530BA" w:rsidRPr="00056494" w:rsidRDefault="004530BA" w:rsidP="00581F7D">
            <w:pPr>
              <w:autoSpaceDE w:val="0"/>
              <w:autoSpaceDN w:val="0"/>
              <w:adjustRightInd w:val="0"/>
              <w:spacing w:before="120" w:after="120"/>
              <w:ind w:right="473"/>
            </w:pPr>
          </w:p>
          <w:p w14:paraId="2C1B8909" w14:textId="77777777" w:rsidR="004530BA" w:rsidRPr="00056494" w:rsidRDefault="004530BA" w:rsidP="00581F7D">
            <w:pPr>
              <w:spacing w:before="120" w:after="120"/>
              <w:ind w:right="473"/>
            </w:pPr>
            <w:r w:rsidRPr="00056494">
              <w:rPr>
                <w:rFonts w:cs="Arial"/>
                <w:b/>
              </w:rPr>
              <w:t xml:space="preserve">Note:  </w:t>
            </w:r>
            <w:r w:rsidRPr="00056494">
              <w:rPr>
                <w:rFonts w:cs="Arial"/>
              </w:rPr>
              <w:t>Payments can take up to</w:t>
            </w:r>
            <w:r w:rsidRPr="00056494">
              <w:rPr>
                <w:rFonts w:cs="Arial"/>
                <w:b/>
              </w:rPr>
              <w:t xml:space="preserve"> 3</w:t>
            </w:r>
            <w:r w:rsidRPr="00056494">
              <w:rPr>
                <w:rFonts w:cs="Arial"/>
              </w:rPr>
              <w:t xml:space="preserve"> calendar days to be visible in Compass.</w:t>
            </w:r>
          </w:p>
          <w:p w14:paraId="3764F33D" w14:textId="77777777" w:rsidR="004530BA" w:rsidRPr="00056494" w:rsidRDefault="004530BA" w:rsidP="00581F7D">
            <w:pPr>
              <w:spacing w:before="120" w:after="120"/>
            </w:pPr>
          </w:p>
          <w:p w14:paraId="36D44440" w14:textId="77777777" w:rsidR="004530BA" w:rsidRPr="00056494" w:rsidRDefault="004530BA" w:rsidP="00581F7D">
            <w:pPr>
              <w:spacing w:before="120" w:after="120"/>
              <w:ind w:right="473"/>
            </w:pPr>
            <w:r w:rsidRPr="00056494">
              <w:rPr>
                <w:rFonts w:cs="Arial"/>
                <w:noProof/>
                <w:color w:val="000000"/>
              </w:rPr>
              <w:drawing>
                <wp:inline distT="0" distB="0" distL="0" distR="0" wp14:anchorId="5F103CB8" wp14:editId="0CF656CF">
                  <wp:extent cx="238125" cy="20002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056494">
              <w:rPr>
                <w:rFonts w:cs="Arial"/>
                <w:color w:val="000000"/>
              </w:rPr>
              <w:t xml:space="preserve">  </w:t>
            </w:r>
            <w:r w:rsidRPr="00056494">
              <w:rPr>
                <w:color w:val="000000"/>
              </w:rPr>
              <w:t>Notify the Beneficiary that</w:t>
            </w:r>
            <w:r w:rsidRPr="00056494">
              <w:rPr>
                <w:rFonts w:cs="Arial"/>
                <w:color w:val="000000"/>
              </w:rPr>
              <w:t xml:space="preserve"> </w:t>
            </w:r>
            <w:proofErr w:type="spellStart"/>
            <w:r w:rsidRPr="00056494">
              <w:rPr>
                <w:b/>
                <w:color w:val="000000"/>
              </w:rPr>
              <w:t>InstaMed</w:t>
            </w:r>
            <w:proofErr w:type="spellEnd"/>
            <w:r w:rsidRPr="00056494">
              <w:rPr>
                <w:color w:val="000000"/>
              </w:rPr>
              <w:t xml:space="preserve"> processes Medicare Part D premium payments </w:t>
            </w:r>
            <w:r w:rsidRPr="00056494">
              <w:rPr>
                <w:b/>
                <w:color w:val="000000"/>
              </w:rPr>
              <w:t xml:space="preserve">on behalf of Blue </w:t>
            </w:r>
            <w:proofErr w:type="spellStart"/>
            <w:r w:rsidRPr="00056494">
              <w:rPr>
                <w:b/>
                <w:color w:val="000000"/>
              </w:rPr>
              <w:t>MedicareRx</w:t>
            </w:r>
            <w:proofErr w:type="spellEnd"/>
            <w:r w:rsidRPr="00056494">
              <w:rPr>
                <w:color w:val="000000"/>
              </w:rPr>
              <w:t>.</w:t>
            </w:r>
          </w:p>
          <w:p w14:paraId="084B23F8" w14:textId="77777777" w:rsidR="004530BA" w:rsidRPr="00056494" w:rsidRDefault="004530BA" w:rsidP="00581F7D">
            <w:pPr>
              <w:spacing w:before="120" w:after="120"/>
              <w:ind w:right="473"/>
            </w:pPr>
          </w:p>
        </w:tc>
      </w:tr>
      <w:tr w:rsidR="004530BA" w:rsidRPr="00056494" w14:paraId="0BCAD655" w14:textId="77777777" w:rsidTr="00581F7D">
        <w:trPr>
          <w:trHeight w:val="794"/>
        </w:trPr>
        <w:tc>
          <w:tcPr>
            <w:tcW w:w="118" w:type="pct"/>
            <w:vMerge/>
          </w:tcPr>
          <w:p w14:paraId="7C3F7292" w14:textId="77777777" w:rsidR="004530BA" w:rsidRPr="00056494" w:rsidRDefault="004530BA" w:rsidP="00581F7D">
            <w:pPr>
              <w:spacing w:before="120" w:after="120"/>
              <w:jc w:val="center"/>
              <w:rPr>
                <w:b/>
              </w:rPr>
            </w:pPr>
          </w:p>
        </w:tc>
        <w:tc>
          <w:tcPr>
            <w:tcW w:w="968" w:type="pct"/>
            <w:vMerge/>
          </w:tcPr>
          <w:p w14:paraId="291B3A02" w14:textId="77777777" w:rsidR="004530BA" w:rsidRPr="00056494" w:rsidRDefault="004530BA" w:rsidP="00581F7D">
            <w:pPr>
              <w:spacing w:before="120" w:after="120"/>
              <w:rPr>
                <w:b/>
              </w:rPr>
            </w:pPr>
          </w:p>
        </w:tc>
        <w:tc>
          <w:tcPr>
            <w:tcW w:w="1884" w:type="pct"/>
          </w:tcPr>
          <w:p w14:paraId="148D3905" w14:textId="77777777" w:rsidR="004530BA" w:rsidRPr="00056494" w:rsidRDefault="004530BA" w:rsidP="00581F7D">
            <w:pPr>
              <w:autoSpaceDE w:val="0"/>
              <w:autoSpaceDN w:val="0"/>
              <w:adjustRightInd w:val="0"/>
              <w:spacing w:before="120" w:after="120"/>
              <w:ind w:right="473"/>
            </w:pPr>
            <w:r w:rsidRPr="00056494">
              <w:t xml:space="preserve">Today is the </w:t>
            </w:r>
            <w:r w:rsidRPr="00056494">
              <w:rPr>
                <w:b/>
              </w:rPr>
              <w:t>8th, 9th, or 10th</w:t>
            </w:r>
            <w:r w:rsidRPr="00056494">
              <w:t xml:space="preserve"> of the month</w:t>
            </w:r>
          </w:p>
        </w:tc>
        <w:tc>
          <w:tcPr>
            <w:tcW w:w="2030" w:type="pct"/>
          </w:tcPr>
          <w:p w14:paraId="08D12393" w14:textId="77777777" w:rsidR="004530BA" w:rsidRPr="00056494" w:rsidRDefault="004530BA" w:rsidP="00581F7D">
            <w:pPr>
              <w:autoSpaceDE w:val="0"/>
              <w:autoSpaceDN w:val="0"/>
              <w:adjustRightInd w:val="0"/>
              <w:spacing w:before="120" w:after="120"/>
              <w:ind w:right="473"/>
            </w:pPr>
            <w:r w:rsidRPr="00056494">
              <w:t xml:space="preserve">The RCD/EFT may have </w:t>
            </w:r>
            <w:r w:rsidRPr="00056494">
              <w:rPr>
                <w:b/>
              </w:rPr>
              <w:t>already</w:t>
            </w:r>
            <w:r w:rsidRPr="00056494">
              <w:t xml:space="preserve"> </w:t>
            </w:r>
            <w:proofErr w:type="gramStart"/>
            <w:r w:rsidRPr="00056494">
              <w:t>charged or be</w:t>
            </w:r>
            <w:proofErr w:type="gramEnd"/>
            <w:r w:rsidRPr="00056494">
              <w:t xml:space="preserve"> </w:t>
            </w:r>
            <w:r w:rsidRPr="00056494">
              <w:rPr>
                <w:b/>
              </w:rPr>
              <w:t>scheduled</w:t>
            </w:r>
            <w:r w:rsidRPr="00056494">
              <w:t xml:space="preserve"> to charge. While the IVR will accept payment, this may lead to doubled charges to the beneficiary.</w:t>
            </w:r>
          </w:p>
          <w:p w14:paraId="5A4E7F10" w14:textId="77777777" w:rsidR="004530BA" w:rsidRPr="00056494" w:rsidRDefault="004530BA" w:rsidP="00581F7D">
            <w:pPr>
              <w:autoSpaceDE w:val="0"/>
              <w:autoSpaceDN w:val="0"/>
              <w:adjustRightInd w:val="0"/>
              <w:spacing w:before="120" w:after="120"/>
              <w:ind w:right="473"/>
              <w:rPr>
                <w:rFonts w:cs="Arial"/>
                <w:color w:val="000000"/>
              </w:rPr>
            </w:pPr>
          </w:p>
          <w:p w14:paraId="106D7FA7" w14:textId="77777777" w:rsidR="004530BA" w:rsidRPr="00056494" w:rsidRDefault="004530BA" w:rsidP="00581F7D">
            <w:pPr>
              <w:autoSpaceDE w:val="0"/>
              <w:autoSpaceDN w:val="0"/>
              <w:adjustRightInd w:val="0"/>
              <w:spacing w:before="120" w:after="120"/>
              <w:ind w:right="473"/>
              <w:rPr>
                <w:rFonts w:cs="Arial"/>
                <w:color w:val="000000"/>
              </w:rPr>
            </w:pPr>
            <w:r w:rsidRPr="00056494">
              <w:rPr>
                <w:rFonts w:cs="Arial"/>
                <w:noProof/>
                <w:color w:val="000000"/>
              </w:rPr>
              <w:drawing>
                <wp:inline distT="0" distB="0" distL="0" distR="0" wp14:anchorId="616CEF41" wp14:editId="2B238953">
                  <wp:extent cx="238125"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056494">
              <w:rPr>
                <w:rFonts w:cs="Arial"/>
                <w:color w:val="000000"/>
              </w:rPr>
              <w:t xml:space="preserve">  RCD/EFT charges between the </w:t>
            </w:r>
            <w:r w:rsidRPr="00056494">
              <w:rPr>
                <w:rFonts w:cs="Arial"/>
                <w:b/>
                <w:color w:val="000000"/>
              </w:rPr>
              <w:t>8th &amp; 10th</w:t>
            </w:r>
            <w:r w:rsidRPr="00056494">
              <w:rPr>
                <w:rFonts w:cs="Arial"/>
                <w:color w:val="000000"/>
              </w:rPr>
              <w:t xml:space="preserve"> of each month for the balance due on </w:t>
            </w:r>
            <w:proofErr w:type="gramStart"/>
            <w:r w:rsidRPr="00056494">
              <w:rPr>
                <w:rFonts w:cs="Arial"/>
                <w:color w:val="000000"/>
              </w:rPr>
              <w:t>the account as</w:t>
            </w:r>
            <w:proofErr w:type="gramEnd"/>
            <w:r w:rsidRPr="00056494">
              <w:rPr>
                <w:rFonts w:cs="Arial"/>
                <w:color w:val="000000"/>
              </w:rPr>
              <w:t xml:space="preserve"> of that month’s billing. Adding a card/banking information for RCD/EFT of premiums </w:t>
            </w:r>
            <w:r w:rsidRPr="00056494">
              <w:rPr>
                <w:rFonts w:cs="Arial"/>
                <w:b/>
                <w:color w:val="000000"/>
              </w:rPr>
              <w:t>as late as the 6th</w:t>
            </w:r>
            <w:r w:rsidRPr="00056494">
              <w:rPr>
                <w:rFonts w:cs="Arial"/>
                <w:color w:val="000000"/>
              </w:rPr>
              <w:t xml:space="preserve"> of the month will enable </w:t>
            </w:r>
            <w:proofErr w:type="gramStart"/>
            <w:r w:rsidRPr="00056494">
              <w:rPr>
                <w:rFonts w:cs="Arial"/>
                <w:color w:val="000000"/>
              </w:rPr>
              <w:t>a payment</w:t>
            </w:r>
            <w:proofErr w:type="gramEnd"/>
            <w:r w:rsidRPr="00056494">
              <w:rPr>
                <w:rFonts w:cs="Arial"/>
                <w:color w:val="000000"/>
              </w:rPr>
              <w:t xml:space="preserve"> to </w:t>
            </w:r>
            <w:proofErr w:type="gramStart"/>
            <w:r w:rsidRPr="00056494">
              <w:rPr>
                <w:rFonts w:cs="Arial"/>
                <w:color w:val="000000"/>
              </w:rPr>
              <w:t>schedule</w:t>
            </w:r>
            <w:proofErr w:type="gramEnd"/>
            <w:r w:rsidRPr="00056494">
              <w:rPr>
                <w:rFonts w:cs="Arial"/>
                <w:color w:val="000000"/>
              </w:rPr>
              <w:t xml:space="preserve"> in the current </w:t>
            </w:r>
            <w:proofErr w:type="gramStart"/>
            <w:r w:rsidRPr="00056494">
              <w:rPr>
                <w:rFonts w:cs="Arial"/>
                <w:color w:val="000000"/>
              </w:rPr>
              <w:t>month,</w:t>
            </w:r>
            <w:proofErr w:type="gramEnd"/>
            <w:r w:rsidRPr="00056494">
              <w:rPr>
                <w:rFonts w:cs="Arial"/>
                <w:color w:val="000000"/>
              </w:rPr>
              <w:t xml:space="preserve"> if there was a balance due at the beginning of the month. The IVR offers RCD/EFT </w:t>
            </w:r>
            <w:r w:rsidRPr="00056494">
              <w:rPr>
                <w:rFonts w:cs="Arial"/>
                <w:b/>
                <w:color w:val="000000"/>
              </w:rPr>
              <w:t>after</w:t>
            </w:r>
            <w:r w:rsidRPr="00056494">
              <w:rPr>
                <w:rFonts w:cs="Arial"/>
                <w:color w:val="000000"/>
              </w:rPr>
              <w:t xml:space="preserve"> one-time payment; beneficiaries enrolling in autopay from the </w:t>
            </w:r>
            <w:proofErr w:type="spellStart"/>
            <w:r w:rsidRPr="00056494">
              <w:rPr>
                <w:rFonts w:cs="Arial"/>
                <w:color w:val="000000"/>
              </w:rPr>
              <w:t>1st-6th</w:t>
            </w:r>
            <w:proofErr w:type="spellEnd"/>
            <w:r w:rsidRPr="00056494">
              <w:rPr>
                <w:rFonts w:cs="Arial"/>
                <w:color w:val="000000"/>
              </w:rPr>
              <w:t xml:space="preserve"> may have an autopay charge in addition to the IVR payment.</w:t>
            </w:r>
          </w:p>
          <w:p w14:paraId="53C6E04A" w14:textId="77777777" w:rsidR="004530BA" w:rsidRPr="00056494" w:rsidRDefault="004530BA" w:rsidP="00581F7D">
            <w:pPr>
              <w:autoSpaceDE w:val="0"/>
              <w:autoSpaceDN w:val="0"/>
              <w:adjustRightInd w:val="0"/>
              <w:spacing w:before="120" w:after="120"/>
              <w:ind w:right="473"/>
              <w:rPr>
                <w:rFonts w:cs="Arial"/>
                <w:color w:val="000000"/>
              </w:rPr>
            </w:pPr>
          </w:p>
          <w:p w14:paraId="0F9760AF" w14:textId="77777777" w:rsidR="004530BA" w:rsidRPr="00056494" w:rsidRDefault="004530BA" w:rsidP="00581F7D">
            <w:pPr>
              <w:spacing w:before="120" w:after="120"/>
              <w:ind w:right="473"/>
            </w:pPr>
            <w:r w:rsidRPr="00056494">
              <w:rPr>
                <w:rFonts w:cs="Arial"/>
                <w:b/>
              </w:rPr>
              <w:t xml:space="preserve">Note:  </w:t>
            </w:r>
            <w:r w:rsidRPr="00056494">
              <w:rPr>
                <w:rFonts w:cs="Arial"/>
              </w:rPr>
              <w:t>Payments can take up to</w:t>
            </w:r>
            <w:r w:rsidRPr="00056494">
              <w:rPr>
                <w:rFonts w:cs="Arial"/>
                <w:b/>
              </w:rPr>
              <w:t xml:space="preserve"> 3</w:t>
            </w:r>
            <w:r w:rsidRPr="00056494">
              <w:rPr>
                <w:rFonts w:cs="Arial"/>
              </w:rPr>
              <w:t xml:space="preserve"> calendar days to be visible in Compass.</w:t>
            </w:r>
          </w:p>
          <w:p w14:paraId="3D64DF55" w14:textId="77777777" w:rsidR="004530BA" w:rsidRPr="00056494" w:rsidRDefault="004530BA" w:rsidP="00581F7D">
            <w:pPr>
              <w:spacing w:before="120" w:after="120"/>
            </w:pPr>
          </w:p>
          <w:p w14:paraId="61D89DD6" w14:textId="77777777" w:rsidR="004530BA" w:rsidRPr="00056494" w:rsidRDefault="004530BA" w:rsidP="00581F7D">
            <w:pPr>
              <w:spacing w:before="120" w:after="120"/>
              <w:ind w:right="473"/>
            </w:pPr>
            <w:r w:rsidRPr="00056494">
              <w:rPr>
                <w:rFonts w:cs="Arial"/>
                <w:noProof/>
                <w:color w:val="000000"/>
              </w:rPr>
              <w:drawing>
                <wp:inline distT="0" distB="0" distL="0" distR="0" wp14:anchorId="0D580089" wp14:editId="041930E9">
                  <wp:extent cx="238125" cy="20002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056494">
              <w:rPr>
                <w:rFonts w:cs="Arial"/>
                <w:color w:val="000000"/>
              </w:rPr>
              <w:t xml:space="preserve"> </w:t>
            </w:r>
            <w:r w:rsidRPr="00056494">
              <w:rPr>
                <w:color w:val="000000"/>
              </w:rPr>
              <w:t xml:space="preserve"> Notify the Beneficiary that</w:t>
            </w:r>
            <w:r w:rsidRPr="00056494">
              <w:rPr>
                <w:rFonts w:cs="Arial"/>
                <w:color w:val="000000"/>
              </w:rPr>
              <w:t xml:space="preserve"> </w:t>
            </w:r>
            <w:proofErr w:type="spellStart"/>
            <w:r w:rsidRPr="00056494">
              <w:rPr>
                <w:b/>
                <w:color w:val="000000"/>
              </w:rPr>
              <w:t>InstaMed</w:t>
            </w:r>
            <w:proofErr w:type="spellEnd"/>
            <w:r w:rsidRPr="00056494">
              <w:rPr>
                <w:color w:val="000000"/>
              </w:rPr>
              <w:t xml:space="preserve"> processes Medicare Part D premium payments </w:t>
            </w:r>
            <w:r w:rsidRPr="00056494">
              <w:rPr>
                <w:b/>
                <w:color w:val="000000"/>
              </w:rPr>
              <w:t xml:space="preserve">on behalf of Blue </w:t>
            </w:r>
            <w:proofErr w:type="spellStart"/>
            <w:r w:rsidRPr="00056494">
              <w:rPr>
                <w:b/>
                <w:color w:val="000000"/>
              </w:rPr>
              <w:t>MedicareRx</w:t>
            </w:r>
            <w:proofErr w:type="spellEnd"/>
            <w:r w:rsidRPr="00056494">
              <w:rPr>
                <w:color w:val="000000"/>
              </w:rPr>
              <w:t>.</w:t>
            </w:r>
          </w:p>
          <w:p w14:paraId="4E2C1267" w14:textId="77777777" w:rsidR="004530BA" w:rsidRPr="00056494" w:rsidRDefault="004530BA" w:rsidP="00581F7D">
            <w:pPr>
              <w:autoSpaceDE w:val="0"/>
              <w:autoSpaceDN w:val="0"/>
              <w:adjustRightInd w:val="0"/>
              <w:spacing w:before="120" w:after="120"/>
              <w:ind w:right="473"/>
              <w:rPr>
                <w:rFonts w:cs="Arial"/>
                <w:color w:val="000000"/>
              </w:rPr>
            </w:pPr>
          </w:p>
        </w:tc>
      </w:tr>
      <w:tr w:rsidR="004530BA" w:rsidRPr="00056494" w14:paraId="26D487C3" w14:textId="77777777" w:rsidTr="00581F7D">
        <w:trPr>
          <w:trHeight w:val="186"/>
        </w:trPr>
        <w:tc>
          <w:tcPr>
            <w:tcW w:w="118" w:type="pct"/>
            <w:vMerge/>
          </w:tcPr>
          <w:p w14:paraId="7F8D3758" w14:textId="77777777" w:rsidR="004530BA" w:rsidRPr="00056494" w:rsidRDefault="004530BA" w:rsidP="00581F7D">
            <w:pPr>
              <w:spacing w:before="120" w:after="120"/>
              <w:jc w:val="center"/>
              <w:rPr>
                <w:b/>
              </w:rPr>
            </w:pPr>
          </w:p>
        </w:tc>
        <w:tc>
          <w:tcPr>
            <w:tcW w:w="968" w:type="pct"/>
          </w:tcPr>
          <w:p w14:paraId="67911B36" w14:textId="77777777" w:rsidR="004530BA" w:rsidRPr="00056494" w:rsidRDefault="004530BA" w:rsidP="00581F7D">
            <w:pPr>
              <w:spacing w:before="120" w:after="120"/>
            </w:pPr>
            <w:r w:rsidRPr="00056494">
              <w:rPr>
                <w:noProof/>
              </w:rPr>
              <w:t xml:space="preserve">A </w:t>
            </w:r>
            <w:r w:rsidRPr="00056494">
              <w:rPr>
                <w:b/>
                <w:noProof/>
              </w:rPr>
              <w:t>Stock ID</w:t>
            </w:r>
            <w:r w:rsidRPr="00056494">
              <w:rPr>
                <w:noProof/>
              </w:rPr>
              <w:t xml:space="preserve"> of </w:t>
            </w:r>
            <w:r w:rsidRPr="00056494">
              <w:rPr>
                <w:b/>
                <w:noProof/>
              </w:rPr>
              <w:t>SSA</w:t>
            </w:r>
            <w:r w:rsidRPr="00056494">
              <w:rPr>
                <w:noProof/>
              </w:rPr>
              <w:t xml:space="preserve"> in the specified date range</w:t>
            </w:r>
          </w:p>
        </w:tc>
        <w:tc>
          <w:tcPr>
            <w:tcW w:w="3914" w:type="pct"/>
            <w:gridSpan w:val="2"/>
            <w:tcBorders>
              <w:bottom w:val="single" w:sz="4" w:space="0" w:color="auto"/>
            </w:tcBorders>
          </w:tcPr>
          <w:p w14:paraId="44CDC45A" w14:textId="77777777" w:rsidR="004530BA" w:rsidRPr="00056494" w:rsidRDefault="004530BA" w:rsidP="00581F7D">
            <w:pPr>
              <w:autoSpaceDE w:val="0"/>
              <w:autoSpaceDN w:val="0"/>
              <w:adjustRightInd w:val="0"/>
              <w:spacing w:before="120" w:after="120"/>
              <w:ind w:right="473"/>
              <w:rPr>
                <w:noProof/>
              </w:rPr>
            </w:pPr>
            <w:r w:rsidRPr="00056494">
              <w:rPr>
                <w:noProof/>
              </w:rPr>
              <w:t xml:space="preserve">The </w:t>
            </w:r>
            <w:r w:rsidRPr="00056494">
              <w:rPr>
                <w:b/>
                <w:noProof/>
              </w:rPr>
              <w:t>Automatic CC Payment</w:t>
            </w:r>
            <w:r w:rsidRPr="00056494">
              <w:rPr>
                <w:noProof/>
              </w:rPr>
              <w:t xml:space="preserve"> button is no longer accessible</w:t>
            </w:r>
          </w:p>
          <w:p w14:paraId="24F29374" w14:textId="77777777" w:rsidR="004530BA" w:rsidRPr="00056494" w:rsidRDefault="004530BA" w:rsidP="00581F7D">
            <w:pPr>
              <w:autoSpaceDE w:val="0"/>
              <w:autoSpaceDN w:val="0"/>
              <w:adjustRightInd w:val="0"/>
              <w:spacing w:before="120" w:after="120"/>
              <w:ind w:right="473"/>
              <w:rPr>
                <w:noProof/>
              </w:rPr>
            </w:pPr>
          </w:p>
          <w:p w14:paraId="090F8C0E" w14:textId="77777777" w:rsidR="004530BA" w:rsidRPr="00056494" w:rsidRDefault="004530BA" w:rsidP="00581F7D">
            <w:pPr>
              <w:autoSpaceDE w:val="0"/>
              <w:autoSpaceDN w:val="0"/>
              <w:adjustRightInd w:val="0"/>
              <w:spacing w:before="120" w:after="120"/>
              <w:ind w:right="473"/>
              <w:jc w:val="center"/>
              <w:rPr>
                <w:noProof/>
              </w:rPr>
            </w:pPr>
            <w:r w:rsidRPr="00056494">
              <w:rPr>
                <w:noProof/>
              </w:rPr>
              <w:drawing>
                <wp:inline distT="0" distB="0" distL="0" distR="0" wp14:anchorId="55760368" wp14:editId="2B6D7F6E">
                  <wp:extent cx="6896100" cy="762000"/>
                  <wp:effectExtent l="19050" t="1905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6100" cy="762000"/>
                          </a:xfrm>
                          <a:prstGeom prst="rect">
                            <a:avLst/>
                          </a:prstGeom>
                          <a:noFill/>
                          <a:ln w="9525" cmpd="sng">
                            <a:solidFill>
                              <a:srgbClr val="000000"/>
                            </a:solidFill>
                            <a:miter lim="800000"/>
                            <a:headEnd/>
                            <a:tailEnd/>
                          </a:ln>
                          <a:effectLst/>
                        </pic:spPr>
                      </pic:pic>
                    </a:graphicData>
                  </a:graphic>
                </wp:inline>
              </w:drawing>
            </w:r>
          </w:p>
          <w:p w14:paraId="347CB06E" w14:textId="77777777" w:rsidR="004530BA" w:rsidRPr="00056494" w:rsidRDefault="004530BA" w:rsidP="00581F7D">
            <w:pPr>
              <w:autoSpaceDE w:val="0"/>
              <w:autoSpaceDN w:val="0"/>
              <w:adjustRightInd w:val="0"/>
              <w:spacing w:before="120" w:after="120"/>
              <w:ind w:right="473"/>
              <w:jc w:val="center"/>
            </w:pPr>
          </w:p>
          <w:p w14:paraId="2E894068" w14:textId="77777777" w:rsidR="004530BA" w:rsidRPr="00056494" w:rsidRDefault="004530BA" w:rsidP="00581F7D">
            <w:pPr>
              <w:spacing w:before="120" w:after="120"/>
            </w:pPr>
            <w:r w:rsidRPr="00056494">
              <w:rPr>
                <w:rFonts w:cs="Arial"/>
                <w:noProof/>
                <w:color w:val="000000"/>
              </w:rPr>
              <w:drawing>
                <wp:inline distT="0" distB="0" distL="0" distR="0" wp14:anchorId="22BE5FDA" wp14:editId="7C6FED35">
                  <wp:extent cx="238125" cy="20002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056494">
              <w:rPr>
                <w:rFonts w:cs="Arial"/>
                <w:color w:val="000000"/>
              </w:rPr>
              <w:t xml:space="preserve">  </w:t>
            </w:r>
            <w:r w:rsidRPr="00056494">
              <w:t xml:space="preserve">Do </w:t>
            </w:r>
            <w:r w:rsidRPr="00056494">
              <w:rPr>
                <w:b/>
              </w:rPr>
              <w:t>NOT</w:t>
            </w:r>
            <w:r w:rsidRPr="00056494">
              <w:t xml:space="preserve"> advise the beneficiary to make a payment via the IVR, </w:t>
            </w:r>
            <w:r w:rsidRPr="00056494">
              <w:rPr>
                <w:b/>
              </w:rPr>
              <w:t>unless</w:t>
            </w:r>
            <w:r w:rsidRPr="00056494">
              <w:t xml:space="preserve"> there is a premium due from prior to </w:t>
            </w:r>
            <w:proofErr w:type="spellStart"/>
            <w:r w:rsidRPr="00056494">
              <w:t>SSA</w:t>
            </w:r>
            <w:proofErr w:type="spellEnd"/>
            <w:r w:rsidRPr="00056494">
              <w:t xml:space="preserve"> effective date. NOTE:  Invoices are sent when a beneficiary has a balance due not covered by the </w:t>
            </w:r>
            <w:proofErr w:type="spellStart"/>
            <w:r w:rsidRPr="00056494">
              <w:t>SSA</w:t>
            </w:r>
            <w:proofErr w:type="spellEnd"/>
            <w:r w:rsidRPr="00056494">
              <w:t xml:space="preserve"> </w:t>
            </w:r>
            <w:proofErr w:type="spellStart"/>
            <w:r w:rsidRPr="00056494">
              <w:t>PWO</w:t>
            </w:r>
            <w:proofErr w:type="spellEnd"/>
            <w:r w:rsidRPr="00056494">
              <w:t xml:space="preserve">. View recent invoices in </w:t>
            </w:r>
            <w:r w:rsidRPr="00056494">
              <w:rPr>
                <w:b/>
              </w:rPr>
              <w:t>OneClick</w:t>
            </w:r>
            <w:r w:rsidRPr="00056494">
              <w:t xml:space="preserve"> to see if the below notice is in the upper right.</w:t>
            </w:r>
          </w:p>
          <w:p w14:paraId="6278A474" w14:textId="77777777" w:rsidR="004530BA" w:rsidRPr="00056494" w:rsidRDefault="004530BA" w:rsidP="00581F7D">
            <w:pPr>
              <w:spacing w:before="120" w:after="120"/>
              <w:jc w:val="center"/>
            </w:pPr>
            <w:r w:rsidRPr="00056494">
              <w:rPr>
                <w:noProof/>
              </w:rPr>
              <w:drawing>
                <wp:inline distT="0" distB="0" distL="0" distR="0" wp14:anchorId="6CEC013D" wp14:editId="34F86C15">
                  <wp:extent cx="3457575" cy="1666875"/>
                  <wp:effectExtent l="19050" t="19050" r="28575" b="285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666875"/>
                          </a:xfrm>
                          <a:prstGeom prst="rect">
                            <a:avLst/>
                          </a:prstGeom>
                          <a:noFill/>
                          <a:ln>
                            <a:solidFill>
                              <a:schemeClr val="tx1"/>
                            </a:solidFill>
                          </a:ln>
                        </pic:spPr>
                      </pic:pic>
                    </a:graphicData>
                  </a:graphic>
                </wp:inline>
              </w:drawing>
            </w:r>
          </w:p>
          <w:p w14:paraId="4949EBB4" w14:textId="77777777" w:rsidR="004530BA" w:rsidRPr="00056494" w:rsidRDefault="004530BA" w:rsidP="00581F7D">
            <w:pPr>
              <w:spacing w:before="120" w:after="120"/>
            </w:pPr>
          </w:p>
          <w:p w14:paraId="33E43202" w14:textId="77777777" w:rsidR="004530BA" w:rsidRPr="00056494" w:rsidRDefault="004530BA" w:rsidP="00581F7D">
            <w:pPr>
              <w:spacing w:before="120" w:after="120"/>
            </w:pPr>
            <w:r w:rsidRPr="00056494">
              <w:t>If the beneficiary would like to change their Payment Withholding Option (</w:t>
            </w:r>
            <w:proofErr w:type="spellStart"/>
            <w:r w:rsidRPr="00056494">
              <w:t>PWO</w:t>
            </w:r>
            <w:proofErr w:type="spellEnd"/>
            <w:r w:rsidRPr="00056494">
              <w:t xml:space="preserve">), the </w:t>
            </w:r>
            <w:proofErr w:type="spellStart"/>
            <w:r w:rsidRPr="00056494">
              <w:t>SSA</w:t>
            </w:r>
            <w:proofErr w:type="spellEnd"/>
            <w:r w:rsidRPr="00056494">
              <w:t xml:space="preserve"> must be stopped first before EFT/RCD can be added, refer to </w:t>
            </w:r>
            <w:hyperlink r:id="rId12" w:anchor="!/view?docid=4dcbc11e-22f0-42b9-b743-5a8e46d54842" w:history="1">
              <w:r w:rsidRPr="00056494">
                <w:rPr>
                  <w:rStyle w:val="Hyperlink"/>
                  <w:rFonts w:eastAsiaTheme="majorEastAsia"/>
                </w:rPr>
                <w:t xml:space="preserve">Compass MED D - Blue </w:t>
              </w:r>
              <w:proofErr w:type="spellStart"/>
              <w:r w:rsidRPr="00056494">
                <w:rPr>
                  <w:rStyle w:val="Hyperlink"/>
                  <w:rFonts w:eastAsiaTheme="majorEastAsia"/>
                </w:rPr>
                <w:t>MedicareRx</w:t>
              </w:r>
              <w:proofErr w:type="spellEnd"/>
              <w:r w:rsidRPr="00056494">
                <w:rPr>
                  <w:rStyle w:val="Hyperlink"/>
                  <w:rFonts w:eastAsiaTheme="majorEastAsia"/>
                </w:rPr>
                <w:t xml:space="preserve"> (</w:t>
              </w:r>
              <w:proofErr w:type="spellStart"/>
              <w:r w:rsidRPr="00056494">
                <w:rPr>
                  <w:rStyle w:val="Hyperlink"/>
                  <w:rFonts w:eastAsiaTheme="majorEastAsia"/>
                </w:rPr>
                <w:t>NEJE</w:t>
              </w:r>
              <w:proofErr w:type="spellEnd"/>
              <w:r w:rsidRPr="00056494">
                <w:rPr>
                  <w:rStyle w:val="Hyperlink"/>
                  <w:rFonts w:eastAsiaTheme="majorEastAsia"/>
                </w:rPr>
                <w:t xml:space="preserve">) - </w:t>
              </w:r>
              <w:proofErr w:type="spellStart"/>
              <w:r w:rsidRPr="00056494">
                <w:rPr>
                  <w:rStyle w:val="Hyperlink"/>
                  <w:rFonts w:eastAsiaTheme="majorEastAsia"/>
                </w:rPr>
                <w:t>SSA</w:t>
              </w:r>
              <w:proofErr w:type="spellEnd"/>
              <w:r w:rsidRPr="00056494">
                <w:rPr>
                  <w:rStyle w:val="Hyperlink"/>
                  <w:rFonts w:eastAsiaTheme="majorEastAsia"/>
                </w:rPr>
                <w:t>/</w:t>
              </w:r>
              <w:proofErr w:type="spellStart"/>
              <w:r w:rsidRPr="00056494">
                <w:rPr>
                  <w:rStyle w:val="Hyperlink"/>
                  <w:rFonts w:eastAsiaTheme="majorEastAsia"/>
                </w:rPr>
                <w:t>RRB</w:t>
              </w:r>
              <w:proofErr w:type="spellEnd"/>
              <w:r w:rsidRPr="00056494">
                <w:rPr>
                  <w:rStyle w:val="Hyperlink"/>
                  <w:rFonts w:eastAsiaTheme="majorEastAsia"/>
                </w:rPr>
                <w:t xml:space="preserve"> Premium Withholding (066486)</w:t>
              </w:r>
            </w:hyperlink>
            <w:r w:rsidRPr="00056494">
              <w:t>.</w:t>
            </w:r>
          </w:p>
          <w:p w14:paraId="545F337E" w14:textId="77777777" w:rsidR="004530BA" w:rsidRPr="00056494" w:rsidRDefault="004530BA" w:rsidP="00581F7D">
            <w:pPr>
              <w:spacing w:before="120" w:after="120"/>
            </w:pPr>
          </w:p>
          <w:p w14:paraId="63474E86" w14:textId="77777777" w:rsidR="004530BA" w:rsidRPr="00056494" w:rsidRDefault="004530BA" w:rsidP="00581F7D">
            <w:pPr>
              <w:spacing w:before="120" w:after="120"/>
            </w:pPr>
            <w:r w:rsidRPr="00056494">
              <w:rPr>
                <w:b/>
              </w:rPr>
              <w:t xml:space="preserve">Note:  </w:t>
            </w:r>
            <w:r w:rsidRPr="00056494">
              <w:t xml:space="preserve">The </w:t>
            </w:r>
            <w:r w:rsidRPr="00056494">
              <w:rPr>
                <w:b/>
              </w:rPr>
              <w:t>Premium Payment IVR</w:t>
            </w:r>
            <w:r w:rsidRPr="00056494">
              <w:t xml:space="preserve"> may offer EFT/RCD &amp; accept a one-time payment from the beneficiary, however, the </w:t>
            </w:r>
            <w:r w:rsidRPr="00056494">
              <w:rPr>
                <w:b/>
              </w:rPr>
              <w:t>IVR autopay</w:t>
            </w:r>
            <w:r w:rsidRPr="00056494">
              <w:t xml:space="preserve"> request will be </w:t>
            </w:r>
            <w:r w:rsidRPr="00056494">
              <w:rPr>
                <w:b/>
              </w:rPr>
              <w:t>denied</w:t>
            </w:r>
            <w:r w:rsidRPr="00056494">
              <w:t xml:space="preserve"> by Premium Billing for existing </w:t>
            </w:r>
            <w:proofErr w:type="spellStart"/>
            <w:r w:rsidRPr="00056494">
              <w:t>SSA</w:t>
            </w:r>
            <w:proofErr w:type="spellEnd"/>
            <w:r w:rsidRPr="00056494">
              <w:t xml:space="preserve"> </w:t>
            </w:r>
            <w:proofErr w:type="spellStart"/>
            <w:r w:rsidRPr="00056494">
              <w:t>pwo</w:t>
            </w:r>
            <w:proofErr w:type="spellEnd"/>
            <w:r w:rsidRPr="00056494">
              <w:t xml:space="preserve"> accounts. </w:t>
            </w:r>
          </w:p>
          <w:p w14:paraId="419C5E25" w14:textId="77777777" w:rsidR="004530BA" w:rsidRPr="00056494" w:rsidRDefault="004530BA" w:rsidP="00581F7D">
            <w:pPr>
              <w:spacing w:before="120" w:after="120"/>
            </w:pPr>
          </w:p>
        </w:tc>
      </w:tr>
      <w:tr w:rsidR="004530BA" w:rsidRPr="00056494" w14:paraId="4B57DB18" w14:textId="77777777" w:rsidTr="00581F7D">
        <w:tc>
          <w:tcPr>
            <w:tcW w:w="118" w:type="pct"/>
          </w:tcPr>
          <w:p w14:paraId="426900E8" w14:textId="77777777" w:rsidR="004530BA" w:rsidRPr="00056494" w:rsidRDefault="004530BA" w:rsidP="00581F7D">
            <w:pPr>
              <w:spacing w:before="120" w:after="120"/>
              <w:jc w:val="center"/>
              <w:rPr>
                <w:b/>
              </w:rPr>
            </w:pPr>
            <w:r w:rsidRPr="00056494">
              <w:rPr>
                <w:b/>
              </w:rPr>
              <w:t>3</w:t>
            </w:r>
          </w:p>
        </w:tc>
        <w:tc>
          <w:tcPr>
            <w:tcW w:w="4882" w:type="pct"/>
            <w:gridSpan w:val="3"/>
          </w:tcPr>
          <w:p w14:paraId="51549F8B" w14:textId="77777777" w:rsidR="004530BA" w:rsidRPr="00056494" w:rsidRDefault="004530BA" w:rsidP="00581F7D">
            <w:pPr>
              <w:autoSpaceDE w:val="0"/>
              <w:autoSpaceDN w:val="0"/>
              <w:adjustRightInd w:val="0"/>
              <w:spacing w:before="120" w:after="120"/>
              <w:ind w:right="473"/>
              <w:rPr>
                <w:noProof/>
              </w:rPr>
            </w:pPr>
            <w:r w:rsidRPr="00056494">
              <w:rPr>
                <w:noProof/>
              </w:rPr>
              <w:t xml:space="preserve">Display all </w:t>
            </w:r>
            <w:r w:rsidRPr="00056494">
              <w:rPr>
                <w:b/>
                <w:noProof/>
              </w:rPr>
              <w:t>Payments &amp; Adjustments</w:t>
            </w:r>
            <w:r w:rsidRPr="00056494">
              <w:rPr>
                <w:noProof/>
              </w:rPr>
              <w:t xml:space="preserve"> as well as </w:t>
            </w:r>
            <w:r w:rsidRPr="00056494">
              <w:rPr>
                <w:b/>
                <w:noProof/>
              </w:rPr>
              <w:t>Rate Data</w:t>
            </w:r>
            <w:r w:rsidRPr="00056494">
              <w:rPr>
                <w:noProof/>
              </w:rPr>
              <w:t xml:space="preserve"> by clicking </w:t>
            </w:r>
            <w:r w:rsidRPr="00056494">
              <w:rPr>
                <w:color w:val="000000"/>
              </w:rPr>
              <w:t>the chevron arrow to expand/collapse each section:</w:t>
            </w:r>
          </w:p>
          <w:p w14:paraId="36797A7A" w14:textId="77777777" w:rsidR="004530BA" w:rsidRPr="00056494" w:rsidRDefault="004530BA" w:rsidP="00581F7D">
            <w:pPr>
              <w:autoSpaceDE w:val="0"/>
              <w:autoSpaceDN w:val="0"/>
              <w:adjustRightInd w:val="0"/>
              <w:spacing w:before="120" w:after="120"/>
              <w:ind w:right="473"/>
              <w:rPr>
                <w:noProof/>
              </w:rPr>
            </w:pPr>
          </w:p>
          <w:p w14:paraId="6D5C7222" w14:textId="77777777" w:rsidR="004530BA" w:rsidRPr="00056494" w:rsidRDefault="004530BA" w:rsidP="00581F7D">
            <w:pPr>
              <w:spacing w:before="120" w:after="120"/>
              <w:jc w:val="center"/>
              <w:rPr>
                <w:noProof/>
              </w:rPr>
            </w:pPr>
            <w:r w:rsidRPr="00056494">
              <w:rPr>
                <w:noProof/>
              </w:rPr>
              <w:drawing>
                <wp:inline distT="0" distB="0" distL="0" distR="0" wp14:anchorId="39574343" wp14:editId="2B6BCC92">
                  <wp:extent cx="6991350" cy="2352675"/>
                  <wp:effectExtent l="0" t="0" r="0" b="0"/>
                  <wp:docPr id="1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1350" cy="2352675"/>
                          </a:xfrm>
                          <a:prstGeom prst="rect">
                            <a:avLst/>
                          </a:prstGeom>
                          <a:noFill/>
                          <a:ln>
                            <a:noFill/>
                          </a:ln>
                        </pic:spPr>
                      </pic:pic>
                    </a:graphicData>
                  </a:graphic>
                </wp:inline>
              </w:drawing>
            </w:r>
          </w:p>
          <w:p w14:paraId="0E937E10" w14:textId="77777777" w:rsidR="004530BA" w:rsidRPr="00056494" w:rsidRDefault="004530BA" w:rsidP="00581F7D">
            <w:pPr>
              <w:spacing w:before="120" w:after="120"/>
              <w:jc w:val="center"/>
            </w:pPr>
          </w:p>
        </w:tc>
      </w:tr>
      <w:tr w:rsidR="004530BA" w:rsidRPr="00056494" w14:paraId="371C5D49" w14:textId="77777777" w:rsidTr="00581F7D">
        <w:trPr>
          <w:trHeight w:val="69"/>
        </w:trPr>
        <w:tc>
          <w:tcPr>
            <w:tcW w:w="118" w:type="pct"/>
          </w:tcPr>
          <w:p w14:paraId="047CF2CD" w14:textId="77777777" w:rsidR="004530BA" w:rsidRPr="00056494" w:rsidRDefault="004530BA" w:rsidP="00581F7D">
            <w:pPr>
              <w:spacing w:before="120" w:after="120"/>
              <w:jc w:val="center"/>
              <w:rPr>
                <w:b/>
              </w:rPr>
            </w:pPr>
            <w:r w:rsidRPr="00056494">
              <w:rPr>
                <w:b/>
              </w:rPr>
              <w:t>4</w:t>
            </w:r>
          </w:p>
        </w:tc>
        <w:tc>
          <w:tcPr>
            <w:tcW w:w="4882" w:type="pct"/>
            <w:gridSpan w:val="3"/>
          </w:tcPr>
          <w:p w14:paraId="487B5619" w14:textId="77777777" w:rsidR="004530BA" w:rsidRPr="00056494" w:rsidRDefault="004530BA" w:rsidP="00581F7D">
            <w:pPr>
              <w:autoSpaceDE w:val="0"/>
              <w:autoSpaceDN w:val="0"/>
              <w:adjustRightInd w:val="0"/>
              <w:spacing w:before="120" w:after="120"/>
              <w:ind w:right="473"/>
              <w:rPr>
                <w:noProof/>
              </w:rPr>
            </w:pPr>
            <w:r w:rsidRPr="00056494">
              <w:rPr>
                <w:noProof/>
              </w:rPr>
              <w:t>Review recent payments and LIS level (if any) and advise beneficiary of their current balance due, recent payments applied, and if there is a monthly premium due each month above any supplement/plan program (e.g. LIS, EGWP with LEP, or SPAP).</w:t>
            </w:r>
          </w:p>
          <w:p w14:paraId="3EA2DCB1" w14:textId="77777777" w:rsidR="004530BA" w:rsidRPr="00056494" w:rsidRDefault="004530BA" w:rsidP="00581F7D">
            <w:pPr>
              <w:autoSpaceDE w:val="0"/>
              <w:autoSpaceDN w:val="0"/>
              <w:adjustRightInd w:val="0"/>
              <w:spacing w:before="120" w:after="120"/>
              <w:ind w:right="473"/>
              <w:rPr>
                <w:noProof/>
              </w:rPr>
            </w:pPr>
          </w:p>
          <w:p w14:paraId="08F94374" w14:textId="77777777" w:rsidR="004530BA" w:rsidRPr="00056494" w:rsidRDefault="004530BA" w:rsidP="00581F7D">
            <w:pPr>
              <w:autoSpaceDE w:val="0"/>
              <w:autoSpaceDN w:val="0"/>
              <w:adjustRightInd w:val="0"/>
              <w:spacing w:before="120" w:after="120"/>
              <w:ind w:right="473"/>
              <w:jc w:val="center"/>
              <w:rPr>
                <w:noProof/>
              </w:rPr>
            </w:pPr>
            <w:r w:rsidRPr="00056494">
              <w:rPr>
                <w:noProof/>
              </w:rPr>
              <w:drawing>
                <wp:inline distT="0" distB="0" distL="0" distR="0" wp14:anchorId="455CDAB9" wp14:editId="163FBA09">
                  <wp:extent cx="6477000" cy="338137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381375"/>
                          </a:xfrm>
                          <a:prstGeom prst="rect">
                            <a:avLst/>
                          </a:prstGeom>
                          <a:noFill/>
                          <a:ln>
                            <a:noFill/>
                          </a:ln>
                        </pic:spPr>
                      </pic:pic>
                    </a:graphicData>
                  </a:graphic>
                </wp:inline>
              </w:drawing>
            </w:r>
          </w:p>
          <w:p w14:paraId="5D9D61C0" w14:textId="77777777" w:rsidR="004530BA" w:rsidRPr="00056494" w:rsidRDefault="004530BA" w:rsidP="00581F7D">
            <w:pPr>
              <w:spacing w:before="120" w:after="120"/>
              <w:rPr>
                <w:rFonts w:cs="Arial"/>
                <w:bCs/>
              </w:rPr>
            </w:pPr>
          </w:p>
          <w:p w14:paraId="79BBEDD2" w14:textId="77777777" w:rsidR="004530BA" w:rsidRPr="00056494" w:rsidRDefault="004530BA" w:rsidP="00581F7D">
            <w:pPr>
              <w:autoSpaceDE w:val="0"/>
              <w:autoSpaceDN w:val="0"/>
              <w:adjustRightInd w:val="0"/>
              <w:spacing w:before="120" w:after="120"/>
              <w:ind w:right="473"/>
              <w:rPr>
                <w:noProof/>
              </w:rPr>
            </w:pPr>
            <w:r w:rsidRPr="00056494">
              <w:rPr>
                <w:rFonts w:cs="Arial"/>
                <w:b/>
                <w:bCs/>
              </w:rPr>
              <w:t xml:space="preserve">Note:  </w:t>
            </w:r>
            <w:r w:rsidRPr="00056494">
              <w:rPr>
                <w:noProof/>
              </w:rPr>
              <w:t xml:space="preserve">The </w:t>
            </w:r>
            <w:r w:rsidRPr="00056494">
              <w:rPr>
                <w:b/>
                <w:noProof/>
              </w:rPr>
              <w:t>Premium Payment IVR</w:t>
            </w:r>
            <w:r w:rsidRPr="00056494">
              <w:rPr>
                <w:noProof/>
              </w:rPr>
              <w:t xml:space="preserve"> will accept payment from the beneficiary, even with a current balance due of zero. </w:t>
            </w:r>
          </w:p>
          <w:p w14:paraId="399F80C8" w14:textId="77777777" w:rsidR="004530BA" w:rsidRPr="00056494" w:rsidRDefault="004530BA" w:rsidP="00581F7D">
            <w:pPr>
              <w:spacing w:before="120" w:after="120"/>
              <w:rPr>
                <w:rFonts w:cs="Arial"/>
                <w:b/>
                <w:bCs/>
              </w:rPr>
            </w:pPr>
          </w:p>
        </w:tc>
      </w:tr>
      <w:tr w:rsidR="004530BA" w:rsidRPr="00056494" w14:paraId="3FDE112F" w14:textId="77777777" w:rsidTr="00581F7D">
        <w:trPr>
          <w:trHeight w:val="278"/>
        </w:trPr>
        <w:tc>
          <w:tcPr>
            <w:tcW w:w="118" w:type="pct"/>
          </w:tcPr>
          <w:p w14:paraId="5633912F" w14:textId="77777777" w:rsidR="004530BA" w:rsidRPr="00056494" w:rsidRDefault="004530BA" w:rsidP="00581F7D">
            <w:pPr>
              <w:spacing w:before="120" w:after="120"/>
              <w:jc w:val="center"/>
              <w:rPr>
                <w:b/>
              </w:rPr>
            </w:pPr>
            <w:r w:rsidRPr="00056494">
              <w:rPr>
                <w:b/>
              </w:rPr>
              <w:t>5</w:t>
            </w:r>
          </w:p>
        </w:tc>
        <w:tc>
          <w:tcPr>
            <w:tcW w:w="4882" w:type="pct"/>
            <w:gridSpan w:val="3"/>
          </w:tcPr>
          <w:p w14:paraId="1355A5D9" w14:textId="77777777" w:rsidR="004530BA" w:rsidRPr="00056494" w:rsidRDefault="004530BA" w:rsidP="00581F7D">
            <w:pPr>
              <w:spacing w:before="120" w:after="120"/>
              <w:rPr>
                <w:rFonts w:cs="Arial"/>
                <w:bCs/>
              </w:rPr>
            </w:pPr>
            <w:r w:rsidRPr="00056494">
              <w:rPr>
                <w:rFonts w:cs="Arial"/>
                <w:bCs/>
              </w:rPr>
              <w:t>Proceed to applicable section:</w:t>
            </w:r>
          </w:p>
          <w:p w14:paraId="57C82D47" w14:textId="77777777" w:rsidR="004530BA" w:rsidRPr="00056494" w:rsidRDefault="004530BA" w:rsidP="00581F7D">
            <w:pPr>
              <w:spacing w:before="120" w:after="120"/>
              <w:rPr>
                <w:rFonts w:cs="Arial"/>
                <w:bCs/>
              </w:rPr>
            </w:pPr>
          </w:p>
          <w:p w14:paraId="357DE685" w14:textId="77777777" w:rsidR="004530BA" w:rsidRPr="00056494" w:rsidRDefault="004530BA" w:rsidP="00581F7D">
            <w:pPr>
              <w:numPr>
                <w:ilvl w:val="0"/>
                <w:numId w:val="39"/>
              </w:numPr>
              <w:spacing w:before="120" w:after="120"/>
              <w:rPr>
                <w:rFonts w:cs="Arial"/>
                <w:bCs/>
              </w:rPr>
            </w:pPr>
            <w:hyperlink w:anchor="_Tips_to_Prepare" w:history="1">
              <w:r w:rsidRPr="00056494">
                <w:rPr>
                  <w:rStyle w:val="Hyperlink"/>
                  <w:rFonts w:eastAsiaTheme="majorEastAsia" w:cs="Arial"/>
                  <w:bCs/>
                </w:rPr>
                <w:t>Tips to Prepare a Beneficiary to use the Premium Payment IVR</w:t>
              </w:r>
            </w:hyperlink>
          </w:p>
          <w:p w14:paraId="3A013B1B" w14:textId="77777777" w:rsidR="004530BA" w:rsidRPr="00056494" w:rsidRDefault="004530BA" w:rsidP="00581F7D">
            <w:pPr>
              <w:numPr>
                <w:ilvl w:val="0"/>
                <w:numId w:val="39"/>
              </w:numPr>
              <w:spacing w:before="120" w:after="120"/>
              <w:rPr>
                <w:rFonts w:cs="Arial"/>
                <w:bCs/>
              </w:rPr>
            </w:pPr>
            <w:hyperlink w:anchor="_Automatic_Credit_Card" w:history="1">
              <w:r w:rsidRPr="00056494">
                <w:rPr>
                  <w:rStyle w:val="Hyperlink"/>
                  <w:rFonts w:eastAsiaTheme="majorEastAsia" w:cs="Arial"/>
                  <w:bCs/>
                </w:rPr>
                <w:t>Premium Payment IVR Numbers</w:t>
              </w:r>
            </w:hyperlink>
          </w:p>
          <w:p w14:paraId="5C455CE3" w14:textId="77777777" w:rsidR="004530BA" w:rsidRPr="00056494" w:rsidRDefault="004530BA" w:rsidP="00581F7D">
            <w:pPr>
              <w:numPr>
                <w:ilvl w:val="0"/>
                <w:numId w:val="39"/>
              </w:numPr>
              <w:spacing w:before="120" w:after="120"/>
              <w:rPr>
                <w:rFonts w:cs="Arial"/>
                <w:bCs/>
              </w:rPr>
            </w:pPr>
            <w:hyperlink w:anchor="_General_Premium_Payment" w:history="1">
              <w:r w:rsidRPr="00056494">
                <w:rPr>
                  <w:rStyle w:val="Hyperlink"/>
                  <w:rFonts w:eastAsiaTheme="majorEastAsia" w:cs="Arial"/>
                  <w:bCs/>
                </w:rPr>
                <w:t>General Premium Payment IVR Flow</w:t>
              </w:r>
            </w:hyperlink>
          </w:p>
          <w:p w14:paraId="6C0967C0" w14:textId="77777777" w:rsidR="004530BA" w:rsidRPr="00056494" w:rsidRDefault="004530BA" w:rsidP="00581F7D">
            <w:pPr>
              <w:spacing w:before="120" w:after="120"/>
              <w:rPr>
                <w:rFonts w:cs="Arial"/>
                <w:bCs/>
              </w:rPr>
            </w:pPr>
          </w:p>
        </w:tc>
      </w:tr>
    </w:tbl>
    <w:p w14:paraId="45460939" w14:textId="77777777" w:rsidR="004530BA" w:rsidRPr="00056494" w:rsidRDefault="004530BA" w:rsidP="004530BA">
      <w:pPr>
        <w:spacing w:before="120" w:after="120"/>
        <w:jc w:val="right"/>
      </w:pPr>
    </w:p>
    <w:p w14:paraId="2ADC9EAF" w14:textId="16003E2C" w:rsidR="004530BA" w:rsidRPr="00056494" w:rsidRDefault="004530BA" w:rsidP="004530BA">
      <w:pPr>
        <w:spacing w:before="120" w:after="120"/>
        <w:jc w:val="right"/>
      </w:pPr>
      <w:hyperlink w:anchor="_top" w:history="1">
        <w:r w:rsidRPr="004530BA">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530BA" w:rsidRPr="00056494" w14:paraId="2BD40DA7" w14:textId="77777777" w:rsidTr="00581F7D">
        <w:tc>
          <w:tcPr>
            <w:tcW w:w="5000" w:type="pct"/>
            <w:shd w:val="clear" w:color="auto" w:fill="C0C0C0"/>
          </w:tcPr>
          <w:p w14:paraId="6CC06448" w14:textId="77777777" w:rsidR="004530BA" w:rsidRPr="00056494" w:rsidRDefault="004530BA" w:rsidP="00581F7D">
            <w:pPr>
              <w:pStyle w:val="Heading2"/>
              <w:spacing w:before="120" w:after="120"/>
              <w:rPr>
                <w:i/>
                <w:iCs/>
              </w:rPr>
            </w:pPr>
            <w:bookmarkStart w:id="6" w:name="_Tips_to_Prepare"/>
            <w:bookmarkStart w:id="7" w:name="_Toc194581418"/>
            <w:bookmarkEnd w:id="6"/>
            <w:r w:rsidRPr="00056494">
              <w:t>Tips to Prepare a Beneficiary to use the Premium Payment IVR</w:t>
            </w:r>
            <w:bookmarkEnd w:id="7"/>
          </w:p>
        </w:tc>
      </w:tr>
    </w:tbl>
    <w:p w14:paraId="011C7DF0" w14:textId="77777777" w:rsidR="004530BA" w:rsidRPr="00056494" w:rsidRDefault="004530BA" w:rsidP="004530BA">
      <w:pPr>
        <w:autoSpaceDE w:val="0"/>
        <w:autoSpaceDN w:val="0"/>
        <w:adjustRightInd w:val="0"/>
        <w:spacing w:before="120" w:after="120"/>
        <w:ind w:right="473"/>
        <w:rPr>
          <w:b/>
          <w:noProof/>
        </w:rPr>
      </w:pPr>
      <w:r w:rsidRPr="00056494">
        <w:rPr>
          <w:b/>
          <w:noProof/>
        </w:rPr>
        <w:drawing>
          <wp:inline distT="0" distB="0" distL="0" distR="0" wp14:anchorId="25D0A20B" wp14:editId="4FE5515E">
            <wp:extent cx="238125" cy="2095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56494">
        <w:rPr>
          <w:b/>
          <w:noProof/>
        </w:rPr>
        <w:t xml:space="preserve"> After </w:t>
      </w:r>
      <w:hyperlink w:anchor="_Determining_if_Premium" w:history="1">
        <w:r w:rsidRPr="00056494">
          <w:rPr>
            <w:rStyle w:val="Hyperlink"/>
            <w:rFonts w:eastAsiaTheme="majorEastAsia"/>
            <w:bCs/>
            <w:noProof/>
          </w:rPr>
          <w:t>Determining if Premium Billing Payment IVR Will Provide Resolution</w:t>
        </w:r>
      </w:hyperlink>
      <w:r w:rsidRPr="00056494">
        <w:rPr>
          <w:b/>
          <w:noProof/>
        </w:rPr>
        <w:t xml:space="preserve">, </w:t>
      </w:r>
      <w:r w:rsidRPr="00056494">
        <w:t xml:space="preserve">if the beneficiary is a good candidate for using the Premium Payment IVR for a one-time payment, and possibly adding RCD/EFT, CCRs can use the below Tips to help prepare a beneficiary before transferring to the IVR (beneficiary may prefer to call the IVR independently, refer to </w:t>
      </w:r>
      <w:hyperlink w:anchor="_Premium_Payment_IVR" w:history="1">
        <w:r w:rsidRPr="00056494">
          <w:rPr>
            <w:rStyle w:val="Hyperlink"/>
            <w:rFonts w:eastAsiaTheme="majorEastAsia"/>
          </w:rPr>
          <w:t>Premium Payment IVR Numbers</w:t>
        </w:r>
      </w:hyperlink>
      <w:r w:rsidRPr="00056494">
        <w:t xml:space="preserve">). </w:t>
      </w:r>
    </w:p>
    <w:p w14:paraId="3D18117E" w14:textId="77777777" w:rsidR="004530BA" w:rsidRPr="00056494" w:rsidRDefault="004530BA" w:rsidP="004530BA">
      <w:pPr>
        <w:spacing w:before="120" w:after="120"/>
        <w:ind w:right="473"/>
        <w:rPr>
          <w:b/>
        </w:rPr>
      </w:pPr>
    </w:p>
    <w:p w14:paraId="5F63D62E" w14:textId="77777777" w:rsidR="004530BA" w:rsidRPr="00056494" w:rsidRDefault="004530BA" w:rsidP="004530BA">
      <w:pPr>
        <w:spacing w:before="120" w:after="120"/>
        <w:ind w:right="473"/>
      </w:pPr>
      <w:r w:rsidRPr="00056494">
        <w:t>Refer to the following tips: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1388"/>
      </w:tblGrid>
      <w:tr w:rsidR="004530BA" w:rsidRPr="00056494" w14:paraId="1302A60F" w14:textId="77777777" w:rsidTr="00581F7D">
        <w:tc>
          <w:tcPr>
            <w:tcW w:w="603" w:type="pct"/>
            <w:shd w:val="pct10" w:color="auto" w:fill="auto"/>
          </w:tcPr>
          <w:p w14:paraId="141C8BFD" w14:textId="77777777" w:rsidR="004530BA" w:rsidRPr="00056494" w:rsidRDefault="004530BA" w:rsidP="00581F7D">
            <w:pPr>
              <w:spacing w:before="120" w:after="120"/>
              <w:ind w:right="473"/>
              <w:jc w:val="center"/>
              <w:rPr>
                <w:b/>
              </w:rPr>
            </w:pPr>
            <w:r w:rsidRPr="00056494">
              <w:rPr>
                <w:b/>
              </w:rPr>
              <w:t xml:space="preserve"> #</w:t>
            </w:r>
          </w:p>
        </w:tc>
        <w:tc>
          <w:tcPr>
            <w:tcW w:w="4397" w:type="pct"/>
            <w:shd w:val="pct10" w:color="auto" w:fill="auto"/>
          </w:tcPr>
          <w:p w14:paraId="26332441" w14:textId="77777777" w:rsidR="004530BA" w:rsidRPr="00056494" w:rsidRDefault="004530BA" w:rsidP="00581F7D">
            <w:pPr>
              <w:spacing w:before="120" w:after="120"/>
              <w:ind w:right="473"/>
              <w:jc w:val="center"/>
              <w:rPr>
                <w:b/>
              </w:rPr>
            </w:pPr>
            <w:r w:rsidRPr="00056494">
              <w:rPr>
                <w:b/>
              </w:rPr>
              <w:t>Tip</w:t>
            </w:r>
          </w:p>
        </w:tc>
      </w:tr>
      <w:tr w:rsidR="004530BA" w:rsidRPr="00056494" w14:paraId="0CD30E23" w14:textId="77777777" w:rsidTr="00581F7D">
        <w:tc>
          <w:tcPr>
            <w:tcW w:w="603" w:type="pct"/>
          </w:tcPr>
          <w:p w14:paraId="67A95C1F" w14:textId="77777777" w:rsidR="004530BA" w:rsidRPr="00056494" w:rsidRDefault="004530BA" w:rsidP="00581F7D">
            <w:pPr>
              <w:spacing w:before="120" w:after="120"/>
              <w:ind w:right="473"/>
              <w:jc w:val="center"/>
              <w:rPr>
                <w:b/>
              </w:rPr>
            </w:pPr>
            <w:r w:rsidRPr="00056494">
              <w:rPr>
                <w:b/>
              </w:rPr>
              <w:t>Tip 1</w:t>
            </w:r>
          </w:p>
        </w:tc>
        <w:tc>
          <w:tcPr>
            <w:tcW w:w="4397" w:type="pct"/>
          </w:tcPr>
          <w:p w14:paraId="674006D2" w14:textId="77777777" w:rsidR="004530BA" w:rsidRPr="00056494" w:rsidRDefault="004530BA" w:rsidP="00581F7D">
            <w:pPr>
              <w:spacing w:before="120" w:after="120"/>
              <w:ind w:right="473"/>
              <w:rPr>
                <w:noProof/>
              </w:rPr>
            </w:pPr>
            <w:r w:rsidRPr="00056494">
              <w:rPr>
                <w:noProof/>
              </w:rPr>
              <w:t xml:space="preserve">Beneficiary will need to have their </w:t>
            </w:r>
            <w:r w:rsidRPr="00056494">
              <w:rPr>
                <w:b/>
                <w:noProof/>
              </w:rPr>
              <w:t>Payment ID</w:t>
            </w:r>
            <w:r w:rsidRPr="00056494">
              <w:rPr>
                <w:noProof/>
              </w:rPr>
              <w:t xml:space="preserve">, located on the bottom left of the invoice (on coupon). </w:t>
            </w:r>
          </w:p>
          <w:p w14:paraId="1E52A645" w14:textId="77777777" w:rsidR="004530BA" w:rsidRPr="00056494" w:rsidRDefault="004530BA" w:rsidP="00581F7D">
            <w:pPr>
              <w:numPr>
                <w:ilvl w:val="0"/>
                <w:numId w:val="35"/>
              </w:numPr>
              <w:spacing w:before="120" w:after="120"/>
              <w:ind w:right="473"/>
              <w:rPr>
                <w:noProof/>
              </w:rPr>
            </w:pPr>
            <w:r w:rsidRPr="00056494">
              <w:rPr>
                <w:noProof/>
              </w:rPr>
              <w:t xml:space="preserve">The IVR will request the </w:t>
            </w:r>
            <w:r w:rsidRPr="00056494">
              <w:rPr>
                <w:b/>
                <w:noProof/>
              </w:rPr>
              <w:t>last 6 digits</w:t>
            </w:r>
            <w:r w:rsidRPr="00056494">
              <w:rPr>
                <w:noProof/>
              </w:rPr>
              <w:t xml:space="preserve"> of the Payment ID during authentication; CCR may refer to the </w:t>
            </w:r>
            <w:r w:rsidRPr="00056494">
              <w:rPr>
                <w:b/>
                <w:noProof/>
              </w:rPr>
              <w:t>Subscriber ID</w:t>
            </w:r>
            <w:r w:rsidRPr="00056494">
              <w:rPr>
                <w:noProof/>
              </w:rPr>
              <w:t xml:space="preserve"> in </w:t>
            </w:r>
            <w:r w:rsidRPr="00056494">
              <w:rPr>
                <w:b/>
                <w:noProof/>
              </w:rPr>
              <w:t>Compass</w:t>
            </w:r>
            <w:r w:rsidRPr="00056494">
              <w:rPr>
                <w:noProof/>
              </w:rPr>
              <w:t xml:space="preserve"> to advise beneficiary of the digits to enter/say.</w:t>
            </w:r>
          </w:p>
          <w:p w14:paraId="63C161D5" w14:textId="77777777" w:rsidR="004530BA" w:rsidRPr="00056494" w:rsidRDefault="004530BA" w:rsidP="00581F7D">
            <w:pPr>
              <w:spacing w:before="120" w:after="120"/>
              <w:ind w:left="720" w:right="473"/>
              <w:rPr>
                <w:noProof/>
              </w:rPr>
            </w:pPr>
          </w:p>
        </w:tc>
      </w:tr>
      <w:tr w:rsidR="004530BA" w:rsidRPr="00056494" w14:paraId="3F636A2A" w14:textId="77777777" w:rsidTr="00581F7D">
        <w:tc>
          <w:tcPr>
            <w:tcW w:w="603" w:type="pct"/>
          </w:tcPr>
          <w:p w14:paraId="17D1FB75" w14:textId="77777777" w:rsidR="004530BA" w:rsidRPr="00056494" w:rsidRDefault="004530BA" w:rsidP="00581F7D">
            <w:pPr>
              <w:spacing w:before="120" w:after="120"/>
              <w:ind w:right="473"/>
              <w:jc w:val="center"/>
              <w:rPr>
                <w:b/>
              </w:rPr>
            </w:pPr>
            <w:r w:rsidRPr="00056494">
              <w:rPr>
                <w:b/>
              </w:rPr>
              <w:t>Tip 2</w:t>
            </w:r>
          </w:p>
        </w:tc>
        <w:tc>
          <w:tcPr>
            <w:tcW w:w="4397" w:type="pct"/>
          </w:tcPr>
          <w:p w14:paraId="6DA86775" w14:textId="77777777" w:rsidR="004530BA" w:rsidRPr="00056494" w:rsidRDefault="004530BA" w:rsidP="00581F7D">
            <w:pPr>
              <w:tabs>
                <w:tab w:val="center" w:pos="689"/>
                <w:tab w:val="left" w:pos="11820"/>
              </w:tabs>
              <w:spacing w:before="120" w:after="120"/>
              <w:ind w:right="473"/>
            </w:pPr>
            <w:r w:rsidRPr="00056494">
              <w:t xml:space="preserve">Beneficiary may also need to say or enter their </w:t>
            </w:r>
            <w:r w:rsidRPr="00056494">
              <w:rPr>
                <w:b/>
              </w:rPr>
              <w:t>Date of Birth</w:t>
            </w:r>
            <w:r w:rsidRPr="00056494">
              <w:t xml:space="preserve"> (e.g., “January 1st, 1920” or 01011920).</w:t>
            </w:r>
          </w:p>
          <w:p w14:paraId="7095D6EE" w14:textId="77777777" w:rsidR="004530BA" w:rsidRPr="00056494" w:rsidRDefault="004530BA" w:rsidP="00581F7D">
            <w:pPr>
              <w:tabs>
                <w:tab w:val="center" w:pos="689"/>
                <w:tab w:val="left" w:pos="11820"/>
              </w:tabs>
              <w:spacing w:before="120" w:after="120"/>
              <w:ind w:right="473"/>
            </w:pPr>
          </w:p>
        </w:tc>
      </w:tr>
      <w:tr w:rsidR="004530BA" w:rsidRPr="00056494" w14:paraId="21B27BF8" w14:textId="77777777" w:rsidTr="00581F7D">
        <w:tc>
          <w:tcPr>
            <w:tcW w:w="603" w:type="pct"/>
          </w:tcPr>
          <w:p w14:paraId="63EC90EB" w14:textId="77777777" w:rsidR="004530BA" w:rsidRPr="00056494" w:rsidRDefault="004530BA" w:rsidP="00581F7D">
            <w:pPr>
              <w:spacing w:before="120" w:after="120"/>
              <w:ind w:right="473"/>
              <w:jc w:val="center"/>
              <w:rPr>
                <w:b/>
              </w:rPr>
            </w:pPr>
            <w:r w:rsidRPr="00056494">
              <w:rPr>
                <w:b/>
              </w:rPr>
              <w:t>Tip 3</w:t>
            </w:r>
          </w:p>
        </w:tc>
        <w:tc>
          <w:tcPr>
            <w:tcW w:w="4397" w:type="pct"/>
          </w:tcPr>
          <w:p w14:paraId="0580620A" w14:textId="77777777" w:rsidR="004530BA" w:rsidRPr="00056494" w:rsidRDefault="004530BA" w:rsidP="00581F7D">
            <w:pPr>
              <w:tabs>
                <w:tab w:val="center" w:pos="689"/>
                <w:tab w:val="left" w:pos="11820"/>
              </w:tabs>
              <w:spacing w:before="120" w:after="120"/>
              <w:ind w:right="473"/>
            </w:pPr>
            <w:r w:rsidRPr="00056494">
              <w:t xml:space="preserve">If prompted for a zip code, the beneficiary should say or enter the </w:t>
            </w:r>
            <w:r w:rsidRPr="00056494">
              <w:rPr>
                <w:b/>
              </w:rPr>
              <w:t>mailing address zip</w:t>
            </w:r>
            <w:r w:rsidRPr="00056494">
              <w:t xml:space="preserve"> code.</w:t>
            </w:r>
          </w:p>
          <w:p w14:paraId="293DC4DE" w14:textId="77777777" w:rsidR="004530BA" w:rsidRPr="00056494" w:rsidRDefault="004530BA" w:rsidP="00581F7D">
            <w:pPr>
              <w:numPr>
                <w:ilvl w:val="0"/>
                <w:numId w:val="35"/>
              </w:numPr>
              <w:tabs>
                <w:tab w:val="center" w:pos="689"/>
                <w:tab w:val="left" w:pos="11820"/>
              </w:tabs>
              <w:spacing w:before="120" w:after="120"/>
              <w:ind w:right="473"/>
            </w:pPr>
            <w:r w:rsidRPr="00056494">
              <w:t xml:space="preserve">CCR can confirm mailing address on file in the </w:t>
            </w:r>
            <w:r w:rsidRPr="00056494">
              <w:rPr>
                <w:b/>
                <w:bCs/>
              </w:rPr>
              <w:t>Medicare D Demographics</w:t>
            </w:r>
            <w:r w:rsidRPr="00056494">
              <w:t xml:space="preserve"> panel on the Medicare D Landing Page. </w:t>
            </w:r>
          </w:p>
          <w:p w14:paraId="41B64B12" w14:textId="77777777" w:rsidR="004530BA" w:rsidRPr="00056494" w:rsidRDefault="004530BA" w:rsidP="00581F7D">
            <w:pPr>
              <w:tabs>
                <w:tab w:val="center" w:pos="689"/>
                <w:tab w:val="left" w:pos="11820"/>
              </w:tabs>
              <w:spacing w:before="120" w:after="120"/>
              <w:ind w:right="473"/>
              <w:rPr>
                <w:b/>
              </w:rPr>
            </w:pPr>
          </w:p>
          <w:p w14:paraId="096AC3E4" w14:textId="77777777" w:rsidR="004530BA" w:rsidRPr="00056494" w:rsidRDefault="004530BA" w:rsidP="00581F7D">
            <w:pPr>
              <w:tabs>
                <w:tab w:val="center" w:pos="689"/>
                <w:tab w:val="left" w:pos="11820"/>
              </w:tabs>
              <w:spacing w:before="120" w:after="120"/>
              <w:ind w:right="473"/>
            </w:pPr>
            <w:r w:rsidRPr="00056494">
              <w:rPr>
                <w:b/>
              </w:rPr>
              <w:t>Note:</w:t>
            </w:r>
            <w:r w:rsidRPr="00056494">
              <w:t xml:space="preserve">  Address changes may take 3 days to flow into the </w:t>
            </w:r>
            <w:proofErr w:type="spellStart"/>
            <w:r w:rsidRPr="00056494">
              <w:t>InstaMed</w:t>
            </w:r>
            <w:proofErr w:type="spellEnd"/>
            <w:r w:rsidRPr="00056494">
              <w:t xml:space="preserve"> system. Advise beneficiary to use what zip code is currently on file if they are calling the IVR same day.</w:t>
            </w:r>
          </w:p>
          <w:p w14:paraId="5FE9A6D7" w14:textId="77777777" w:rsidR="004530BA" w:rsidRPr="00056494" w:rsidRDefault="004530BA" w:rsidP="00581F7D">
            <w:pPr>
              <w:tabs>
                <w:tab w:val="center" w:pos="689"/>
                <w:tab w:val="left" w:pos="11820"/>
              </w:tabs>
              <w:spacing w:before="120" w:after="120"/>
              <w:ind w:right="473"/>
            </w:pPr>
          </w:p>
        </w:tc>
      </w:tr>
      <w:tr w:rsidR="004530BA" w:rsidRPr="00056494" w14:paraId="0D145B94" w14:textId="77777777" w:rsidTr="00581F7D">
        <w:tc>
          <w:tcPr>
            <w:tcW w:w="603" w:type="pct"/>
          </w:tcPr>
          <w:p w14:paraId="574AA838" w14:textId="77777777" w:rsidR="004530BA" w:rsidRPr="00056494" w:rsidRDefault="004530BA" w:rsidP="00581F7D">
            <w:pPr>
              <w:spacing w:before="120" w:after="120"/>
              <w:ind w:right="473"/>
              <w:jc w:val="center"/>
              <w:rPr>
                <w:b/>
              </w:rPr>
            </w:pPr>
            <w:r w:rsidRPr="00056494">
              <w:rPr>
                <w:b/>
              </w:rPr>
              <w:t>Tip 4</w:t>
            </w:r>
          </w:p>
        </w:tc>
        <w:tc>
          <w:tcPr>
            <w:tcW w:w="4397" w:type="pct"/>
          </w:tcPr>
          <w:p w14:paraId="66243EFD" w14:textId="77777777" w:rsidR="004530BA" w:rsidRPr="00056494" w:rsidRDefault="004530BA" w:rsidP="00581F7D">
            <w:pPr>
              <w:tabs>
                <w:tab w:val="center" w:pos="689"/>
                <w:tab w:val="left" w:pos="11820"/>
              </w:tabs>
              <w:spacing w:before="120" w:after="120"/>
              <w:ind w:right="473"/>
            </w:pPr>
            <w:r w:rsidRPr="00056494">
              <w:t xml:space="preserve">The IVR will present the caller with the </w:t>
            </w:r>
            <w:r w:rsidRPr="00056494">
              <w:rPr>
                <w:b/>
              </w:rPr>
              <w:t>current balance</w:t>
            </w:r>
            <w:r w:rsidRPr="00056494">
              <w:t xml:space="preserve"> on the account (as of the last file sent to the system; normally the prior day). </w:t>
            </w:r>
          </w:p>
          <w:p w14:paraId="1791572A" w14:textId="77777777" w:rsidR="004530BA" w:rsidRPr="00056494" w:rsidRDefault="004530BA" w:rsidP="00581F7D">
            <w:pPr>
              <w:numPr>
                <w:ilvl w:val="0"/>
                <w:numId w:val="35"/>
              </w:numPr>
              <w:tabs>
                <w:tab w:val="center" w:pos="689"/>
                <w:tab w:val="left" w:pos="11820"/>
              </w:tabs>
              <w:spacing w:before="120" w:after="120"/>
              <w:ind w:right="473"/>
            </w:pPr>
            <w:r w:rsidRPr="00056494">
              <w:t xml:space="preserve">Beneficiaries will be able to pay the balance stated </w:t>
            </w:r>
            <w:r w:rsidRPr="00056494">
              <w:rPr>
                <w:b/>
              </w:rPr>
              <w:t>or</w:t>
            </w:r>
            <w:r w:rsidRPr="00056494">
              <w:t xml:space="preserve"> enter/say a different amount. </w:t>
            </w:r>
          </w:p>
          <w:p w14:paraId="3DC9A546" w14:textId="77777777" w:rsidR="004530BA" w:rsidRPr="00056494" w:rsidRDefault="004530BA" w:rsidP="00581F7D">
            <w:pPr>
              <w:tabs>
                <w:tab w:val="center" w:pos="689"/>
                <w:tab w:val="left" w:pos="11820"/>
              </w:tabs>
              <w:spacing w:before="120" w:after="120"/>
              <w:ind w:right="473"/>
              <w:rPr>
                <w:b/>
              </w:rPr>
            </w:pPr>
          </w:p>
          <w:p w14:paraId="7BD63F0D" w14:textId="77777777" w:rsidR="004530BA" w:rsidRPr="00056494" w:rsidRDefault="004530BA" w:rsidP="00581F7D">
            <w:pPr>
              <w:tabs>
                <w:tab w:val="center" w:pos="689"/>
                <w:tab w:val="left" w:pos="11820"/>
              </w:tabs>
              <w:spacing w:before="120" w:after="120"/>
              <w:ind w:right="473"/>
            </w:pPr>
            <w:r w:rsidRPr="00056494">
              <w:rPr>
                <w:b/>
              </w:rPr>
              <w:t>Note:</w:t>
            </w:r>
            <w:r w:rsidRPr="00056494">
              <w:t xml:space="preserve">  Payments over $1,000 will be denied by the IVR and caller will be transferred to Care. This is to prevent unintentional/unnecessary overpayment.</w:t>
            </w:r>
          </w:p>
          <w:p w14:paraId="653DC0A5" w14:textId="77777777" w:rsidR="004530BA" w:rsidRPr="00056494" w:rsidRDefault="004530BA" w:rsidP="00581F7D">
            <w:pPr>
              <w:tabs>
                <w:tab w:val="center" w:pos="689"/>
                <w:tab w:val="left" w:pos="11820"/>
              </w:tabs>
              <w:spacing w:before="120" w:after="120"/>
              <w:ind w:right="473"/>
            </w:pPr>
          </w:p>
        </w:tc>
      </w:tr>
      <w:tr w:rsidR="004530BA" w:rsidRPr="00056494" w14:paraId="5E37C6D7" w14:textId="77777777" w:rsidTr="00581F7D">
        <w:tc>
          <w:tcPr>
            <w:tcW w:w="603" w:type="pct"/>
          </w:tcPr>
          <w:p w14:paraId="6109E3E0" w14:textId="77777777" w:rsidR="004530BA" w:rsidRPr="00056494" w:rsidRDefault="004530BA" w:rsidP="00581F7D">
            <w:pPr>
              <w:spacing w:before="120" w:after="120"/>
              <w:ind w:right="473"/>
              <w:jc w:val="center"/>
              <w:rPr>
                <w:b/>
              </w:rPr>
            </w:pPr>
            <w:r w:rsidRPr="00056494">
              <w:rPr>
                <w:b/>
              </w:rPr>
              <w:t>Tip 5</w:t>
            </w:r>
          </w:p>
        </w:tc>
        <w:tc>
          <w:tcPr>
            <w:tcW w:w="4397" w:type="pct"/>
          </w:tcPr>
          <w:p w14:paraId="53780188" w14:textId="77777777" w:rsidR="004530BA" w:rsidRPr="00056494" w:rsidRDefault="004530BA" w:rsidP="00581F7D">
            <w:pPr>
              <w:tabs>
                <w:tab w:val="center" w:pos="689"/>
                <w:tab w:val="left" w:pos="11820"/>
              </w:tabs>
              <w:spacing w:before="120" w:after="120"/>
              <w:ind w:right="473"/>
            </w:pPr>
            <w:r w:rsidRPr="00056494">
              <w:t xml:space="preserve">The IVR recognizes voice and sound. </w:t>
            </w:r>
          </w:p>
          <w:p w14:paraId="3DDFB398" w14:textId="77777777" w:rsidR="004530BA" w:rsidRPr="00056494" w:rsidRDefault="004530BA" w:rsidP="00581F7D">
            <w:pPr>
              <w:numPr>
                <w:ilvl w:val="0"/>
                <w:numId w:val="35"/>
              </w:numPr>
              <w:tabs>
                <w:tab w:val="center" w:pos="689"/>
                <w:tab w:val="left" w:pos="11820"/>
              </w:tabs>
              <w:spacing w:before="120" w:after="120"/>
              <w:ind w:right="473"/>
            </w:pPr>
            <w:r w:rsidRPr="00056494">
              <w:t>Beneficiaries should reduce background noise when calling to prevent miscommunications with the IVR.</w:t>
            </w:r>
          </w:p>
          <w:p w14:paraId="49F9AB5B" w14:textId="77777777" w:rsidR="004530BA" w:rsidRPr="00056494" w:rsidRDefault="004530BA" w:rsidP="00581F7D">
            <w:pPr>
              <w:numPr>
                <w:ilvl w:val="0"/>
                <w:numId w:val="35"/>
              </w:numPr>
              <w:tabs>
                <w:tab w:val="center" w:pos="689"/>
                <w:tab w:val="left" w:pos="11820"/>
              </w:tabs>
              <w:spacing w:before="120" w:after="120"/>
              <w:ind w:right="473"/>
            </w:pPr>
            <w:r w:rsidRPr="00056494">
              <w:t>When the IVR does not understand or receive a response timely, it will offer a second opportunity for that information to be said or entered.</w:t>
            </w:r>
          </w:p>
          <w:p w14:paraId="0A2F936F" w14:textId="77777777" w:rsidR="004530BA" w:rsidRPr="00056494" w:rsidRDefault="004530BA" w:rsidP="00581F7D">
            <w:pPr>
              <w:tabs>
                <w:tab w:val="center" w:pos="689"/>
                <w:tab w:val="left" w:pos="11820"/>
              </w:tabs>
              <w:spacing w:before="120" w:after="120"/>
              <w:ind w:left="720" w:right="473"/>
            </w:pPr>
          </w:p>
        </w:tc>
      </w:tr>
      <w:tr w:rsidR="004530BA" w:rsidRPr="00056494" w14:paraId="4B795041" w14:textId="77777777" w:rsidTr="00581F7D">
        <w:tc>
          <w:tcPr>
            <w:tcW w:w="603" w:type="pct"/>
          </w:tcPr>
          <w:p w14:paraId="1CD404D1" w14:textId="77777777" w:rsidR="004530BA" w:rsidRPr="00056494" w:rsidRDefault="004530BA" w:rsidP="00581F7D">
            <w:pPr>
              <w:spacing w:before="120" w:after="120"/>
              <w:ind w:right="473"/>
              <w:jc w:val="center"/>
              <w:rPr>
                <w:b/>
              </w:rPr>
            </w:pPr>
            <w:r w:rsidRPr="00056494">
              <w:rPr>
                <w:b/>
              </w:rPr>
              <w:t>Tip 6</w:t>
            </w:r>
          </w:p>
        </w:tc>
        <w:tc>
          <w:tcPr>
            <w:tcW w:w="4397" w:type="pct"/>
          </w:tcPr>
          <w:p w14:paraId="0CC9902F" w14:textId="77777777" w:rsidR="004530BA" w:rsidRPr="00056494" w:rsidRDefault="004530BA" w:rsidP="00581F7D">
            <w:pPr>
              <w:tabs>
                <w:tab w:val="center" w:pos="689"/>
                <w:tab w:val="left" w:pos="11820"/>
              </w:tabs>
              <w:spacing w:before="120" w:after="120"/>
              <w:ind w:right="473"/>
            </w:pPr>
            <w:r w:rsidRPr="00056494">
              <w:t xml:space="preserve">Both payment </w:t>
            </w:r>
            <w:proofErr w:type="gramStart"/>
            <w:r w:rsidRPr="00056494">
              <w:rPr>
                <w:b/>
              </w:rPr>
              <w:t>card</w:t>
            </w:r>
            <w:proofErr w:type="gramEnd"/>
            <w:r w:rsidRPr="00056494">
              <w:t xml:space="preserve"> (Visa, MasterCard, AMEX, and Discover) and </w:t>
            </w:r>
            <w:r w:rsidRPr="00056494">
              <w:rPr>
                <w:b/>
              </w:rPr>
              <w:t>banking</w:t>
            </w:r>
            <w:r w:rsidRPr="00056494">
              <w:t xml:space="preserve"> information (checking or savings) are accepted on the Premium Payment IVR. </w:t>
            </w:r>
          </w:p>
          <w:p w14:paraId="2BAD0EC7" w14:textId="77777777" w:rsidR="004530BA" w:rsidRPr="00056494" w:rsidRDefault="004530BA" w:rsidP="00581F7D">
            <w:pPr>
              <w:numPr>
                <w:ilvl w:val="0"/>
                <w:numId w:val="36"/>
              </w:numPr>
              <w:tabs>
                <w:tab w:val="center" w:pos="689"/>
                <w:tab w:val="left" w:pos="11820"/>
              </w:tabs>
              <w:spacing w:before="120" w:after="120"/>
              <w:ind w:right="473"/>
            </w:pPr>
            <w:r w:rsidRPr="00056494">
              <w:t xml:space="preserve">Beneficiaries should have their payment information ready to enter/say when prompted. </w:t>
            </w:r>
          </w:p>
          <w:p w14:paraId="291CA882" w14:textId="77777777" w:rsidR="004530BA" w:rsidRPr="00056494" w:rsidRDefault="004530BA" w:rsidP="00581F7D">
            <w:pPr>
              <w:tabs>
                <w:tab w:val="center" w:pos="689"/>
                <w:tab w:val="left" w:pos="11820"/>
              </w:tabs>
              <w:spacing w:before="120" w:after="120"/>
              <w:ind w:left="720" w:right="473"/>
            </w:pPr>
          </w:p>
        </w:tc>
      </w:tr>
      <w:tr w:rsidR="004530BA" w:rsidRPr="00056494" w14:paraId="134EE8BF" w14:textId="77777777" w:rsidTr="00581F7D">
        <w:tc>
          <w:tcPr>
            <w:tcW w:w="603" w:type="pct"/>
          </w:tcPr>
          <w:p w14:paraId="08089CF7" w14:textId="77777777" w:rsidR="004530BA" w:rsidRPr="00056494" w:rsidRDefault="004530BA" w:rsidP="00581F7D">
            <w:pPr>
              <w:spacing w:before="120" w:after="120"/>
              <w:ind w:right="473"/>
              <w:jc w:val="center"/>
              <w:rPr>
                <w:b/>
              </w:rPr>
            </w:pPr>
            <w:r w:rsidRPr="00056494">
              <w:rPr>
                <w:b/>
              </w:rPr>
              <w:t>Tip 7</w:t>
            </w:r>
          </w:p>
        </w:tc>
        <w:tc>
          <w:tcPr>
            <w:tcW w:w="4397" w:type="pct"/>
          </w:tcPr>
          <w:p w14:paraId="4D7A70EB" w14:textId="77777777" w:rsidR="004530BA" w:rsidRPr="00056494" w:rsidRDefault="004530BA" w:rsidP="00581F7D">
            <w:pPr>
              <w:tabs>
                <w:tab w:val="center" w:pos="689"/>
                <w:tab w:val="left" w:pos="11820"/>
              </w:tabs>
              <w:spacing w:before="120" w:after="120"/>
              <w:ind w:right="473"/>
            </w:pPr>
            <w:r w:rsidRPr="00056494">
              <w:t xml:space="preserve">Beneficiaries who are </w:t>
            </w:r>
            <w:r w:rsidRPr="00056494">
              <w:rPr>
                <w:b/>
              </w:rPr>
              <w:t>not</w:t>
            </w:r>
            <w:r w:rsidRPr="00056494">
              <w:t xml:space="preserve"> currently on EFT or RCD autopay will have the opportunity to </w:t>
            </w:r>
            <w:r w:rsidRPr="00056494">
              <w:rPr>
                <w:b/>
              </w:rPr>
              <w:t>add</w:t>
            </w:r>
            <w:r w:rsidRPr="00056494">
              <w:t xml:space="preserve"> autopay </w:t>
            </w:r>
            <w:r w:rsidRPr="00056494">
              <w:rPr>
                <w:b/>
              </w:rPr>
              <w:t>after</w:t>
            </w:r>
            <w:r w:rsidRPr="00056494">
              <w:t xml:space="preserve"> making a one-time payment. </w:t>
            </w:r>
          </w:p>
          <w:p w14:paraId="6D4AC242" w14:textId="77777777" w:rsidR="004530BA" w:rsidRPr="00056494" w:rsidRDefault="004530BA" w:rsidP="00581F7D">
            <w:pPr>
              <w:numPr>
                <w:ilvl w:val="0"/>
                <w:numId w:val="36"/>
              </w:numPr>
              <w:tabs>
                <w:tab w:val="center" w:pos="689"/>
                <w:tab w:val="left" w:pos="11820"/>
              </w:tabs>
              <w:spacing w:before="120" w:after="120"/>
              <w:ind w:right="473"/>
            </w:pPr>
            <w:r w:rsidRPr="00056494">
              <w:t>The EFT/RCD will be set up with the payment source used for the premium payment, there is no option to enter a different payment source for the autopay opt-in.</w:t>
            </w:r>
          </w:p>
          <w:p w14:paraId="680B447A" w14:textId="77777777" w:rsidR="004530BA" w:rsidRPr="00056494" w:rsidRDefault="004530BA" w:rsidP="00581F7D">
            <w:pPr>
              <w:tabs>
                <w:tab w:val="center" w:pos="689"/>
                <w:tab w:val="left" w:pos="11820"/>
              </w:tabs>
              <w:spacing w:before="120" w:after="120"/>
              <w:ind w:left="720" w:right="473"/>
            </w:pPr>
          </w:p>
        </w:tc>
      </w:tr>
      <w:tr w:rsidR="004530BA" w:rsidRPr="00056494" w14:paraId="3E8D25D6" w14:textId="77777777" w:rsidTr="00581F7D">
        <w:tc>
          <w:tcPr>
            <w:tcW w:w="603" w:type="pct"/>
          </w:tcPr>
          <w:p w14:paraId="5543947E" w14:textId="77777777" w:rsidR="004530BA" w:rsidRPr="00056494" w:rsidRDefault="004530BA" w:rsidP="00581F7D">
            <w:pPr>
              <w:spacing w:before="120" w:after="120"/>
              <w:ind w:right="473"/>
              <w:jc w:val="center"/>
              <w:rPr>
                <w:b/>
              </w:rPr>
            </w:pPr>
            <w:r w:rsidRPr="00056494">
              <w:rPr>
                <w:b/>
              </w:rPr>
              <w:t>Tip 8</w:t>
            </w:r>
          </w:p>
        </w:tc>
        <w:tc>
          <w:tcPr>
            <w:tcW w:w="4397" w:type="pct"/>
          </w:tcPr>
          <w:p w14:paraId="1CA48CF4" w14:textId="77777777" w:rsidR="004530BA" w:rsidRPr="00056494" w:rsidRDefault="004530BA" w:rsidP="00581F7D">
            <w:pPr>
              <w:tabs>
                <w:tab w:val="center" w:pos="689"/>
                <w:tab w:val="left" w:pos="11820"/>
              </w:tabs>
              <w:spacing w:before="120" w:after="120"/>
              <w:ind w:right="473"/>
            </w:pPr>
            <w:r w:rsidRPr="00056494">
              <w:t xml:space="preserve">The IVR will provide a </w:t>
            </w:r>
            <w:r w:rsidRPr="00056494">
              <w:rPr>
                <w:b/>
              </w:rPr>
              <w:t>confirmation</w:t>
            </w:r>
            <w:r w:rsidRPr="00056494">
              <w:t xml:space="preserve"> </w:t>
            </w:r>
            <w:r w:rsidRPr="00056494">
              <w:rPr>
                <w:b/>
              </w:rPr>
              <w:t>number</w:t>
            </w:r>
            <w:r w:rsidRPr="00056494">
              <w:t xml:space="preserve"> after reciting the Turn Around Time for processing and posting. </w:t>
            </w:r>
          </w:p>
          <w:p w14:paraId="6FC024AF" w14:textId="77777777" w:rsidR="004530BA" w:rsidRPr="00056494" w:rsidRDefault="004530BA" w:rsidP="00581F7D">
            <w:pPr>
              <w:numPr>
                <w:ilvl w:val="0"/>
                <w:numId w:val="36"/>
              </w:numPr>
              <w:tabs>
                <w:tab w:val="center" w:pos="689"/>
                <w:tab w:val="left" w:pos="11820"/>
              </w:tabs>
              <w:spacing w:before="120" w:after="120"/>
              <w:ind w:right="473"/>
            </w:pPr>
            <w:r w:rsidRPr="00056494">
              <w:t>Advise beneficiary to wait for the confirmation number at the end of the call, so they may make note of it for their records. (Payments can take up to 3 calendar days to be visible in Compass.)</w:t>
            </w:r>
          </w:p>
          <w:p w14:paraId="394C48AF" w14:textId="77777777" w:rsidR="004530BA" w:rsidRPr="00056494" w:rsidRDefault="004530BA" w:rsidP="00581F7D">
            <w:pPr>
              <w:tabs>
                <w:tab w:val="center" w:pos="689"/>
                <w:tab w:val="left" w:pos="11820"/>
              </w:tabs>
              <w:spacing w:before="120" w:after="120"/>
              <w:ind w:left="720" w:right="473"/>
            </w:pPr>
          </w:p>
        </w:tc>
      </w:tr>
      <w:tr w:rsidR="004530BA" w:rsidRPr="00056494" w14:paraId="56BE8915" w14:textId="77777777" w:rsidTr="00581F7D">
        <w:tc>
          <w:tcPr>
            <w:tcW w:w="603" w:type="pct"/>
          </w:tcPr>
          <w:p w14:paraId="47F1486D" w14:textId="77777777" w:rsidR="004530BA" w:rsidRPr="00056494" w:rsidRDefault="004530BA" w:rsidP="00581F7D">
            <w:pPr>
              <w:spacing w:before="120" w:after="120"/>
              <w:ind w:right="473"/>
              <w:jc w:val="center"/>
              <w:rPr>
                <w:b/>
              </w:rPr>
            </w:pPr>
            <w:r w:rsidRPr="00056494">
              <w:rPr>
                <w:b/>
              </w:rPr>
              <w:t>Tip 9</w:t>
            </w:r>
          </w:p>
        </w:tc>
        <w:tc>
          <w:tcPr>
            <w:tcW w:w="4397" w:type="pct"/>
            <w:tcBorders>
              <w:bottom w:val="single" w:sz="4" w:space="0" w:color="auto"/>
            </w:tcBorders>
          </w:tcPr>
          <w:p w14:paraId="0E745498" w14:textId="77777777" w:rsidR="004530BA" w:rsidRPr="00056494" w:rsidRDefault="004530BA" w:rsidP="00581F7D">
            <w:pPr>
              <w:tabs>
                <w:tab w:val="center" w:pos="689"/>
                <w:tab w:val="left" w:pos="11820"/>
              </w:tabs>
              <w:spacing w:before="120" w:after="120"/>
              <w:ind w:right="473"/>
            </w:pPr>
            <w:r w:rsidRPr="00056494">
              <w:t xml:space="preserve">The beneficiary can request an Agent at any time by pressing “0” or saying “Agent.” </w:t>
            </w:r>
          </w:p>
          <w:p w14:paraId="1FDDFA47" w14:textId="77777777" w:rsidR="004530BA" w:rsidRPr="00056494" w:rsidRDefault="004530BA" w:rsidP="00581F7D">
            <w:pPr>
              <w:numPr>
                <w:ilvl w:val="0"/>
                <w:numId w:val="36"/>
              </w:numPr>
              <w:tabs>
                <w:tab w:val="center" w:pos="689"/>
                <w:tab w:val="left" w:pos="11820"/>
              </w:tabs>
              <w:spacing w:before="120" w:after="120"/>
              <w:ind w:right="473"/>
            </w:pPr>
            <w:r w:rsidRPr="00056494">
              <w:t>This will transfer the caller into the appropriate Care Line for further assistance.</w:t>
            </w:r>
          </w:p>
          <w:p w14:paraId="21D72BF8" w14:textId="77777777" w:rsidR="004530BA" w:rsidRPr="00056494" w:rsidRDefault="004530BA" w:rsidP="00581F7D">
            <w:pPr>
              <w:tabs>
                <w:tab w:val="center" w:pos="689"/>
                <w:tab w:val="left" w:pos="11820"/>
              </w:tabs>
              <w:spacing w:before="120" w:after="120"/>
              <w:ind w:left="720" w:right="473"/>
            </w:pPr>
          </w:p>
        </w:tc>
      </w:tr>
    </w:tbl>
    <w:p w14:paraId="669DC91D" w14:textId="77777777" w:rsidR="004530BA" w:rsidRPr="00056494" w:rsidRDefault="004530BA" w:rsidP="004530BA">
      <w:pPr>
        <w:spacing w:before="120" w:after="120"/>
        <w:ind w:right="37"/>
        <w:jc w:val="right"/>
      </w:pPr>
    </w:p>
    <w:p w14:paraId="4E39393F" w14:textId="1B112982" w:rsidR="004530BA" w:rsidRPr="00056494" w:rsidRDefault="004530BA" w:rsidP="004530BA">
      <w:pPr>
        <w:spacing w:before="120" w:after="120"/>
        <w:ind w:right="37"/>
        <w:jc w:val="right"/>
      </w:pPr>
      <w:hyperlink w:anchor="_top" w:history="1">
        <w:r w:rsidRPr="004530BA">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530BA" w:rsidRPr="00056494" w14:paraId="74233E83" w14:textId="77777777" w:rsidTr="00581F7D">
        <w:tc>
          <w:tcPr>
            <w:tcW w:w="5000" w:type="pct"/>
            <w:shd w:val="clear" w:color="auto" w:fill="C0C0C0"/>
          </w:tcPr>
          <w:p w14:paraId="04560C51" w14:textId="77777777" w:rsidR="004530BA" w:rsidRPr="00056494" w:rsidRDefault="004530BA" w:rsidP="00581F7D">
            <w:pPr>
              <w:pStyle w:val="Heading2"/>
              <w:spacing w:before="120" w:after="120"/>
              <w:rPr>
                <w:rFonts w:cs="Times New Roman"/>
                <w:i/>
                <w:iCs/>
              </w:rPr>
            </w:pPr>
            <w:bookmarkStart w:id="8" w:name="_Automatic_Credit_Card"/>
            <w:bookmarkStart w:id="9" w:name="_Premium_Payment_IVR"/>
            <w:bookmarkStart w:id="10" w:name="_Toc194581419"/>
            <w:bookmarkEnd w:id="8"/>
            <w:bookmarkEnd w:id="9"/>
            <w:r w:rsidRPr="00056494">
              <w:rPr>
                <w:rFonts w:cs="Times New Roman"/>
              </w:rPr>
              <w:t>Premium Payment IVR Numbers</w:t>
            </w:r>
            <w:bookmarkEnd w:id="10"/>
          </w:p>
        </w:tc>
      </w:tr>
    </w:tbl>
    <w:p w14:paraId="0722258C" w14:textId="77777777" w:rsidR="004530BA" w:rsidRPr="00056494" w:rsidRDefault="004530BA" w:rsidP="004530BA">
      <w:pPr>
        <w:spacing w:before="120" w:after="120"/>
        <w:ind w:right="473"/>
        <w:rPr>
          <w:rFonts w:cs="Arial"/>
          <w:color w:val="000000"/>
        </w:rPr>
      </w:pPr>
    </w:p>
    <w:p w14:paraId="44072C5F" w14:textId="77777777" w:rsidR="004530BA" w:rsidRPr="00056494" w:rsidRDefault="004530BA" w:rsidP="004530BA">
      <w:pPr>
        <w:spacing w:before="120" w:after="120"/>
        <w:ind w:right="473"/>
      </w:pPr>
      <w:r w:rsidRPr="00056494">
        <w:rPr>
          <w:rFonts w:cs="Arial"/>
          <w:color w:val="000000"/>
        </w:rP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8"/>
        <w:gridCol w:w="9762"/>
      </w:tblGrid>
      <w:tr w:rsidR="004530BA" w:rsidRPr="00056494" w14:paraId="548C8B8F" w14:textId="77777777" w:rsidTr="00581F7D">
        <w:tc>
          <w:tcPr>
            <w:tcW w:w="1231" w:type="pct"/>
            <w:shd w:val="clear" w:color="auto" w:fill="D9D9D9"/>
          </w:tcPr>
          <w:p w14:paraId="623E2169" w14:textId="77777777" w:rsidR="004530BA" w:rsidRPr="00056494" w:rsidRDefault="004530BA" w:rsidP="00581F7D">
            <w:pPr>
              <w:autoSpaceDE w:val="0"/>
              <w:autoSpaceDN w:val="0"/>
              <w:adjustRightInd w:val="0"/>
              <w:spacing w:before="120" w:after="120"/>
              <w:ind w:right="473"/>
              <w:jc w:val="center"/>
              <w:rPr>
                <w:rFonts w:cs="Arial"/>
                <w:b/>
              </w:rPr>
            </w:pPr>
            <w:r w:rsidRPr="00056494">
              <w:rPr>
                <w:rFonts w:cs="Arial"/>
                <w:b/>
              </w:rPr>
              <w:t>Client</w:t>
            </w:r>
          </w:p>
        </w:tc>
        <w:tc>
          <w:tcPr>
            <w:tcW w:w="3769" w:type="pct"/>
            <w:shd w:val="clear" w:color="auto" w:fill="D9D9D9"/>
          </w:tcPr>
          <w:p w14:paraId="04949E60" w14:textId="77777777" w:rsidR="004530BA" w:rsidRPr="00056494" w:rsidRDefault="004530BA" w:rsidP="00581F7D">
            <w:pPr>
              <w:autoSpaceDE w:val="0"/>
              <w:autoSpaceDN w:val="0"/>
              <w:adjustRightInd w:val="0"/>
              <w:spacing w:before="120" w:after="120"/>
              <w:ind w:right="473"/>
              <w:jc w:val="center"/>
              <w:rPr>
                <w:rFonts w:cs="Arial"/>
                <w:b/>
              </w:rPr>
            </w:pPr>
            <w:r w:rsidRPr="00056494">
              <w:rPr>
                <w:rFonts w:cs="Arial"/>
                <w:b/>
              </w:rPr>
              <w:t>IVR Number</w:t>
            </w:r>
          </w:p>
        </w:tc>
      </w:tr>
      <w:tr w:rsidR="004530BA" w:rsidRPr="00056494" w14:paraId="3D9BE409" w14:textId="77777777" w:rsidTr="00581F7D">
        <w:tc>
          <w:tcPr>
            <w:tcW w:w="1231" w:type="pct"/>
            <w:tcBorders>
              <w:top w:val="single" w:sz="4" w:space="0" w:color="auto"/>
              <w:left w:val="single" w:sz="4" w:space="0" w:color="auto"/>
              <w:bottom w:val="single" w:sz="4" w:space="0" w:color="auto"/>
              <w:right w:val="single" w:sz="4" w:space="0" w:color="auto"/>
            </w:tcBorders>
            <w:shd w:val="clear" w:color="auto" w:fill="auto"/>
          </w:tcPr>
          <w:p w14:paraId="2ED2E01E" w14:textId="77777777" w:rsidR="004530BA" w:rsidRPr="00056494" w:rsidRDefault="004530BA" w:rsidP="00581F7D">
            <w:pPr>
              <w:autoSpaceDE w:val="0"/>
              <w:autoSpaceDN w:val="0"/>
              <w:adjustRightInd w:val="0"/>
              <w:spacing w:before="120" w:after="120"/>
              <w:ind w:right="473"/>
              <w:jc w:val="center"/>
              <w:rPr>
                <w:rFonts w:cs="Courier New"/>
                <w:b/>
              </w:rPr>
            </w:pPr>
          </w:p>
          <w:p w14:paraId="6AEC9957" w14:textId="77777777" w:rsidR="004530BA" w:rsidRPr="00056494" w:rsidRDefault="004530BA" w:rsidP="00581F7D">
            <w:pPr>
              <w:autoSpaceDE w:val="0"/>
              <w:autoSpaceDN w:val="0"/>
              <w:adjustRightInd w:val="0"/>
              <w:spacing w:before="120" w:after="120"/>
              <w:ind w:right="473"/>
              <w:jc w:val="center"/>
              <w:rPr>
                <w:rFonts w:cs="Courier New"/>
                <w:b/>
              </w:rPr>
            </w:pPr>
            <w:r w:rsidRPr="00056494">
              <w:rPr>
                <w:rFonts w:cs="Courier New"/>
                <w:b/>
              </w:rPr>
              <w:t xml:space="preserve">Blue </w:t>
            </w:r>
            <w:proofErr w:type="spellStart"/>
            <w:r w:rsidRPr="00056494">
              <w:rPr>
                <w:rFonts w:cs="Courier New"/>
                <w:b/>
              </w:rPr>
              <w:t>MedicareRx</w:t>
            </w:r>
            <w:proofErr w:type="spellEnd"/>
            <w:r w:rsidRPr="00056494">
              <w:rPr>
                <w:rFonts w:cs="Courier New"/>
                <w:b/>
              </w:rPr>
              <w:t xml:space="preserve"> (</w:t>
            </w:r>
            <w:proofErr w:type="spellStart"/>
            <w:r w:rsidRPr="00056494">
              <w:rPr>
                <w:rFonts w:cs="Courier New"/>
                <w:b/>
              </w:rPr>
              <w:t>NEJE</w:t>
            </w:r>
            <w:proofErr w:type="spellEnd"/>
            <w:r w:rsidRPr="00056494">
              <w:rPr>
                <w:rFonts w:cs="Courier New"/>
                <w:b/>
              </w:rPr>
              <w:t>)</w:t>
            </w:r>
          </w:p>
        </w:tc>
        <w:tc>
          <w:tcPr>
            <w:tcW w:w="3769" w:type="pct"/>
            <w:tcBorders>
              <w:top w:val="single" w:sz="4" w:space="0" w:color="auto"/>
              <w:left w:val="single" w:sz="4" w:space="0" w:color="auto"/>
              <w:bottom w:val="single" w:sz="4" w:space="0" w:color="auto"/>
              <w:right w:val="single" w:sz="4" w:space="0" w:color="auto"/>
            </w:tcBorders>
            <w:shd w:val="clear" w:color="auto" w:fill="auto"/>
          </w:tcPr>
          <w:p w14:paraId="11C39286" w14:textId="77777777" w:rsidR="004530BA" w:rsidRPr="00056494" w:rsidRDefault="004530BA" w:rsidP="00581F7D">
            <w:pPr>
              <w:spacing w:before="120" w:after="120"/>
              <w:rPr>
                <w:b/>
              </w:rPr>
            </w:pPr>
          </w:p>
          <w:p w14:paraId="16D8D229" w14:textId="77777777" w:rsidR="004530BA" w:rsidRPr="00056494" w:rsidRDefault="004530BA" w:rsidP="00581F7D">
            <w:pPr>
              <w:spacing w:before="120" w:after="120"/>
              <w:rPr>
                <w:b/>
              </w:rPr>
            </w:pPr>
            <w:r w:rsidRPr="00056494">
              <w:rPr>
                <w:b/>
              </w:rPr>
              <w:t>1-866-535-8407 (</w:t>
            </w:r>
            <w:proofErr w:type="spellStart"/>
            <w:r w:rsidRPr="00056494">
              <w:rPr>
                <w:b/>
              </w:rPr>
              <w:t>NEJE</w:t>
            </w:r>
            <w:proofErr w:type="spellEnd"/>
            <w:r w:rsidRPr="00056494">
              <w:rPr>
                <w:b/>
              </w:rPr>
              <w:t xml:space="preserve"> CT)</w:t>
            </w:r>
          </w:p>
          <w:p w14:paraId="17031A35" w14:textId="77777777" w:rsidR="004530BA" w:rsidRPr="00056494" w:rsidRDefault="004530BA" w:rsidP="00581F7D">
            <w:pPr>
              <w:spacing w:before="120" w:after="120"/>
              <w:rPr>
                <w:b/>
              </w:rPr>
            </w:pPr>
            <w:r w:rsidRPr="00056494">
              <w:rPr>
                <w:b/>
              </w:rPr>
              <w:t>1-866-535-8621 (</w:t>
            </w:r>
            <w:proofErr w:type="spellStart"/>
            <w:r w:rsidRPr="00056494">
              <w:rPr>
                <w:b/>
              </w:rPr>
              <w:t>NEJE</w:t>
            </w:r>
            <w:proofErr w:type="spellEnd"/>
            <w:r w:rsidRPr="00056494">
              <w:rPr>
                <w:b/>
              </w:rPr>
              <w:t xml:space="preserve"> MA)</w:t>
            </w:r>
          </w:p>
          <w:p w14:paraId="6D111647" w14:textId="77777777" w:rsidR="004530BA" w:rsidRPr="00056494" w:rsidRDefault="004530BA" w:rsidP="00581F7D">
            <w:pPr>
              <w:spacing w:before="120" w:after="120"/>
              <w:rPr>
                <w:b/>
              </w:rPr>
            </w:pPr>
            <w:r w:rsidRPr="00056494">
              <w:rPr>
                <w:b/>
              </w:rPr>
              <w:t>1-866-535-6344 (</w:t>
            </w:r>
            <w:proofErr w:type="spellStart"/>
            <w:r w:rsidRPr="00056494">
              <w:rPr>
                <w:b/>
              </w:rPr>
              <w:t>NEJE</w:t>
            </w:r>
            <w:proofErr w:type="spellEnd"/>
            <w:r w:rsidRPr="00056494">
              <w:rPr>
                <w:b/>
              </w:rPr>
              <w:t xml:space="preserve"> RI)</w:t>
            </w:r>
          </w:p>
          <w:p w14:paraId="43909662" w14:textId="77777777" w:rsidR="004530BA" w:rsidRPr="00056494" w:rsidRDefault="004530BA" w:rsidP="00581F7D">
            <w:pPr>
              <w:spacing w:before="120" w:after="120"/>
              <w:rPr>
                <w:b/>
              </w:rPr>
            </w:pPr>
            <w:r w:rsidRPr="00056494">
              <w:rPr>
                <w:b/>
              </w:rPr>
              <w:t>1-866-535-8369 (</w:t>
            </w:r>
            <w:proofErr w:type="spellStart"/>
            <w:r w:rsidRPr="00056494">
              <w:rPr>
                <w:b/>
              </w:rPr>
              <w:t>NEJE</w:t>
            </w:r>
            <w:proofErr w:type="spellEnd"/>
            <w:r w:rsidRPr="00056494">
              <w:rPr>
                <w:b/>
              </w:rPr>
              <w:t xml:space="preserve"> VT)</w:t>
            </w:r>
          </w:p>
          <w:p w14:paraId="1CE5F95B" w14:textId="77777777" w:rsidR="004530BA" w:rsidRPr="00056494" w:rsidRDefault="004530BA" w:rsidP="00581F7D">
            <w:pPr>
              <w:autoSpaceDE w:val="0"/>
              <w:autoSpaceDN w:val="0"/>
              <w:adjustRightInd w:val="0"/>
              <w:spacing w:before="120" w:after="120"/>
              <w:ind w:right="473"/>
              <w:rPr>
                <w:rFonts w:cs="Courier New"/>
                <w:noProof/>
              </w:rPr>
            </w:pPr>
          </w:p>
        </w:tc>
      </w:tr>
    </w:tbl>
    <w:p w14:paraId="20880E27" w14:textId="77777777" w:rsidR="004530BA" w:rsidRPr="00056494" w:rsidRDefault="004530BA" w:rsidP="004530BA">
      <w:pPr>
        <w:spacing w:before="120" w:after="120"/>
        <w:ind w:right="37"/>
        <w:jc w:val="right"/>
      </w:pPr>
    </w:p>
    <w:p w14:paraId="1E93C2B0" w14:textId="31DA97AF" w:rsidR="004530BA" w:rsidRPr="00056494" w:rsidRDefault="004530BA" w:rsidP="004530BA">
      <w:pPr>
        <w:spacing w:before="120" w:after="120"/>
        <w:ind w:right="37"/>
        <w:jc w:val="right"/>
      </w:pPr>
      <w:hyperlink w:anchor="_top" w:history="1">
        <w:r w:rsidRPr="004530BA">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530BA" w:rsidRPr="00056494" w14:paraId="207CB236" w14:textId="77777777" w:rsidTr="00581F7D">
        <w:tc>
          <w:tcPr>
            <w:tcW w:w="5000" w:type="pct"/>
            <w:shd w:val="clear" w:color="auto" w:fill="C0C0C0"/>
          </w:tcPr>
          <w:p w14:paraId="25A0AF95" w14:textId="77777777" w:rsidR="004530BA" w:rsidRPr="00056494" w:rsidRDefault="004530BA" w:rsidP="00581F7D">
            <w:pPr>
              <w:pStyle w:val="Heading2"/>
              <w:spacing w:before="120" w:after="120"/>
              <w:rPr>
                <w:i/>
                <w:iCs/>
              </w:rPr>
            </w:pPr>
            <w:bookmarkStart w:id="11" w:name="_General_Premium_Payment"/>
            <w:bookmarkStart w:id="12" w:name="_Toc194581420"/>
            <w:bookmarkEnd w:id="11"/>
            <w:r w:rsidRPr="00056494">
              <w:t>General Premium Payment IVR Flow</w:t>
            </w:r>
            <w:bookmarkEnd w:id="12"/>
          </w:p>
        </w:tc>
      </w:tr>
    </w:tbl>
    <w:p w14:paraId="6ACD753E" w14:textId="77777777" w:rsidR="004530BA" w:rsidRPr="00056494" w:rsidRDefault="004530BA" w:rsidP="004530BA">
      <w:pPr>
        <w:tabs>
          <w:tab w:val="left" w:pos="4891"/>
        </w:tabs>
        <w:spacing w:before="120" w:after="120"/>
        <w:ind w:right="473"/>
      </w:pPr>
      <w:r w:rsidRPr="00056494">
        <w:t xml:space="preserve">CCRs can refer to the below general Premium Payment IVR flow when assisting beneficiaries with IVR related concerns. </w:t>
      </w:r>
    </w:p>
    <w:p w14:paraId="6717AB21" w14:textId="77777777" w:rsidR="004530BA" w:rsidRPr="00056494" w:rsidRDefault="004530BA" w:rsidP="004530BA">
      <w:pPr>
        <w:tabs>
          <w:tab w:val="left" w:pos="4891"/>
        </w:tabs>
        <w:spacing w:before="120" w:after="120"/>
        <w:ind w:right="473"/>
      </w:pPr>
    </w:p>
    <w:p w14:paraId="120D0881" w14:textId="77777777" w:rsidR="004530BA" w:rsidRPr="00056494" w:rsidRDefault="004530BA" w:rsidP="004530BA">
      <w:pPr>
        <w:numPr>
          <w:ilvl w:val="0"/>
          <w:numId w:val="34"/>
        </w:numPr>
        <w:tabs>
          <w:tab w:val="left" w:pos="720"/>
          <w:tab w:val="left" w:pos="4891"/>
        </w:tabs>
        <w:spacing w:before="120" w:after="120"/>
        <w:ind w:right="475"/>
      </w:pPr>
      <w:proofErr w:type="gramStart"/>
      <w:r w:rsidRPr="00056494">
        <w:t>Greeting</w:t>
      </w:r>
      <w:proofErr w:type="gramEnd"/>
      <w:r w:rsidRPr="00056494">
        <w:t xml:space="preserve">:  Welcome to the Blue </w:t>
      </w:r>
      <w:proofErr w:type="spellStart"/>
      <w:r w:rsidRPr="00056494">
        <w:t>MedicareRx</w:t>
      </w:r>
      <w:proofErr w:type="spellEnd"/>
      <w:r w:rsidRPr="00056494">
        <w:t xml:space="preserve"> payment center.</w:t>
      </w:r>
    </w:p>
    <w:p w14:paraId="190BE57A" w14:textId="77777777" w:rsidR="004530BA" w:rsidRPr="00056494" w:rsidRDefault="004530BA" w:rsidP="004530BA">
      <w:pPr>
        <w:numPr>
          <w:ilvl w:val="0"/>
          <w:numId w:val="34"/>
        </w:numPr>
        <w:tabs>
          <w:tab w:val="left" w:pos="720"/>
          <w:tab w:val="left" w:pos="4891"/>
        </w:tabs>
        <w:spacing w:before="120" w:after="120"/>
        <w:ind w:right="475"/>
      </w:pPr>
      <w:r w:rsidRPr="00056494">
        <w:t xml:space="preserve">If the beneficiary is using a phone number we have on file, and no other beneficiary also has that number, the IVR will request Date of Birth to validate </w:t>
      </w:r>
      <w:proofErr w:type="gramStart"/>
      <w:r w:rsidRPr="00056494">
        <w:t>located</w:t>
      </w:r>
      <w:proofErr w:type="gramEnd"/>
      <w:r w:rsidRPr="00056494">
        <w:t xml:space="preserve"> account. Beneficiaries using a different phone number to call the IVR, or shared phone number accounts, will be prompted to enter the last 6 digits of their Payment ID, and then may be asked for Date of Birth and/or mailing zip code to complete authentication. </w:t>
      </w:r>
    </w:p>
    <w:p w14:paraId="786F3E07" w14:textId="77777777" w:rsidR="004530BA" w:rsidRPr="00056494" w:rsidRDefault="004530BA" w:rsidP="004530BA">
      <w:pPr>
        <w:numPr>
          <w:ilvl w:val="0"/>
          <w:numId w:val="34"/>
        </w:numPr>
        <w:tabs>
          <w:tab w:val="left" w:pos="720"/>
          <w:tab w:val="left" w:pos="4891"/>
        </w:tabs>
        <w:spacing w:before="120" w:after="120"/>
        <w:ind w:right="475"/>
      </w:pPr>
      <w:r w:rsidRPr="00056494">
        <w:t>The IVR will provide the caller with the current balance and advise if there is a pending payment processing already. The beneficiary may then decide whether to pay the amount due or enter a different amount.</w:t>
      </w:r>
    </w:p>
    <w:p w14:paraId="5EAB8209" w14:textId="77777777" w:rsidR="004530BA" w:rsidRPr="00056494" w:rsidRDefault="004530BA" w:rsidP="004530BA">
      <w:pPr>
        <w:numPr>
          <w:ilvl w:val="0"/>
          <w:numId w:val="34"/>
        </w:numPr>
        <w:tabs>
          <w:tab w:val="left" w:pos="720"/>
          <w:tab w:val="left" w:pos="4891"/>
        </w:tabs>
        <w:spacing w:before="120" w:after="120"/>
        <w:ind w:right="475"/>
      </w:pPr>
      <w:r w:rsidRPr="00056494">
        <w:t>Next, the beneficiary will be asked what payment method they wish to use (Bank Account or Card) and requested to enter the necessary routing/account or card numbers.</w:t>
      </w:r>
    </w:p>
    <w:p w14:paraId="74A877E5" w14:textId="77777777" w:rsidR="004530BA" w:rsidRPr="00056494" w:rsidRDefault="004530BA" w:rsidP="004530BA">
      <w:pPr>
        <w:numPr>
          <w:ilvl w:val="0"/>
          <w:numId w:val="34"/>
        </w:numPr>
        <w:tabs>
          <w:tab w:val="left" w:pos="720"/>
          <w:tab w:val="left" w:pos="4891"/>
        </w:tabs>
        <w:spacing w:before="120" w:after="120"/>
        <w:ind w:right="475"/>
      </w:pPr>
      <w:r w:rsidRPr="00056494">
        <w:t xml:space="preserve">After the IVR confirms the amount to be paid with the caller, it will process the payment and advise the beneficiary of the results (Approved, Partially Approved, Declined) and state the Turn Around Time for posting of the payment to our system. This is followed by the confirmation number for the payment. </w:t>
      </w:r>
    </w:p>
    <w:p w14:paraId="7E0C8A38" w14:textId="77777777" w:rsidR="004530BA" w:rsidRPr="00056494" w:rsidRDefault="004530BA" w:rsidP="004530BA">
      <w:pPr>
        <w:tabs>
          <w:tab w:val="left" w:pos="720"/>
          <w:tab w:val="left" w:pos="4891"/>
        </w:tabs>
        <w:spacing w:before="120" w:after="120"/>
        <w:ind w:left="720" w:right="475"/>
      </w:pPr>
      <w:r w:rsidRPr="00056494">
        <w:rPr>
          <w:b/>
          <w:bCs/>
        </w:rPr>
        <w:t>Note:</w:t>
      </w:r>
      <w:r w:rsidRPr="00056494">
        <w:t xml:space="preserve">  Declined or Partially Approved payments will lead to a transfer </w:t>
      </w:r>
      <w:proofErr w:type="gramStart"/>
      <w:r w:rsidRPr="00056494">
        <w:t>in to</w:t>
      </w:r>
      <w:proofErr w:type="gramEnd"/>
      <w:r w:rsidRPr="00056494">
        <w:t xml:space="preserve"> our dedicated Care lines for further assistance.</w:t>
      </w:r>
    </w:p>
    <w:p w14:paraId="421F7444" w14:textId="77777777" w:rsidR="004530BA" w:rsidRPr="00056494" w:rsidRDefault="004530BA" w:rsidP="004530BA">
      <w:pPr>
        <w:numPr>
          <w:ilvl w:val="0"/>
          <w:numId w:val="34"/>
        </w:numPr>
        <w:tabs>
          <w:tab w:val="left" w:pos="720"/>
          <w:tab w:val="left" w:pos="4891"/>
        </w:tabs>
        <w:spacing w:before="120" w:after="120"/>
        <w:ind w:right="475"/>
      </w:pPr>
      <w:r w:rsidRPr="00056494">
        <w:t>After processing a payment for a beneficiary not currently enrolled in EFT/RCD, the IVR will offer to enroll the payment method just used for autopay of premiums. Beneficiaries who accept will be advised by the IVR of successful completion of autopay enrollment; those who say no (or who are already on EFT/RCD) will be thanked and the call will close.</w:t>
      </w:r>
    </w:p>
    <w:p w14:paraId="4BBC1A29" w14:textId="1C018F7E" w:rsidR="004530BA" w:rsidRPr="00056494" w:rsidRDefault="004530BA" w:rsidP="004530BA">
      <w:pPr>
        <w:tabs>
          <w:tab w:val="left" w:pos="17910"/>
        </w:tabs>
        <w:spacing w:before="120" w:after="120"/>
        <w:ind w:right="37"/>
        <w:jc w:val="right"/>
      </w:pPr>
      <w:hyperlink w:anchor="_top" w:history="1">
        <w:r w:rsidRPr="004530BA">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530BA" w:rsidRPr="00056494" w14:paraId="00D634C1" w14:textId="77777777" w:rsidTr="00581F7D">
        <w:tc>
          <w:tcPr>
            <w:tcW w:w="5000" w:type="pct"/>
            <w:shd w:val="clear" w:color="auto" w:fill="C0C0C0"/>
          </w:tcPr>
          <w:p w14:paraId="0A447F59" w14:textId="77777777" w:rsidR="004530BA" w:rsidRPr="00056494" w:rsidRDefault="004530BA" w:rsidP="00581F7D">
            <w:pPr>
              <w:pStyle w:val="Heading2"/>
              <w:spacing w:before="120" w:after="120"/>
              <w:rPr>
                <w:i/>
                <w:iCs/>
              </w:rPr>
            </w:pPr>
            <w:bookmarkStart w:id="13" w:name="_Toc528816983"/>
            <w:bookmarkStart w:id="14" w:name="_Toc194581421"/>
            <w:r w:rsidRPr="00056494">
              <w:t>Related Documents</w:t>
            </w:r>
            <w:bookmarkEnd w:id="13"/>
            <w:bookmarkEnd w:id="14"/>
          </w:p>
        </w:tc>
      </w:tr>
    </w:tbl>
    <w:p w14:paraId="34B2852A" w14:textId="77777777" w:rsidR="004530BA" w:rsidRPr="00056494" w:rsidRDefault="004530BA" w:rsidP="004530BA">
      <w:pPr>
        <w:spacing w:before="120" w:after="120"/>
      </w:pPr>
      <w:hyperlink r:id="rId15" w:anchor="!/view?docid=4cf25a7a-fee5-426a-8eeb-b91e1eee8789" w:history="1">
        <w:r w:rsidRPr="00056494">
          <w:rPr>
            <w:rStyle w:val="Hyperlink"/>
            <w:rFonts w:eastAsiaTheme="majorEastAsia"/>
          </w:rPr>
          <w:t xml:space="preserve">Compass MED D - Blue </w:t>
        </w:r>
        <w:proofErr w:type="spellStart"/>
        <w:r w:rsidRPr="00056494">
          <w:rPr>
            <w:rStyle w:val="Hyperlink"/>
            <w:rFonts w:eastAsiaTheme="majorEastAsia"/>
          </w:rPr>
          <w:t>MedicareRx</w:t>
        </w:r>
        <w:proofErr w:type="spellEnd"/>
        <w:r w:rsidRPr="00056494">
          <w:rPr>
            <w:rStyle w:val="Hyperlink"/>
            <w:rFonts w:eastAsiaTheme="majorEastAsia"/>
          </w:rPr>
          <w:t xml:space="preserve"> (</w:t>
        </w:r>
        <w:proofErr w:type="spellStart"/>
        <w:r w:rsidRPr="00056494">
          <w:rPr>
            <w:rStyle w:val="Hyperlink"/>
            <w:rFonts w:eastAsiaTheme="majorEastAsia"/>
          </w:rPr>
          <w:t>NEJE</w:t>
        </w:r>
        <w:proofErr w:type="spellEnd"/>
        <w:r w:rsidRPr="00056494">
          <w:rPr>
            <w:rStyle w:val="Hyperlink"/>
            <w:rFonts w:eastAsiaTheme="majorEastAsia"/>
          </w:rPr>
          <w:t>) - Premium Billing Credit Card Single-Sign-On (</w:t>
        </w:r>
        <w:proofErr w:type="spellStart"/>
        <w:r w:rsidRPr="00056494">
          <w:rPr>
            <w:rStyle w:val="Hyperlink"/>
            <w:rFonts w:eastAsiaTheme="majorEastAsia"/>
          </w:rPr>
          <w:t>SSO</w:t>
        </w:r>
        <w:proofErr w:type="spellEnd"/>
        <w:r w:rsidRPr="00056494">
          <w:rPr>
            <w:rStyle w:val="Hyperlink"/>
            <w:rFonts w:eastAsiaTheme="majorEastAsia"/>
          </w:rPr>
          <w:t>) Processes (066463)</w:t>
        </w:r>
      </w:hyperlink>
    </w:p>
    <w:p w14:paraId="3FAB66D0" w14:textId="77777777" w:rsidR="004530BA" w:rsidRPr="00056494" w:rsidRDefault="004530BA" w:rsidP="004530BA">
      <w:pPr>
        <w:spacing w:before="120" w:after="120"/>
      </w:pPr>
      <w:hyperlink r:id="rId16" w:anchor="!/view?docid=cfab5ae2-a27a-4504-a84f-3a408367d032" w:history="1">
        <w:r w:rsidRPr="00056494">
          <w:rPr>
            <w:rStyle w:val="Hyperlink"/>
            <w:rFonts w:eastAsiaTheme="majorEastAsia"/>
          </w:rPr>
          <w:t xml:space="preserve">Compass MED D - Blue </w:t>
        </w:r>
        <w:proofErr w:type="spellStart"/>
        <w:r w:rsidRPr="00056494">
          <w:rPr>
            <w:rStyle w:val="Hyperlink"/>
            <w:rFonts w:eastAsiaTheme="majorEastAsia"/>
          </w:rPr>
          <w:t>MedicareRx</w:t>
        </w:r>
        <w:proofErr w:type="spellEnd"/>
        <w:r w:rsidRPr="00056494">
          <w:rPr>
            <w:rStyle w:val="Hyperlink"/>
            <w:rFonts w:eastAsiaTheme="majorEastAsia"/>
          </w:rPr>
          <w:t xml:space="preserve"> (</w:t>
        </w:r>
        <w:proofErr w:type="spellStart"/>
        <w:r w:rsidRPr="00056494">
          <w:rPr>
            <w:rStyle w:val="Hyperlink"/>
            <w:rFonts w:eastAsiaTheme="majorEastAsia"/>
          </w:rPr>
          <w:t>NEJE</w:t>
        </w:r>
        <w:proofErr w:type="spellEnd"/>
        <w:r w:rsidRPr="00056494">
          <w:rPr>
            <w:rStyle w:val="Hyperlink"/>
            <w:rFonts w:eastAsiaTheme="majorEastAsia"/>
          </w:rPr>
          <w:t>) - Premium Billing E-Check/EFT Single-Sign-On (</w:t>
        </w:r>
        <w:proofErr w:type="spellStart"/>
        <w:r w:rsidRPr="00056494">
          <w:rPr>
            <w:rStyle w:val="Hyperlink"/>
            <w:rFonts w:eastAsiaTheme="majorEastAsia"/>
          </w:rPr>
          <w:t>SSO</w:t>
        </w:r>
        <w:proofErr w:type="spellEnd"/>
        <w:r w:rsidRPr="00056494">
          <w:rPr>
            <w:rStyle w:val="Hyperlink"/>
            <w:rFonts w:eastAsiaTheme="majorEastAsia"/>
          </w:rPr>
          <w:t>) Processes (066478)</w:t>
        </w:r>
      </w:hyperlink>
      <w:r w:rsidRPr="00056494">
        <w:t xml:space="preserve"> </w:t>
      </w:r>
    </w:p>
    <w:p w14:paraId="2D9414A4" w14:textId="77777777" w:rsidR="004530BA" w:rsidRPr="00056494" w:rsidRDefault="004530BA" w:rsidP="004530BA">
      <w:pPr>
        <w:spacing w:before="120" w:after="120"/>
      </w:pPr>
      <w:hyperlink r:id="rId17" w:anchor="!/view?docid=56e6341b-d1ed-4b15-bd10-6eb6a3ed92a5" w:history="1">
        <w:r w:rsidRPr="00056494">
          <w:rPr>
            <w:rStyle w:val="Hyperlink"/>
            <w:rFonts w:eastAsiaTheme="majorEastAsia"/>
          </w:rPr>
          <w:t xml:space="preserve">Compass MED D - Blue </w:t>
        </w:r>
        <w:proofErr w:type="spellStart"/>
        <w:r w:rsidRPr="00056494">
          <w:rPr>
            <w:rStyle w:val="Hyperlink"/>
            <w:rFonts w:eastAsiaTheme="majorEastAsia"/>
          </w:rPr>
          <w:t>MedicareRx</w:t>
        </w:r>
        <w:proofErr w:type="spellEnd"/>
        <w:r w:rsidRPr="00056494">
          <w:rPr>
            <w:rStyle w:val="Hyperlink"/>
            <w:rFonts w:eastAsiaTheme="majorEastAsia"/>
          </w:rPr>
          <w:t xml:space="preserve"> (</w:t>
        </w:r>
        <w:proofErr w:type="spellStart"/>
        <w:r w:rsidRPr="00056494">
          <w:rPr>
            <w:rStyle w:val="Hyperlink"/>
            <w:rFonts w:eastAsiaTheme="majorEastAsia"/>
          </w:rPr>
          <w:t>NEJE</w:t>
        </w:r>
        <w:proofErr w:type="spellEnd"/>
        <w:r w:rsidRPr="00056494">
          <w:rPr>
            <w:rStyle w:val="Hyperlink"/>
            <w:rFonts w:eastAsiaTheme="majorEastAsia"/>
          </w:rPr>
          <w:t>) - Premium Billing General Information, Processes, &amp; Document Index (066459)</w:t>
        </w:r>
      </w:hyperlink>
    </w:p>
    <w:p w14:paraId="24E895EC" w14:textId="77777777" w:rsidR="004530BA" w:rsidRPr="00056494" w:rsidRDefault="004530BA" w:rsidP="004530BA">
      <w:pPr>
        <w:spacing w:before="120" w:after="120"/>
        <w:rPr>
          <w:b/>
          <w:bCs/>
        </w:rPr>
      </w:pPr>
      <w:r w:rsidRPr="00056494">
        <w:rPr>
          <w:b/>
          <w:bCs/>
        </w:rPr>
        <w:t xml:space="preserve">Grievance Standard Verbiage:  </w:t>
      </w:r>
      <w:r w:rsidRPr="00056494">
        <w:t xml:space="preserve">Refer to the “Grievance Standard Verbiage (for use in Discussion with Beneficiary)” section in </w:t>
      </w:r>
      <w:hyperlink r:id="rId18" w:anchor="!/view?docid=70034f51-77df-49a4-ae97-7d3d63b216b3" w:history="1">
        <w:r w:rsidRPr="00056494">
          <w:rPr>
            <w:rStyle w:val="Hyperlink"/>
            <w:rFonts w:eastAsiaTheme="majorEastAsia"/>
          </w:rPr>
          <w:t>Compass MED D - Grievances Index (062962)</w:t>
        </w:r>
      </w:hyperlink>
    </w:p>
    <w:p w14:paraId="09CC3702" w14:textId="77777777" w:rsidR="004530BA" w:rsidRPr="00056494" w:rsidRDefault="004530BA" w:rsidP="004530BA">
      <w:pPr>
        <w:pStyle w:val="ListParagraph"/>
        <w:spacing w:before="120" w:after="120"/>
        <w:ind w:left="0"/>
        <w:rPr>
          <w:rStyle w:val="Hyperlink"/>
          <w:rFonts w:eastAsiaTheme="majorEastAsia"/>
        </w:rPr>
      </w:pPr>
      <w:r w:rsidRPr="00056494">
        <w:rPr>
          <w:b/>
          <w:bCs/>
        </w:rPr>
        <w:t xml:space="preserve">Parent Document:  </w:t>
      </w:r>
      <w:r w:rsidRPr="00056494">
        <w:rPr>
          <w:bCs/>
        </w:rPr>
        <w:t>CALL-0048:</w:t>
      </w:r>
      <w:r w:rsidRPr="00056494">
        <w:rPr>
          <w:b/>
          <w:bCs/>
        </w:rPr>
        <w:t xml:space="preserve">  </w:t>
      </w:r>
      <w:hyperlink r:id="rId19" w:tgtFrame="_blank" w:history="1">
        <w:r w:rsidRPr="00056494">
          <w:rPr>
            <w:rStyle w:val="Hyperlink"/>
            <w:rFonts w:eastAsiaTheme="majorEastAsia"/>
          </w:rPr>
          <w:t>Medicare Part D Customer Care Call Center Requirements-CVS Caremark Part D Services, L.L.C.</w:t>
        </w:r>
      </w:hyperlink>
    </w:p>
    <w:p w14:paraId="7A670B02" w14:textId="77777777" w:rsidR="004530BA" w:rsidRPr="00056494" w:rsidRDefault="004530BA" w:rsidP="004530BA">
      <w:pPr>
        <w:spacing w:before="120" w:after="120"/>
      </w:pPr>
      <w:r w:rsidRPr="00056494">
        <w:rPr>
          <w:b/>
          <w:bCs/>
          <w:color w:val="000000"/>
        </w:rPr>
        <w:t xml:space="preserve">Abbreviations/Definitions:  </w:t>
      </w:r>
      <w:hyperlink r:id="rId20" w:anchor="!/view?docid=c1f1028b-e42c-4b4f-a4cf-cc0b42c91606" w:history="1">
        <w:r w:rsidRPr="00056494">
          <w:rPr>
            <w:rStyle w:val="Hyperlink"/>
            <w:rFonts w:eastAsiaTheme="majorEastAsia"/>
          </w:rPr>
          <w:t>Customer Care Abbreviations, Definitions, and Terms (017428)</w:t>
        </w:r>
      </w:hyperlink>
    </w:p>
    <w:p w14:paraId="5E1E5046" w14:textId="77777777" w:rsidR="004530BA" w:rsidRPr="00056494" w:rsidRDefault="004530BA" w:rsidP="004530BA">
      <w:pPr>
        <w:spacing w:before="120" w:after="120"/>
        <w:jc w:val="right"/>
      </w:pPr>
    </w:p>
    <w:p w14:paraId="4BFA73B5" w14:textId="3B0BD63A" w:rsidR="004530BA" w:rsidRPr="00056494" w:rsidRDefault="004530BA" w:rsidP="004530BA">
      <w:pPr>
        <w:spacing w:before="120" w:after="120"/>
        <w:jc w:val="right"/>
      </w:pPr>
      <w:hyperlink w:anchor="_top" w:history="1">
        <w:r w:rsidRPr="004530BA">
          <w:rPr>
            <w:rStyle w:val="Hyperlink"/>
            <w:rFonts w:eastAsiaTheme="majorEastAsia"/>
          </w:rPr>
          <w:t>Top of the Document</w:t>
        </w:r>
      </w:hyperlink>
    </w:p>
    <w:p w14:paraId="6235BE45" w14:textId="77777777" w:rsidR="004530BA" w:rsidRPr="00056494" w:rsidRDefault="004530BA" w:rsidP="004530BA">
      <w:pPr>
        <w:spacing w:before="120" w:after="120"/>
        <w:jc w:val="right"/>
      </w:pPr>
    </w:p>
    <w:p w14:paraId="42D13CE6" w14:textId="77777777" w:rsidR="004530BA" w:rsidRPr="00056494" w:rsidRDefault="004530BA" w:rsidP="004530BA">
      <w:pPr>
        <w:spacing w:before="120" w:after="120"/>
        <w:jc w:val="center"/>
        <w:rPr>
          <w:sz w:val="16"/>
          <w:szCs w:val="16"/>
        </w:rPr>
      </w:pPr>
      <w:r w:rsidRPr="00056494">
        <w:rPr>
          <w:sz w:val="16"/>
          <w:szCs w:val="16"/>
        </w:rPr>
        <w:t>Not To Be Reproduced Or Disclosed to Others Without Prior Written Approval</w:t>
      </w:r>
    </w:p>
    <w:p w14:paraId="701A299B" w14:textId="77777777" w:rsidR="004530BA" w:rsidRPr="00056494" w:rsidRDefault="004530BA" w:rsidP="004530BA">
      <w:pPr>
        <w:spacing w:before="120" w:after="120"/>
        <w:jc w:val="center"/>
        <w:rPr>
          <w:b/>
          <w:color w:val="000000"/>
          <w:sz w:val="16"/>
          <w:szCs w:val="16"/>
        </w:rPr>
      </w:pPr>
      <w:r w:rsidRPr="00056494">
        <w:rPr>
          <w:b/>
          <w:color w:val="000000"/>
          <w:sz w:val="16"/>
          <w:szCs w:val="16"/>
        </w:rPr>
        <w:t>ELECTRONIC DATA = OFFICIAL VERSION / PAPER COPY = INFORMATIONAL ONLY</w:t>
      </w:r>
    </w:p>
    <w:p w14:paraId="19972765" w14:textId="77777777" w:rsidR="00EA26A9" w:rsidRDefault="00EA26A9"/>
    <w:sectPr w:rsidR="00EA26A9" w:rsidSect="004530BA">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6708" w14:textId="77777777" w:rsidR="004530BA" w:rsidRPr="00C32D18" w:rsidRDefault="004530BA"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C9F91" w14:textId="77777777" w:rsidR="004530BA" w:rsidRPr="00CD2229" w:rsidRDefault="004530BA">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9C5DE" w14:textId="77777777" w:rsidR="004530BA" w:rsidRDefault="004530BA">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6C665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6006898" o:spid="_x0000_i1025" type="#_x0000_t75" style="width:18.75pt;height:15.75pt;visibility:visible;mso-wrap-style:square">
            <v:imagedata r:id="rId1" o:title=""/>
          </v:shape>
        </w:pict>
      </mc:Choice>
      <mc:Fallback>
        <w:drawing>
          <wp:inline distT="0" distB="0" distL="0" distR="0" wp14:anchorId="086BAE4A" wp14:editId="260A06F4">
            <wp:extent cx="238125" cy="200025"/>
            <wp:effectExtent l="0" t="0" r="0" b="0"/>
            <wp:docPr id="1586006898" name="Picture 1586006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mc:Fallback>
    </mc:AlternateContent>
  </w:numPicBullet>
  <w:abstractNum w:abstractNumId="0" w15:restartNumberingAfterBreak="0">
    <w:nsid w:val="002009A8"/>
    <w:multiLevelType w:val="hybridMultilevel"/>
    <w:tmpl w:val="200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C74FC"/>
    <w:multiLevelType w:val="hybridMultilevel"/>
    <w:tmpl w:val="2CBA23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A8331E"/>
    <w:multiLevelType w:val="hybridMultilevel"/>
    <w:tmpl w:val="3D3A5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13B4E"/>
    <w:multiLevelType w:val="hybridMultilevel"/>
    <w:tmpl w:val="D34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268EE"/>
    <w:multiLevelType w:val="hybridMultilevel"/>
    <w:tmpl w:val="8E12B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7D5323D"/>
    <w:multiLevelType w:val="hybridMultilevel"/>
    <w:tmpl w:val="1CFC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5229E"/>
    <w:multiLevelType w:val="hybridMultilevel"/>
    <w:tmpl w:val="A9BA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C24BB"/>
    <w:multiLevelType w:val="hybridMultilevel"/>
    <w:tmpl w:val="A11E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9" w15:restartNumberingAfterBreak="0">
    <w:nsid w:val="18C279D9"/>
    <w:multiLevelType w:val="hybridMultilevel"/>
    <w:tmpl w:val="A30ECA7E"/>
    <w:lvl w:ilvl="0" w:tplc="B9581C2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1107A"/>
    <w:multiLevelType w:val="hybridMultilevel"/>
    <w:tmpl w:val="742AD8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F1E71"/>
    <w:multiLevelType w:val="hybridMultilevel"/>
    <w:tmpl w:val="2A9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975C1"/>
    <w:multiLevelType w:val="hybridMultilevel"/>
    <w:tmpl w:val="A5A88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B534CF"/>
    <w:multiLevelType w:val="hybridMultilevel"/>
    <w:tmpl w:val="356E3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30717E"/>
    <w:multiLevelType w:val="hybridMultilevel"/>
    <w:tmpl w:val="60A2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82DB3"/>
    <w:multiLevelType w:val="hybridMultilevel"/>
    <w:tmpl w:val="D0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F0288"/>
    <w:multiLevelType w:val="hybridMultilevel"/>
    <w:tmpl w:val="99863E1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3516527F"/>
    <w:multiLevelType w:val="hybridMultilevel"/>
    <w:tmpl w:val="A06C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46C4C"/>
    <w:multiLevelType w:val="hybridMultilevel"/>
    <w:tmpl w:val="F2DC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924AF"/>
    <w:multiLevelType w:val="hybridMultilevel"/>
    <w:tmpl w:val="61349158"/>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20" w15:restartNumberingAfterBreak="0">
    <w:nsid w:val="3B7D7262"/>
    <w:multiLevelType w:val="hybridMultilevel"/>
    <w:tmpl w:val="39FA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D42B1"/>
    <w:multiLevelType w:val="hybridMultilevel"/>
    <w:tmpl w:val="8CB0C6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90614"/>
    <w:multiLevelType w:val="hybridMultilevel"/>
    <w:tmpl w:val="DC00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3020B"/>
    <w:multiLevelType w:val="hybridMultilevel"/>
    <w:tmpl w:val="1DC68E84"/>
    <w:lvl w:ilvl="0" w:tplc="F2F2C974">
      <w:start w:val="1"/>
      <w:numFmt w:val="bullet"/>
      <w:lvlText w:val=""/>
      <w:lvlJc w:val="left"/>
      <w:pPr>
        <w:ind w:left="360" w:hanging="360"/>
      </w:pPr>
      <w:rPr>
        <w:rFonts w:ascii="Symbol" w:hAnsi="Symbol" w:hint="default"/>
        <w:b w:val="0"/>
        <w:i w:val="0"/>
        <w:color w:val="000000"/>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90CF1"/>
    <w:multiLevelType w:val="hybridMultilevel"/>
    <w:tmpl w:val="7390BE98"/>
    <w:lvl w:ilvl="0" w:tplc="04090003">
      <w:start w:val="1"/>
      <w:numFmt w:val="bullet"/>
      <w:lvlText w:val="o"/>
      <w:lvlJc w:val="left"/>
      <w:pPr>
        <w:ind w:left="108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5C14264B"/>
    <w:multiLevelType w:val="hybridMultilevel"/>
    <w:tmpl w:val="9B98B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571A98"/>
    <w:multiLevelType w:val="hybridMultilevel"/>
    <w:tmpl w:val="D076F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B14F29"/>
    <w:multiLevelType w:val="hybridMultilevel"/>
    <w:tmpl w:val="53D6C1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9E386A"/>
    <w:multiLevelType w:val="hybridMultilevel"/>
    <w:tmpl w:val="E0F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F3004"/>
    <w:multiLevelType w:val="hybridMultilevel"/>
    <w:tmpl w:val="A32EC7E4"/>
    <w:lvl w:ilvl="0" w:tplc="16D8BA0A">
      <w:start w:val="1"/>
      <w:numFmt w:val="bullet"/>
      <w:lvlText w:val=""/>
      <w:lvlPicBulletId w:val="0"/>
      <w:lvlJc w:val="left"/>
      <w:pPr>
        <w:tabs>
          <w:tab w:val="num" w:pos="720"/>
        </w:tabs>
        <w:ind w:left="720" w:hanging="360"/>
      </w:pPr>
      <w:rPr>
        <w:rFonts w:ascii="Symbol" w:hAnsi="Symbol" w:hint="default"/>
      </w:rPr>
    </w:lvl>
    <w:lvl w:ilvl="1" w:tplc="9C6E9600" w:tentative="1">
      <w:start w:val="1"/>
      <w:numFmt w:val="bullet"/>
      <w:lvlText w:val=""/>
      <w:lvlJc w:val="left"/>
      <w:pPr>
        <w:tabs>
          <w:tab w:val="num" w:pos="1440"/>
        </w:tabs>
        <w:ind w:left="1440" w:hanging="360"/>
      </w:pPr>
      <w:rPr>
        <w:rFonts w:ascii="Symbol" w:hAnsi="Symbol" w:hint="default"/>
      </w:rPr>
    </w:lvl>
    <w:lvl w:ilvl="2" w:tplc="11403EB2" w:tentative="1">
      <w:start w:val="1"/>
      <w:numFmt w:val="bullet"/>
      <w:lvlText w:val=""/>
      <w:lvlJc w:val="left"/>
      <w:pPr>
        <w:tabs>
          <w:tab w:val="num" w:pos="2160"/>
        </w:tabs>
        <w:ind w:left="2160" w:hanging="360"/>
      </w:pPr>
      <w:rPr>
        <w:rFonts w:ascii="Symbol" w:hAnsi="Symbol" w:hint="default"/>
      </w:rPr>
    </w:lvl>
    <w:lvl w:ilvl="3" w:tplc="C19E4240" w:tentative="1">
      <w:start w:val="1"/>
      <w:numFmt w:val="bullet"/>
      <w:lvlText w:val=""/>
      <w:lvlJc w:val="left"/>
      <w:pPr>
        <w:tabs>
          <w:tab w:val="num" w:pos="2880"/>
        </w:tabs>
        <w:ind w:left="2880" w:hanging="360"/>
      </w:pPr>
      <w:rPr>
        <w:rFonts w:ascii="Symbol" w:hAnsi="Symbol" w:hint="default"/>
      </w:rPr>
    </w:lvl>
    <w:lvl w:ilvl="4" w:tplc="DB9A33A0" w:tentative="1">
      <w:start w:val="1"/>
      <w:numFmt w:val="bullet"/>
      <w:lvlText w:val=""/>
      <w:lvlJc w:val="left"/>
      <w:pPr>
        <w:tabs>
          <w:tab w:val="num" w:pos="3600"/>
        </w:tabs>
        <w:ind w:left="3600" w:hanging="360"/>
      </w:pPr>
      <w:rPr>
        <w:rFonts w:ascii="Symbol" w:hAnsi="Symbol" w:hint="default"/>
      </w:rPr>
    </w:lvl>
    <w:lvl w:ilvl="5" w:tplc="D778BBC8" w:tentative="1">
      <w:start w:val="1"/>
      <w:numFmt w:val="bullet"/>
      <w:lvlText w:val=""/>
      <w:lvlJc w:val="left"/>
      <w:pPr>
        <w:tabs>
          <w:tab w:val="num" w:pos="4320"/>
        </w:tabs>
        <w:ind w:left="4320" w:hanging="360"/>
      </w:pPr>
      <w:rPr>
        <w:rFonts w:ascii="Symbol" w:hAnsi="Symbol" w:hint="default"/>
      </w:rPr>
    </w:lvl>
    <w:lvl w:ilvl="6" w:tplc="78605904" w:tentative="1">
      <w:start w:val="1"/>
      <w:numFmt w:val="bullet"/>
      <w:lvlText w:val=""/>
      <w:lvlJc w:val="left"/>
      <w:pPr>
        <w:tabs>
          <w:tab w:val="num" w:pos="5040"/>
        </w:tabs>
        <w:ind w:left="5040" w:hanging="360"/>
      </w:pPr>
      <w:rPr>
        <w:rFonts w:ascii="Symbol" w:hAnsi="Symbol" w:hint="default"/>
      </w:rPr>
    </w:lvl>
    <w:lvl w:ilvl="7" w:tplc="69043F1A" w:tentative="1">
      <w:start w:val="1"/>
      <w:numFmt w:val="bullet"/>
      <w:lvlText w:val=""/>
      <w:lvlJc w:val="left"/>
      <w:pPr>
        <w:tabs>
          <w:tab w:val="num" w:pos="5760"/>
        </w:tabs>
        <w:ind w:left="5760" w:hanging="360"/>
      </w:pPr>
      <w:rPr>
        <w:rFonts w:ascii="Symbol" w:hAnsi="Symbol" w:hint="default"/>
      </w:rPr>
    </w:lvl>
    <w:lvl w:ilvl="8" w:tplc="3B10656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15811B3"/>
    <w:multiLevelType w:val="hybridMultilevel"/>
    <w:tmpl w:val="4A6E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04CB2"/>
    <w:multiLevelType w:val="hybridMultilevel"/>
    <w:tmpl w:val="3F5C2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072CF"/>
    <w:multiLevelType w:val="hybridMultilevel"/>
    <w:tmpl w:val="5FA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2317D"/>
    <w:multiLevelType w:val="hybridMultilevel"/>
    <w:tmpl w:val="AD169072"/>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35" w15:restartNumberingAfterBreak="0">
    <w:nsid w:val="7AB9511F"/>
    <w:multiLevelType w:val="hybridMultilevel"/>
    <w:tmpl w:val="D74ABA0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3B4795"/>
    <w:multiLevelType w:val="hybridMultilevel"/>
    <w:tmpl w:val="A8B4A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A945CA"/>
    <w:multiLevelType w:val="hybridMultilevel"/>
    <w:tmpl w:val="3BD01A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86404">
    <w:abstractNumId w:val="8"/>
  </w:num>
  <w:num w:numId="2" w16cid:durableId="248780204">
    <w:abstractNumId w:val="14"/>
  </w:num>
  <w:num w:numId="3" w16cid:durableId="459423420">
    <w:abstractNumId w:val="37"/>
  </w:num>
  <w:num w:numId="4" w16cid:durableId="1949697603">
    <w:abstractNumId w:val="26"/>
  </w:num>
  <w:num w:numId="5" w16cid:durableId="1668750224">
    <w:abstractNumId w:val="12"/>
  </w:num>
  <w:num w:numId="6" w16cid:durableId="159123685">
    <w:abstractNumId w:val="7"/>
  </w:num>
  <w:num w:numId="7" w16cid:durableId="2097703204">
    <w:abstractNumId w:val="2"/>
  </w:num>
  <w:num w:numId="8" w16cid:durableId="1595891903">
    <w:abstractNumId w:val="6"/>
  </w:num>
  <w:num w:numId="9" w16cid:durableId="151310946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310530">
    <w:abstractNumId w:val="3"/>
  </w:num>
  <w:num w:numId="11" w16cid:durableId="62680619">
    <w:abstractNumId w:val="32"/>
  </w:num>
  <w:num w:numId="12" w16cid:durableId="114401013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1947434">
    <w:abstractNumId w:val="13"/>
  </w:num>
  <w:num w:numId="14" w16cid:durableId="808521934">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8865888">
    <w:abstractNumId w:val="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6965366">
    <w:abstractNumId w:val="16"/>
  </w:num>
  <w:num w:numId="17" w16cid:durableId="1374769583">
    <w:abstractNumId w:val="36"/>
  </w:num>
  <w:num w:numId="18" w16cid:durableId="1711611225">
    <w:abstractNumId w:val="21"/>
  </w:num>
  <w:num w:numId="19" w16cid:durableId="567500943">
    <w:abstractNumId w:val="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4804131">
    <w:abstractNumId w:val="5"/>
  </w:num>
  <w:num w:numId="21" w16cid:durableId="450517951">
    <w:abstractNumId w:val="31"/>
  </w:num>
  <w:num w:numId="22" w16cid:durableId="2079091393">
    <w:abstractNumId w:val="24"/>
  </w:num>
  <w:num w:numId="23" w16cid:durableId="1255016901">
    <w:abstractNumId w:val="27"/>
  </w:num>
  <w:num w:numId="24" w16cid:durableId="1977178403">
    <w:abstractNumId w:val="1"/>
  </w:num>
  <w:num w:numId="25" w16cid:durableId="1313173229">
    <w:abstractNumId w:val="22"/>
  </w:num>
  <w:num w:numId="26" w16cid:durableId="1458142676">
    <w:abstractNumId w:val="15"/>
  </w:num>
  <w:num w:numId="27" w16cid:durableId="118650801">
    <w:abstractNumId w:val="34"/>
  </w:num>
  <w:num w:numId="28" w16cid:durableId="280233549">
    <w:abstractNumId w:val="28"/>
  </w:num>
  <w:num w:numId="29" w16cid:durableId="1988630365">
    <w:abstractNumId w:val="11"/>
  </w:num>
  <w:num w:numId="30" w16cid:durableId="11617599">
    <w:abstractNumId w:val="10"/>
  </w:num>
  <w:num w:numId="31" w16cid:durableId="1470127437">
    <w:abstractNumId w:val="35"/>
  </w:num>
  <w:num w:numId="32" w16cid:durableId="196356524">
    <w:abstractNumId w:val="19"/>
  </w:num>
  <w:num w:numId="33" w16cid:durableId="1907454642">
    <w:abstractNumId w:val="17"/>
  </w:num>
  <w:num w:numId="34" w16cid:durableId="1552690909">
    <w:abstractNumId w:val="9"/>
  </w:num>
  <w:num w:numId="35" w16cid:durableId="397437651">
    <w:abstractNumId w:val="20"/>
  </w:num>
  <w:num w:numId="36" w16cid:durableId="1818106823">
    <w:abstractNumId w:val="33"/>
  </w:num>
  <w:num w:numId="37" w16cid:durableId="1618948588">
    <w:abstractNumId w:val="29"/>
  </w:num>
  <w:num w:numId="38" w16cid:durableId="1765106830">
    <w:abstractNumId w:val="0"/>
  </w:num>
  <w:num w:numId="39" w16cid:durableId="1709140245">
    <w:abstractNumId w:val="18"/>
  </w:num>
  <w:num w:numId="40" w16cid:durableId="9540173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BA"/>
    <w:rsid w:val="00135BDB"/>
    <w:rsid w:val="001B401C"/>
    <w:rsid w:val="0035274B"/>
    <w:rsid w:val="003E2703"/>
    <w:rsid w:val="004276FA"/>
    <w:rsid w:val="004530BA"/>
    <w:rsid w:val="005B000E"/>
    <w:rsid w:val="006436E2"/>
    <w:rsid w:val="006C505C"/>
    <w:rsid w:val="00733DC3"/>
    <w:rsid w:val="007B3953"/>
    <w:rsid w:val="00A171EC"/>
    <w:rsid w:val="00B826DA"/>
    <w:rsid w:val="00C038D0"/>
    <w:rsid w:val="00E248A4"/>
    <w:rsid w:val="00E5241A"/>
    <w:rsid w:val="00E600D6"/>
    <w:rsid w:val="00EA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EB3F"/>
  <w15:chartTrackingRefBased/>
  <w15:docId w15:val="{44611B1C-ADE8-45C6-859D-7F4DDCF7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BA"/>
    <w:rPr>
      <w:rFonts w:ascii="Verdana" w:eastAsia="Times New Roman" w:hAnsi="Verdana"/>
      <w:kern w:val="0"/>
      <w:sz w:val="24"/>
      <w:szCs w:val="24"/>
      <w14:ligatures w14:val="none"/>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nhideWhenUsed/>
    <w:qFormat/>
    <w:rsid w:val="004530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30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30B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30B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30B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30B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rsid w:val="004530BA"/>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4530BA"/>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4530BA"/>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4530BA"/>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4530BA"/>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4530BA"/>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qFormat/>
    <w:rsid w:val="004530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0B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0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30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30BA"/>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4530BA"/>
    <w:pPr>
      <w:ind w:left="720"/>
      <w:contextualSpacing/>
    </w:pPr>
  </w:style>
  <w:style w:type="character" w:styleId="IntenseEmphasis">
    <w:name w:val="Intense Emphasis"/>
    <w:basedOn w:val="DefaultParagraphFont"/>
    <w:uiPriority w:val="21"/>
    <w:qFormat/>
    <w:rsid w:val="004530BA"/>
    <w:rPr>
      <w:i/>
      <w:iCs/>
      <w:color w:val="0F4761" w:themeColor="accent1" w:themeShade="BF"/>
    </w:rPr>
  </w:style>
  <w:style w:type="paragraph" w:styleId="IntenseQuote">
    <w:name w:val="Intense Quote"/>
    <w:basedOn w:val="Normal"/>
    <w:next w:val="Normal"/>
    <w:link w:val="IntenseQuoteChar"/>
    <w:uiPriority w:val="30"/>
    <w:qFormat/>
    <w:rsid w:val="00453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0BA"/>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4530BA"/>
    <w:rPr>
      <w:b/>
      <w:bCs/>
      <w:smallCaps/>
      <w:color w:val="0F4761" w:themeColor="accent1" w:themeShade="BF"/>
      <w:spacing w:val="5"/>
    </w:rPr>
  </w:style>
  <w:style w:type="table" w:styleId="TableWeb1">
    <w:name w:val="Table Web 1"/>
    <w:basedOn w:val="TableNormal"/>
    <w:rsid w:val="004530BA"/>
    <w:rPr>
      <w:rFonts w:eastAsia="Times New Roman"/>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4530BA"/>
    <w:rPr>
      <w:rFonts w:eastAsia="Times New Roman"/>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4530BA"/>
    <w:rPr>
      <w:color w:val="800080"/>
      <w:u w:val="single"/>
    </w:rPr>
  </w:style>
  <w:style w:type="table" w:styleId="TableGrid">
    <w:name w:val="Table Grid"/>
    <w:basedOn w:val="TableNormal"/>
    <w:rsid w:val="004530BA"/>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4530BA"/>
    <w:rPr>
      <w:b/>
      <w:bCs/>
    </w:rPr>
  </w:style>
  <w:style w:type="paragraph" w:styleId="Header">
    <w:name w:val="header"/>
    <w:basedOn w:val="Normal"/>
    <w:link w:val="HeaderChar"/>
    <w:rsid w:val="004530BA"/>
    <w:pPr>
      <w:tabs>
        <w:tab w:val="center" w:pos="4320"/>
        <w:tab w:val="right" w:pos="8640"/>
      </w:tabs>
    </w:pPr>
  </w:style>
  <w:style w:type="character" w:customStyle="1" w:styleId="HeaderChar">
    <w:name w:val="Header Char"/>
    <w:basedOn w:val="DefaultParagraphFont"/>
    <w:link w:val="Header"/>
    <w:rsid w:val="004530BA"/>
    <w:rPr>
      <w:rFonts w:ascii="Verdana" w:eastAsia="Times New Roman" w:hAnsi="Verdana"/>
      <w:kern w:val="0"/>
      <w:sz w:val="24"/>
      <w:szCs w:val="24"/>
      <w14:ligatures w14:val="none"/>
    </w:rPr>
  </w:style>
  <w:style w:type="paragraph" w:styleId="Footer">
    <w:name w:val="footer"/>
    <w:basedOn w:val="Normal"/>
    <w:link w:val="FooterChar"/>
    <w:rsid w:val="004530BA"/>
    <w:pPr>
      <w:tabs>
        <w:tab w:val="center" w:pos="4320"/>
        <w:tab w:val="right" w:pos="8640"/>
      </w:tabs>
    </w:pPr>
  </w:style>
  <w:style w:type="character" w:customStyle="1" w:styleId="FooterChar">
    <w:name w:val="Footer Char"/>
    <w:basedOn w:val="DefaultParagraphFont"/>
    <w:link w:val="Footer"/>
    <w:rsid w:val="004530BA"/>
    <w:rPr>
      <w:rFonts w:ascii="Verdana" w:eastAsia="Times New Roman" w:hAnsi="Verdana"/>
      <w:kern w:val="0"/>
      <w:sz w:val="24"/>
      <w:szCs w:val="24"/>
      <w14:ligatures w14:val="none"/>
    </w:rPr>
  </w:style>
  <w:style w:type="paragraph" w:styleId="BodyText">
    <w:name w:val="Body Text"/>
    <w:basedOn w:val="Normal"/>
    <w:link w:val="BodyTextChar"/>
    <w:rsid w:val="004530BA"/>
    <w:rPr>
      <w:rFonts w:ascii="Arial" w:hAnsi="Arial" w:cs="Arial"/>
      <w:color w:val="FF0000"/>
      <w:sz w:val="20"/>
      <w:szCs w:val="20"/>
    </w:rPr>
  </w:style>
  <w:style w:type="character" w:customStyle="1" w:styleId="BodyTextChar">
    <w:name w:val="Body Text Char"/>
    <w:basedOn w:val="DefaultParagraphFont"/>
    <w:link w:val="BodyText"/>
    <w:rsid w:val="004530BA"/>
    <w:rPr>
      <w:rFonts w:ascii="Arial" w:eastAsia="Times New Roman" w:hAnsi="Arial" w:cs="Arial"/>
      <w:color w:val="FF0000"/>
      <w:kern w:val="0"/>
      <w14:ligatures w14:val="none"/>
    </w:rPr>
  </w:style>
  <w:style w:type="paragraph" w:styleId="BodyTextIndent">
    <w:name w:val="Body Text Indent"/>
    <w:basedOn w:val="Normal"/>
    <w:link w:val="BodyTextIndentChar"/>
    <w:rsid w:val="004530BA"/>
    <w:pPr>
      <w:spacing w:after="120"/>
      <w:ind w:left="360"/>
    </w:pPr>
  </w:style>
  <w:style w:type="character" w:customStyle="1" w:styleId="BodyTextIndentChar">
    <w:name w:val="Body Text Indent Char"/>
    <w:basedOn w:val="DefaultParagraphFont"/>
    <w:link w:val="BodyTextIndent"/>
    <w:rsid w:val="004530BA"/>
    <w:rPr>
      <w:rFonts w:ascii="Verdana" w:eastAsia="Times New Roman" w:hAnsi="Verdana"/>
      <w:kern w:val="0"/>
      <w:sz w:val="24"/>
      <w:szCs w:val="24"/>
      <w14:ligatures w14:val="none"/>
    </w:rPr>
  </w:style>
  <w:style w:type="paragraph" w:styleId="List">
    <w:name w:val="List"/>
    <w:basedOn w:val="Normal"/>
    <w:rsid w:val="004530BA"/>
    <w:pPr>
      <w:ind w:left="360" w:hanging="360"/>
    </w:pPr>
    <w:rPr>
      <w:rFonts w:ascii="Arial" w:hAnsi="Arial"/>
      <w:szCs w:val="20"/>
    </w:rPr>
  </w:style>
  <w:style w:type="paragraph" w:styleId="BodyTextIndent2">
    <w:name w:val="Body Text Indent 2"/>
    <w:basedOn w:val="Normal"/>
    <w:link w:val="BodyTextIndent2Char"/>
    <w:rsid w:val="004530BA"/>
    <w:pPr>
      <w:spacing w:after="120" w:line="480" w:lineRule="auto"/>
      <w:ind w:left="360"/>
    </w:pPr>
  </w:style>
  <w:style w:type="character" w:customStyle="1" w:styleId="BodyTextIndent2Char">
    <w:name w:val="Body Text Indent 2 Char"/>
    <w:basedOn w:val="DefaultParagraphFont"/>
    <w:link w:val="BodyTextIndent2"/>
    <w:rsid w:val="004530BA"/>
    <w:rPr>
      <w:rFonts w:ascii="Verdana" w:eastAsia="Times New Roman" w:hAnsi="Verdana"/>
      <w:kern w:val="0"/>
      <w:sz w:val="24"/>
      <w:szCs w:val="24"/>
      <w14:ligatures w14:val="none"/>
    </w:rPr>
  </w:style>
  <w:style w:type="paragraph" w:styleId="DocumentMap">
    <w:name w:val="Document Map"/>
    <w:basedOn w:val="Normal"/>
    <w:link w:val="DocumentMapChar"/>
    <w:semiHidden/>
    <w:rsid w:val="004530BA"/>
    <w:pPr>
      <w:shd w:val="clear" w:color="auto" w:fill="000080"/>
    </w:pPr>
    <w:rPr>
      <w:rFonts w:ascii="Tahoma" w:hAnsi="Tahoma"/>
      <w:sz w:val="20"/>
      <w:szCs w:val="20"/>
    </w:rPr>
  </w:style>
  <w:style w:type="character" w:customStyle="1" w:styleId="DocumentMapChar">
    <w:name w:val="Document Map Char"/>
    <w:basedOn w:val="DefaultParagraphFont"/>
    <w:link w:val="DocumentMap"/>
    <w:semiHidden/>
    <w:rsid w:val="004530BA"/>
    <w:rPr>
      <w:rFonts w:ascii="Tahoma" w:eastAsia="Times New Roman" w:hAnsi="Tahoma"/>
      <w:kern w:val="0"/>
      <w:shd w:val="clear" w:color="auto" w:fill="000080"/>
      <w14:ligatures w14:val="none"/>
    </w:rPr>
  </w:style>
  <w:style w:type="paragraph" w:customStyle="1" w:styleId="pagetitle">
    <w:name w:val="pagetitle"/>
    <w:basedOn w:val="Normal"/>
    <w:rsid w:val="004530BA"/>
    <w:pPr>
      <w:spacing w:before="100" w:beforeAutospacing="1" w:after="100" w:afterAutospacing="1"/>
      <w:jc w:val="center"/>
    </w:pPr>
    <w:rPr>
      <w:color w:val="000080"/>
      <w:sz w:val="30"/>
      <w:szCs w:val="30"/>
    </w:rPr>
  </w:style>
  <w:style w:type="paragraph" w:styleId="Signature">
    <w:name w:val="Signature"/>
    <w:basedOn w:val="Normal"/>
    <w:link w:val="SignatureChar"/>
    <w:rsid w:val="004530BA"/>
    <w:pPr>
      <w:ind w:left="4320"/>
    </w:pPr>
    <w:rPr>
      <w:sz w:val="20"/>
      <w:szCs w:val="20"/>
    </w:rPr>
  </w:style>
  <w:style w:type="character" w:customStyle="1" w:styleId="SignatureChar">
    <w:name w:val="Signature Char"/>
    <w:basedOn w:val="DefaultParagraphFont"/>
    <w:link w:val="Signature"/>
    <w:rsid w:val="004530BA"/>
    <w:rPr>
      <w:rFonts w:ascii="Verdana" w:eastAsia="Times New Roman" w:hAnsi="Verdana"/>
      <w:kern w:val="0"/>
      <w14:ligatures w14:val="none"/>
    </w:rPr>
  </w:style>
  <w:style w:type="paragraph" w:styleId="BlockText">
    <w:name w:val="Block Text"/>
    <w:basedOn w:val="Normal"/>
    <w:rsid w:val="004530BA"/>
    <w:pPr>
      <w:ind w:left="-1080" w:right="720"/>
    </w:pPr>
    <w:rPr>
      <w:rFonts w:ascii="PCS Corporate" w:hAnsi="PCS Corporate"/>
      <w:sz w:val="22"/>
      <w:szCs w:val="20"/>
    </w:rPr>
  </w:style>
  <w:style w:type="paragraph" w:customStyle="1" w:styleId="Default">
    <w:name w:val="Default"/>
    <w:rsid w:val="004530BA"/>
    <w:pPr>
      <w:autoSpaceDE w:val="0"/>
      <w:autoSpaceDN w:val="0"/>
      <w:adjustRightInd w:val="0"/>
    </w:pPr>
    <w:rPr>
      <w:rFonts w:ascii="MNCRA E+ Times" w:eastAsia="Times New Roman" w:hAnsi="MNCRA E+ Times"/>
      <w:color w:val="000000"/>
      <w:kern w:val="0"/>
      <w:sz w:val="24"/>
      <w:szCs w:val="24"/>
      <w14:ligatures w14:val="none"/>
    </w:rPr>
  </w:style>
  <w:style w:type="paragraph" w:styleId="NormalWeb">
    <w:name w:val="Normal (Web)"/>
    <w:basedOn w:val="Normal"/>
    <w:uiPriority w:val="99"/>
    <w:rsid w:val="004530BA"/>
    <w:pPr>
      <w:spacing w:before="100" w:beforeAutospacing="1" w:after="100" w:afterAutospacing="1"/>
    </w:pPr>
  </w:style>
  <w:style w:type="paragraph" w:customStyle="1" w:styleId="Dotbullet">
    <w:name w:val="Dot bullet"/>
    <w:basedOn w:val="Normal"/>
    <w:rsid w:val="004530BA"/>
    <w:pPr>
      <w:widowControl w:val="0"/>
      <w:numPr>
        <w:numId w:val="1"/>
      </w:numPr>
      <w:tabs>
        <w:tab w:val="clear" w:pos="360"/>
        <w:tab w:val="num" w:pos="720"/>
      </w:tabs>
      <w:ind w:left="720"/>
    </w:pPr>
    <w:rPr>
      <w:snapToGrid w:val="0"/>
      <w:szCs w:val="20"/>
    </w:rPr>
  </w:style>
  <w:style w:type="character" w:styleId="PageNumber">
    <w:name w:val="page number"/>
    <w:basedOn w:val="DefaultParagraphFont"/>
    <w:rsid w:val="004530BA"/>
  </w:style>
  <w:style w:type="character" w:styleId="CommentReference">
    <w:name w:val="annotation reference"/>
    <w:uiPriority w:val="99"/>
    <w:rsid w:val="004530BA"/>
    <w:rPr>
      <w:sz w:val="16"/>
      <w:szCs w:val="16"/>
    </w:rPr>
  </w:style>
  <w:style w:type="paragraph" w:styleId="TOC2">
    <w:name w:val="toc 2"/>
    <w:basedOn w:val="Normal"/>
    <w:next w:val="Normal"/>
    <w:autoRedefine/>
    <w:uiPriority w:val="39"/>
    <w:rsid w:val="004530BA"/>
    <w:rPr>
      <w:color w:val="0000FF"/>
      <w:u w:val="single"/>
    </w:rPr>
  </w:style>
  <w:style w:type="paragraph" w:styleId="CommentText">
    <w:name w:val="annotation text"/>
    <w:basedOn w:val="Normal"/>
    <w:link w:val="CommentTextChar"/>
    <w:uiPriority w:val="99"/>
    <w:rsid w:val="004530BA"/>
    <w:rPr>
      <w:sz w:val="20"/>
      <w:szCs w:val="20"/>
      <w:lang w:val="x-none" w:eastAsia="x-none"/>
    </w:rPr>
  </w:style>
  <w:style w:type="character" w:customStyle="1" w:styleId="CommentTextChar">
    <w:name w:val="Comment Text Char"/>
    <w:basedOn w:val="DefaultParagraphFont"/>
    <w:link w:val="CommentText"/>
    <w:uiPriority w:val="99"/>
    <w:rsid w:val="004530BA"/>
    <w:rPr>
      <w:rFonts w:ascii="Verdana" w:eastAsia="Times New Roman" w:hAnsi="Verdana"/>
      <w:kern w:val="0"/>
      <w:lang w:val="x-none" w:eastAsia="x-none"/>
      <w14:ligatures w14:val="none"/>
    </w:rPr>
  </w:style>
  <w:style w:type="paragraph" w:styleId="CommentSubject">
    <w:name w:val="annotation subject"/>
    <w:basedOn w:val="CommentText"/>
    <w:next w:val="CommentText"/>
    <w:link w:val="CommentSubjectChar"/>
    <w:rsid w:val="004530BA"/>
    <w:rPr>
      <w:b/>
      <w:bCs/>
    </w:rPr>
  </w:style>
  <w:style w:type="character" w:customStyle="1" w:styleId="CommentSubjectChar">
    <w:name w:val="Comment Subject Char"/>
    <w:basedOn w:val="CommentTextChar"/>
    <w:link w:val="CommentSubject"/>
    <w:rsid w:val="004530BA"/>
    <w:rPr>
      <w:rFonts w:ascii="Verdana" w:eastAsia="Times New Roman" w:hAnsi="Verdana"/>
      <w:b/>
      <w:bCs/>
      <w:kern w:val="0"/>
      <w:lang w:val="x-none" w:eastAsia="x-none"/>
      <w14:ligatures w14:val="none"/>
    </w:rPr>
  </w:style>
  <w:style w:type="paragraph" w:styleId="BalloonText">
    <w:name w:val="Balloon Text"/>
    <w:basedOn w:val="Normal"/>
    <w:link w:val="BalloonTextChar"/>
    <w:rsid w:val="004530BA"/>
    <w:rPr>
      <w:rFonts w:ascii="Tahoma" w:hAnsi="Tahoma"/>
      <w:sz w:val="16"/>
      <w:szCs w:val="16"/>
      <w:lang w:val="x-none" w:eastAsia="x-none"/>
    </w:rPr>
  </w:style>
  <w:style w:type="character" w:customStyle="1" w:styleId="BalloonTextChar">
    <w:name w:val="Balloon Text Char"/>
    <w:basedOn w:val="DefaultParagraphFont"/>
    <w:link w:val="BalloonText"/>
    <w:rsid w:val="004530BA"/>
    <w:rPr>
      <w:rFonts w:ascii="Tahoma" w:eastAsia="Times New Roman" w:hAnsi="Tahoma"/>
      <w:kern w:val="0"/>
      <w:sz w:val="16"/>
      <w:szCs w:val="16"/>
      <w:lang w:val="x-none" w:eastAsia="x-none"/>
      <w14:ligatures w14:val="none"/>
    </w:rPr>
  </w:style>
  <w:style w:type="paragraph" w:customStyle="1" w:styleId="TableText">
    <w:name w:val="Table Text"/>
    <w:basedOn w:val="Normal"/>
    <w:rsid w:val="004530BA"/>
    <w:rPr>
      <w:rFonts w:ascii="Times New Roman" w:hAnsi="Times New Roman"/>
      <w:color w:val="000000"/>
      <w:szCs w:val="20"/>
    </w:rPr>
  </w:style>
  <w:style w:type="paragraph" w:styleId="Revision">
    <w:name w:val="Revision"/>
    <w:hidden/>
    <w:uiPriority w:val="99"/>
    <w:semiHidden/>
    <w:rsid w:val="004530BA"/>
    <w:rPr>
      <w:rFonts w:ascii="Verdana" w:eastAsia="Times New Roman" w:hAnsi="Verdana"/>
      <w:kern w:val="0"/>
      <w:sz w:val="24"/>
      <w:szCs w:val="24"/>
      <w14:ligatures w14:val="none"/>
    </w:rPr>
  </w:style>
  <w:style w:type="character" w:styleId="UnresolvedMention">
    <w:name w:val="Unresolved Mention"/>
    <w:uiPriority w:val="99"/>
    <w:semiHidden/>
    <w:unhideWhenUsed/>
    <w:rsid w:val="00453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7.png"/><Relationship Id="rId18"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3.png"/><Relationship Id="rId15" Type="http://schemas.openxmlformats.org/officeDocument/2006/relationships/hyperlink" Target="https://thesource.cvshealth.com/nuxeo/thesource/" TargetMode="External"/><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hyperlink" Target="https://policy.corp.cvscaremark.com/pnp/faces/DocRenderer?documentId=CALL-0048"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1</cp:revision>
  <dcterms:created xsi:type="dcterms:W3CDTF">2025-04-03T19:02:00Z</dcterms:created>
  <dcterms:modified xsi:type="dcterms:W3CDTF">2025-04-03T19:04:00Z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2025-04-03T19:03:35Z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6bdbb83e-5b2a-49fe-a49b-5e6b6cc6df2b</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