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B771" w14:textId="14DF0520" w:rsidR="00255C6B" w:rsidRPr="00812777" w:rsidRDefault="00B20FBC"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Compass </w:t>
      </w:r>
      <w:r w:rsidR="002125DA">
        <w:rPr>
          <w:rFonts w:ascii="Verdana" w:hAnsi="Verdana"/>
          <w:color w:val="000000"/>
          <w:sz w:val="36"/>
          <w:szCs w:val="36"/>
        </w:rPr>
        <w:t>–</w:t>
      </w:r>
      <w:r>
        <w:rPr>
          <w:rFonts w:ascii="Verdana" w:hAnsi="Verdana"/>
          <w:color w:val="000000"/>
          <w:sz w:val="36"/>
          <w:szCs w:val="36"/>
        </w:rPr>
        <w:t xml:space="preserve"> </w:t>
      </w:r>
      <w:r w:rsidR="00ED6DCE">
        <w:rPr>
          <w:rFonts w:ascii="Verdana" w:hAnsi="Verdana"/>
          <w:color w:val="000000"/>
          <w:sz w:val="36"/>
          <w:szCs w:val="36"/>
        </w:rPr>
        <w:t>Prescription Savings Guide</w:t>
      </w:r>
    </w:p>
    <w:p w14:paraId="0458B446" w14:textId="77777777" w:rsidR="002125DA" w:rsidRDefault="002125DA">
      <w:pPr>
        <w:pStyle w:val="TOC2"/>
      </w:pPr>
    </w:p>
    <w:p w14:paraId="07E3F3FF" w14:textId="79747927" w:rsidR="007C7C3E" w:rsidRDefault="00D70FC6">
      <w:pPr>
        <w:pStyle w:val="TOC2"/>
        <w:rPr>
          <w:rFonts w:ascii="Calibri" w:hAnsi="Calibri"/>
          <w:noProof/>
          <w:sz w:val="22"/>
          <w:szCs w:val="22"/>
        </w:rPr>
      </w:pPr>
      <w:r>
        <w:fldChar w:fldCharType="begin"/>
      </w:r>
      <w:r>
        <w:instrText xml:space="preserve"> TOC \o "2-2" \n \p " " \h \z \u </w:instrText>
      </w:r>
      <w:r>
        <w:fldChar w:fldCharType="separate"/>
      </w:r>
      <w:hyperlink w:anchor="_Toc133312027" w:history="1">
        <w:r w:rsidR="007C7C3E" w:rsidRPr="00861A9B">
          <w:rPr>
            <w:rStyle w:val="Hyperlink"/>
            <w:rFonts w:ascii="Verdana" w:hAnsi="Verdana"/>
            <w:noProof/>
          </w:rPr>
          <w:t>Sample Prescription Savings Guide</w:t>
        </w:r>
      </w:hyperlink>
    </w:p>
    <w:p w14:paraId="4F143C80" w14:textId="183D927C" w:rsidR="007C7C3E" w:rsidRDefault="00000000">
      <w:pPr>
        <w:pStyle w:val="TOC2"/>
        <w:rPr>
          <w:rFonts w:ascii="Calibri" w:hAnsi="Calibri"/>
          <w:noProof/>
          <w:sz w:val="22"/>
          <w:szCs w:val="22"/>
        </w:rPr>
      </w:pPr>
      <w:hyperlink w:anchor="_Toc133312028" w:history="1">
        <w:r w:rsidR="007C7C3E" w:rsidRPr="00861A9B">
          <w:rPr>
            <w:rStyle w:val="Hyperlink"/>
            <w:rFonts w:ascii="Verdana" w:hAnsi="Verdana"/>
            <w:noProof/>
          </w:rPr>
          <w:t>Handling Calls about Prescription Savings Guides</w:t>
        </w:r>
      </w:hyperlink>
    </w:p>
    <w:p w14:paraId="5661E38C" w14:textId="09CD7CA0" w:rsidR="007C7C3E" w:rsidRDefault="00000000">
      <w:pPr>
        <w:pStyle w:val="TOC2"/>
        <w:rPr>
          <w:rFonts w:ascii="Calibri" w:hAnsi="Calibri"/>
          <w:noProof/>
          <w:sz w:val="22"/>
          <w:szCs w:val="22"/>
        </w:rPr>
      </w:pPr>
      <w:hyperlink w:anchor="_Toc133312029" w:history="1">
        <w:r w:rsidR="007C7C3E" w:rsidRPr="00861A9B">
          <w:rPr>
            <w:rStyle w:val="Hyperlink"/>
            <w:rFonts w:ascii="Verdana" w:hAnsi="Verdana"/>
            <w:noProof/>
          </w:rPr>
          <w:t>Related Documents</w:t>
        </w:r>
      </w:hyperlink>
    </w:p>
    <w:p w14:paraId="128D1CE0" w14:textId="04636507" w:rsidR="00D70FC6" w:rsidRDefault="00D70FC6" w:rsidP="005A6118">
      <w:r>
        <w:fldChar w:fldCharType="end"/>
      </w:r>
      <w:r w:rsidR="00DE2920" w:rsidDel="00DE2920">
        <w:t xml:space="preserve"> </w:t>
      </w:r>
    </w:p>
    <w:p w14:paraId="5B15BA2A" w14:textId="77777777" w:rsidR="002125DA" w:rsidRPr="00176400" w:rsidRDefault="002125DA" w:rsidP="005A6118">
      <w:pPr>
        <w:rPr>
          <w:rFonts w:ascii="Verdana" w:hAnsi="Verdana"/>
        </w:rPr>
      </w:pPr>
    </w:p>
    <w:p w14:paraId="1A03F353" w14:textId="7933AAC5" w:rsidR="00DE2920" w:rsidRDefault="00DE2920" w:rsidP="003A6175">
      <w:pPr>
        <w:pStyle w:val="BodyTextIndent2"/>
        <w:spacing w:after="0" w:line="240" w:lineRule="auto"/>
        <w:ind w:left="0"/>
        <w:rPr>
          <w:rFonts w:ascii="Verdana" w:hAnsi="Verdana"/>
        </w:rPr>
      </w:pPr>
      <w:bookmarkStart w:id="1" w:name="_Overview"/>
      <w:bookmarkEnd w:id="1"/>
      <w:r w:rsidRPr="540960E8">
        <w:rPr>
          <w:rFonts w:ascii="Verdana" w:hAnsi="Verdana"/>
          <w:b/>
          <w:bCs/>
        </w:rPr>
        <w:t>Description:</w:t>
      </w:r>
      <w:r w:rsidR="00B15935">
        <w:rPr>
          <w:rFonts w:ascii="Verdana" w:hAnsi="Verdana"/>
          <w:b/>
          <w:bCs/>
        </w:rPr>
        <w:t xml:space="preserve">  </w:t>
      </w:r>
      <w:bookmarkStart w:id="2" w:name="OLE_LINK1"/>
      <w:r w:rsidR="005B5F2F">
        <w:rPr>
          <w:rFonts w:ascii="Verdana" w:hAnsi="Verdana"/>
        </w:rPr>
        <w:t>Information about t</w:t>
      </w:r>
      <w:r w:rsidR="005B5F2F" w:rsidRPr="540960E8">
        <w:rPr>
          <w:rFonts w:ascii="Verdana" w:hAnsi="Verdana"/>
        </w:rPr>
        <w:t xml:space="preserve">he </w:t>
      </w:r>
      <w:r w:rsidR="0057249A" w:rsidRPr="540960E8">
        <w:rPr>
          <w:rFonts w:ascii="Verdana" w:hAnsi="Verdana"/>
        </w:rPr>
        <w:t>Prescription Savings Guide</w:t>
      </w:r>
      <w:r w:rsidR="005B5F2F">
        <w:rPr>
          <w:rFonts w:ascii="Verdana" w:hAnsi="Verdana"/>
        </w:rPr>
        <w:t xml:space="preserve"> </w:t>
      </w:r>
      <w:r w:rsidR="00CC287B">
        <w:rPr>
          <w:rFonts w:ascii="Verdana" w:hAnsi="Verdana"/>
        </w:rPr>
        <w:t>which</w:t>
      </w:r>
      <w:r w:rsidR="0057249A" w:rsidRPr="540960E8">
        <w:rPr>
          <w:rFonts w:ascii="Verdana" w:hAnsi="Verdana"/>
        </w:rPr>
        <w:t xml:space="preserve"> is a letter mailed to members</w:t>
      </w:r>
      <w:r w:rsidR="008C5E60" w:rsidRPr="540960E8">
        <w:rPr>
          <w:rFonts w:ascii="Verdana" w:hAnsi="Verdana"/>
        </w:rPr>
        <w:t xml:space="preserve"> that</w:t>
      </w:r>
      <w:r w:rsidR="0057249A" w:rsidRPr="540960E8">
        <w:rPr>
          <w:rFonts w:ascii="Verdana" w:hAnsi="Verdana"/>
        </w:rPr>
        <w:t xml:space="preserve"> provid</w:t>
      </w:r>
      <w:r w:rsidR="008C5E60" w:rsidRPr="540960E8">
        <w:rPr>
          <w:rFonts w:ascii="Verdana" w:hAnsi="Verdana"/>
        </w:rPr>
        <w:t>es</w:t>
      </w:r>
      <w:r w:rsidR="0057249A" w:rsidRPr="540960E8">
        <w:rPr>
          <w:rFonts w:ascii="Verdana" w:hAnsi="Verdana"/>
        </w:rPr>
        <w:t xml:space="preserve"> information about </w:t>
      </w:r>
      <w:r w:rsidR="00CC287B" w:rsidRPr="540960E8">
        <w:rPr>
          <w:rFonts w:ascii="Verdana" w:hAnsi="Verdana"/>
        </w:rPr>
        <w:t>opportunities</w:t>
      </w:r>
      <w:r w:rsidR="0057249A" w:rsidRPr="540960E8">
        <w:rPr>
          <w:rFonts w:ascii="Verdana" w:hAnsi="Verdana"/>
        </w:rPr>
        <w:t xml:space="preserve"> </w:t>
      </w:r>
      <w:r w:rsidR="4FC4D4D6" w:rsidRPr="540960E8">
        <w:rPr>
          <w:rFonts w:ascii="Verdana" w:hAnsi="Verdana"/>
        </w:rPr>
        <w:t>to support</w:t>
      </w:r>
      <w:r w:rsidR="008C5E60" w:rsidRPr="540960E8">
        <w:rPr>
          <w:rFonts w:ascii="Verdana" w:hAnsi="Verdana"/>
        </w:rPr>
        <w:t xml:space="preserve"> therapy</w:t>
      </w:r>
      <w:r w:rsidR="0057249A" w:rsidRPr="540960E8">
        <w:rPr>
          <w:rFonts w:ascii="Verdana" w:hAnsi="Verdana"/>
        </w:rPr>
        <w:t xml:space="preserve"> adherence </w:t>
      </w:r>
      <w:r w:rsidR="008C5E60" w:rsidRPr="540960E8">
        <w:rPr>
          <w:rFonts w:ascii="Verdana" w:hAnsi="Verdana"/>
        </w:rPr>
        <w:t>and cost reduction.</w:t>
      </w:r>
    </w:p>
    <w:bookmarkEnd w:id="2"/>
    <w:p w14:paraId="5B0EBC41" w14:textId="77777777" w:rsidR="008C5E60" w:rsidRPr="00F45D86" w:rsidRDefault="008C5E60" w:rsidP="003A6175">
      <w:pPr>
        <w:pStyle w:val="BodyTextIndent2"/>
        <w:spacing w:after="0" w:line="240" w:lineRule="auto"/>
        <w:ind w:left="0"/>
        <w:rPr>
          <w:rFonts w:ascii="Verdana" w:hAnsi="Verdana"/>
        </w:rPr>
      </w:pPr>
    </w:p>
    <w:p w14:paraId="67901533" w14:textId="6C3B83C1" w:rsidR="00846373" w:rsidRPr="00F45D86" w:rsidRDefault="00846373" w:rsidP="00F45D86">
      <w:pPr>
        <w:pStyle w:val="BodyTextIndent2"/>
        <w:spacing w:after="0" w:line="240" w:lineRule="auto"/>
        <w:ind w:left="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5A4923A2" w14:textId="77777777" w:rsidTr="00CC287B">
        <w:tc>
          <w:tcPr>
            <w:tcW w:w="5000" w:type="pct"/>
            <w:shd w:val="clear" w:color="auto" w:fill="C0C0C0"/>
          </w:tcPr>
          <w:p w14:paraId="1D8A3612" w14:textId="77777777" w:rsidR="005A64DA" w:rsidRPr="00384851" w:rsidRDefault="0057249A" w:rsidP="003A6175">
            <w:pPr>
              <w:pStyle w:val="Heading2"/>
              <w:spacing w:before="120" w:after="120"/>
              <w:rPr>
                <w:rFonts w:ascii="Verdana" w:hAnsi="Verdana"/>
                <w:i w:val="0"/>
                <w:iCs w:val="0"/>
              </w:rPr>
            </w:pPr>
            <w:bookmarkStart w:id="3" w:name="_Various_Work_Instructions"/>
            <w:bookmarkStart w:id="4" w:name="_PAR_Process_after_a_FRX_/_FRC_confl"/>
            <w:bookmarkStart w:id="5" w:name="_Next_Day_and"/>
            <w:bookmarkStart w:id="6" w:name="_Scanning_the_Targets"/>
            <w:bookmarkStart w:id="7" w:name="_LAN_Log_In"/>
            <w:bookmarkStart w:id="8" w:name="_AMOS_Log_In"/>
            <w:bookmarkStart w:id="9" w:name="_Search_by_Order#"/>
            <w:bookmarkStart w:id="10" w:name="_Check_Look_Up"/>
            <w:bookmarkStart w:id="11" w:name="_Process_for_Handling"/>
            <w:bookmarkStart w:id="12" w:name="_Log_Activity"/>
            <w:bookmarkStart w:id="13" w:name="_Sample_Prescription_Savings"/>
            <w:bookmarkStart w:id="14" w:name="_Toc133312027"/>
            <w:bookmarkEnd w:id="3"/>
            <w:bookmarkEnd w:id="4"/>
            <w:bookmarkEnd w:id="5"/>
            <w:bookmarkEnd w:id="6"/>
            <w:bookmarkEnd w:id="7"/>
            <w:bookmarkEnd w:id="8"/>
            <w:bookmarkEnd w:id="9"/>
            <w:bookmarkEnd w:id="10"/>
            <w:bookmarkEnd w:id="11"/>
            <w:bookmarkEnd w:id="12"/>
            <w:bookmarkEnd w:id="13"/>
            <w:r>
              <w:rPr>
                <w:rFonts w:ascii="Verdana" w:hAnsi="Verdana"/>
                <w:i w:val="0"/>
                <w:iCs w:val="0"/>
              </w:rPr>
              <w:t>Sample Prescription Savings Guide</w:t>
            </w:r>
            <w:bookmarkEnd w:id="14"/>
          </w:p>
        </w:tc>
      </w:tr>
    </w:tbl>
    <w:p w14:paraId="274FC3D6" w14:textId="77777777" w:rsidR="004455D7" w:rsidRDefault="004455D7" w:rsidP="005B5F2F">
      <w:pPr>
        <w:pStyle w:val="BodyTextIndent2"/>
        <w:spacing w:before="120" w:line="240" w:lineRule="auto"/>
        <w:ind w:left="0"/>
        <w:contextualSpacing/>
        <w:rPr>
          <w:rFonts w:ascii="Verdana" w:hAnsi="Verdana"/>
          <w:b/>
        </w:rPr>
      </w:pPr>
    </w:p>
    <w:p w14:paraId="24B1B93F" w14:textId="3FD69CF2" w:rsidR="008A4E6E" w:rsidRDefault="008A4E6E" w:rsidP="005B5F2F">
      <w:pPr>
        <w:pStyle w:val="BodyTextIndent2"/>
        <w:spacing w:before="120" w:line="240" w:lineRule="auto"/>
        <w:ind w:left="0"/>
        <w:rPr>
          <w:rFonts w:ascii="Verdana" w:hAnsi="Verdana"/>
        </w:rPr>
      </w:pPr>
      <w:r>
        <w:rPr>
          <w:rFonts w:ascii="Verdana" w:hAnsi="Verdana"/>
          <w:b/>
        </w:rPr>
        <w:t>Note:</w:t>
      </w:r>
      <w:r>
        <w:rPr>
          <w:rFonts w:ascii="Verdana" w:hAnsi="Verdana"/>
        </w:rPr>
        <w:t xml:space="preserve">  Prescription Savings Guides are not sent to Medicare D beneficiaries</w:t>
      </w:r>
    </w:p>
    <w:p w14:paraId="019961F2" w14:textId="77777777" w:rsidR="008A4E6E" w:rsidRDefault="008A4E6E" w:rsidP="005B5F2F">
      <w:pPr>
        <w:pStyle w:val="BodyTextIndent2"/>
        <w:spacing w:before="120" w:line="240" w:lineRule="auto"/>
        <w:ind w:left="0"/>
        <w:rPr>
          <w:rFonts w:ascii="Verdana" w:hAnsi="Verdana"/>
        </w:rPr>
      </w:pPr>
    </w:p>
    <w:p w14:paraId="5F303B6C" w14:textId="47B83A17" w:rsidR="005B5F2F" w:rsidRDefault="005B5F2F" w:rsidP="005B5F2F">
      <w:pPr>
        <w:pStyle w:val="BodyTextIndent2"/>
        <w:spacing w:before="120" w:line="240" w:lineRule="auto"/>
        <w:ind w:left="0"/>
        <w:rPr>
          <w:rFonts w:ascii="Verdana" w:hAnsi="Verdana"/>
        </w:rPr>
      </w:pPr>
      <w:r>
        <w:rPr>
          <w:rFonts w:ascii="Verdana" w:hAnsi="Verdana"/>
        </w:rPr>
        <w:t>This is a client-specific option.  Members receive letters only if their plan has opted in.  The client determine</w:t>
      </w:r>
      <w:r w:rsidR="00AC07D2">
        <w:rPr>
          <w:rFonts w:ascii="Verdana" w:hAnsi="Verdana"/>
        </w:rPr>
        <w:t xml:space="preserve">s </w:t>
      </w:r>
      <w:r>
        <w:rPr>
          <w:rFonts w:ascii="Verdana" w:hAnsi="Verdana"/>
        </w:rPr>
        <w:t xml:space="preserve">which member populations receive the guide.  </w:t>
      </w:r>
      <w:r w:rsidR="00AC07D2">
        <w:rPr>
          <w:rFonts w:ascii="Verdana" w:hAnsi="Verdana"/>
        </w:rPr>
        <w:t>T</w:t>
      </w:r>
      <w:r>
        <w:rPr>
          <w:rFonts w:ascii="Verdana" w:hAnsi="Verdana"/>
        </w:rPr>
        <w:t xml:space="preserve">hey may choose to send the guide only to members who have a savings of $50 or more or elect to send to their entire membership regardless of savings.  Most clients </w:t>
      </w:r>
      <w:r w:rsidR="00D7081E">
        <w:rPr>
          <w:rFonts w:ascii="Verdana" w:hAnsi="Verdana"/>
        </w:rPr>
        <w:t xml:space="preserve">select </w:t>
      </w:r>
      <w:r>
        <w:rPr>
          <w:rFonts w:ascii="Verdana" w:hAnsi="Verdana"/>
        </w:rPr>
        <w:t xml:space="preserve">to send the guides out annually; however, </w:t>
      </w:r>
      <w:r w:rsidR="00D7081E">
        <w:rPr>
          <w:rFonts w:ascii="Verdana" w:hAnsi="Verdana"/>
        </w:rPr>
        <w:t>some</w:t>
      </w:r>
      <w:r>
        <w:rPr>
          <w:rFonts w:ascii="Verdana" w:hAnsi="Verdana"/>
        </w:rPr>
        <w:t xml:space="preserve"> send them twice a year or quarterly.  </w:t>
      </w:r>
      <w:r>
        <w:rPr>
          <w:rFonts w:ascii="Verdana" w:hAnsi="Verdana"/>
          <w:bCs/>
        </w:rPr>
        <w:t>Refer to the CIF for client-specific information</w:t>
      </w:r>
      <w:r>
        <w:rPr>
          <w:rFonts w:ascii="Verdana" w:hAnsi="Verdana"/>
        </w:rPr>
        <w:t xml:space="preserve"> about the guide.</w:t>
      </w:r>
    </w:p>
    <w:p w14:paraId="17846540" w14:textId="77777777" w:rsidR="005B5F2F" w:rsidRDefault="005B5F2F" w:rsidP="005B5F2F">
      <w:pPr>
        <w:pStyle w:val="BodyTextIndent2"/>
        <w:spacing w:before="120" w:line="240" w:lineRule="auto"/>
        <w:ind w:left="0"/>
        <w:rPr>
          <w:rFonts w:ascii="Verdana" w:hAnsi="Verdana"/>
        </w:rPr>
      </w:pPr>
    </w:p>
    <w:p w14:paraId="4D2D09F6" w14:textId="4EAD9A41" w:rsidR="005B5F2F" w:rsidRDefault="005B5F2F" w:rsidP="005B5F2F">
      <w:pPr>
        <w:pStyle w:val="BodyTextIndent2"/>
        <w:spacing w:before="120" w:line="240" w:lineRule="auto"/>
        <w:ind w:left="0"/>
        <w:rPr>
          <w:rFonts w:ascii="Verdana" w:hAnsi="Verdana"/>
        </w:rPr>
      </w:pPr>
      <w:r>
        <w:rPr>
          <w:rFonts w:ascii="Verdana" w:hAnsi="Verdana"/>
        </w:rPr>
        <w:t xml:space="preserve">Each guide </w:t>
      </w:r>
      <w:r w:rsidR="008A4E6E">
        <w:rPr>
          <w:rFonts w:ascii="Verdana" w:hAnsi="Verdana"/>
        </w:rPr>
        <w:t>is</w:t>
      </w:r>
      <w:r>
        <w:rPr>
          <w:rFonts w:ascii="Verdana" w:hAnsi="Verdana"/>
        </w:rPr>
        <w:t xml:space="preserve"> customized for the member and the client’s plan design.  </w:t>
      </w:r>
      <w:r w:rsidR="007A6C98">
        <w:rPr>
          <w:rFonts w:ascii="Verdana" w:hAnsi="Verdana"/>
        </w:rPr>
        <w:t>They</w:t>
      </w:r>
      <w:r>
        <w:rPr>
          <w:rFonts w:ascii="Verdana" w:hAnsi="Verdana"/>
        </w:rPr>
        <w:t xml:space="preserve"> are printed in English and are not available in Spanish or any other language.</w:t>
      </w:r>
    </w:p>
    <w:p w14:paraId="3DBD8440" w14:textId="7F17826C" w:rsidR="005B5F2F" w:rsidRDefault="008A4E6E" w:rsidP="003A6175">
      <w:pPr>
        <w:spacing w:before="120" w:after="120"/>
        <w:rPr>
          <w:rFonts w:ascii="Verdana" w:hAnsi="Verdana"/>
        </w:rPr>
      </w:pPr>
      <w:r>
        <w:rPr>
          <w:rFonts w:ascii="Verdana" w:hAnsi="Verdana"/>
        </w:rPr>
        <w:t xml:space="preserve"> </w:t>
      </w:r>
    </w:p>
    <w:p w14:paraId="4FA43129" w14:textId="77777777" w:rsidR="005B5F2F" w:rsidRDefault="005B5F2F" w:rsidP="003A6175">
      <w:pPr>
        <w:spacing w:before="120" w:after="120"/>
        <w:rPr>
          <w:rFonts w:ascii="Verdana" w:hAnsi="Verdana"/>
        </w:rPr>
      </w:pPr>
    </w:p>
    <w:p w14:paraId="42E8E88D" w14:textId="6B0C3D9A" w:rsidR="006E68C3" w:rsidRDefault="006E68C3" w:rsidP="003A6175">
      <w:pPr>
        <w:spacing w:before="120" w:after="120"/>
        <w:rPr>
          <w:rFonts w:ascii="Verdana" w:hAnsi="Verdana"/>
        </w:rPr>
      </w:pPr>
      <w:r>
        <w:rPr>
          <w:rFonts w:ascii="Verdana" w:hAnsi="Verdana"/>
        </w:rPr>
        <w:t>The outer pages of the Prescription Savings Guide provide the following information:</w:t>
      </w:r>
    </w:p>
    <w:p w14:paraId="7C2E35DF" w14:textId="318D71B8" w:rsidR="0057249A" w:rsidRDefault="006E68C3" w:rsidP="002125DA">
      <w:pPr>
        <w:numPr>
          <w:ilvl w:val="0"/>
          <w:numId w:val="6"/>
        </w:numPr>
        <w:spacing w:before="120" w:after="120"/>
        <w:ind w:left="432"/>
        <w:rPr>
          <w:rFonts w:ascii="Verdana" w:hAnsi="Verdana"/>
        </w:rPr>
      </w:pPr>
      <w:r>
        <w:rPr>
          <w:rFonts w:ascii="Verdana" w:hAnsi="Verdana"/>
        </w:rPr>
        <w:t xml:space="preserve">Introduction to </w:t>
      </w:r>
      <w:r w:rsidR="0057249A" w:rsidRPr="0057249A">
        <w:rPr>
          <w:rFonts w:ascii="Verdana" w:hAnsi="Verdana"/>
        </w:rPr>
        <w:t>the guide and the type of information the</w:t>
      </w:r>
      <w:r>
        <w:rPr>
          <w:rFonts w:ascii="Verdana" w:hAnsi="Verdana"/>
        </w:rPr>
        <w:t xml:space="preserve"> member</w:t>
      </w:r>
      <w:r w:rsidR="0057249A" w:rsidRPr="0057249A">
        <w:rPr>
          <w:rFonts w:ascii="Verdana" w:hAnsi="Verdana"/>
        </w:rPr>
        <w:t xml:space="preserve"> </w:t>
      </w:r>
      <w:r w:rsidR="005A3AA1">
        <w:rPr>
          <w:rFonts w:ascii="Verdana" w:hAnsi="Verdana"/>
        </w:rPr>
        <w:t>is</w:t>
      </w:r>
      <w:r w:rsidR="0057249A" w:rsidRPr="0057249A">
        <w:rPr>
          <w:rFonts w:ascii="Verdana" w:hAnsi="Verdana"/>
        </w:rPr>
        <w:t xml:space="preserve"> inside.</w:t>
      </w:r>
      <w:r w:rsidR="0057249A">
        <w:rPr>
          <w:rFonts w:ascii="Verdana" w:hAnsi="Verdana"/>
        </w:rPr>
        <w:t xml:space="preserve">  </w:t>
      </w:r>
    </w:p>
    <w:p w14:paraId="13D5A540" w14:textId="77777777" w:rsidR="0057249A" w:rsidRDefault="00E711C4" w:rsidP="002125DA">
      <w:pPr>
        <w:numPr>
          <w:ilvl w:val="0"/>
          <w:numId w:val="6"/>
        </w:numPr>
        <w:spacing w:before="120" w:after="120"/>
        <w:ind w:left="432"/>
        <w:rPr>
          <w:rFonts w:ascii="Verdana" w:hAnsi="Verdana"/>
        </w:rPr>
      </w:pPr>
      <w:r>
        <w:rPr>
          <w:rFonts w:ascii="Verdana" w:hAnsi="Verdana"/>
        </w:rPr>
        <w:t>Frequently Asked Questions</w:t>
      </w:r>
      <w:r w:rsidR="0057249A" w:rsidRPr="0057249A">
        <w:rPr>
          <w:rFonts w:ascii="Verdana" w:hAnsi="Verdana"/>
        </w:rPr>
        <w:t xml:space="preserve"> about PBMs, generics, preferred brands, 90-day supplies, and available tools and resources such as </w:t>
      </w:r>
      <w:r w:rsidR="00E34401">
        <w:rPr>
          <w:rFonts w:ascii="Verdana" w:hAnsi="Verdana"/>
        </w:rPr>
        <w:t>the member web portal</w:t>
      </w:r>
      <w:r w:rsidR="0057249A" w:rsidRPr="0057249A">
        <w:rPr>
          <w:rFonts w:ascii="Verdana" w:hAnsi="Verdana"/>
        </w:rPr>
        <w:t>.</w:t>
      </w:r>
    </w:p>
    <w:p w14:paraId="063137D5" w14:textId="77777777" w:rsidR="004D40AA" w:rsidRDefault="006E68C3" w:rsidP="002125DA">
      <w:pPr>
        <w:numPr>
          <w:ilvl w:val="0"/>
          <w:numId w:val="6"/>
        </w:numPr>
        <w:spacing w:before="120" w:after="120"/>
        <w:ind w:left="432"/>
        <w:rPr>
          <w:rFonts w:ascii="Verdana" w:hAnsi="Verdana"/>
        </w:rPr>
      </w:pPr>
      <w:r>
        <w:rPr>
          <w:rFonts w:ascii="Verdana" w:hAnsi="Verdana"/>
        </w:rPr>
        <w:t xml:space="preserve">An explanation for </w:t>
      </w:r>
      <w:r w:rsidR="004D40AA" w:rsidRPr="0057249A">
        <w:rPr>
          <w:rFonts w:ascii="Verdana" w:hAnsi="Verdana"/>
        </w:rPr>
        <w:t xml:space="preserve">why </w:t>
      </w:r>
      <w:r w:rsidR="00E711C4">
        <w:rPr>
          <w:rFonts w:ascii="Verdana" w:hAnsi="Verdana"/>
        </w:rPr>
        <w:t>Pharmacy Benefit Manager (</w:t>
      </w:r>
      <w:r w:rsidR="00E34401">
        <w:rPr>
          <w:rFonts w:ascii="Verdana" w:hAnsi="Verdana"/>
        </w:rPr>
        <w:t>PBM</w:t>
      </w:r>
      <w:r w:rsidR="00E711C4">
        <w:rPr>
          <w:rFonts w:ascii="Verdana" w:hAnsi="Verdana"/>
        </w:rPr>
        <w:t>)</w:t>
      </w:r>
      <w:r w:rsidR="004D40AA" w:rsidRPr="0057249A">
        <w:rPr>
          <w:rFonts w:ascii="Verdana" w:hAnsi="Verdana"/>
        </w:rPr>
        <w:t xml:space="preserve"> has sent the Prescription Savings Guide, and how it is personalized for the member.</w:t>
      </w:r>
    </w:p>
    <w:p w14:paraId="2937A6F8" w14:textId="77777777" w:rsidR="0057249A" w:rsidRDefault="0057249A" w:rsidP="003A6175">
      <w:pPr>
        <w:spacing w:before="120" w:after="120"/>
        <w:rPr>
          <w:rFonts w:ascii="Verdana" w:hAnsi="Verdana"/>
        </w:rPr>
      </w:pPr>
    </w:p>
    <w:p w14:paraId="570D4199" w14:textId="02B86DC1" w:rsidR="0057249A" w:rsidRDefault="008B76F5" w:rsidP="003A6175">
      <w:pPr>
        <w:spacing w:before="120" w:after="120"/>
        <w:jc w:val="center"/>
        <w:rPr>
          <w:noProof/>
        </w:rPr>
      </w:pPr>
      <w:r w:rsidRPr="008B76F5">
        <w:rPr>
          <w:noProof/>
        </w:rPr>
        <w:drawing>
          <wp:inline distT="0" distB="0" distL="0" distR="0" wp14:anchorId="78573849" wp14:editId="4A347520">
            <wp:extent cx="8229600" cy="4714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714043"/>
                    </a:xfrm>
                    <a:prstGeom prst="rect">
                      <a:avLst/>
                    </a:prstGeom>
                  </pic:spPr>
                </pic:pic>
              </a:graphicData>
            </a:graphic>
          </wp:inline>
        </w:drawing>
      </w:r>
    </w:p>
    <w:p w14:paraId="6922285C" w14:textId="77777777" w:rsidR="006E68C3" w:rsidRPr="006E68C3" w:rsidRDefault="006E68C3" w:rsidP="003A6175">
      <w:pPr>
        <w:spacing w:before="120" w:after="120"/>
        <w:jc w:val="center"/>
        <w:rPr>
          <w:rFonts w:ascii="Verdana" w:hAnsi="Verdana" w:cs="Arial"/>
        </w:rPr>
      </w:pPr>
    </w:p>
    <w:p w14:paraId="5E734110" w14:textId="77777777" w:rsidR="006E68C3" w:rsidRPr="006E68C3" w:rsidRDefault="006E68C3" w:rsidP="003A6175">
      <w:pPr>
        <w:spacing w:before="120" w:after="120"/>
        <w:rPr>
          <w:rFonts w:ascii="Verdana" w:hAnsi="Verdana" w:cs="Arial"/>
        </w:rPr>
      </w:pPr>
      <w:r w:rsidRPr="006E68C3">
        <w:rPr>
          <w:rFonts w:ascii="Verdana" w:hAnsi="Verdana" w:cs="Arial"/>
        </w:rPr>
        <w:t xml:space="preserve">The inner pages </w:t>
      </w:r>
      <w:r>
        <w:rPr>
          <w:rFonts w:ascii="Verdana" w:hAnsi="Verdana" w:cs="Arial"/>
        </w:rPr>
        <w:t>of the guide provide the following information:</w:t>
      </w:r>
    </w:p>
    <w:p w14:paraId="0693F562" w14:textId="77777777" w:rsidR="0057249A" w:rsidRDefault="006E68C3" w:rsidP="008B76F5">
      <w:pPr>
        <w:numPr>
          <w:ilvl w:val="0"/>
          <w:numId w:val="6"/>
        </w:numPr>
        <w:spacing w:before="120" w:after="120"/>
        <w:ind w:left="432"/>
        <w:rPr>
          <w:rFonts w:ascii="Verdana" w:hAnsi="Verdana"/>
        </w:rPr>
      </w:pPr>
      <w:r>
        <w:rPr>
          <w:rFonts w:ascii="Verdana" w:hAnsi="Verdana"/>
        </w:rPr>
        <w:t>A</w:t>
      </w:r>
      <w:r w:rsidR="0057249A" w:rsidRPr="006E68C3">
        <w:rPr>
          <w:rFonts w:ascii="Verdana" w:hAnsi="Verdana"/>
        </w:rPr>
        <w:t xml:space="preserve"> table of the member’s prescription history, comparing the drug cost</w:t>
      </w:r>
      <w:r w:rsidR="0057249A" w:rsidRPr="0057249A">
        <w:rPr>
          <w:rFonts w:ascii="Verdana" w:hAnsi="Verdana"/>
        </w:rPr>
        <w:t xml:space="preserve"> paid with the member’s current choice and the potential savings if the best choice is used.</w:t>
      </w:r>
      <w:r w:rsidR="0057249A">
        <w:rPr>
          <w:rFonts w:ascii="Verdana" w:hAnsi="Verdana"/>
        </w:rPr>
        <w:t xml:space="preserve"> </w:t>
      </w:r>
    </w:p>
    <w:p w14:paraId="753959A9" w14:textId="67D097FF" w:rsidR="0057249A" w:rsidRDefault="006E68C3" w:rsidP="008B76F5">
      <w:pPr>
        <w:numPr>
          <w:ilvl w:val="0"/>
          <w:numId w:val="6"/>
        </w:numPr>
        <w:spacing w:before="120" w:after="120"/>
        <w:ind w:left="432"/>
        <w:rPr>
          <w:rFonts w:ascii="Verdana" w:hAnsi="Verdana"/>
        </w:rPr>
      </w:pPr>
      <w:r>
        <w:rPr>
          <w:rFonts w:ascii="Verdana" w:hAnsi="Verdana"/>
        </w:rPr>
        <w:t>I</w:t>
      </w:r>
      <w:r w:rsidR="0057249A" w:rsidRPr="0057249A">
        <w:rPr>
          <w:rFonts w:ascii="Verdana" w:hAnsi="Verdana"/>
        </w:rPr>
        <w:t xml:space="preserve">cons to indicate where the member could benefit by using a generic/preferred drug and/or 90-day supply.  It also recognizes with a checkmark when the member has already made the best choice.  Plan notes </w:t>
      </w:r>
      <w:r w:rsidR="005A3AA1">
        <w:rPr>
          <w:rFonts w:ascii="Verdana" w:hAnsi="Verdana"/>
        </w:rPr>
        <w:t>are</w:t>
      </w:r>
      <w:r w:rsidR="0057249A" w:rsidRPr="0057249A">
        <w:rPr>
          <w:rFonts w:ascii="Verdana" w:hAnsi="Verdana"/>
        </w:rPr>
        <w:t xml:space="preserve"> included where appropriate</w:t>
      </w:r>
      <w:r>
        <w:rPr>
          <w:rFonts w:ascii="Verdana" w:hAnsi="Verdana"/>
        </w:rPr>
        <w:t>.</w:t>
      </w:r>
    </w:p>
    <w:p w14:paraId="343196EA" w14:textId="77CA136B" w:rsidR="0057249A" w:rsidRDefault="006E68C3" w:rsidP="008B76F5">
      <w:pPr>
        <w:numPr>
          <w:ilvl w:val="0"/>
          <w:numId w:val="6"/>
        </w:numPr>
        <w:spacing w:before="120" w:after="120"/>
        <w:ind w:left="432"/>
        <w:rPr>
          <w:rFonts w:ascii="Verdana" w:hAnsi="Verdana"/>
        </w:rPr>
      </w:pPr>
      <w:r>
        <w:rPr>
          <w:rFonts w:ascii="Verdana" w:hAnsi="Verdana"/>
        </w:rPr>
        <w:t>S</w:t>
      </w:r>
      <w:r w:rsidR="0057249A" w:rsidRPr="0057249A">
        <w:rPr>
          <w:rFonts w:ascii="Verdana" w:hAnsi="Verdana"/>
        </w:rPr>
        <w:t xml:space="preserve">teps the member can take to save which are based on the results shown in the table.  Additional information about the member’s plan is included, such as Maintenance Choice, Mail Service, </w:t>
      </w:r>
      <w:r>
        <w:rPr>
          <w:rFonts w:ascii="Verdana" w:hAnsi="Verdana"/>
        </w:rPr>
        <w:t xml:space="preserve">3-Tier Copay, Coinsurance, </w:t>
      </w:r>
      <w:r w:rsidR="00994660">
        <w:rPr>
          <w:rFonts w:ascii="Verdana" w:hAnsi="Verdana"/>
        </w:rPr>
        <w:t>etcetera</w:t>
      </w:r>
      <w:r>
        <w:rPr>
          <w:rFonts w:ascii="Verdana" w:hAnsi="Verdana"/>
        </w:rPr>
        <w:t>.</w:t>
      </w:r>
    </w:p>
    <w:p w14:paraId="6D7765D9" w14:textId="77777777" w:rsidR="006E68C3" w:rsidRDefault="006E68C3" w:rsidP="003A6175">
      <w:pPr>
        <w:spacing w:before="120" w:after="120"/>
        <w:rPr>
          <w:rFonts w:ascii="Verdana" w:hAnsi="Verdana"/>
        </w:rPr>
      </w:pPr>
    </w:p>
    <w:p w14:paraId="2CE488C7" w14:textId="3C6A1217" w:rsidR="0057249A" w:rsidRDefault="008B76F5" w:rsidP="003A6175">
      <w:pPr>
        <w:spacing w:before="120" w:after="120"/>
        <w:jc w:val="center"/>
        <w:rPr>
          <w:rFonts w:ascii="Verdana" w:hAnsi="Verdana"/>
        </w:rPr>
      </w:pPr>
      <w:r w:rsidRPr="008B76F5">
        <w:rPr>
          <w:rFonts w:ascii="Verdana" w:hAnsi="Verdana"/>
        </w:rPr>
        <w:drawing>
          <wp:inline distT="0" distB="0" distL="0" distR="0" wp14:anchorId="4C44C14A" wp14:editId="58E2A04F">
            <wp:extent cx="8229600" cy="45634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563454"/>
                    </a:xfrm>
                    <a:prstGeom prst="rect">
                      <a:avLst/>
                    </a:prstGeom>
                  </pic:spPr>
                </pic:pic>
              </a:graphicData>
            </a:graphic>
          </wp:inline>
        </w:drawing>
      </w:r>
    </w:p>
    <w:p w14:paraId="56600778" w14:textId="77777777" w:rsidR="0057249A" w:rsidRDefault="0057249A" w:rsidP="0057249A">
      <w:pPr>
        <w:rPr>
          <w:rFonts w:ascii="Verdana" w:hAnsi="Verdana"/>
        </w:rPr>
      </w:pPr>
    </w:p>
    <w:p w14:paraId="3D0B63E1" w14:textId="77777777" w:rsidR="00F45D86" w:rsidRPr="00F45D86" w:rsidRDefault="00000000" w:rsidP="00F45D86">
      <w:pPr>
        <w:pStyle w:val="BodyTextIndent2"/>
        <w:spacing w:after="0" w:line="240" w:lineRule="auto"/>
        <w:ind w:left="0"/>
        <w:jc w:val="right"/>
        <w:rPr>
          <w:rFonts w:ascii="Verdana" w:hAnsi="Verdana"/>
        </w:rPr>
      </w:pPr>
      <w:hyperlink w:anchor="_top" w:history="1">
        <w:r w:rsidR="00F45D86" w:rsidRPr="00F45D8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3623A" w:rsidRPr="00384851" w14:paraId="186D3E00" w14:textId="77777777" w:rsidTr="00F45D86">
        <w:tc>
          <w:tcPr>
            <w:tcW w:w="5000" w:type="pct"/>
            <w:shd w:val="clear" w:color="auto" w:fill="C0C0C0"/>
          </w:tcPr>
          <w:p w14:paraId="79038E0B" w14:textId="77777777" w:rsidR="0003623A" w:rsidRPr="00384851" w:rsidRDefault="0003623A" w:rsidP="003A6175">
            <w:pPr>
              <w:pStyle w:val="Heading2"/>
              <w:spacing w:before="120" w:after="120"/>
              <w:rPr>
                <w:rFonts w:ascii="Verdana" w:hAnsi="Verdana"/>
                <w:i w:val="0"/>
                <w:iCs w:val="0"/>
              </w:rPr>
            </w:pPr>
            <w:bookmarkStart w:id="15" w:name="_Handling_Calls_about"/>
            <w:bookmarkStart w:id="16" w:name="_Toc133312028"/>
            <w:bookmarkEnd w:id="15"/>
            <w:r w:rsidRPr="0057249A">
              <w:rPr>
                <w:rFonts w:ascii="Verdana" w:hAnsi="Verdana"/>
                <w:i w:val="0"/>
                <w:iCs w:val="0"/>
              </w:rPr>
              <w:t>Handling Calls about Prescription Savings Guides</w:t>
            </w:r>
            <w:bookmarkEnd w:id="16"/>
          </w:p>
        </w:tc>
      </w:tr>
    </w:tbl>
    <w:p w14:paraId="6CF71846" w14:textId="77777777" w:rsidR="00E228F9" w:rsidRDefault="00E228F9" w:rsidP="003A6175">
      <w:pPr>
        <w:spacing w:before="120" w:after="120"/>
        <w:contextualSpacing/>
        <w:rPr>
          <w:rFonts w:ascii="Verdana" w:hAnsi="Verdana"/>
        </w:rPr>
      </w:pPr>
    </w:p>
    <w:p w14:paraId="5890A43F" w14:textId="0B9E2BB9" w:rsidR="00E228F9" w:rsidRDefault="00E228F9" w:rsidP="00E228F9">
      <w:pPr>
        <w:pStyle w:val="BodyTextIndent2"/>
        <w:spacing w:before="120" w:line="240" w:lineRule="auto"/>
        <w:ind w:left="0"/>
        <w:rPr>
          <w:rFonts w:ascii="Verdana" w:hAnsi="Verdana"/>
        </w:rPr>
      </w:pPr>
      <w:r w:rsidRPr="005A3AA1">
        <w:rPr>
          <w:rFonts w:ascii="Verdana" w:hAnsi="Verdana"/>
          <w:b/>
          <w:bCs/>
        </w:rPr>
        <w:t>Note:</w:t>
      </w:r>
      <w:r>
        <w:rPr>
          <w:rFonts w:ascii="Verdana" w:hAnsi="Verdana"/>
        </w:rPr>
        <w:t xml:space="preserve">  View the template in the </w:t>
      </w:r>
      <w:r w:rsidRPr="005A3AA1">
        <w:rPr>
          <w:rFonts w:ascii="Verdana" w:hAnsi="Verdana"/>
          <w:b/>
          <w:bCs/>
        </w:rPr>
        <w:t>Communication History</w:t>
      </w:r>
      <w:r>
        <w:rPr>
          <w:rFonts w:ascii="Verdana" w:hAnsi="Verdana"/>
        </w:rPr>
        <w:t xml:space="preserve"> screen.  It </w:t>
      </w:r>
      <w:r w:rsidR="00243BAA">
        <w:rPr>
          <w:rFonts w:ascii="Verdana" w:hAnsi="Verdana"/>
        </w:rPr>
        <w:t xml:space="preserve">is </w:t>
      </w:r>
      <w:r>
        <w:rPr>
          <w:rFonts w:ascii="Verdana" w:hAnsi="Verdana"/>
        </w:rPr>
        <w:t>not specific to the member</w:t>
      </w:r>
      <w:r w:rsidR="000656EA">
        <w:rPr>
          <w:rFonts w:ascii="Verdana" w:hAnsi="Verdana"/>
        </w:rPr>
        <w:t xml:space="preserve"> however</w:t>
      </w:r>
      <w:r>
        <w:rPr>
          <w:rFonts w:ascii="Verdana" w:hAnsi="Verdana"/>
        </w:rPr>
        <w:t xml:space="preserve"> it </w:t>
      </w:r>
      <w:r w:rsidR="00243BAA">
        <w:rPr>
          <w:rFonts w:ascii="Verdana" w:hAnsi="Verdana"/>
        </w:rPr>
        <w:t xml:space="preserve">identifies </w:t>
      </w:r>
      <w:r>
        <w:rPr>
          <w:rFonts w:ascii="Verdana" w:hAnsi="Verdana"/>
        </w:rPr>
        <w:t xml:space="preserve">that the member was sent a Prescription Savings Guide.  </w:t>
      </w:r>
    </w:p>
    <w:p w14:paraId="6AA78491" w14:textId="3FF9D85B" w:rsidR="00E228F9" w:rsidRDefault="00E228F9" w:rsidP="003A6175">
      <w:pPr>
        <w:spacing w:before="120" w:after="120"/>
        <w:rPr>
          <w:rFonts w:ascii="Verdana" w:hAnsi="Verdana"/>
        </w:rPr>
      </w:pPr>
    </w:p>
    <w:p w14:paraId="039C12CA" w14:textId="4973725C" w:rsidR="0003623A" w:rsidRDefault="003A6175" w:rsidP="003A6175">
      <w:pPr>
        <w:spacing w:before="120" w:after="120"/>
        <w:rPr>
          <w:rFonts w:ascii="Verdana" w:hAnsi="Verdana"/>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9832"/>
      </w:tblGrid>
      <w:tr w:rsidR="0003623A" w:rsidRPr="00384851" w14:paraId="3367D969" w14:textId="77777777" w:rsidTr="0029229B">
        <w:tc>
          <w:tcPr>
            <w:tcW w:w="1204" w:type="pct"/>
            <w:shd w:val="pct10" w:color="auto" w:fill="auto"/>
          </w:tcPr>
          <w:p w14:paraId="2C7AB419" w14:textId="0104215A" w:rsidR="0003623A" w:rsidRPr="00384851" w:rsidRDefault="007929A6" w:rsidP="003A6175">
            <w:pPr>
              <w:spacing w:before="120" w:after="120"/>
              <w:jc w:val="center"/>
              <w:rPr>
                <w:rFonts w:ascii="Verdana" w:hAnsi="Verdana"/>
                <w:b/>
              </w:rPr>
            </w:pPr>
            <w:r>
              <w:rPr>
                <w:rFonts w:ascii="Verdana" w:hAnsi="Verdana"/>
                <w:b/>
              </w:rPr>
              <w:t>Scenario</w:t>
            </w:r>
          </w:p>
        </w:tc>
        <w:tc>
          <w:tcPr>
            <w:tcW w:w="3796" w:type="pct"/>
            <w:shd w:val="pct10" w:color="auto" w:fill="auto"/>
          </w:tcPr>
          <w:p w14:paraId="7A5BEB89" w14:textId="77777777" w:rsidR="0003623A" w:rsidRPr="00384851" w:rsidRDefault="007929A6" w:rsidP="003A6175">
            <w:pPr>
              <w:spacing w:before="120" w:after="120"/>
              <w:jc w:val="center"/>
              <w:rPr>
                <w:rFonts w:ascii="Verdana" w:hAnsi="Verdana"/>
                <w:b/>
              </w:rPr>
            </w:pPr>
            <w:r>
              <w:rPr>
                <w:rFonts w:ascii="Verdana" w:hAnsi="Verdana"/>
                <w:b/>
              </w:rPr>
              <w:t>Suggested Actions</w:t>
            </w:r>
          </w:p>
        </w:tc>
      </w:tr>
      <w:tr w:rsidR="00DE2920" w:rsidRPr="00384851" w14:paraId="28F2788F" w14:textId="77777777" w:rsidTr="0029229B">
        <w:trPr>
          <w:trHeight w:val="3230"/>
        </w:trPr>
        <w:tc>
          <w:tcPr>
            <w:tcW w:w="1204" w:type="pct"/>
          </w:tcPr>
          <w:p w14:paraId="315ADD48" w14:textId="1F460C1B" w:rsidR="00DE2920" w:rsidRPr="007929A6" w:rsidRDefault="00DE2920" w:rsidP="003A6175">
            <w:pPr>
              <w:spacing w:before="120" w:after="120"/>
              <w:rPr>
                <w:rFonts w:ascii="Verdana" w:hAnsi="Verdana"/>
              </w:rPr>
            </w:pPr>
            <w:r>
              <w:rPr>
                <w:rFonts w:ascii="Verdana" w:hAnsi="Verdana"/>
              </w:rPr>
              <w:t>Member calls and states they have received a Prescription Savings Guide.</w:t>
            </w:r>
          </w:p>
        </w:tc>
        <w:tc>
          <w:tcPr>
            <w:tcW w:w="3796" w:type="pct"/>
          </w:tcPr>
          <w:p w14:paraId="52EE9F27" w14:textId="50708434" w:rsidR="00DE2920" w:rsidRDefault="00DE2920" w:rsidP="003A6175">
            <w:pPr>
              <w:numPr>
                <w:ilvl w:val="0"/>
                <w:numId w:val="16"/>
              </w:numPr>
              <w:spacing w:before="120" w:after="120"/>
              <w:ind w:left="346"/>
              <w:rPr>
                <w:rFonts w:ascii="Verdana" w:hAnsi="Verdana"/>
              </w:rPr>
            </w:pPr>
            <w:r>
              <w:rPr>
                <w:rFonts w:ascii="Verdana" w:hAnsi="Verdana"/>
              </w:rPr>
              <w:t>A</w:t>
            </w:r>
            <w:r w:rsidRPr="0057249A">
              <w:rPr>
                <w:rFonts w:ascii="Verdana" w:hAnsi="Verdana"/>
              </w:rPr>
              <w:t xml:space="preserve">sk the member which features they would like to discuss further.  </w:t>
            </w:r>
          </w:p>
          <w:p w14:paraId="7B57842B" w14:textId="355987CB" w:rsidR="00DE2920" w:rsidRDefault="00DE2920" w:rsidP="001F25C2">
            <w:pPr>
              <w:spacing w:before="120" w:after="120"/>
              <w:ind w:left="346"/>
              <w:rPr>
                <w:rFonts w:ascii="Verdana" w:hAnsi="Verdana"/>
              </w:rPr>
            </w:pPr>
            <w:r w:rsidRPr="0057249A">
              <w:rPr>
                <w:rFonts w:ascii="Verdana" w:hAnsi="Verdana"/>
              </w:rPr>
              <w:t>Topics that may be included in the letter are:</w:t>
            </w:r>
          </w:p>
          <w:p w14:paraId="43C885DA" w14:textId="77777777" w:rsidR="00DE2920" w:rsidRPr="0057249A" w:rsidRDefault="00DE2920" w:rsidP="001F25C2">
            <w:pPr>
              <w:numPr>
                <w:ilvl w:val="0"/>
                <w:numId w:val="4"/>
              </w:numPr>
              <w:spacing w:before="120" w:after="120"/>
              <w:ind w:left="706"/>
              <w:rPr>
                <w:rFonts w:ascii="Verdana" w:hAnsi="Verdana"/>
              </w:rPr>
            </w:pPr>
            <w:r w:rsidRPr="0057249A">
              <w:rPr>
                <w:rFonts w:ascii="Verdana" w:hAnsi="Verdana"/>
              </w:rPr>
              <w:t>Generic equivalents or formulary alternatives for brand medications</w:t>
            </w:r>
          </w:p>
          <w:p w14:paraId="7EC3CC5D" w14:textId="194EE6C0" w:rsidR="00DE2920" w:rsidRPr="0057249A" w:rsidRDefault="00DD28E5" w:rsidP="001F25C2">
            <w:pPr>
              <w:numPr>
                <w:ilvl w:val="0"/>
                <w:numId w:val="4"/>
              </w:numPr>
              <w:spacing w:before="120" w:after="120"/>
              <w:ind w:left="706"/>
              <w:rPr>
                <w:rFonts w:ascii="Verdana" w:hAnsi="Verdana"/>
              </w:rPr>
            </w:pPr>
            <w:r w:rsidRPr="0057249A">
              <w:rPr>
                <w:rFonts w:ascii="Verdana" w:hAnsi="Verdana"/>
              </w:rPr>
              <w:t>90-day</w:t>
            </w:r>
            <w:r w:rsidR="00DE2920" w:rsidRPr="0057249A">
              <w:rPr>
                <w:rFonts w:ascii="Verdana" w:hAnsi="Verdana"/>
              </w:rPr>
              <w:t xml:space="preserve"> prescriptions and related plan designs, such as mail Service, Maintenance Choice, Retail 90 and </w:t>
            </w:r>
            <w:r w:rsidR="00DE2920">
              <w:rPr>
                <w:rFonts w:ascii="Verdana" w:hAnsi="Verdana"/>
              </w:rPr>
              <w:t>our retail</w:t>
            </w:r>
            <w:r w:rsidR="00DE2920" w:rsidRPr="0057249A">
              <w:rPr>
                <w:rFonts w:ascii="Verdana" w:hAnsi="Verdana"/>
              </w:rPr>
              <w:t xml:space="preserve"> 90.</w:t>
            </w:r>
          </w:p>
          <w:p w14:paraId="388419A0" w14:textId="77777777" w:rsidR="00DE2920" w:rsidRPr="0057249A" w:rsidRDefault="00DE2920" w:rsidP="001F25C2">
            <w:pPr>
              <w:numPr>
                <w:ilvl w:val="0"/>
                <w:numId w:val="4"/>
              </w:numPr>
              <w:spacing w:before="120" w:after="120"/>
              <w:ind w:left="706"/>
              <w:rPr>
                <w:rFonts w:ascii="Verdana" w:hAnsi="Verdana"/>
              </w:rPr>
            </w:pPr>
            <w:r w:rsidRPr="0057249A">
              <w:rPr>
                <w:rFonts w:ascii="Verdana" w:hAnsi="Verdana"/>
              </w:rPr>
              <w:t>Mandatory Mail and Incentivized Mail plan designs</w:t>
            </w:r>
          </w:p>
          <w:p w14:paraId="3ED7E31F" w14:textId="77777777" w:rsidR="00DE2920" w:rsidRPr="0057249A" w:rsidRDefault="00DE2920" w:rsidP="001F25C2">
            <w:pPr>
              <w:numPr>
                <w:ilvl w:val="0"/>
                <w:numId w:val="4"/>
              </w:numPr>
              <w:spacing w:before="120" w:after="120"/>
              <w:ind w:left="706"/>
              <w:rPr>
                <w:rFonts w:ascii="Verdana" w:hAnsi="Verdana"/>
              </w:rPr>
            </w:pPr>
            <w:r w:rsidRPr="0057249A">
              <w:rPr>
                <w:rFonts w:ascii="Verdana" w:hAnsi="Verdana"/>
              </w:rPr>
              <w:t>Prior Authorization, Step Therapy and Refill Limitation alerts</w:t>
            </w:r>
          </w:p>
          <w:p w14:paraId="7B30E77D" w14:textId="77777777" w:rsidR="00DE2920" w:rsidRPr="0057249A" w:rsidRDefault="00DE2920" w:rsidP="003A6175">
            <w:pPr>
              <w:spacing w:before="120" w:after="120"/>
              <w:rPr>
                <w:rFonts w:ascii="Verdana" w:hAnsi="Verdana"/>
              </w:rPr>
            </w:pPr>
          </w:p>
          <w:p w14:paraId="05E7CEBA" w14:textId="6499808F" w:rsidR="00DE2920" w:rsidRPr="007929A6" w:rsidRDefault="00DE2920" w:rsidP="003A6175">
            <w:pPr>
              <w:numPr>
                <w:ilvl w:val="0"/>
                <w:numId w:val="16"/>
              </w:numPr>
              <w:spacing w:before="120" w:after="120"/>
              <w:ind w:left="346"/>
              <w:rPr>
                <w:rFonts w:ascii="Verdana" w:hAnsi="Verdana"/>
              </w:rPr>
            </w:pPr>
            <w:r>
              <w:rPr>
                <w:rFonts w:ascii="Verdana" w:hAnsi="Verdana"/>
              </w:rPr>
              <w:t>F</w:t>
            </w:r>
            <w:r w:rsidRPr="0057249A">
              <w:rPr>
                <w:rFonts w:ascii="Verdana" w:hAnsi="Verdana"/>
              </w:rPr>
              <w:t>ollow existing procedures for consulting with the member on these benefit features and/or restrictions.</w:t>
            </w:r>
          </w:p>
        </w:tc>
      </w:tr>
      <w:tr w:rsidR="0003623A" w:rsidRPr="00384851" w14:paraId="627B56E8" w14:textId="77777777" w:rsidTr="0029229B">
        <w:tc>
          <w:tcPr>
            <w:tcW w:w="1204" w:type="pct"/>
          </w:tcPr>
          <w:p w14:paraId="320C67B0" w14:textId="565BEA45" w:rsidR="007929A6" w:rsidRPr="007929A6" w:rsidRDefault="00DE2920" w:rsidP="003A6175">
            <w:pPr>
              <w:spacing w:before="120" w:after="120"/>
              <w:rPr>
                <w:rFonts w:ascii="Verdana" w:hAnsi="Verdana"/>
              </w:rPr>
            </w:pPr>
            <w:bookmarkStart w:id="17" w:name="OLE_LINK76"/>
            <w:r>
              <w:rPr>
                <w:rFonts w:ascii="Verdana" w:hAnsi="Verdana"/>
              </w:rPr>
              <w:t>Member</w:t>
            </w:r>
            <w:r w:rsidR="007929A6" w:rsidRPr="007929A6">
              <w:rPr>
                <w:rFonts w:ascii="Verdana" w:hAnsi="Verdana"/>
              </w:rPr>
              <w:t xml:space="preserve"> calls in about switching to a preferred drug.  The Prescription Savings Guide tells her that </w:t>
            </w:r>
            <w:r w:rsidR="00D50654">
              <w:rPr>
                <w:rFonts w:ascii="Verdana" w:hAnsi="Verdana"/>
              </w:rPr>
              <w:t>they</w:t>
            </w:r>
            <w:r w:rsidR="00D50654" w:rsidRPr="007929A6">
              <w:rPr>
                <w:rFonts w:ascii="Verdana" w:hAnsi="Verdana"/>
              </w:rPr>
              <w:t xml:space="preserve"> </w:t>
            </w:r>
            <w:r w:rsidR="00243BAA">
              <w:rPr>
                <w:rFonts w:ascii="Verdana" w:hAnsi="Verdana"/>
              </w:rPr>
              <w:t>will</w:t>
            </w:r>
            <w:r w:rsidR="007929A6" w:rsidRPr="007929A6">
              <w:rPr>
                <w:rFonts w:ascii="Verdana" w:hAnsi="Verdana"/>
              </w:rPr>
              <w:t xml:space="preserve"> save </w:t>
            </w:r>
            <w:r w:rsidRPr="007929A6">
              <w:rPr>
                <w:rFonts w:ascii="Verdana" w:hAnsi="Verdana"/>
              </w:rPr>
              <w:t xml:space="preserve">money </w:t>
            </w:r>
            <w:r w:rsidR="000656EA">
              <w:rPr>
                <w:rFonts w:ascii="Verdana" w:hAnsi="Verdana"/>
              </w:rPr>
              <w:t>and</w:t>
            </w:r>
            <w:r w:rsidR="007929A6" w:rsidRPr="007929A6">
              <w:rPr>
                <w:rFonts w:ascii="Verdana" w:hAnsi="Verdana"/>
              </w:rPr>
              <w:t xml:space="preserve"> </w:t>
            </w:r>
            <w:r w:rsidR="00524C34" w:rsidRPr="007929A6">
              <w:rPr>
                <w:rFonts w:ascii="Verdana" w:hAnsi="Verdana"/>
              </w:rPr>
              <w:t>does not</w:t>
            </w:r>
            <w:r w:rsidR="007929A6" w:rsidRPr="007929A6">
              <w:rPr>
                <w:rFonts w:ascii="Verdana" w:hAnsi="Verdana"/>
              </w:rPr>
              <w:t xml:space="preserve"> include the name of the drug.  She </w:t>
            </w:r>
            <w:r w:rsidR="00524C34" w:rsidRPr="007929A6">
              <w:rPr>
                <w:rFonts w:ascii="Verdana" w:hAnsi="Verdana"/>
              </w:rPr>
              <w:t>is not</w:t>
            </w:r>
            <w:r w:rsidR="007929A6" w:rsidRPr="007929A6">
              <w:rPr>
                <w:rFonts w:ascii="Verdana" w:hAnsi="Verdana"/>
              </w:rPr>
              <w:t xml:space="preserve"> sure what to do.  How would you assist </w:t>
            </w:r>
            <w:r w:rsidR="00524C34" w:rsidRPr="007929A6">
              <w:rPr>
                <w:rFonts w:ascii="Verdana" w:hAnsi="Verdana"/>
              </w:rPr>
              <w:t>Ms.</w:t>
            </w:r>
            <w:r w:rsidR="007929A6" w:rsidRPr="007929A6">
              <w:rPr>
                <w:rFonts w:ascii="Verdana" w:hAnsi="Verdana"/>
              </w:rPr>
              <w:t xml:space="preserve"> Smith?</w:t>
            </w:r>
          </w:p>
          <w:bookmarkEnd w:id="17"/>
          <w:p w14:paraId="20F29CE9" w14:textId="77777777" w:rsidR="0003623A" w:rsidRPr="00384851" w:rsidRDefault="0003623A" w:rsidP="003A6175">
            <w:pPr>
              <w:spacing w:before="120" w:after="120"/>
              <w:rPr>
                <w:rFonts w:ascii="Verdana" w:hAnsi="Verdana"/>
                <w:b/>
              </w:rPr>
            </w:pPr>
          </w:p>
        </w:tc>
        <w:tc>
          <w:tcPr>
            <w:tcW w:w="3796" w:type="pct"/>
          </w:tcPr>
          <w:p w14:paraId="167A658C" w14:textId="505BD162" w:rsidR="00E711C4" w:rsidRDefault="00DE2920" w:rsidP="003A6175">
            <w:pPr>
              <w:spacing w:before="120" w:after="120"/>
              <w:rPr>
                <w:rFonts w:ascii="Verdana" w:hAnsi="Verdana"/>
              </w:rPr>
            </w:pPr>
            <w:r>
              <w:rPr>
                <w:rFonts w:ascii="Verdana" w:hAnsi="Verdana"/>
              </w:rPr>
              <w:t xml:space="preserve">1. </w:t>
            </w:r>
            <w:r w:rsidR="0029229B">
              <w:rPr>
                <w:rFonts w:ascii="Verdana" w:hAnsi="Verdana"/>
                <w:noProof/>
              </w:rPr>
              <w:drawing>
                <wp:inline distT="0" distB="0" distL="0" distR="0" wp14:anchorId="3BA3686C" wp14:editId="06E9D413">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29A6" w:rsidRPr="007929A6">
              <w:rPr>
                <w:rFonts w:ascii="Verdana" w:hAnsi="Verdana"/>
              </w:rPr>
              <w:t xml:space="preserve">Run a </w:t>
            </w:r>
            <w:hyperlink r:id="rId14" w:anchor="!/view?docid=60c20ea0-1d07-46e3-809a-b54734b80fbe" w:history="1">
              <w:r w:rsidR="00217FB2" w:rsidRPr="008B76F5">
                <w:rPr>
                  <w:rStyle w:val="Hyperlink"/>
                  <w:rFonts w:ascii="Verdana" w:hAnsi="Verdana"/>
                </w:rPr>
                <w:t>Test Claim (050041)</w:t>
              </w:r>
            </w:hyperlink>
            <w:r w:rsidR="008B76F5">
              <w:rPr>
                <w:rFonts w:ascii="Verdana" w:hAnsi="Verdana"/>
              </w:rPr>
              <w:t xml:space="preserve"> </w:t>
            </w:r>
            <w:r w:rsidR="007929A6" w:rsidRPr="007929A6">
              <w:rPr>
                <w:rFonts w:ascii="Verdana" w:hAnsi="Verdana"/>
              </w:rPr>
              <w:t xml:space="preserve">for the drug in question.  </w:t>
            </w:r>
          </w:p>
          <w:p w14:paraId="70966999" w14:textId="59714EE3" w:rsidR="00E711C4" w:rsidRDefault="00DE2920" w:rsidP="003A6175">
            <w:pPr>
              <w:spacing w:before="120" w:after="120"/>
              <w:rPr>
                <w:rFonts w:ascii="Verdana" w:hAnsi="Verdana"/>
              </w:rPr>
            </w:pPr>
            <w:r>
              <w:rPr>
                <w:rFonts w:ascii="Verdana" w:hAnsi="Verdana"/>
              </w:rPr>
              <w:t xml:space="preserve">2. </w:t>
            </w:r>
            <w:r w:rsidR="002A6EAF">
              <w:rPr>
                <w:rFonts w:ascii="Verdana" w:hAnsi="Verdana"/>
                <w:noProof/>
              </w:rPr>
              <w:drawing>
                <wp:inline distT="0" distB="0" distL="0" distR="0" wp14:anchorId="4F623F74" wp14:editId="31619832">
                  <wp:extent cx="304800" cy="304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214F7">
              <w:rPr>
                <w:rFonts w:ascii="Verdana" w:hAnsi="Verdana"/>
              </w:rPr>
              <w:t xml:space="preserve">Click on </w:t>
            </w:r>
            <w:r w:rsidR="003214F7" w:rsidRPr="00DD28E5">
              <w:rPr>
                <w:rFonts w:ascii="Verdana" w:hAnsi="Verdana"/>
              </w:rPr>
              <w:t xml:space="preserve">the </w:t>
            </w:r>
            <w:r w:rsidR="0029229B" w:rsidRPr="0029229B">
              <w:rPr>
                <w:rFonts w:ascii="Verdana" w:hAnsi="Verdana"/>
                <w:b/>
                <w:bCs/>
              </w:rPr>
              <w:t xml:space="preserve">View </w:t>
            </w:r>
            <w:r w:rsidR="00CE0C75" w:rsidRPr="0029229B">
              <w:rPr>
                <w:rFonts w:ascii="Verdana" w:hAnsi="Verdana"/>
                <w:b/>
                <w:bCs/>
              </w:rPr>
              <w:t>hyperlink</w:t>
            </w:r>
            <w:r w:rsidR="00CE0C75">
              <w:rPr>
                <w:rFonts w:ascii="Verdana" w:hAnsi="Verdana"/>
              </w:rPr>
              <w:t xml:space="preserve"> in the </w:t>
            </w:r>
            <w:r w:rsidR="0029229B" w:rsidRPr="0029229B">
              <w:rPr>
                <w:rFonts w:ascii="Verdana" w:hAnsi="Verdana"/>
                <w:b/>
                <w:bCs/>
              </w:rPr>
              <w:t>Alternatives</w:t>
            </w:r>
            <w:r w:rsidR="00CE0C75">
              <w:rPr>
                <w:rFonts w:ascii="Verdana" w:hAnsi="Verdana"/>
              </w:rPr>
              <w:t xml:space="preserve"> column </w:t>
            </w:r>
            <w:r w:rsidR="0002736F">
              <w:rPr>
                <w:rFonts w:ascii="Verdana" w:hAnsi="Verdana"/>
              </w:rPr>
              <w:t>to check for alternatives</w:t>
            </w:r>
            <w:r w:rsidR="00DD28E5">
              <w:rPr>
                <w:rFonts w:ascii="Verdana" w:hAnsi="Verdana"/>
              </w:rPr>
              <w:t>.</w:t>
            </w:r>
          </w:p>
          <w:p w14:paraId="2D373DEC" w14:textId="77777777" w:rsidR="00CE0C75" w:rsidRDefault="00CE0C75" w:rsidP="003A6175">
            <w:pPr>
              <w:spacing w:before="120" w:after="120"/>
              <w:contextualSpacing/>
              <w:rPr>
                <w:rFonts w:ascii="Verdana" w:hAnsi="Verdana"/>
              </w:rPr>
            </w:pPr>
          </w:p>
          <w:p w14:paraId="555E0632" w14:textId="47510AF0" w:rsidR="007929A6" w:rsidRDefault="00DE2920" w:rsidP="003A6175">
            <w:pPr>
              <w:spacing w:before="120" w:after="120"/>
              <w:rPr>
                <w:rFonts w:ascii="Verdana" w:hAnsi="Verdana"/>
              </w:rPr>
            </w:pPr>
            <w:r>
              <w:rPr>
                <w:rFonts w:ascii="Verdana" w:hAnsi="Verdana"/>
              </w:rPr>
              <w:t xml:space="preserve">3. </w:t>
            </w:r>
            <w:r w:rsidR="007929A6" w:rsidRPr="007929A6">
              <w:rPr>
                <w:rFonts w:ascii="Verdana" w:hAnsi="Verdana"/>
              </w:rPr>
              <w:t xml:space="preserve">Select one or two and run test claims for them to compare the pricing.  </w:t>
            </w:r>
          </w:p>
          <w:p w14:paraId="1320907F" w14:textId="77777777" w:rsidR="007929A6" w:rsidRDefault="007929A6" w:rsidP="003A6175">
            <w:pPr>
              <w:spacing w:before="120" w:after="120"/>
              <w:rPr>
                <w:rFonts w:ascii="Verdana" w:hAnsi="Verdana"/>
              </w:rPr>
            </w:pPr>
          </w:p>
          <w:p w14:paraId="635413ED" w14:textId="77777777" w:rsidR="00E711C4" w:rsidRDefault="00E711C4" w:rsidP="008B76F5">
            <w:pPr>
              <w:spacing w:before="120" w:after="120"/>
              <w:rPr>
                <w:rFonts w:ascii="Verdana" w:hAnsi="Verdana"/>
              </w:rPr>
            </w:pPr>
            <w:r>
              <w:rPr>
                <w:rFonts w:ascii="Verdana" w:hAnsi="Verdana"/>
                <w:b/>
              </w:rPr>
              <w:t>Reminders</w:t>
            </w:r>
            <w:r w:rsidRPr="00E711C4">
              <w:rPr>
                <w:rFonts w:ascii="Verdana" w:hAnsi="Verdana"/>
                <w:b/>
              </w:rPr>
              <w:t>:</w:t>
            </w:r>
            <w:r>
              <w:rPr>
                <w:rFonts w:ascii="Verdana" w:hAnsi="Verdana"/>
              </w:rPr>
              <w:t xml:space="preserve">  </w:t>
            </w:r>
          </w:p>
          <w:p w14:paraId="2B8D695A" w14:textId="0099002A" w:rsidR="00E711C4" w:rsidRDefault="003A6175" w:rsidP="008B76F5">
            <w:pPr>
              <w:numPr>
                <w:ilvl w:val="0"/>
                <w:numId w:val="14"/>
              </w:numPr>
              <w:spacing w:before="120" w:after="120"/>
              <w:ind w:left="432"/>
              <w:rPr>
                <w:rFonts w:ascii="Verdana" w:hAnsi="Verdana"/>
              </w:rPr>
            </w:pPr>
            <w:r>
              <w:rPr>
                <w:rFonts w:ascii="Verdana" w:hAnsi="Verdana"/>
              </w:rPr>
              <w:t>C</w:t>
            </w:r>
            <w:r w:rsidR="007929A6" w:rsidRPr="007929A6">
              <w:rPr>
                <w:rFonts w:ascii="Verdana" w:hAnsi="Verdana"/>
              </w:rPr>
              <w:t xml:space="preserve">onsult other resources such as preferred/formulary drug lists.  </w:t>
            </w:r>
          </w:p>
          <w:p w14:paraId="4C61E42C" w14:textId="73FDEF65" w:rsidR="00E44A95" w:rsidRPr="00384851" w:rsidRDefault="007D1BA1" w:rsidP="008B76F5">
            <w:pPr>
              <w:numPr>
                <w:ilvl w:val="0"/>
                <w:numId w:val="14"/>
              </w:numPr>
              <w:spacing w:before="120" w:after="120"/>
              <w:ind w:left="432"/>
              <w:rPr>
                <w:rFonts w:ascii="Verdana" w:hAnsi="Verdana"/>
              </w:rPr>
            </w:pPr>
            <w:r>
              <w:rPr>
                <w:rFonts w:ascii="Verdana" w:hAnsi="Verdana"/>
              </w:rPr>
              <w:t xml:space="preserve">Advise member to follow </w:t>
            </w:r>
            <w:r w:rsidR="007929A6" w:rsidRPr="007929A6">
              <w:rPr>
                <w:rFonts w:ascii="Verdana" w:hAnsi="Verdana"/>
              </w:rPr>
              <w:t>up with their prescriber to obtain a new prescription and to make sure an alternative is right for them.</w:t>
            </w:r>
          </w:p>
        </w:tc>
      </w:tr>
      <w:tr w:rsidR="007929A6" w:rsidRPr="00384851" w14:paraId="6C79E487" w14:textId="77777777" w:rsidTr="0029229B">
        <w:tc>
          <w:tcPr>
            <w:tcW w:w="1204" w:type="pct"/>
          </w:tcPr>
          <w:p w14:paraId="30C1E3D7" w14:textId="6773B0D3" w:rsidR="007929A6" w:rsidRDefault="00DE2920" w:rsidP="003A6175">
            <w:pPr>
              <w:spacing w:before="120" w:after="120"/>
              <w:rPr>
                <w:rFonts w:ascii="Verdana" w:hAnsi="Verdana"/>
              </w:rPr>
            </w:pPr>
            <w:bookmarkStart w:id="18" w:name="OLE_LINK77"/>
            <w:r>
              <w:rPr>
                <w:rFonts w:ascii="Verdana" w:hAnsi="Verdana"/>
              </w:rPr>
              <w:t>Member</w:t>
            </w:r>
            <w:r w:rsidR="007929A6" w:rsidRPr="007929A6">
              <w:rPr>
                <w:rFonts w:ascii="Verdana" w:hAnsi="Verdana"/>
              </w:rPr>
              <w:t xml:space="preserve"> calls in about switching to a 90-day supply.  </w:t>
            </w:r>
            <w:r w:rsidR="00D50654">
              <w:rPr>
                <w:rFonts w:ascii="Verdana" w:hAnsi="Verdana"/>
              </w:rPr>
              <w:t>They</w:t>
            </w:r>
            <w:r w:rsidR="007929A6" w:rsidRPr="007929A6">
              <w:rPr>
                <w:rFonts w:ascii="Verdana" w:hAnsi="Verdana"/>
              </w:rPr>
              <w:t xml:space="preserve"> only received 30-day supplies in the past from </w:t>
            </w:r>
            <w:r w:rsidR="00D50654">
              <w:rPr>
                <w:rFonts w:ascii="Verdana" w:hAnsi="Verdana"/>
              </w:rPr>
              <w:t xml:space="preserve">their </w:t>
            </w:r>
            <w:r w:rsidR="007929A6" w:rsidRPr="007929A6">
              <w:rPr>
                <w:rFonts w:ascii="Verdana" w:hAnsi="Verdana"/>
              </w:rPr>
              <w:t xml:space="preserve">local pharmacy, </w:t>
            </w:r>
            <w:r w:rsidR="000656EA">
              <w:rPr>
                <w:rFonts w:ascii="Verdana" w:hAnsi="Verdana"/>
              </w:rPr>
              <w:t>and</w:t>
            </w:r>
            <w:r w:rsidR="007929A6" w:rsidRPr="007929A6">
              <w:rPr>
                <w:rFonts w:ascii="Verdana" w:hAnsi="Verdana"/>
              </w:rPr>
              <w:t xml:space="preserve"> </w:t>
            </w:r>
            <w:r w:rsidR="00D50654">
              <w:rPr>
                <w:rFonts w:ascii="Verdana" w:hAnsi="Verdana"/>
              </w:rPr>
              <w:t>the</w:t>
            </w:r>
            <w:r w:rsidR="00D50654" w:rsidRPr="007929A6">
              <w:rPr>
                <w:rFonts w:ascii="Verdana" w:hAnsi="Verdana"/>
              </w:rPr>
              <w:t xml:space="preserve"> </w:t>
            </w:r>
            <w:r w:rsidR="007929A6" w:rsidRPr="007929A6">
              <w:rPr>
                <w:rFonts w:ascii="Verdana" w:hAnsi="Verdana"/>
              </w:rPr>
              <w:t xml:space="preserve">Prescription Savings Guide says </w:t>
            </w:r>
            <w:r w:rsidR="00D50654">
              <w:rPr>
                <w:rFonts w:ascii="Verdana" w:hAnsi="Verdana"/>
              </w:rPr>
              <w:t>they</w:t>
            </w:r>
            <w:r w:rsidR="00D50654" w:rsidRPr="007929A6">
              <w:rPr>
                <w:rFonts w:ascii="Verdana" w:hAnsi="Verdana"/>
              </w:rPr>
              <w:t xml:space="preserve"> </w:t>
            </w:r>
            <w:r w:rsidR="007929A6" w:rsidRPr="007929A6">
              <w:rPr>
                <w:rFonts w:ascii="Verdana" w:hAnsi="Verdana"/>
              </w:rPr>
              <w:t>can save a lot of money by using 90-day supplies instead.  What would you do?</w:t>
            </w:r>
          </w:p>
          <w:bookmarkEnd w:id="18"/>
          <w:p w14:paraId="194E759E" w14:textId="77777777" w:rsidR="007929A6" w:rsidRPr="007929A6" w:rsidRDefault="007929A6" w:rsidP="003A6175">
            <w:pPr>
              <w:spacing w:before="120" w:after="120"/>
              <w:rPr>
                <w:rFonts w:ascii="Verdana" w:hAnsi="Verdana"/>
              </w:rPr>
            </w:pPr>
          </w:p>
        </w:tc>
        <w:tc>
          <w:tcPr>
            <w:tcW w:w="3796" w:type="pct"/>
          </w:tcPr>
          <w:p w14:paraId="7202DEF3" w14:textId="5B921145" w:rsidR="00E711C4" w:rsidRDefault="00DE2920" w:rsidP="003A6175">
            <w:pPr>
              <w:spacing w:before="120" w:after="120"/>
              <w:rPr>
                <w:rFonts w:ascii="Verdana" w:hAnsi="Verdana"/>
              </w:rPr>
            </w:pPr>
            <w:r>
              <w:rPr>
                <w:rFonts w:ascii="Verdana" w:hAnsi="Verdana"/>
              </w:rPr>
              <w:t xml:space="preserve">1. </w:t>
            </w:r>
            <w:r w:rsidR="00E711C4">
              <w:rPr>
                <w:rFonts w:ascii="Verdana" w:hAnsi="Verdana"/>
              </w:rPr>
              <w:t>Review</w:t>
            </w:r>
            <w:r w:rsidR="007929A6" w:rsidRPr="007929A6">
              <w:rPr>
                <w:rFonts w:ascii="Verdana" w:hAnsi="Verdana"/>
              </w:rPr>
              <w:t xml:space="preserve"> the member’s plan first to see which 90-day supply options are available, such as Maintenance Choice, Retail 90</w:t>
            </w:r>
            <w:r w:rsidR="008C5E60">
              <w:rPr>
                <w:rFonts w:ascii="Verdana" w:hAnsi="Verdana"/>
              </w:rPr>
              <w:t>, etc</w:t>
            </w:r>
            <w:r w:rsidR="00524C34">
              <w:rPr>
                <w:rFonts w:ascii="Verdana" w:hAnsi="Verdana"/>
              </w:rPr>
              <w:t>etera</w:t>
            </w:r>
            <w:r w:rsidR="007929A6" w:rsidRPr="007929A6">
              <w:rPr>
                <w:rFonts w:ascii="Verdana" w:hAnsi="Verdana"/>
              </w:rPr>
              <w:t xml:space="preserve">.  </w:t>
            </w:r>
          </w:p>
          <w:p w14:paraId="73300516" w14:textId="6AEC4456" w:rsidR="007929A6" w:rsidRDefault="00DE2920" w:rsidP="003A6175">
            <w:pPr>
              <w:spacing w:before="120" w:after="120"/>
              <w:rPr>
                <w:rFonts w:ascii="Verdana" w:hAnsi="Verdana"/>
              </w:rPr>
            </w:pPr>
            <w:r>
              <w:rPr>
                <w:rFonts w:ascii="Verdana" w:hAnsi="Verdana"/>
              </w:rPr>
              <w:t xml:space="preserve">2. </w:t>
            </w:r>
            <w:r w:rsidR="0029229B">
              <w:rPr>
                <w:rFonts w:ascii="Verdana" w:hAnsi="Verdana"/>
                <w:noProof/>
              </w:rPr>
              <w:drawing>
                <wp:inline distT="0" distB="0" distL="0" distR="0" wp14:anchorId="6E4B3AD1" wp14:editId="571C48DA">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29A6" w:rsidRPr="007929A6">
              <w:rPr>
                <w:rFonts w:ascii="Verdana" w:hAnsi="Verdana"/>
              </w:rPr>
              <w:t xml:space="preserve">Run </w:t>
            </w:r>
            <w:r w:rsidR="008B76F5">
              <w:rPr>
                <w:rFonts w:ascii="Verdana" w:hAnsi="Verdana"/>
              </w:rPr>
              <w:t xml:space="preserve">a </w:t>
            </w:r>
            <w:hyperlink r:id="rId15" w:anchor="!/view?docid=60c20ea0-1d07-46e3-809a-b54734b80fbe" w:history="1">
              <w:r w:rsidR="008B76F5">
                <w:rPr>
                  <w:rStyle w:val="Hyperlink"/>
                  <w:rFonts w:ascii="Verdana" w:hAnsi="Verdana"/>
                </w:rPr>
                <w:t>Test Claim (050041)</w:t>
              </w:r>
            </w:hyperlink>
            <w:r w:rsidR="007929A6" w:rsidRPr="007929A6">
              <w:rPr>
                <w:rFonts w:ascii="Verdana" w:hAnsi="Verdana"/>
              </w:rPr>
              <w:t xml:space="preserve"> for medications in question to confirm savings, then consult with the member on which available options he prefers.  </w:t>
            </w:r>
          </w:p>
          <w:p w14:paraId="7BB54D02" w14:textId="4B4B8CC1" w:rsidR="00E711C4" w:rsidRDefault="0029229B" w:rsidP="003A6175">
            <w:pPr>
              <w:numPr>
                <w:ilvl w:val="0"/>
                <w:numId w:val="17"/>
              </w:numPr>
              <w:spacing w:before="120" w:after="120"/>
              <w:rPr>
                <w:rFonts w:ascii="Verdana" w:hAnsi="Verdana"/>
              </w:rPr>
            </w:pPr>
            <w:r>
              <w:rPr>
                <w:rFonts w:ascii="Verdana" w:hAnsi="Verdana"/>
                <w:noProof/>
              </w:rPr>
              <w:drawing>
                <wp:inline distT="0" distB="0" distL="0" distR="0" wp14:anchorId="0F479341" wp14:editId="47E8EF8B">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color w:val="000000"/>
              </w:rPr>
              <w:t xml:space="preserve"> </w:t>
            </w:r>
            <w:r w:rsidR="003A6175">
              <w:rPr>
                <w:rFonts w:ascii="Verdana" w:hAnsi="Verdana"/>
                <w:color w:val="000000"/>
              </w:rPr>
              <w:t>M</w:t>
            </w:r>
            <w:r w:rsidR="007929A6" w:rsidRPr="0028286A">
              <w:rPr>
                <w:rFonts w:ascii="Verdana" w:hAnsi="Verdana"/>
                <w:color w:val="000000"/>
              </w:rPr>
              <w:t xml:space="preserve">ail service, offer to </w:t>
            </w:r>
            <w:r w:rsidR="0098045A" w:rsidRPr="0028286A">
              <w:rPr>
                <w:rFonts w:ascii="Verdana" w:hAnsi="Verdana"/>
                <w:color w:val="000000"/>
              </w:rPr>
              <w:t>initiate a new Rx request</w:t>
            </w:r>
            <w:r>
              <w:rPr>
                <w:rFonts w:ascii="Verdana" w:hAnsi="Verdana"/>
                <w:color w:val="000000"/>
              </w:rPr>
              <w:t>. Re</w:t>
            </w:r>
            <w:r w:rsidR="00E44A95">
              <w:rPr>
                <w:rFonts w:ascii="Verdana" w:hAnsi="Verdana"/>
                <w:color w:val="000000"/>
              </w:rPr>
              <w:t>fer to</w:t>
            </w:r>
            <w:r w:rsidR="00E44A95" w:rsidRPr="0028286A">
              <w:rPr>
                <w:rFonts w:ascii="Verdana" w:hAnsi="Verdana"/>
                <w:color w:val="000000"/>
              </w:rPr>
              <w:t xml:space="preserve"> </w:t>
            </w:r>
            <w:hyperlink r:id="rId16" w:anchor="!/view?docid=a7684ce9-c2bc-4cbc-ab37-c1ffb7789706" w:history="1">
              <w:r w:rsidRPr="0029229B">
                <w:rPr>
                  <w:rStyle w:val="Hyperlink"/>
                  <w:rFonts w:ascii="Verdana" w:hAnsi="Verdana"/>
                </w:rPr>
                <w:t>Compass - Obtaining a New Prescription (Rx) for the Member (New Rx Request) (054208)</w:t>
              </w:r>
            </w:hyperlink>
            <w:r w:rsidRPr="0029229B">
              <w:rPr>
                <w:rFonts w:ascii="Verdana" w:hAnsi="Verdana"/>
              </w:rPr>
              <w:t>.</w:t>
            </w:r>
          </w:p>
          <w:p w14:paraId="58261A45" w14:textId="7C776E48" w:rsidR="007929A6" w:rsidRDefault="00606A28" w:rsidP="003A6175">
            <w:pPr>
              <w:numPr>
                <w:ilvl w:val="0"/>
                <w:numId w:val="17"/>
              </w:numPr>
              <w:spacing w:before="120" w:after="120"/>
              <w:rPr>
                <w:rFonts w:ascii="Verdana" w:hAnsi="Verdana"/>
              </w:rPr>
            </w:pPr>
            <w:r>
              <w:rPr>
                <w:rFonts w:ascii="Verdana" w:hAnsi="Verdana"/>
              </w:rPr>
              <w:t>H</w:t>
            </w:r>
            <w:r w:rsidR="007929A6" w:rsidRPr="007929A6">
              <w:rPr>
                <w:rFonts w:ascii="Verdana" w:hAnsi="Verdana"/>
              </w:rPr>
              <w:t>ave prescriber call or fax in a new prescription.</w:t>
            </w:r>
          </w:p>
          <w:p w14:paraId="3982DD8B" w14:textId="332160C9" w:rsidR="00E44A95" w:rsidRPr="00384851" w:rsidRDefault="003A6175" w:rsidP="003A6175">
            <w:pPr>
              <w:numPr>
                <w:ilvl w:val="0"/>
                <w:numId w:val="17"/>
              </w:numPr>
              <w:spacing w:before="120" w:after="120"/>
              <w:rPr>
                <w:rFonts w:ascii="Verdana" w:hAnsi="Verdana"/>
              </w:rPr>
            </w:pPr>
            <w:r>
              <w:rPr>
                <w:rFonts w:ascii="Verdana" w:hAnsi="Verdana"/>
              </w:rPr>
              <w:t>R</w:t>
            </w:r>
            <w:r w:rsidR="00120694">
              <w:rPr>
                <w:rFonts w:ascii="Verdana" w:hAnsi="Verdana"/>
              </w:rPr>
              <w:t>etail</w:t>
            </w:r>
            <w:r w:rsidR="00606A28">
              <w:rPr>
                <w:rFonts w:ascii="Verdana" w:hAnsi="Verdana"/>
              </w:rPr>
              <w:t xml:space="preserve">, </w:t>
            </w:r>
            <w:r w:rsidR="00120694">
              <w:rPr>
                <w:rFonts w:ascii="Verdana" w:hAnsi="Verdana"/>
              </w:rPr>
              <w:t xml:space="preserve"> </w:t>
            </w:r>
            <w:r w:rsidR="00E44A95">
              <w:rPr>
                <w:rFonts w:ascii="Verdana" w:hAnsi="Verdana"/>
              </w:rPr>
              <w:t>advise the</w:t>
            </w:r>
            <w:r w:rsidR="00120694">
              <w:rPr>
                <w:rFonts w:ascii="Verdana" w:hAnsi="Verdana"/>
              </w:rPr>
              <w:t xml:space="preserve"> member to contact their prescriber and request a prescription for a 90</w:t>
            </w:r>
            <w:r w:rsidR="008C5E60">
              <w:rPr>
                <w:rFonts w:ascii="Verdana" w:hAnsi="Verdana"/>
              </w:rPr>
              <w:t>-</w:t>
            </w:r>
            <w:r w:rsidR="00120694">
              <w:rPr>
                <w:rFonts w:ascii="Verdana" w:hAnsi="Verdana"/>
              </w:rPr>
              <w:t xml:space="preserve">day supply to be sent to the </w:t>
            </w:r>
            <w:r w:rsidR="00E711C4">
              <w:rPr>
                <w:rFonts w:ascii="Verdana" w:hAnsi="Verdana"/>
              </w:rPr>
              <w:t>member’s</w:t>
            </w:r>
            <w:r w:rsidR="00120694">
              <w:rPr>
                <w:rFonts w:ascii="Verdana" w:hAnsi="Verdana"/>
              </w:rPr>
              <w:t xml:space="preserve"> </w:t>
            </w:r>
            <w:r w:rsidR="00E44A95">
              <w:rPr>
                <w:rFonts w:ascii="Verdana" w:hAnsi="Verdana"/>
              </w:rPr>
              <w:t>selection of our retail stores</w:t>
            </w:r>
            <w:r w:rsidR="00120694">
              <w:rPr>
                <w:rFonts w:ascii="Verdana" w:hAnsi="Verdana"/>
              </w:rPr>
              <w:t xml:space="preserve">. </w:t>
            </w:r>
          </w:p>
        </w:tc>
      </w:tr>
      <w:tr w:rsidR="007929A6" w:rsidRPr="00384851" w14:paraId="044CB8AC" w14:textId="77777777" w:rsidTr="0029229B">
        <w:tc>
          <w:tcPr>
            <w:tcW w:w="1204" w:type="pct"/>
          </w:tcPr>
          <w:p w14:paraId="2E4206A8" w14:textId="77777777" w:rsidR="008B76F5" w:rsidRDefault="00DE2920" w:rsidP="003A6175">
            <w:pPr>
              <w:spacing w:before="120" w:after="120"/>
              <w:rPr>
                <w:rFonts w:ascii="Verdana" w:hAnsi="Verdana"/>
              </w:rPr>
            </w:pPr>
            <w:r>
              <w:rPr>
                <w:rFonts w:ascii="Verdana" w:hAnsi="Verdana"/>
              </w:rPr>
              <w:t>Member</w:t>
            </w:r>
            <w:r w:rsidR="007929A6" w:rsidRPr="007929A6">
              <w:rPr>
                <w:rFonts w:ascii="Verdana" w:hAnsi="Verdana"/>
              </w:rPr>
              <w:t xml:space="preserve"> calls in about </w:t>
            </w:r>
            <w:r w:rsidR="00D50654">
              <w:rPr>
                <w:rFonts w:ascii="Verdana" w:hAnsi="Verdana"/>
              </w:rPr>
              <w:t>their</w:t>
            </w:r>
            <w:r w:rsidR="00D50654" w:rsidRPr="007929A6">
              <w:rPr>
                <w:rFonts w:ascii="Verdana" w:hAnsi="Verdana"/>
              </w:rPr>
              <w:t xml:space="preserve"> </w:t>
            </w:r>
            <w:r w:rsidR="007929A6" w:rsidRPr="007929A6">
              <w:rPr>
                <w:rFonts w:ascii="Verdana" w:hAnsi="Verdana"/>
              </w:rPr>
              <w:t xml:space="preserve">Prescription Savings Guide.  It says </w:t>
            </w:r>
            <w:r w:rsidR="008C5E60">
              <w:rPr>
                <w:rFonts w:ascii="Verdana" w:hAnsi="Verdana"/>
              </w:rPr>
              <w:t>current use is</w:t>
            </w:r>
            <w:r w:rsidR="007929A6" w:rsidRPr="007929A6">
              <w:rPr>
                <w:rFonts w:ascii="Verdana" w:hAnsi="Verdana"/>
              </w:rPr>
              <w:t xml:space="preserve"> the best choice </w:t>
            </w:r>
            <w:r w:rsidR="008C5E60">
              <w:rPr>
                <w:rFonts w:ascii="Verdana" w:hAnsi="Verdana"/>
              </w:rPr>
              <w:t>in choosing</w:t>
            </w:r>
            <w:r w:rsidR="007929A6" w:rsidRPr="007929A6">
              <w:rPr>
                <w:rFonts w:ascii="Verdana" w:hAnsi="Verdana"/>
              </w:rPr>
              <w:t xml:space="preserve"> a generic for </w:t>
            </w:r>
            <w:r w:rsidR="00D50654">
              <w:rPr>
                <w:rFonts w:ascii="Verdana" w:hAnsi="Verdana"/>
              </w:rPr>
              <w:t>their</w:t>
            </w:r>
            <w:r w:rsidR="00D50654" w:rsidRPr="007929A6">
              <w:rPr>
                <w:rFonts w:ascii="Verdana" w:hAnsi="Verdana"/>
              </w:rPr>
              <w:t xml:space="preserve"> </w:t>
            </w:r>
            <w:r w:rsidR="007929A6" w:rsidRPr="007929A6">
              <w:rPr>
                <w:rFonts w:ascii="Verdana" w:hAnsi="Verdana"/>
              </w:rPr>
              <w:t>migraine medication.  However, there is a plan note that says</w:t>
            </w:r>
            <w:r w:rsidR="008B76F5">
              <w:rPr>
                <w:rFonts w:ascii="Verdana" w:hAnsi="Verdana"/>
              </w:rPr>
              <w:t>:</w:t>
            </w:r>
          </w:p>
          <w:p w14:paraId="6CCC80A0" w14:textId="70A071D3" w:rsidR="008B76F5" w:rsidRDefault="007929A6" w:rsidP="003A6175">
            <w:pPr>
              <w:spacing w:before="120" w:after="120"/>
              <w:rPr>
                <w:rFonts w:ascii="Verdana" w:hAnsi="Verdana"/>
              </w:rPr>
            </w:pPr>
            <w:r w:rsidRPr="007929A6">
              <w:rPr>
                <w:rFonts w:ascii="Verdana" w:hAnsi="Verdana"/>
              </w:rPr>
              <w:t>“Your plan covers this medication in limited amounts. Your doctor decide</w:t>
            </w:r>
            <w:r w:rsidR="00DD28E5">
              <w:rPr>
                <w:rFonts w:ascii="Verdana" w:hAnsi="Verdana"/>
              </w:rPr>
              <w:t>s</w:t>
            </w:r>
            <w:r w:rsidRPr="007929A6">
              <w:rPr>
                <w:rFonts w:ascii="Verdana" w:hAnsi="Verdana"/>
              </w:rPr>
              <w:t xml:space="preserve"> the amount </w:t>
            </w:r>
            <w:r w:rsidR="000656EA" w:rsidRPr="007929A6">
              <w:rPr>
                <w:rFonts w:ascii="Verdana" w:hAnsi="Verdana"/>
              </w:rPr>
              <w:t>that is</w:t>
            </w:r>
            <w:r w:rsidRPr="007929A6">
              <w:rPr>
                <w:rFonts w:ascii="Verdana" w:hAnsi="Verdana"/>
              </w:rPr>
              <w:t xml:space="preserve"> right for you. If you get a larger amount of medication, you </w:t>
            </w:r>
            <w:r w:rsidR="00DD28E5">
              <w:rPr>
                <w:rFonts w:ascii="Verdana" w:hAnsi="Verdana"/>
              </w:rPr>
              <w:t>are</w:t>
            </w:r>
            <w:r w:rsidRPr="007929A6">
              <w:rPr>
                <w:rFonts w:ascii="Verdana" w:hAnsi="Verdana"/>
              </w:rPr>
              <w:t xml:space="preserve"> responsible for the additional cost.”  </w:t>
            </w:r>
          </w:p>
          <w:p w14:paraId="1B40F061" w14:textId="43DC12DD" w:rsidR="007929A6" w:rsidRPr="007929A6" w:rsidRDefault="00D50654" w:rsidP="003A6175">
            <w:pPr>
              <w:spacing w:before="120" w:after="120"/>
              <w:rPr>
                <w:rFonts w:ascii="Verdana" w:hAnsi="Verdana"/>
              </w:rPr>
            </w:pPr>
            <w:r>
              <w:rPr>
                <w:rFonts w:ascii="Verdana" w:hAnsi="Verdana"/>
              </w:rPr>
              <w:t>They are</w:t>
            </w:r>
            <w:r w:rsidR="007929A6" w:rsidRPr="007929A6">
              <w:rPr>
                <w:rFonts w:ascii="Verdana" w:hAnsi="Verdana"/>
              </w:rPr>
              <w:t xml:space="preserve"> concerned about this</w:t>
            </w:r>
            <w:r w:rsidR="00284319">
              <w:rPr>
                <w:rFonts w:ascii="Verdana" w:hAnsi="Verdana"/>
              </w:rPr>
              <w:t xml:space="preserve"> - </w:t>
            </w:r>
            <w:r>
              <w:rPr>
                <w:rFonts w:ascii="Verdana" w:hAnsi="Verdana"/>
              </w:rPr>
              <w:t>they</w:t>
            </w:r>
            <w:r w:rsidRPr="007929A6">
              <w:rPr>
                <w:rFonts w:ascii="Verdana" w:hAnsi="Verdana"/>
              </w:rPr>
              <w:t xml:space="preserve"> </w:t>
            </w:r>
            <w:r w:rsidR="007929A6" w:rsidRPr="007929A6">
              <w:rPr>
                <w:rFonts w:ascii="Verdana" w:hAnsi="Verdana"/>
              </w:rPr>
              <w:t xml:space="preserve">never had any problems filling </w:t>
            </w:r>
            <w:r>
              <w:rPr>
                <w:rFonts w:ascii="Verdana" w:hAnsi="Verdana"/>
              </w:rPr>
              <w:t>their</w:t>
            </w:r>
            <w:r w:rsidRPr="007929A6">
              <w:rPr>
                <w:rFonts w:ascii="Verdana" w:hAnsi="Verdana"/>
              </w:rPr>
              <w:t xml:space="preserve"> </w:t>
            </w:r>
            <w:r w:rsidR="007929A6" w:rsidRPr="007929A6">
              <w:rPr>
                <w:rFonts w:ascii="Verdana" w:hAnsi="Verdana"/>
              </w:rPr>
              <w:t>prescription before and wants to know more about this.</w:t>
            </w:r>
          </w:p>
        </w:tc>
        <w:tc>
          <w:tcPr>
            <w:tcW w:w="3796" w:type="pct"/>
          </w:tcPr>
          <w:p w14:paraId="25526AEB" w14:textId="30F19745" w:rsidR="00E711C4" w:rsidRDefault="00DE2920" w:rsidP="003A6175">
            <w:pPr>
              <w:spacing w:before="120" w:after="120"/>
              <w:rPr>
                <w:rFonts w:ascii="Verdana" w:hAnsi="Verdana"/>
              </w:rPr>
            </w:pPr>
            <w:r>
              <w:rPr>
                <w:rFonts w:ascii="Verdana" w:hAnsi="Verdana"/>
              </w:rPr>
              <w:t xml:space="preserve">1. </w:t>
            </w:r>
            <w:r w:rsidR="0029229B">
              <w:rPr>
                <w:rFonts w:ascii="Verdana" w:hAnsi="Verdana"/>
                <w:noProof/>
              </w:rPr>
              <w:drawing>
                <wp:inline distT="0" distB="0" distL="0" distR="0" wp14:anchorId="535A6C54" wp14:editId="4EFABCD7">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29A6" w:rsidRPr="007929A6">
              <w:rPr>
                <w:rFonts w:ascii="Verdana" w:hAnsi="Verdana"/>
              </w:rPr>
              <w:t xml:space="preserve">Run a </w:t>
            </w:r>
            <w:hyperlink r:id="rId17" w:anchor="!/view?docid=60c20ea0-1d07-46e3-809a-b54734b80fbe" w:history="1">
              <w:r w:rsidR="000830A9" w:rsidRPr="008B76F5">
                <w:rPr>
                  <w:rStyle w:val="Hyperlink"/>
                  <w:rFonts w:ascii="Verdana" w:hAnsi="Verdana"/>
                </w:rPr>
                <w:t>Test Claim (050041)</w:t>
              </w:r>
            </w:hyperlink>
            <w:r w:rsidR="007929A6" w:rsidRPr="007929A6">
              <w:rPr>
                <w:rFonts w:ascii="Verdana" w:hAnsi="Verdana"/>
              </w:rPr>
              <w:t xml:space="preserve"> for the medication in question.  </w:t>
            </w:r>
          </w:p>
          <w:p w14:paraId="212263DC" w14:textId="77777777" w:rsidR="008B76F5" w:rsidRDefault="008B76F5" w:rsidP="003A6175">
            <w:pPr>
              <w:spacing w:before="120" w:after="120"/>
              <w:contextualSpacing/>
              <w:rPr>
                <w:rFonts w:ascii="Verdana" w:hAnsi="Verdana"/>
              </w:rPr>
            </w:pPr>
          </w:p>
          <w:p w14:paraId="65DC7D41" w14:textId="1E9CE750" w:rsidR="00E711C4" w:rsidRDefault="00DE2920" w:rsidP="003A6175">
            <w:pPr>
              <w:spacing w:before="120" w:after="120"/>
              <w:rPr>
                <w:rFonts w:ascii="Verdana" w:hAnsi="Verdana"/>
              </w:rPr>
            </w:pPr>
            <w:r>
              <w:rPr>
                <w:rFonts w:ascii="Verdana" w:hAnsi="Verdana"/>
              </w:rPr>
              <w:t xml:space="preserve">2. </w:t>
            </w:r>
            <w:r w:rsidR="007929A6" w:rsidRPr="007929A6">
              <w:rPr>
                <w:rFonts w:ascii="Verdana" w:hAnsi="Verdana"/>
              </w:rPr>
              <w:t xml:space="preserve">Use the quantity the member is receiving first and check the results for quantity information.  </w:t>
            </w:r>
          </w:p>
          <w:p w14:paraId="56BE162E" w14:textId="77777777" w:rsidR="00E711C4" w:rsidRDefault="007929A6" w:rsidP="003A6175">
            <w:pPr>
              <w:numPr>
                <w:ilvl w:val="0"/>
                <w:numId w:val="18"/>
              </w:numPr>
              <w:spacing w:before="120" w:after="120"/>
              <w:rPr>
                <w:rFonts w:ascii="Verdana" w:hAnsi="Verdana"/>
              </w:rPr>
            </w:pPr>
            <w:r w:rsidRPr="007929A6">
              <w:rPr>
                <w:rFonts w:ascii="Verdana" w:hAnsi="Verdana"/>
              </w:rPr>
              <w:t xml:space="preserve">If none are shown, try another test claim “overshooting” the limit.  </w:t>
            </w:r>
          </w:p>
          <w:p w14:paraId="5565CE4F" w14:textId="2B3DD419" w:rsidR="00E711C4" w:rsidRDefault="007929A6" w:rsidP="003A6175">
            <w:pPr>
              <w:spacing w:before="120" w:after="120"/>
              <w:ind w:left="720"/>
              <w:rPr>
                <w:rFonts w:ascii="Verdana" w:hAnsi="Verdana"/>
              </w:rPr>
            </w:pPr>
            <w:r w:rsidRPr="00E711C4">
              <w:rPr>
                <w:rFonts w:ascii="Verdana" w:hAnsi="Verdana"/>
                <w:b/>
              </w:rPr>
              <w:t>Ex</w:t>
            </w:r>
            <w:r w:rsidR="00284319" w:rsidRPr="00E711C4">
              <w:rPr>
                <w:rFonts w:ascii="Verdana" w:hAnsi="Verdana"/>
                <w:b/>
              </w:rPr>
              <w:t>ample:</w:t>
            </w:r>
            <w:r w:rsidRPr="007929A6">
              <w:rPr>
                <w:rFonts w:ascii="Verdana" w:hAnsi="Verdana"/>
              </w:rPr>
              <w:t xml:space="preserve"> </w:t>
            </w:r>
            <w:r w:rsidR="00DE5E54">
              <w:rPr>
                <w:rFonts w:ascii="Verdana" w:hAnsi="Verdana"/>
              </w:rPr>
              <w:t xml:space="preserve"> </w:t>
            </w:r>
            <w:r w:rsidR="001F25C2">
              <w:rPr>
                <w:rFonts w:ascii="Verdana" w:hAnsi="Verdana"/>
              </w:rPr>
              <w:t>Quantity of</w:t>
            </w:r>
            <w:r w:rsidRPr="007929A6">
              <w:rPr>
                <w:rFonts w:ascii="Verdana" w:hAnsi="Verdana"/>
              </w:rPr>
              <w:t xml:space="preserve"> 90 if member currently receives </w:t>
            </w:r>
            <w:r w:rsidR="001F25C2">
              <w:rPr>
                <w:rFonts w:ascii="Verdana" w:hAnsi="Verdana"/>
              </w:rPr>
              <w:t>quantity of</w:t>
            </w:r>
            <w:r w:rsidRPr="007929A6">
              <w:rPr>
                <w:rFonts w:ascii="Verdana" w:hAnsi="Verdana"/>
              </w:rPr>
              <w:t xml:space="preserve"> 18.  </w:t>
            </w:r>
          </w:p>
          <w:p w14:paraId="12B213A5" w14:textId="77777777" w:rsidR="008B76F5" w:rsidRDefault="008B76F5" w:rsidP="003A6175">
            <w:pPr>
              <w:spacing w:before="120" w:after="120"/>
              <w:ind w:left="720"/>
              <w:contextualSpacing/>
              <w:rPr>
                <w:rFonts w:ascii="Verdana" w:hAnsi="Verdana"/>
              </w:rPr>
            </w:pPr>
          </w:p>
          <w:p w14:paraId="3DA8803F" w14:textId="5B118E1E" w:rsidR="007929A6" w:rsidRPr="00384851" w:rsidRDefault="00DE2920" w:rsidP="003A6175">
            <w:pPr>
              <w:spacing w:before="120" w:after="120"/>
              <w:rPr>
                <w:rFonts w:ascii="Verdana" w:hAnsi="Verdana"/>
              </w:rPr>
            </w:pPr>
            <w:r>
              <w:rPr>
                <w:rFonts w:ascii="Verdana" w:hAnsi="Verdana"/>
              </w:rPr>
              <w:t xml:space="preserve">3. </w:t>
            </w:r>
            <w:r w:rsidR="007929A6" w:rsidRPr="007929A6">
              <w:rPr>
                <w:rFonts w:ascii="Verdana" w:hAnsi="Verdana"/>
              </w:rPr>
              <w:t>Review the results and advise the member accordingly.  As long as member stays within the plan limit, there is no need for concern.</w:t>
            </w:r>
          </w:p>
        </w:tc>
      </w:tr>
    </w:tbl>
    <w:p w14:paraId="0E55526A" w14:textId="77777777" w:rsidR="0003623A" w:rsidRDefault="0003623A" w:rsidP="0003623A">
      <w:pPr>
        <w:jc w:val="right"/>
        <w:rPr>
          <w:rFonts w:ascii="Verdana" w:hAnsi="Verdana"/>
        </w:rPr>
      </w:pPr>
    </w:p>
    <w:p w14:paraId="1E85005E" w14:textId="5F860083" w:rsidR="00E44A95" w:rsidRDefault="00000000" w:rsidP="003A6175">
      <w:pPr>
        <w:pStyle w:val="BodyTextIndent2"/>
        <w:spacing w:after="0" w:line="240" w:lineRule="auto"/>
        <w:ind w:left="0"/>
        <w:jc w:val="right"/>
        <w:rPr>
          <w:rFonts w:ascii="Verdana" w:hAnsi="Verdana"/>
        </w:rPr>
      </w:pPr>
      <w:hyperlink w:anchor="_top" w:history="1">
        <w:r w:rsidR="00F45D86" w:rsidRPr="00F45D8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44A95" w:rsidRPr="00E711C4" w14:paraId="197E1E9F" w14:textId="77777777" w:rsidTr="00F76C1A">
        <w:tc>
          <w:tcPr>
            <w:tcW w:w="5000" w:type="pct"/>
            <w:shd w:val="clear" w:color="auto" w:fill="C0C0C0"/>
          </w:tcPr>
          <w:p w14:paraId="6F6BE6B2" w14:textId="79711974" w:rsidR="00E44A95" w:rsidRPr="00E711C4" w:rsidRDefault="00E711C4" w:rsidP="003A6175">
            <w:pPr>
              <w:pStyle w:val="Heading2"/>
              <w:spacing w:before="120" w:after="120"/>
              <w:rPr>
                <w:rFonts w:ascii="Verdana" w:hAnsi="Verdana"/>
                <w:i w:val="0"/>
                <w:iCs w:val="0"/>
              </w:rPr>
            </w:pPr>
            <w:bookmarkStart w:id="19" w:name="_Toc133312029"/>
            <w:r w:rsidRPr="00E711C4">
              <w:rPr>
                <w:rFonts w:ascii="Verdana" w:hAnsi="Verdana"/>
                <w:i w:val="0"/>
                <w:iCs w:val="0"/>
              </w:rPr>
              <w:t>Related</w:t>
            </w:r>
            <w:r w:rsidR="00E44A95" w:rsidRPr="00E711C4">
              <w:rPr>
                <w:rFonts w:ascii="Verdana" w:hAnsi="Verdana"/>
                <w:i w:val="0"/>
                <w:iCs w:val="0"/>
              </w:rPr>
              <w:t xml:space="preserve"> Document</w:t>
            </w:r>
            <w:r w:rsidR="002000B6">
              <w:rPr>
                <w:rFonts w:ascii="Verdana" w:hAnsi="Verdana"/>
                <w:i w:val="0"/>
                <w:iCs w:val="0"/>
              </w:rPr>
              <w:t>s</w:t>
            </w:r>
            <w:bookmarkEnd w:id="19"/>
          </w:p>
        </w:tc>
      </w:tr>
    </w:tbl>
    <w:p w14:paraId="23585FED" w14:textId="03A40E08" w:rsidR="00DE2920" w:rsidRPr="00DD28E5" w:rsidRDefault="0029229B" w:rsidP="003A6175">
      <w:pPr>
        <w:autoSpaceDE w:val="0"/>
        <w:autoSpaceDN w:val="0"/>
        <w:adjustRightInd w:val="0"/>
        <w:spacing w:before="120" w:after="120"/>
        <w:rPr>
          <w:rFonts w:ascii="Verdana" w:hAnsi="Verdana"/>
          <w:bCs/>
        </w:rPr>
      </w:pPr>
      <w:hyperlink r:id="rId18" w:anchor="!/view?docid=bdac0c67-5fee-47ba-a3aa-aab84900cf78" w:history="1">
        <w:r w:rsidRPr="0029229B">
          <w:rPr>
            <w:rStyle w:val="Hyperlink"/>
            <w:rFonts w:ascii="Verdana" w:hAnsi="Verdana"/>
            <w:bCs/>
          </w:rPr>
          <w:t>Log Activity/Capture Activity Codes (005164)</w:t>
        </w:r>
      </w:hyperlink>
    </w:p>
    <w:p w14:paraId="53B7EA26" w14:textId="279FF5EB" w:rsidR="002000B6" w:rsidRPr="003A6175" w:rsidRDefault="003100C7" w:rsidP="003A6175">
      <w:pPr>
        <w:autoSpaceDE w:val="0"/>
        <w:autoSpaceDN w:val="0"/>
        <w:adjustRightInd w:val="0"/>
        <w:spacing w:before="120" w:after="120"/>
        <w:rPr>
          <w:rFonts w:ascii="Verdana" w:hAnsi="Verdana" w:cs="Verdana"/>
          <w:color w:val="0000FF"/>
          <w:u w:val="single"/>
        </w:rPr>
      </w:pPr>
      <w:hyperlink r:id="rId19" w:anchor="!/view?docid=c1f1028b-e42c-4b4f-a4cf-cc0b42c91606" w:history="1">
        <w:r w:rsidR="00E711C4">
          <w:rPr>
            <w:rFonts w:ascii="Verdana" w:hAnsi="Verdana" w:cs="Verdana"/>
            <w:color w:val="0000FF"/>
            <w:u w:val="single"/>
          </w:rPr>
          <w:t>Customer Care Abbreviations, Definitions, and Term</w:t>
        </w:r>
        <w:r w:rsidR="00C86495">
          <w:rPr>
            <w:rFonts w:ascii="Verdana" w:hAnsi="Verdana" w:cs="Verdana"/>
            <w:color w:val="0000FF"/>
            <w:u w:val="single"/>
          </w:rPr>
          <w:t>s</w:t>
        </w:r>
        <w:r w:rsidR="00C86495">
          <w:rPr>
            <w:rFonts w:ascii="Verdana" w:hAnsi="Verdana" w:cs="Verdana"/>
            <w:color w:val="0000FF"/>
            <w:u w:val="single"/>
          </w:rPr>
          <w:t xml:space="preserve"> Index (</w:t>
        </w:r>
        <w:r w:rsidR="004B1D20">
          <w:rPr>
            <w:rFonts w:ascii="Verdana" w:hAnsi="Verdana" w:cs="Verdana"/>
            <w:color w:val="0000FF"/>
            <w:u w:val="single"/>
          </w:rPr>
          <w:t>0</w:t>
        </w:r>
        <w:r w:rsidR="00C86495">
          <w:rPr>
            <w:rFonts w:ascii="Verdana" w:hAnsi="Verdana" w:cs="Verdana"/>
            <w:color w:val="0000FF"/>
            <w:u w:val="single"/>
          </w:rPr>
          <w:t>17428)</w:t>
        </w:r>
      </w:hyperlink>
    </w:p>
    <w:p w14:paraId="61C68946" w14:textId="77777777" w:rsidR="00F45D86" w:rsidRPr="00F45D86" w:rsidRDefault="00000000" w:rsidP="00F45D86">
      <w:pPr>
        <w:pStyle w:val="BodyTextIndent2"/>
        <w:spacing w:after="0" w:line="240" w:lineRule="auto"/>
        <w:ind w:left="0"/>
        <w:jc w:val="right"/>
        <w:rPr>
          <w:rFonts w:ascii="Verdana" w:hAnsi="Verdana"/>
        </w:rPr>
      </w:pPr>
      <w:hyperlink w:anchor="_top" w:history="1">
        <w:r w:rsidR="00F45D86" w:rsidRPr="00F45D86">
          <w:rPr>
            <w:rStyle w:val="Hyperlink"/>
            <w:rFonts w:ascii="Verdana" w:hAnsi="Verdana"/>
          </w:rPr>
          <w:t>Top of the Document</w:t>
        </w:r>
      </w:hyperlink>
    </w:p>
    <w:p w14:paraId="188D263D" w14:textId="77777777" w:rsidR="005A64DA" w:rsidRDefault="005A64DA" w:rsidP="005A64DA">
      <w:pPr>
        <w:jc w:val="right"/>
        <w:rPr>
          <w:rFonts w:ascii="Verdana" w:hAnsi="Verdana"/>
        </w:rPr>
      </w:pPr>
    </w:p>
    <w:p w14:paraId="7A00A389" w14:textId="77777777" w:rsidR="00710E68" w:rsidRPr="00C247CB" w:rsidRDefault="008C5743" w:rsidP="00C247CB">
      <w:pPr>
        <w:jc w:val="center"/>
        <w:rPr>
          <w:rFonts w:ascii="Verdana" w:hAnsi="Verdana"/>
          <w:sz w:val="16"/>
          <w:szCs w:val="16"/>
        </w:rPr>
      </w:pPr>
      <w:r>
        <w:rPr>
          <w:rFonts w:ascii="Verdana" w:hAnsi="Verdana"/>
          <w:sz w:val="16"/>
          <w:szCs w:val="16"/>
        </w:rPr>
        <w:t>Not t</w:t>
      </w:r>
      <w:r w:rsidR="00710E68" w:rsidRPr="00C247CB">
        <w:rPr>
          <w:rFonts w:ascii="Verdana" w:hAnsi="Verdana"/>
          <w:sz w:val="16"/>
          <w:szCs w:val="16"/>
        </w:rPr>
        <w:t xml:space="preserve">o Be Reproduced </w:t>
      </w:r>
      <w:r>
        <w:rPr>
          <w:rFonts w:ascii="Verdana" w:hAnsi="Verdana"/>
          <w:sz w:val="16"/>
          <w:szCs w:val="16"/>
        </w:rPr>
        <w:t>o</w:t>
      </w:r>
      <w:r w:rsidR="00710E68" w:rsidRPr="00C247CB">
        <w:rPr>
          <w:rFonts w:ascii="Verdana" w:hAnsi="Verdana"/>
          <w:sz w:val="16"/>
          <w:szCs w:val="16"/>
        </w:rPr>
        <w:t xml:space="preserve">r Disclosed to Others </w:t>
      </w:r>
      <w:r w:rsidR="00E44A95" w:rsidRPr="00C247CB">
        <w:rPr>
          <w:rFonts w:ascii="Verdana" w:hAnsi="Verdana"/>
          <w:sz w:val="16"/>
          <w:szCs w:val="16"/>
        </w:rPr>
        <w:t>without</w:t>
      </w:r>
      <w:r w:rsidR="00710E68" w:rsidRPr="00C247CB">
        <w:rPr>
          <w:rFonts w:ascii="Verdana" w:hAnsi="Verdana"/>
          <w:sz w:val="16"/>
          <w:szCs w:val="16"/>
        </w:rPr>
        <w:t xml:space="preserve"> Prior Written Approval</w:t>
      </w:r>
    </w:p>
    <w:p w14:paraId="058EB383"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ELECTRONIC DATA = OFFICIAL VER</w:t>
      </w:r>
      <w:r w:rsidR="0028286A">
        <w:rPr>
          <w:rFonts w:ascii="Verdana" w:hAnsi="Verdana"/>
          <w:b/>
          <w:color w:val="000000"/>
          <w:sz w:val="16"/>
          <w:szCs w:val="16"/>
        </w:rPr>
        <w:t>SION / PAPER COPY =</w:t>
      </w:r>
      <w:r w:rsidRPr="00C247CB">
        <w:rPr>
          <w:rFonts w:ascii="Verdana" w:hAnsi="Verdana"/>
          <w:b/>
          <w:color w:val="000000"/>
          <w:sz w:val="16"/>
          <w:szCs w:val="16"/>
        </w:rPr>
        <w:t xml:space="preserve"> INFORMATIONAL ONLY</w:t>
      </w:r>
    </w:p>
    <w:p w14:paraId="4E895C11" w14:textId="77777777" w:rsidR="005A64DA" w:rsidRPr="00C247CB" w:rsidRDefault="005A64DA" w:rsidP="00C247CB">
      <w:pPr>
        <w:jc w:val="center"/>
        <w:rPr>
          <w:rFonts w:ascii="Verdana" w:hAnsi="Verdana"/>
          <w:sz w:val="16"/>
          <w:szCs w:val="16"/>
        </w:rPr>
      </w:pPr>
    </w:p>
    <w:sectPr w:rsidR="005A64DA" w:rsidRPr="00C247CB" w:rsidSect="00F1152F">
      <w:footerReference w:type="even" r:id="rId20"/>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B1F9" w14:textId="77777777" w:rsidR="006C291F" w:rsidRDefault="006C291F">
      <w:r>
        <w:separator/>
      </w:r>
    </w:p>
  </w:endnote>
  <w:endnote w:type="continuationSeparator" w:id="0">
    <w:p w14:paraId="0BCDD6C4" w14:textId="77777777" w:rsidR="006C291F" w:rsidRDefault="006C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BEB3"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7DAA8C"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951"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A95">
      <w:rPr>
        <w:rStyle w:val="PageNumber"/>
        <w:noProof/>
      </w:rPr>
      <w:t>2</w:t>
    </w:r>
    <w:r>
      <w:rPr>
        <w:rStyle w:val="PageNumber"/>
      </w:rPr>
      <w:fldChar w:fldCharType="end"/>
    </w:r>
  </w:p>
  <w:p w14:paraId="6C42636D"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612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D14F" w14:textId="77777777" w:rsidR="006C291F" w:rsidRDefault="006C291F">
      <w:r>
        <w:separator/>
      </w:r>
    </w:p>
  </w:footnote>
  <w:footnote w:type="continuationSeparator" w:id="0">
    <w:p w14:paraId="4C6812B1" w14:textId="77777777" w:rsidR="006C291F" w:rsidRDefault="006C2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291EA"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AB6"/>
    <w:multiLevelType w:val="hybridMultilevel"/>
    <w:tmpl w:val="2794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1E2"/>
    <w:multiLevelType w:val="hybridMultilevel"/>
    <w:tmpl w:val="90D0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91331"/>
    <w:multiLevelType w:val="hybridMultilevel"/>
    <w:tmpl w:val="F0266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32FE6"/>
    <w:multiLevelType w:val="hybridMultilevel"/>
    <w:tmpl w:val="6E8C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E64FD"/>
    <w:multiLevelType w:val="hybridMultilevel"/>
    <w:tmpl w:val="12A48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E0C41"/>
    <w:multiLevelType w:val="hybridMultilevel"/>
    <w:tmpl w:val="085C0DC8"/>
    <w:lvl w:ilvl="0" w:tplc="FBFA38A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693DEF"/>
    <w:multiLevelType w:val="hybridMultilevel"/>
    <w:tmpl w:val="5CC4595A"/>
    <w:lvl w:ilvl="0" w:tplc="4FACD82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7D614E"/>
    <w:multiLevelType w:val="hybridMultilevel"/>
    <w:tmpl w:val="836A1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661AC"/>
    <w:multiLevelType w:val="hybridMultilevel"/>
    <w:tmpl w:val="83A6F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65266"/>
    <w:multiLevelType w:val="hybridMultilevel"/>
    <w:tmpl w:val="D5F0E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B437A"/>
    <w:multiLevelType w:val="hybridMultilevel"/>
    <w:tmpl w:val="E95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4" w15:restartNumberingAfterBreak="0">
    <w:nsid w:val="71702223"/>
    <w:multiLevelType w:val="hybridMultilevel"/>
    <w:tmpl w:val="D6483F96"/>
    <w:lvl w:ilvl="0" w:tplc="C010A792">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745073"/>
    <w:multiLevelType w:val="hybridMultilevel"/>
    <w:tmpl w:val="B8E48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E8B"/>
    <w:multiLevelType w:val="hybridMultilevel"/>
    <w:tmpl w:val="AED0D4C0"/>
    <w:lvl w:ilvl="0" w:tplc="58A2963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740F31"/>
    <w:multiLevelType w:val="hybridMultilevel"/>
    <w:tmpl w:val="C5C00B5C"/>
    <w:lvl w:ilvl="0" w:tplc="3488BD2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162850">
    <w:abstractNumId w:val="5"/>
  </w:num>
  <w:num w:numId="2" w16cid:durableId="1527909516">
    <w:abstractNumId w:val="8"/>
  </w:num>
  <w:num w:numId="3" w16cid:durableId="675427763">
    <w:abstractNumId w:val="13"/>
  </w:num>
  <w:num w:numId="4" w16cid:durableId="125514263">
    <w:abstractNumId w:val="6"/>
  </w:num>
  <w:num w:numId="5" w16cid:durableId="1159812095">
    <w:abstractNumId w:val="1"/>
  </w:num>
  <w:num w:numId="6" w16cid:durableId="290211835">
    <w:abstractNumId w:val="17"/>
  </w:num>
  <w:num w:numId="7" w16cid:durableId="1785225804">
    <w:abstractNumId w:val="3"/>
  </w:num>
  <w:num w:numId="8" w16cid:durableId="1007249552">
    <w:abstractNumId w:val="15"/>
  </w:num>
  <w:num w:numId="9" w16cid:durableId="1505315799">
    <w:abstractNumId w:val="10"/>
  </w:num>
  <w:num w:numId="10" w16cid:durableId="821315476">
    <w:abstractNumId w:val="4"/>
  </w:num>
  <w:num w:numId="11" w16cid:durableId="142627976">
    <w:abstractNumId w:val="9"/>
  </w:num>
  <w:num w:numId="12" w16cid:durableId="142236490">
    <w:abstractNumId w:val="12"/>
  </w:num>
  <w:num w:numId="13" w16cid:durableId="899100875">
    <w:abstractNumId w:val="2"/>
  </w:num>
  <w:num w:numId="14" w16cid:durableId="813258860">
    <w:abstractNumId w:val="14"/>
  </w:num>
  <w:num w:numId="15" w16cid:durableId="866913240">
    <w:abstractNumId w:val="11"/>
  </w:num>
  <w:num w:numId="16" w16cid:durableId="1169056923">
    <w:abstractNumId w:val="0"/>
  </w:num>
  <w:num w:numId="17" w16cid:durableId="1041713111">
    <w:abstractNumId w:val="7"/>
  </w:num>
  <w:num w:numId="18" w16cid:durableId="16462048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1"/>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01B"/>
    <w:rsid w:val="000113C3"/>
    <w:rsid w:val="00015A2E"/>
    <w:rsid w:val="0002736F"/>
    <w:rsid w:val="00035BED"/>
    <w:rsid w:val="0003623A"/>
    <w:rsid w:val="00040D42"/>
    <w:rsid w:val="00061AD2"/>
    <w:rsid w:val="000646F6"/>
    <w:rsid w:val="000656EA"/>
    <w:rsid w:val="000828DB"/>
    <w:rsid w:val="000830A9"/>
    <w:rsid w:val="0008665F"/>
    <w:rsid w:val="00095AB5"/>
    <w:rsid w:val="000A6B88"/>
    <w:rsid w:val="000B3C4C"/>
    <w:rsid w:val="000B656F"/>
    <w:rsid w:val="000B72DF"/>
    <w:rsid w:val="000D1870"/>
    <w:rsid w:val="000D6714"/>
    <w:rsid w:val="000E6CCA"/>
    <w:rsid w:val="000F0D1B"/>
    <w:rsid w:val="000F4459"/>
    <w:rsid w:val="00115944"/>
    <w:rsid w:val="00120694"/>
    <w:rsid w:val="0012373E"/>
    <w:rsid w:val="00126F4A"/>
    <w:rsid w:val="001360A5"/>
    <w:rsid w:val="001560C4"/>
    <w:rsid w:val="0016273A"/>
    <w:rsid w:val="00171D4C"/>
    <w:rsid w:val="00176400"/>
    <w:rsid w:val="00183267"/>
    <w:rsid w:val="001B3879"/>
    <w:rsid w:val="001B7793"/>
    <w:rsid w:val="001E4C6A"/>
    <w:rsid w:val="001F1218"/>
    <w:rsid w:val="001F25C2"/>
    <w:rsid w:val="002000B6"/>
    <w:rsid w:val="002016B4"/>
    <w:rsid w:val="002055CF"/>
    <w:rsid w:val="002125DA"/>
    <w:rsid w:val="00214BD3"/>
    <w:rsid w:val="00217FB2"/>
    <w:rsid w:val="00237FF0"/>
    <w:rsid w:val="00243BAA"/>
    <w:rsid w:val="00243EBB"/>
    <w:rsid w:val="00245D49"/>
    <w:rsid w:val="002461CD"/>
    <w:rsid w:val="00255C6B"/>
    <w:rsid w:val="00265D86"/>
    <w:rsid w:val="0028215B"/>
    <w:rsid w:val="0028286A"/>
    <w:rsid w:val="00284319"/>
    <w:rsid w:val="00291CE8"/>
    <w:rsid w:val="0029229B"/>
    <w:rsid w:val="00296127"/>
    <w:rsid w:val="00296765"/>
    <w:rsid w:val="002A6EAF"/>
    <w:rsid w:val="002B593E"/>
    <w:rsid w:val="002E58AD"/>
    <w:rsid w:val="002F1F92"/>
    <w:rsid w:val="00302F60"/>
    <w:rsid w:val="003100C7"/>
    <w:rsid w:val="00312690"/>
    <w:rsid w:val="003214F7"/>
    <w:rsid w:val="0033143E"/>
    <w:rsid w:val="003335F3"/>
    <w:rsid w:val="003379CD"/>
    <w:rsid w:val="00345747"/>
    <w:rsid w:val="003725A1"/>
    <w:rsid w:val="00382A09"/>
    <w:rsid w:val="00384851"/>
    <w:rsid w:val="003868A2"/>
    <w:rsid w:val="00392A5B"/>
    <w:rsid w:val="003A6175"/>
    <w:rsid w:val="003A6D70"/>
    <w:rsid w:val="003B1F86"/>
    <w:rsid w:val="003B6E44"/>
    <w:rsid w:val="003C4627"/>
    <w:rsid w:val="003D5008"/>
    <w:rsid w:val="003E30A8"/>
    <w:rsid w:val="003E6C1A"/>
    <w:rsid w:val="0040313D"/>
    <w:rsid w:val="0040640A"/>
    <w:rsid w:val="00406DB5"/>
    <w:rsid w:val="00416E25"/>
    <w:rsid w:val="0042336D"/>
    <w:rsid w:val="004302D5"/>
    <w:rsid w:val="00430E7B"/>
    <w:rsid w:val="00443F8C"/>
    <w:rsid w:val="004455D7"/>
    <w:rsid w:val="00457EAE"/>
    <w:rsid w:val="0047277D"/>
    <w:rsid w:val="004768BE"/>
    <w:rsid w:val="00477F73"/>
    <w:rsid w:val="0048355A"/>
    <w:rsid w:val="0049606C"/>
    <w:rsid w:val="004A3293"/>
    <w:rsid w:val="004B1D20"/>
    <w:rsid w:val="004D3C53"/>
    <w:rsid w:val="004D40AA"/>
    <w:rsid w:val="0051231D"/>
    <w:rsid w:val="00512486"/>
    <w:rsid w:val="0052465B"/>
    <w:rsid w:val="00524C34"/>
    <w:rsid w:val="00524CDD"/>
    <w:rsid w:val="0057249A"/>
    <w:rsid w:val="00582E85"/>
    <w:rsid w:val="00583C09"/>
    <w:rsid w:val="005862DA"/>
    <w:rsid w:val="005910B5"/>
    <w:rsid w:val="0059449B"/>
    <w:rsid w:val="005A1F84"/>
    <w:rsid w:val="005A28BB"/>
    <w:rsid w:val="005A3AA1"/>
    <w:rsid w:val="005A6118"/>
    <w:rsid w:val="005A64DA"/>
    <w:rsid w:val="005B5F2F"/>
    <w:rsid w:val="005C1D83"/>
    <w:rsid w:val="005D3D95"/>
    <w:rsid w:val="005E650E"/>
    <w:rsid w:val="00605DCA"/>
    <w:rsid w:val="00606A28"/>
    <w:rsid w:val="00622D77"/>
    <w:rsid w:val="00627F34"/>
    <w:rsid w:val="00636B18"/>
    <w:rsid w:val="00637CA1"/>
    <w:rsid w:val="006628F3"/>
    <w:rsid w:val="00674A16"/>
    <w:rsid w:val="00691E10"/>
    <w:rsid w:val="006A0481"/>
    <w:rsid w:val="006C291F"/>
    <w:rsid w:val="006C3CC6"/>
    <w:rsid w:val="006C653F"/>
    <w:rsid w:val="006D0A7B"/>
    <w:rsid w:val="006E68C3"/>
    <w:rsid w:val="006F184B"/>
    <w:rsid w:val="006F565C"/>
    <w:rsid w:val="006F7DFC"/>
    <w:rsid w:val="00704AF2"/>
    <w:rsid w:val="0070628E"/>
    <w:rsid w:val="00710E68"/>
    <w:rsid w:val="00714BA0"/>
    <w:rsid w:val="007154CF"/>
    <w:rsid w:val="00720CC2"/>
    <w:rsid w:val="00723F62"/>
    <w:rsid w:val="007269B6"/>
    <w:rsid w:val="00726E7A"/>
    <w:rsid w:val="0073294A"/>
    <w:rsid w:val="00732E52"/>
    <w:rsid w:val="007353A6"/>
    <w:rsid w:val="00752801"/>
    <w:rsid w:val="00785118"/>
    <w:rsid w:val="00786BEB"/>
    <w:rsid w:val="007929A6"/>
    <w:rsid w:val="007A6C98"/>
    <w:rsid w:val="007B7D1C"/>
    <w:rsid w:val="007C77DD"/>
    <w:rsid w:val="007C7C3E"/>
    <w:rsid w:val="007D1BA1"/>
    <w:rsid w:val="007E3EA6"/>
    <w:rsid w:val="008042E1"/>
    <w:rsid w:val="00804D63"/>
    <w:rsid w:val="00806B9D"/>
    <w:rsid w:val="00812777"/>
    <w:rsid w:val="00815241"/>
    <w:rsid w:val="008160E6"/>
    <w:rsid w:val="008213F4"/>
    <w:rsid w:val="008249D5"/>
    <w:rsid w:val="00825296"/>
    <w:rsid w:val="0084129E"/>
    <w:rsid w:val="00842159"/>
    <w:rsid w:val="00843390"/>
    <w:rsid w:val="00846373"/>
    <w:rsid w:val="00846F91"/>
    <w:rsid w:val="008568AE"/>
    <w:rsid w:val="00860590"/>
    <w:rsid w:val="008614E8"/>
    <w:rsid w:val="00867BAC"/>
    <w:rsid w:val="00867EDF"/>
    <w:rsid w:val="00875F0D"/>
    <w:rsid w:val="00877414"/>
    <w:rsid w:val="008A03B7"/>
    <w:rsid w:val="008A3B29"/>
    <w:rsid w:val="008A4E6E"/>
    <w:rsid w:val="008B6572"/>
    <w:rsid w:val="008B76F5"/>
    <w:rsid w:val="008C2197"/>
    <w:rsid w:val="008C3493"/>
    <w:rsid w:val="008C5743"/>
    <w:rsid w:val="008C5E60"/>
    <w:rsid w:val="008D11A6"/>
    <w:rsid w:val="008D1F7B"/>
    <w:rsid w:val="008D2D64"/>
    <w:rsid w:val="00902E07"/>
    <w:rsid w:val="00915690"/>
    <w:rsid w:val="009279F9"/>
    <w:rsid w:val="00947783"/>
    <w:rsid w:val="00952DCE"/>
    <w:rsid w:val="00954FE8"/>
    <w:rsid w:val="00963DD2"/>
    <w:rsid w:val="009726E0"/>
    <w:rsid w:val="00975003"/>
    <w:rsid w:val="0098045A"/>
    <w:rsid w:val="00990822"/>
    <w:rsid w:val="00994660"/>
    <w:rsid w:val="009A4347"/>
    <w:rsid w:val="009C4A31"/>
    <w:rsid w:val="009F6FD2"/>
    <w:rsid w:val="009F78D3"/>
    <w:rsid w:val="00A235BF"/>
    <w:rsid w:val="00A32775"/>
    <w:rsid w:val="00A4732A"/>
    <w:rsid w:val="00A55AE9"/>
    <w:rsid w:val="00A7166B"/>
    <w:rsid w:val="00A83BA0"/>
    <w:rsid w:val="00A84F18"/>
    <w:rsid w:val="00A85045"/>
    <w:rsid w:val="00A95738"/>
    <w:rsid w:val="00A97B7D"/>
    <w:rsid w:val="00AA4825"/>
    <w:rsid w:val="00AA6ED9"/>
    <w:rsid w:val="00AB33E1"/>
    <w:rsid w:val="00AC07D2"/>
    <w:rsid w:val="00AD1646"/>
    <w:rsid w:val="00AF038B"/>
    <w:rsid w:val="00B12B9D"/>
    <w:rsid w:val="00B15935"/>
    <w:rsid w:val="00B20FBC"/>
    <w:rsid w:val="00B25DC0"/>
    <w:rsid w:val="00B26045"/>
    <w:rsid w:val="00B31208"/>
    <w:rsid w:val="00B44C55"/>
    <w:rsid w:val="00B46A95"/>
    <w:rsid w:val="00B544C2"/>
    <w:rsid w:val="00B5566F"/>
    <w:rsid w:val="00B70CC4"/>
    <w:rsid w:val="00B776DE"/>
    <w:rsid w:val="00B9165E"/>
    <w:rsid w:val="00B949B8"/>
    <w:rsid w:val="00B96C0C"/>
    <w:rsid w:val="00BA1C1A"/>
    <w:rsid w:val="00BB02DE"/>
    <w:rsid w:val="00BB371A"/>
    <w:rsid w:val="00BC1994"/>
    <w:rsid w:val="00BD7B25"/>
    <w:rsid w:val="00BE1026"/>
    <w:rsid w:val="00BE1AFF"/>
    <w:rsid w:val="00BF74E9"/>
    <w:rsid w:val="00C247CB"/>
    <w:rsid w:val="00C25133"/>
    <w:rsid w:val="00C25830"/>
    <w:rsid w:val="00C360BD"/>
    <w:rsid w:val="00C476E1"/>
    <w:rsid w:val="00C52E77"/>
    <w:rsid w:val="00C566B3"/>
    <w:rsid w:val="00C65249"/>
    <w:rsid w:val="00C67B32"/>
    <w:rsid w:val="00C729E0"/>
    <w:rsid w:val="00C75C83"/>
    <w:rsid w:val="00C86495"/>
    <w:rsid w:val="00CB0C1D"/>
    <w:rsid w:val="00CC287B"/>
    <w:rsid w:val="00CC5AA2"/>
    <w:rsid w:val="00CC721A"/>
    <w:rsid w:val="00CD0963"/>
    <w:rsid w:val="00CE0C75"/>
    <w:rsid w:val="00CE3D42"/>
    <w:rsid w:val="00CE53E6"/>
    <w:rsid w:val="00CF6131"/>
    <w:rsid w:val="00CF628B"/>
    <w:rsid w:val="00D06EAA"/>
    <w:rsid w:val="00D32129"/>
    <w:rsid w:val="00D36733"/>
    <w:rsid w:val="00D471B5"/>
    <w:rsid w:val="00D50654"/>
    <w:rsid w:val="00D571DB"/>
    <w:rsid w:val="00D6774D"/>
    <w:rsid w:val="00D7081E"/>
    <w:rsid w:val="00D70FC6"/>
    <w:rsid w:val="00D75191"/>
    <w:rsid w:val="00D80929"/>
    <w:rsid w:val="00D81A77"/>
    <w:rsid w:val="00D85254"/>
    <w:rsid w:val="00DC4FFC"/>
    <w:rsid w:val="00DD28E5"/>
    <w:rsid w:val="00DE2920"/>
    <w:rsid w:val="00DE5E54"/>
    <w:rsid w:val="00DF6BE4"/>
    <w:rsid w:val="00E157BC"/>
    <w:rsid w:val="00E228F9"/>
    <w:rsid w:val="00E236F4"/>
    <w:rsid w:val="00E34401"/>
    <w:rsid w:val="00E44A95"/>
    <w:rsid w:val="00E50E4A"/>
    <w:rsid w:val="00E52105"/>
    <w:rsid w:val="00E711C4"/>
    <w:rsid w:val="00E91F5F"/>
    <w:rsid w:val="00E95889"/>
    <w:rsid w:val="00EA3AFC"/>
    <w:rsid w:val="00EA6F59"/>
    <w:rsid w:val="00EB12DD"/>
    <w:rsid w:val="00EB153E"/>
    <w:rsid w:val="00EB57EB"/>
    <w:rsid w:val="00ED50CF"/>
    <w:rsid w:val="00ED6DCE"/>
    <w:rsid w:val="00F03062"/>
    <w:rsid w:val="00F1152F"/>
    <w:rsid w:val="00F14640"/>
    <w:rsid w:val="00F207B3"/>
    <w:rsid w:val="00F45D86"/>
    <w:rsid w:val="00F5486B"/>
    <w:rsid w:val="00F658E0"/>
    <w:rsid w:val="00F76C1A"/>
    <w:rsid w:val="00F77C10"/>
    <w:rsid w:val="00F806F4"/>
    <w:rsid w:val="00F84B89"/>
    <w:rsid w:val="00F859B7"/>
    <w:rsid w:val="00FA3616"/>
    <w:rsid w:val="00FC1C44"/>
    <w:rsid w:val="00FC43A1"/>
    <w:rsid w:val="0FEB2551"/>
    <w:rsid w:val="4FC4D4D6"/>
    <w:rsid w:val="540960E8"/>
    <w:rsid w:val="77C7F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84539"/>
  <w15:chartTrackingRefBased/>
  <w15:docId w15:val="{062C7AC2-CEBF-44B2-A386-EF1D8C3A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98045A"/>
    <w:rPr>
      <w:rFonts w:ascii="Tahoma" w:hAnsi="Tahoma" w:cs="Tahoma"/>
      <w:sz w:val="16"/>
      <w:szCs w:val="16"/>
    </w:rPr>
  </w:style>
  <w:style w:type="character" w:customStyle="1" w:styleId="BalloonTextChar">
    <w:name w:val="Balloon Text Char"/>
    <w:link w:val="BalloonText"/>
    <w:rsid w:val="0098045A"/>
    <w:rPr>
      <w:rFonts w:ascii="Tahoma" w:hAnsi="Tahoma" w:cs="Tahoma"/>
      <w:sz w:val="16"/>
      <w:szCs w:val="16"/>
    </w:rPr>
  </w:style>
  <w:style w:type="paragraph" w:styleId="TOC2">
    <w:name w:val="toc 2"/>
    <w:basedOn w:val="Normal"/>
    <w:next w:val="Normal"/>
    <w:autoRedefine/>
    <w:uiPriority w:val="39"/>
    <w:rsid w:val="00D70FC6"/>
    <w:pPr>
      <w:tabs>
        <w:tab w:val="right" w:leader="dot" w:pos="12950"/>
      </w:tabs>
    </w:pPr>
  </w:style>
  <w:style w:type="character" w:styleId="UnresolvedMention">
    <w:name w:val="Unresolved Mention"/>
    <w:uiPriority w:val="99"/>
    <w:semiHidden/>
    <w:unhideWhenUsed/>
    <w:rsid w:val="00723F62"/>
    <w:rPr>
      <w:color w:val="605E5C"/>
      <w:shd w:val="clear" w:color="auto" w:fill="E1DFDD"/>
    </w:rPr>
  </w:style>
  <w:style w:type="character" w:styleId="CommentReference">
    <w:name w:val="annotation reference"/>
    <w:rsid w:val="003A6175"/>
    <w:rPr>
      <w:sz w:val="16"/>
      <w:szCs w:val="16"/>
    </w:rPr>
  </w:style>
  <w:style w:type="paragraph" w:styleId="CommentText">
    <w:name w:val="annotation text"/>
    <w:basedOn w:val="Normal"/>
    <w:link w:val="CommentTextChar"/>
    <w:rsid w:val="003A6175"/>
    <w:rPr>
      <w:sz w:val="20"/>
      <w:szCs w:val="20"/>
    </w:rPr>
  </w:style>
  <w:style w:type="character" w:customStyle="1" w:styleId="CommentTextChar">
    <w:name w:val="Comment Text Char"/>
    <w:basedOn w:val="DefaultParagraphFont"/>
    <w:link w:val="CommentText"/>
    <w:rsid w:val="003A6175"/>
  </w:style>
  <w:style w:type="paragraph" w:styleId="CommentSubject">
    <w:name w:val="annotation subject"/>
    <w:basedOn w:val="CommentText"/>
    <w:next w:val="CommentText"/>
    <w:link w:val="CommentSubjectChar"/>
    <w:rsid w:val="003A6175"/>
    <w:rPr>
      <w:b/>
      <w:bCs/>
    </w:rPr>
  </w:style>
  <w:style w:type="character" w:customStyle="1" w:styleId="CommentSubjectChar">
    <w:name w:val="Comment Subject Char"/>
    <w:link w:val="CommentSubject"/>
    <w:rsid w:val="003A6175"/>
    <w:rPr>
      <w:b/>
      <w:bCs/>
    </w:rPr>
  </w:style>
  <w:style w:type="paragraph" w:styleId="Revision">
    <w:name w:val="Revision"/>
    <w:hidden/>
    <w:uiPriority w:val="99"/>
    <w:semiHidden/>
    <w:rsid w:val="00CF628B"/>
    <w:rPr>
      <w:sz w:val="24"/>
      <w:szCs w:val="24"/>
    </w:rPr>
  </w:style>
  <w:style w:type="character" w:customStyle="1" w:styleId="BodyTextIndent2Char">
    <w:name w:val="Body Text Indent 2 Char"/>
    <w:link w:val="BodyTextIndent2"/>
    <w:rsid w:val="005B5F2F"/>
    <w:rPr>
      <w:sz w:val="24"/>
      <w:szCs w:val="24"/>
    </w:rPr>
  </w:style>
  <w:style w:type="character" w:styleId="Mention">
    <w:name w:val="Mention"/>
    <w:basedOn w:val="DefaultParagraphFont"/>
    <w:uiPriority w:val="99"/>
    <w:unhideWhenUsed/>
    <w:rsid w:val="00B776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73689150">
      <w:bodyDiv w:val="1"/>
      <w:marLeft w:val="0"/>
      <w:marRight w:val="0"/>
      <w:marTop w:val="0"/>
      <w:marBottom w:val="0"/>
      <w:divBdr>
        <w:top w:val="none" w:sz="0" w:space="0" w:color="auto"/>
        <w:left w:val="none" w:sz="0" w:space="0" w:color="auto"/>
        <w:bottom w:val="none" w:sz="0" w:space="0" w:color="auto"/>
        <w:right w:val="none" w:sz="0" w:space="0" w:color="auto"/>
      </w:divBdr>
    </w:div>
    <w:div w:id="116405412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DEAED-7851-4844-AF60-DCF0A84FB81A}">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BC5379AE-6B9A-49F0-8FF2-258E74BF2AA6}">
  <ds:schemaRefs>
    <ds:schemaRef ds:uri="http://schemas.openxmlformats.org/officeDocument/2006/bibliography"/>
  </ds:schemaRefs>
</ds:datastoreItem>
</file>

<file path=customXml/itemProps3.xml><?xml version="1.0" encoding="utf-8"?>
<ds:datastoreItem xmlns:ds="http://schemas.openxmlformats.org/officeDocument/2006/customXml" ds:itemID="{55AEEEED-A059-4BDF-A213-7BC8C1FFDDF5}">
  <ds:schemaRefs>
    <ds:schemaRef ds:uri="http://schemas.microsoft.com/sharepoint/v3/contenttype/forms"/>
  </ds:schemaRefs>
</ds:datastoreItem>
</file>

<file path=customXml/itemProps4.xml><?xml version="1.0" encoding="utf-8"?>
<ds:datastoreItem xmlns:ds="http://schemas.openxmlformats.org/officeDocument/2006/customXml" ds:itemID="{F949CA4D-CF59-4849-82AB-8D53FC32C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11</TotalTime>
  <Pages>1</Pages>
  <Words>1025</Words>
  <Characters>5846</Characters>
  <Application>Microsoft Office Word</Application>
  <DocSecurity>2</DocSecurity>
  <Lines>48</Lines>
  <Paragraphs>13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Brown, Heather K</cp:lastModifiedBy>
  <cp:revision>6</cp:revision>
  <cp:lastPrinted>2007-01-03T17:56:00Z</cp:lastPrinted>
  <dcterms:created xsi:type="dcterms:W3CDTF">2024-09-26T18:25:00Z</dcterms:created>
  <dcterms:modified xsi:type="dcterms:W3CDTF">2024-09-26T18:28:00Z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2022-08-18T13:25:47Z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f007a98a-2ecf-4e71-b6c3-d7ae5feb513d</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