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D40D0" w14:textId="062D96A7" w:rsidR="00A908CE" w:rsidRDefault="004B123E" w:rsidP="00085F1C">
      <w:pPr>
        <w:pStyle w:val="Heading1"/>
        <w:spacing w:before="120" w:after="120"/>
        <w:rPr>
          <w:rFonts w:ascii="Verdana" w:hAnsi="Verdana"/>
        </w:rPr>
      </w:pPr>
      <w:bookmarkStart w:id="0" w:name="_top"/>
      <w:bookmarkStart w:id="1" w:name="OLE_LINK1"/>
      <w:bookmarkEnd w:id="0"/>
      <w:r w:rsidRPr="147677B4">
        <w:rPr>
          <w:rFonts w:ascii="Verdana" w:hAnsi="Verdana"/>
        </w:rPr>
        <w:t xml:space="preserve">Member Initiated </w:t>
      </w:r>
      <w:r w:rsidR="002E0AC4" w:rsidRPr="147677B4">
        <w:rPr>
          <w:rFonts w:ascii="Verdana" w:hAnsi="Verdana"/>
        </w:rPr>
        <w:t xml:space="preserve">Prior Use </w:t>
      </w:r>
      <w:r w:rsidR="00912128" w:rsidRPr="147677B4">
        <w:rPr>
          <w:rFonts w:ascii="Verdana" w:hAnsi="Verdana"/>
        </w:rPr>
        <w:t>Ex</w:t>
      </w:r>
      <w:r w:rsidRPr="147677B4">
        <w:rPr>
          <w:rFonts w:ascii="Verdana" w:hAnsi="Verdana"/>
        </w:rPr>
        <w:t>emption</w:t>
      </w:r>
      <w:r w:rsidR="002E0AC4" w:rsidRPr="147677B4">
        <w:rPr>
          <w:rFonts w:ascii="Verdana" w:hAnsi="Verdana"/>
        </w:rPr>
        <w:t xml:space="preserve"> (</w:t>
      </w:r>
      <w:r w:rsidRPr="147677B4">
        <w:rPr>
          <w:rFonts w:ascii="Verdana" w:hAnsi="Verdana"/>
        </w:rPr>
        <w:t>MI</w:t>
      </w:r>
      <w:r w:rsidR="00D40281" w:rsidRPr="147677B4">
        <w:rPr>
          <w:rFonts w:ascii="Verdana" w:hAnsi="Verdana"/>
        </w:rPr>
        <w:t>PUE</w:t>
      </w:r>
      <w:r w:rsidR="002E0AC4" w:rsidRPr="147677B4">
        <w:rPr>
          <w:rFonts w:ascii="Verdana" w:hAnsi="Verdana"/>
        </w:rPr>
        <w:t>)</w:t>
      </w:r>
      <w:r w:rsidR="2C6721E1" w:rsidRPr="147677B4">
        <w:rPr>
          <w:rFonts w:ascii="Verdana" w:hAnsi="Verdana"/>
        </w:rPr>
        <w:t xml:space="preserve"> and Claims Derived</w:t>
      </w:r>
      <w:r w:rsidR="5E7945A3" w:rsidRPr="147677B4">
        <w:rPr>
          <w:rFonts w:ascii="Verdana" w:hAnsi="Verdana"/>
        </w:rPr>
        <w:t xml:space="preserve"> Prior Use Exception</w:t>
      </w:r>
      <w:r w:rsidR="0060635B" w:rsidRPr="147677B4">
        <w:rPr>
          <w:rFonts w:ascii="Verdana" w:hAnsi="Verdana"/>
        </w:rPr>
        <w:t xml:space="preserve"> </w:t>
      </w:r>
      <w:r w:rsidR="0016741C" w:rsidRPr="147677B4">
        <w:rPr>
          <w:rFonts w:ascii="Verdana" w:hAnsi="Verdana"/>
        </w:rPr>
        <w:t>Process</w:t>
      </w:r>
      <w:r w:rsidR="000E6086" w:rsidRPr="147677B4">
        <w:rPr>
          <w:rFonts w:ascii="Verdana" w:hAnsi="Verdana"/>
        </w:rPr>
        <w:t xml:space="preserve"> for Formulary Exclusion</w:t>
      </w:r>
      <w:r w:rsidRPr="147677B4">
        <w:rPr>
          <w:rFonts w:ascii="Verdana" w:hAnsi="Verdana"/>
        </w:rPr>
        <w:t>s</w:t>
      </w:r>
      <w:r w:rsidR="11FC470E" w:rsidRPr="147677B4">
        <w:rPr>
          <w:rFonts w:ascii="Verdana" w:hAnsi="Verdana"/>
        </w:rPr>
        <w:t xml:space="preserve"> </w:t>
      </w:r>
      <w:r w:rsidR="4B244E81" w:rsidRPr="147677B4">
        <w:rPr>
          <w:rFonts w:ascii="Verdana" w:hAnsi="Verdana"/>
        </w:rPr>
        <w:t>(PUE)</w:t>
      </w:r>
    </w:p>
    <w:bookmarkEnd w:id="1"/>
    <w:p w14:paraId="3580F3C3" w14:textId="77777777" w:rsidR="00391E4C" w:rsidRDefault="00391E4C" w:rsidP="00391E4C">
      <w:pPr>
        <w:pStyle w:val="TOC1"/>
      </w:pPr>
    </w:p>
    <w:p w14:paraId="555BC8F6" w14:textId="08D9B1EA" w:rsidR="007B1BA1" w:rsidRDefault="00583F96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\n \p " " \h \z \u \t "Heading 2,1" </w:instrText>
      </w:r>
      <w:r>
        <w:fldChar w:fldCharType="separate"/>
      </w:r>
      <w:hyperlink w:anchor="_Toc208315116" w:history="1">
        <w:r w:rsidR="007B1BA1" w:rsidRPr="003F64FD">
          <w:rPr>
            <w:rStyle w:val="Hyperlink"/>
            <w:noProof/>
          </w:rPr>
          <w:t>Reminders</w:t>
        </w:r>
      </w:hyperlink>
    </w:p>
    <w:p w14:paraId="3D396606" w14:textId="4C19547F" w:rsidR="007B1BA1" w:rsidRDefault="007B1BA1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8315117" w:history="1">
        <w:r w:rsidRPr="003F64FD">
          <w:rPr>
            <w:rStyle w:val="Hyperlink"/>
            <w:noProof/>
          </w:rPr>
          <w:t>Process</w:t>
        </w:r>
      </w:hyperlink>
    </w:p>
    <w:p w14:paraId="5E0BDA28" w14:textId="4DF791CE" w:rsidR="007B1BA1" w:rsidRDefault="007B1BA1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8315118" w:history="1">
        <w:r w:rsidRPr="003F64FD">
          <w:rPr>
            <w:rStyle w:val="Hyperlink"/>
            <w:noProof/>
          </w:rPr>
          <w:t>CIF Example</w:t>
        </w:r>
      </w:hyperlink>
    </w:p>
    <w:p w14:paraId="07BD128B" w14:textId="24D4BA5E" w:rsidR="007B1BA1" w:rsidRDefault="007B1BA1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8315119" w:history="1">
        <w:r w:rsidRPr="003F64FD">
          <w:rPr>
            <w:rStyle w:val="Hyperlink"/>
            <w:noProof/>
          </w:rPr>
          <w:t>Related Documents</w:t>
        </w:r>
      </w:hyperlink>
    </w:p>
    <w:p w14:paraId="40524FE3" w14:textId="7B7D0215" w:rsidR="0046641B" w:rsidRDefault="00583F96" w:rsidP="00391E4C">
      <w:pPr>
        <w:spacing w:before="120" w:after="120"/>
        <w:contextualSpacing/>
      </w:pPr>
      <w:r>
        <w:fldChar w:fldCharType="end"/>
      </w:r>
    </w:p>
    <w:p w14:paraId="79527925" w14:textId="77777777" w:rsidR="00391E4C" w:rsidRDefault="00391E4C" w:rsidP="00085F1C">
      <w:pPr>
        <w:spacing w:before="120" w:after="120"/>
        <w:contextualSpacing/>
      </w:pPr>
    </w:p>
    <w:p w14:paraId="3CF08D37" w14:textId="37CA6243" w:rsidR="001166FF" w:rsidRDefault="00301E84" w:rsidP="00085F1C">
      <w:pPr>
        <w:spacing w:before="120" w:after="120"/>
      </w:pPr>
      <w:r w:rsidRPr="147677B4">
        <w:rPr>
          <w:b/>
          <w:bCs/>
        </w:rPr>
        <w:t>Description:</w:t>
      </w:r>
      <w:r w:rsidRPr="147677B4">
        <w:t xml:space="preserve">  </w:t>
      </w:r>
      <w:bookmarkStart w:id="2" w:name="OLE_LINK3"/>
      <w:r w:rsidR="001F3234" w:rsidRPr="147677B4">
        <w:t>P</w:t>
      </w:r>
      <w:r w:rsidR="00B7086B" w:rsidRPr="147677B4">
        <w:t xml:space="preserve">rocedures </w:t>
      </w:r>
      <w:r w:rsidR="00263D2F" w:rsidRPr="147677B4">
        <w:t>and information</w:t>
      </w:r>
      <w:r w:rsidR="00B7086B" w:rsidRPr="147677B4">
        <w:t xml:space="preserve"> for clients implementing the </w:t>
      </w:r>
      <w:bookmarkStart w:id="3" w:name="OLE_LINK2"/>
      <w:bookmarkStart w:id="4" w:name="OLE_LINK37"/>
      <w:r w:rsidR="004B123E" w:rsidRPr="147677B4">
        <w:t xml:space="preserve">Member Initiated Prior Use Exemption </w:t>
      </w:r>
      <w:bookmarkEnd w:id="3"/>
      <w:r w:rsidR="004B123E" w:rsidRPr="147677B4">
        <w:t>(MIPUE)</w:t>
      </w:r>
      <w:bookmarkEnd w:id="4"/>
      <w:r w:rsidR="00A96C3B" w:rsidRPr="147677B4">
        <w:t xml:space="preserve"> </w:t>
      </w:r>
      <w:r w:rsidR="23F6E641" w:rsidRPr="147677B4">
        <w:t xml:space="preserve">or Claims Derived Prior Use Exception </w:t>
      </w:r>
      <w:r w:rsidR="00B7086B" w:rsidRPr="147677B4">
        <w:t>process</w:t>
      </w:r>
      <w:r w:rsidR="5B8FCEFD" w:rsidRPr="147677B4">
        <w:t xml:space="preserve"> </w:t>
      </w:r>
      <w:r w:rsidR="00B7086B" w:rsidRPr="147677B4">
        <w:t>for formulary exclusions</w:t>
      </w:r>
      <w:r w:rsidR="00085F1C" w:rsidRPr="147677B4">
        <w:t xml:space="preserve">. </w:t>
      </w:r>
    </w:p>
    <w:bookmarkEnd w:id="2"/>
    <w:p w14:paraId="4A8A1808" w14:textId="77777777" w:rsidR="00EF6899" w:rsidRDefault="00EF6899" w:rsidP="00085F1C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1166FF" w:rsidRPr="0046641B" w14:paraId="3593ACD8" w14:textId="77777777" w:rsidTr="00A96C3B">
        <w:tc>
          <w:tcPr>
            <w:tcW w:w="5000" w:type="pct"/>
            <w:shd w:val="clear" w:color="auto" w:fill="BFBFBF"/>
          </w:tcPr>
          <w:p w14:paraId="736645E1" w14:textId="520FE986" w:rsidR="001166FF" w:rsidRDefault="001166FF" w:rsidP="00391E4C">
            <w:pPr>
              <w:pStyle w:val="Heading2"/>
              <w:spacing w:before="120" w:after="120"/>
            </w:pPr>
            <w:r>
              <w:t xml:space="preserve"> </w:t>
            </w:r>
            <w:bookmarkStart w:id="5" w:name="_Toc108168388"/>
            <w:bookmarkStart w:id="6" w:name="_Toc208315116"/>
            <w:r w:rsidR="00301E84">
              <w:t>Reminders</w:t>
            </w:r>
            <w:bookmarkEnd w:id="5"/>
            <w:bookmarkEnd w:id="6"/>
          </w:p>
        </w:tc>
      </w:tr>
    </w:tbl>
    <w:p w14:paraId="09E00CF2" w14:textId="77777777" w:rsidR="00391E4C" w:rsidRDefault="00391E4C" w:rsidP="00391E4C">
      <w:pPr>
        <w:spacing w:before="120" w:after="120"/>
        <w:contextualSpacing/>
      </w:pPr>
      <w:bookmarkStart w:id="7" w:name="OLE_LINK38"/>
    </w:p>
    <w:p w14:paraId="6CF351B5" w14:textId="03A00CF5" w:rsidR="00EF1C1C" w:rsidRDefault="004B123E" w:rsidP="00391E4C">
      <w:pPr>
        <w:spacing w:before="120" w:after="120"/>
      </w:pPr>
      <w:r w:rsidRPr="00391E4C">
        <w:t xml:space="preserve">Some net new clients are offered the </w:t>
      </w:r>
      <w:r w:rsidR="00A50BA9" w:rsidRPr="00391E4C">
        <w:t>Member Initiated Prior Use Exemption (</w:t>
      </w:r>
      <w:r w:rsidRPr="00391E4C">
        <w:t>MIPUE</w:t>
      </w:r>
      <w:r w:rsidR="00A50BA9" w:rsidRPr="00391E4C">
        <w:t>)</w:t>
      </w:r>
      <w:r w:rsidRPr="00391E4C">
        <w:t xml:space="preserve"> strategy</w:t>
      </w:r>
      <w:r w:rsidR="4381FE69" w:rsidRPr="00391E4C">
        <w:t xml:space="preserve"> or the Claims Derived Prior Use Exception</w:t>
      </w:r>
      <w:r w:rsidRPr="00391E4C">
        <w:t xml:space="preserve"> for formulary exclusions. It is intended to help mitigate disruption and improve the member experience for plans coming from another PBM. </w:t>
      </w:r>
    </w:p>
    <w:p w14:paraId="7221FE06" w14:textId="789500FC" w:rsidR="00EF1C1C" w:rsidRPr="0046546E" w:rsidRDefault="0046546E" w:rsidP="0046546E">
      <w:pPr>
        <w:spacing w:before="120" w:after="120"/>
      </w:pPr>
      <w:r>
        <w:rPr>
          <w:noProof/>
        </w:rPr>
        <w:drawing>
          <wp:inline distT="0" distB="0" distL="0" distR="0" wp14:anchorId="097266C9" wp14:editId="04DDF16F">
            <wp:extent cx="304762" cy="3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1CBF1EC3" wp14:editId="7A06F940">
            <wp:extent cx="238095" cy="209524"/>
            <wp:effectExtent l="0" t="0" r="0" b="635"/>
            <wp:docPr id="108904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49639" name="Picture 10890496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EF1C1C" w:rsidRPr="0046546E">
        <w:t>This is a limited option offered only to clients with special approval. Verify in the CIF if PUE/MIPUE allowed by Client.</w:t>
      </w:r>
    </w:p>
    <w:p w14:paraId="3AC20B22" w14:textId="180D5764" w:rsidR="00EF1C1C" w:rsidRPr="00595E18" w:rsidRDefault="0046546E" w:rsidP="0046546E">
      <w:pPr>
        <w:spacing w:before="120" w:after="120"/>
      </w:pPr>
      <w:r>
        <w:rPr>
          <w:noProof/>
        </w:rPr>
        <w:drawing>
          <wp:inline distT="0" distB="0" distL="0" distR="0" wp14:anchorId="5F983A18" wp14:editId="6DF9933E">
            <wp:extent cx="304762" cy="304762"/>
            <wp:effectExtent l="0" t="0" r="635" b="635"/>
            <wp:docPr id="1348385476" name="Picture 1348385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1A929A47" wp14:editId="053546E0">
            <wp:extent cx="238095" cy="209524"/>
            <wp:effectExtent l="0" t="0" r="0" b="635"/>
            <wp:docPr id="187986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49639" name="Picture 10890496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427841" w:rsidRPr="00595E18">
        <w:t>This d</w:t>
      </w:r>
      <w:r w:rsidR="00EF1C1C" w:rsidRPr="00595E18">
        <w:t>oes not apply to Med D plans</w:t>
      </w:r>
      <w:r w:rsidR="00595E18">
        <w:t>. R</w:t>
      </w:r>
      <w:r w:rsidR="00EF1C1C" w:rsidRPr="00595E18">
        <w:t>efer to</w:t>
      </w:r>
      <w:r w:rsidR="007B1BA1">
        <w:t xml:space="preserve"> </w:t>
      </w:r>
      <w:hyperlink r:id="rId14" w:anchor="!/view?docid=1b8b0e74-8bac-49e2-afc1-584c881bc839" w:history="1">
        <w:r w:rsidR="007B1BA1" w:rsidRPr="007B1BA1">
          <w:rPr>
            <w:rStyle w:val="Hyperlink"/>
          </w:rPr>
          <w:t>MED D - Transition Fill Care Processes (028816)</w:t>
        </w:r>
      </w:hyperlink>
      <w:r w:rsidR="00ED769E" w:rsidRPr="00595E18">
        <w:t>.</w:t>
      </w:r>
    </w:p>
    <w:p w14:paraId="4E59AC12" w14:textId="512B0D82" w:rsidR="004B123E" w:rsidRPr="00391E4C" w:rsidRDefault="004B123E" w:rsidP="00391E4C">
      <w:pPr>
        <w:spacing w:before="120" w:after="120"/>
      </w:pPr>
    </w:p>
    <w:p w14:paraId="7624D335" w14:textId="1979E954" w:rsidR="004B123E" w:rsidRPr="00085F1C" w:rsidRDefault="1BB73B0F" w:rsidP="00085F1C">
      <w:pPr>
        <w:shd w:val="clear" w:color="auto" w:fill="FFFFFF" w:themeFill="background1"/>
        <w:spacing w:before="120" w:after="120"/>
        <w:rPr>
          <w:rFonts w:eastAsia="Helvetica" w:cs="Helvetica"/>
          <w:color w:val="333333"/>
        </w:rPr>
      </w:pPr>
      <w:r w:rsidRPr="00085F1C">
        <w:rPr>
          <w:b/>
          <w:bCs/>
        </w:rPr>
        <w:t>Claims Derived PUE</w:t>
      </w:r>
      <w:r w:rsidR="004B123E" w:rsidRPr="00085F1C">
        <w:rPr>
          <w:b/>
          <w:bCs/>
        </w:rPr>
        <w:t xml:space="preserve"> </w:t>
      </w:r>
      <w:r w:rsidR="58DD674E" w:rsidRPr="00085F1C">
        <w:t>strategy</w:t>
      </w:r>
      <w:r w:rsidR="58DD674E" w:rsidRPr="00391E4C">
        <w:t xml:space="preserve"> is based on claims history. Members will have an override put on their medication for up to </w:t>
      </w:r>
      <w:r w:rsidR="005646CE" w:rsidRPr="00391E4C">
        <w:t>&lt;xx&gt;</w:t>
      </w:r>
      <w:r w:rsidR="58DD674E" w:rsidRPr="00391E4C">
        <w:t xml:space="preserve"> </w:t>
      </w:r>
      <w:r w:rsidR="00391E4C" w:rsidRPr="00391E4C">
        <w:t>number</w:t>
      </w:r>
      <w:r w:rsidR="58DD674E" w:rsidRPr="00391E4C">
        <w:t xml:space="preserve"> of</w:t>
      </w:r>
      <w:r w:rsidR="15D58ECC" w:rsidRPr="00391E4C">
        <w:t xml:space="preserve"> days (usually 90 but can be verified in the CIF) past the plan implementation date.</w:t>
      </w:r>
      <w:r w:rsidR="693177DF" w:rsidRPr="00391E4C">
        <w:t xml:space="preserve"> </w:t>
      </w:r>
      <w:r w:rsidR="693177DF" w:rsidRPr="00085F1C">
        <w:rPr>
          <w:rFonts w:eastAsia="Helvetica" w:cs="Helvetica"/>
          <w:color w:val="333333"/>
        </w:rPr>
        <w:t xml:space="preserve">This would include formulary exclusions which are drugs that the member is currently taking but are not covered by the new plan starting </w:t>
      </w:r>
      <w:r w:rsidR="005646CE" w:rsidRPr="00085F1C">
        <w:rPr>
          <w:rFonts w:eastAsia="Helvetica" w:cs="Helvetica"/>
          <w:color w:val="333333"/>
        </w:rPr>
        <w:t>&lt;</w:t>
      </w:r>
      <w:r w:rsidR="693177DF" w:rsidRPr="00085F1C">
        <w:rPr>
          <w:rFonts w:eastAsia="Helvetica" w:cs="Helvetica"/>
          <w:color w:val="333333"/>
        </w:rPr>
        <w:t>Insert Implementation Date</w:t>
      </w:r>
      <w:r w:rsidR="005646CE" w:rsidRPr="00085F1C">
        <w:rPr>
          <w:rFonts w:eastAsia="Helvetica" w:cs="Helvetica"/>
          <w:color w:val="333333"/>
        </w:rPr>
        <w:t>&gt;</w:t>
      </w:r>
      <w:r w:rsidR="693177DF" w:rsidRPr="00085F1C">
        <w:rPr>
          <w:rFonts w:eastAsia="Helvetica" w:cs="Helvetica"/>
          <w:color w:val="333333"/>
        </w:rPr>
        <w:t>.</w:t>
      </w:r>
      <w:r w:rsidR="693177DF" w:rsidRPr="00085F1C">
        <w:rPr>
          <w:rFonts w:eastAsia="Helvetica" w:cs="Helvetica"/>
          <w:color w:val="0070C0"/>
        </w:rPr>
        <w:t xml:space="preserve"> </w:t>
      </w:r>
      <w:r w:rsidR="693177DF" w:rsidRPr="00085F1C">
        <w:rPr>
          <w:rFonts w:eastAsia="Helvetica" w:cs="Helvetica"/>
          <w:color w:val="333333"/>
        </w:rPr>
        <w:t xml:space="preserve">Members will be receiving a </w:t>
      </w:r>
      <w:hyperlink r:id="rId15" w:anchor="!/view?docid=680c8d4e-6600-460f-a566-8838a6cbb4a2" w:history="1">
        <w:r w:rsidR="003F4599" w:rsidRPr="003F4599">
          <w:rPr>
            <w:rStyle w:val="Hyperlink"/>
          </w:rPr>
          <w:t>letter (066350</w:t>
        </w:r>
      </w:hyperlink>
      <w:r w:rsidR="003F4599" w:rsidRPr="003F4599">
        <w:t>)</w:t>
      </w:r>
      <w:r w:rsidR="693177DF" w:rsidRPr="00085F1C">
        <w:rPr>
          <w:rFonts w:eastAsia="Helvetica" w:cs="Helvetica"/>
          <w:color w:val="333333"/>
        </w:rPr>
        <w:t xml:space="preserve"> notifying them prior to go live outlining formulary alternatives, but the override will allow more time for the member to speak to their doctor.</w:t>
      </w:r>
    </w:p>
    <w:p w14:paraId="5607274B" w14:textId="4C8DA150" w:rsidR="004B123E" w:rsidRPr="00391E4C" w:rsidRDefault="004B123E" w:rsidP="00391E4C">
      <w:pPr>
        <w:spacing w:before="120" w:after="120"/>
      </w:pPr>
    </w:p>
    <w:p w14:paraId="7B34B976" w14:textId="3E94D96A" w:rsidR="00912128" w:rsidRPr="00391E4C" w:rsidRDefault="004B123E" w:rsidP="00391E4C">
      <w:pPr>
        <w:spacing w:before="120" w:after="120"/>
      </w:pPr>
      <w:r w:rsidRPr="00085F1C">
        <w:rPr>
          <w:b/>
          <w:bCs/>
        </w:rPr>
        <w:t>MIPUE</w:t>
      </w:r>
      <w:r w:rsidRPr="00391E4C">
        <w:t xml:space="preserve"> allows for a short-term override for formulary-excluded drugs for net new clients that adopt this strategy.</w:t>
      </w:r>
      <w:r w:rsidR="00912128" w:rsidRPr="00391E4C">
        <w:t xml:space="preserve"> Disrupted members (those who are taking a medication that will be excluded under the CVS Caremark formulary) whose plan benefit allows for MIPUE will receive a letter that their drug will not be covered under the new plan. The letter instructs members to talk with their prescriber and obtain a new prescription for a preferred medication.  It also contains verbiage that if extra time is needed to talk with their prescriber, they can call Care to request a temporary override.</w:t>
      </w:r>
    </w:p>
    <w:p w14:paraId="6FCD53AA" w14:textId="330F907A" w:rsidR="00912128" w:rsidRPr="00391E4C" w:rsidRDefault="00912128" w:rsidP="00391E4C">
      <w:pPr>
        <w:spacing w:before="120" w:after="120"/>
      </w:pPr>
    </w:p>
    <w:p w14:paraId="6AE9C6A7" w14:textId="6F658FEC" w:rsidR="00586F81" w:rsidRDefault="00912128" w:rsidP="00391E4C">
      <w:pPr>
        <w:spacing w:before="120" w:after="120"/>
      </w:pPr>
      <w:r w:rsidRPr="00391E4C">
        <w:t xml:space="preserve">If the client allows for </w:t>
      </w:r>
      <w:r w:rsidRPr="00085F1C">
        <w:rPr>
          <w:b/>
          <w:bCs/>
        </w:rPr>
        <w:t>MIPUE</w:t>
      </w:r>
      <w:r w:rsidRPr="00391E4C">
        <w:t>, overrides are available for any formulary-excluded drug</w:t>
      </w:r>
      <w:r w:rsidR="00085F1C" w:rsidRPr="00391E4C">
        <w:t xml:space="preserve">. </w:t>
      </w:r>
      <w:r w:rsidRPr="00391E4C">
        <w:t>The override can be used regardless of where member is filling</w:t>
      </w:r>
      <w:r w:rsidR="003C6FA5" w:rsidRPr="00391E4C">
        <w:t>.</w:t>
      </w:r>
    </w:p>
    <w:p w14:paraId="77266B90" w14:textId="480F84E8" w:rsidR="00912128" w:rsidRPr="00391E4C" w:rsidRDefault="003C6FA5" w:rsidP="00391E4C">
      <w:pPr>
        <w:spacing w:before="120" w:after="120"/>
      </w:pPr>
      <w:r w:rsidRPr="00391E4C">
        <w:rPr>
          <w:b/>
          <w:bCs/>
        </w:rPr>
        <w:t>Example:</w:t>
      </w:r>
      <w:r w:rsidRPr="00391E4C">
        <w:t xml:space="preserve">  </w:t>
      </w:r>
      <w:r w:rsidR="00912128" w:rsidRPr="00391E4C">
        <w:t>Specialty, Mail Order, Retail.</w:t>
      </w:r>
    </w:p>
    <w:p w14:paraId="1E0F8CAF" w14:textId="5594D783" w:rsidR="00912128" w:rsidRPr="00391E4C" w:rsidRDefault="00912128" w:rsidP="00391E4C">
      <w:pPr>
        <w:spacing w:before="120" w:after="120"/>
      </w:pPr>
    </w:p>
    <w:p w14:paraId="0A72936D" w14:textId="166A865C" w:rsidR="00E10774" w:rsidRPr="00391E4C" w:rsidRDefault="004B123E" w:rsidP="00391E4C">
      <w:pPr>
        <w:spacing w:before="120" w:after="120"/>
      </w:pPr>
      <w:r w:rsidRPr="00391E4C">
        <w:t xml:space="preserve">Most clients </w:t>
      </w:r>
      <w:r w:rsidR="00912128" w:rsidRPr="00391E4C">
        <w:t xml:space="preserve">who use the MIPUE strategy allow for overrides </w:t>
      </w:r>
      <w:r w:rsidRPr="00391E4C">
        <w:t>up to 90 days after go</w:t>
      </w:r>
      <w:r w:rsidR="00912128" w:rsidRPr="00391E4C">
        <w:t>-</w:t>
      </w:r>
      <w:r w:rsidRPr="00391E4C">
        <w:t>live date.</w:t>
      </w:r>
    </w:p>
    <w:p w14:paraId="7E7D7843" w14:textId="0FB1353E" w:rsidR="00912128" w:rsidRPr="00391E4C" w:rsidRDefault="00E10774" w:rsidP="00391E4C">
      <w:pPr>
        <w:spacing w:before="120" w:after="120"/>
      </w:pPr>
      <w:r w:rsidRPr="00391E4C">
        <w:rPr>
          <w:b/>
          <w:bCs/>
        </w:rPr>
        <w:t>E</w:t>
      </w:r>
      <w:r w:rsidR="00912128" w:rsidRPr="00391E4C">
        <w:rPr>
          <w:b/>
          <w:bCs/>
        </w:rPr>
        <w:t>xample</w:t>
      </w:r>
      <w:r w:rsidRPr="00391E4C">
        <w:rPr>
          <w:b/>
          <w:bCs/>
        </w:rPr>
        <w:t>:</w:t>
      </w:r>
      <w:r w:rsidRPr="00391E4C">
        <w:t xml:space="preserve">  C</w:t>
      </w:r>
      <w:r w:rsidR="00912128" w:rsidRPr="00391E4C">
        <w:t>lients implementing 1/1, MIPUE overrides could be entered with effective date up to 3/31.</w:t>
      </w:r>
      <w:r w:rsidR="004B123E" w:rsidRPr="00391E4C">
        <w:t xml:space="preserve"> </w:t>
      </w:r>
      <w:r w:rsidR="00912128" w:rsidRPr="00391E4C">
        <w:t>Refer to CIF for details for the specific client.</w:t>
      </w:r>
    </w:p>
    <w:p w14:paraId="378C251D" w14:textId="1C543962" w:rsidR="0060635B" w:rsidRPr="00391E4C" w:rsidRDefault="003C06FB" w:rsidP="00391E4C">
      <w:pPr>
        <w:spacing w:before="120" w:after="120"/>
      </w:pPr>
      <w:r w:rsidRPr="00391E4C">
        <w:t xml:space="preserve">  </w:t>
      </w:r>
      <w:bookmarkEnd w:id="7"/>
    </w:p>
    <w:p w14:paraId="50E8638F" w14:textId="44B4D103" w:rsidR="00586F81" w:rsidRDefault="003F6377" w:rsidP="00391E4C">
      <w:pPr>
        <w:spacing w:before="120" w:after="120"/>
      </w:pPr>
      <w:r w:rsidRPr="00391E4C">
        <w:t>The formulary is the list</w:t>
      </w:r>
      <w:r w:rsidR="0060635B" w:rsidRPr="00391E4C">
        <w:t xml:space="preserve"> of</w:t>
      </w:r>
      <w:r w:rsidRPr="00391E4C">
        <w:t xml:space="preserve"> drugs covered by a prescription benefit plan</w:t>
      </w:r>
      <w:r w:rsidR="006C4A4B" w:rsidRPr="00391E4C">
        <w:t>; formulary exclusions are drugs not covered by the plan</w:t>
      </w:r>
      <w:r w:rsidRPr="00391E4C">
        <w:t>.</w:t>
      </w:r>
      <w:r w:rsidR="00301E84" w:rsidRPr="00391E4C">
        <w:t xml:space="preserve"> </w:t>
      </w:r>
      <w:r w:rsidR="00B7086B" w:rsidRPr="00391E4C">
        <w:t xml:space="preserve">Refer to </w:t>
      </w:r>
      <w:hyperlink r:id="rId16" w:anchor="!/view?docid=0afb51c4-054b-4d6e-b989-5aeefdb37145" w:history="1">
        <w:r w:rsidR="005646CE" w:rsidRPr="00391E4C">
          <w:rPr>
            <w:rStyle w:val="Hyperlink"/>
          </w:rPr>
          <w:t>Standard Formulary Changes (114719)</w:t>
        </w:r>
      </w:hyperlink>
      <w:r w:rsidR="00B7086B" w:rsidRPr="00391E4C">
        <w:t xml:space="preserve"> </w:t>
      </w:r>
      <w:r w:rsidRPr="00391E4C">
        <w:t xml:space="preserve">for additional background on formulary exclusions. </w:t>
      </w:r>
    </w:p>
    <w:p w14:paraId="539013D1" w14:textId="77777777" w:rsidR="00842C04" w:rsidRPr="00391E4C" w:rsidRDefault="00842C04" w:rsidP="00391E4C">
      <w:pPr>
        <w:spacing w:before="120" w:after="120"/>
      </w:pPr>
    </w:p>
    <w:bookmarkStart w:id="8" w:name="OLE_LINK4"/>
    <w:bookmarkStart w:id="9" w:name="_Hlk174515788"/>
    <w:p w14:paraId="43A10406" w14:textId="07564150" w:rsidR="0046641B" w:rsidRDefault="00DB7F73" w:rsidP="00391E4C">
      <w:pPr>
        <w:spacing w:before="120" w:after="120"/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Pr="00DB7F73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46641B" w:rsidRPr="0046641B" w14:paraId="6EC9F70A" w14:textId="77777777" w:rsidTr="00F05797">
        <w:tc>
          <w:tcPr>
            <w:tcW w:w="5000" w:type="pct"/>
            <w:shd w:val="clear" w:color="auto" w:fill="BFBFBF"/>
          </w:tcPr>
          <w:p w14:paraId="1324331F" w14:textId="66A3E8CF" w:rsidR="0046641B" w:rsidRDefault="0046641B" w:rsidP="00391E4C">
            <w:pPr>
              <w:pStyle w:val="Heading2"/>
              <w:spacing w:before="120" w:after="120"/>
            </w:pPr>
            <w:bookmarkStart w:id="10" w:name="_Toc108168389"/>
            <w:bookmarkStart w:id="11" w:name="_Toc208315117"/>
            <w:bookmarkEnd w:id="8"/>
            <w:r>
              <w:t>Process</w:t>
            </w:r>
            <w:bookmarkEnd w:id="10"/>
            <w:bookmarkEnd w:id="11"/>
            <w:r>
              <w:t xml:space="preserve"> </w:t>
            </w:r>
            <w:r w:rsidR="0060635B">
              <w:t xml:space="preserve"> </w:t>
            </w:r>
          </w:p>
        </w:tc>
      </w:tr>
      <w:bookmarkEnd w:id="9"/>
    </w:tbl>
    <w:p w14:paraId="55171F1C" w14:textId="77777777" w:rsidR="0046641B" w:rsidRPr="0046641B" w:rsidRDefault="0046641B" w:rsidP="00085F1C">
      <w:pPr>
        <w:spacing w:before="120" w:after="120"/>
        <w:contextualSpacing/>
      </w:pPr>
    </w:p>
    <w:p w14:paraId="73116556" w14:textId="3694A250" w:rsidR="00B8461A" w:rsidRDefault="0060635B" w:rsidP="00391E4C">
      <w:pPr>
        <w:spacing w:before="120" w:after="120"/>
      </w:pPr>
      <w:r>
        <w:t>This section details</w:t>
      </w:r>
      <w:r w:rsidR="0046641B" w:rsidRPr="0046641B">
        <w:t xml:space="preserve"> the process outlined for those members </w:t>
      </w:r>
      <w:r w:rsidR="00F8687C">
        <w:t xml:space="preserve">who may </w:t>
      </w:r>
      <w:r w:rsidR="00BC48BE">
        <w:t>request</w:t>
      </w:r>
      <w:r w:rsidR="00F8687C">
        <w:t xml:space="preserve"> </w:t>
      </w:r>
      <w:r w:rsidR="00BC48BE">
        <w:t>a temporary</w:t>
      </w:r>
      <w:r w:rsidR="00C83AF3">
        <w:t xml:space="preserve"> override</w:t>
      </w:r>
      <w:r w:rsidR="00BC48BE">
        <w:t xml:space="preserve"> to allow </w:t>
      </w:r>
      <w:r>
        <w:t xml:space="preserve">extra </w:t>
      </w:r>
      <w:r w:rsidR="00BC48BE">
        <w:t xml:space="preserve">time to </w:t>
      </w:r>
      <w:r>
        <w:t xml:space="preserve">obtain </w:t>
      </w:r>
      <w:r w:rsidR="00BC48BE">
        <w:t>a new prescription from their prescriber.</w:t>
      </w:r>
    </w:p>
    <w:p w14:paraId="7D699138" w14:textId="04215C4B" w:rsidR="00B8461A" w:rsidRPr="000A51FE" w:rsidRDefault="000A51FE" w:rsidP="00085F1C">
      <w:pPr>
        <w:numPr>
          <w:ilvl w:val="0"/>
          <w:numId w:val="24"/>
        </w:numPr>
        <w:spacing w:before="120" w:after="120"/>
        <w:ind w:left="432"/>
      </w:pPr>
      <w:r w:rsidRPr="000A51FE">
        <w:t>Impacted members</w:t>
      </w:r>
      <w:r w:rsidR="00BC48BE" w:rsidRPr="000A51FE">
        <w:t xml:space="preserve"> should have received a disruption notification letter</w:t>
      </w:r>
      <w:r w:rsidR="005646CE">
        <w:t>.</w:t>
      </w:r>
    </w:p>
    <w:p w14:paraId="55F510A5" w14:textId="75968249" w:rsidR="0046641B" w:rsidRPr="0046641B" w:rsidRDefault="0060635B" w:rsidP="00085F1C">
      <w:pPr>
        <w:numPr>
          <w:ilvl w:val="0"/>
          <w:numId w:val="24"/>
        </w:numPr>
        <w:spacing w:before="120" w:after="120"/>
        <w:ind w:left="432"/>
      </w:pPr>
      <w:r>
        <w:t>T</w:t>
      </w:r>
      <w:r w:rsidR="00B8461A">
        <w:t>he</w:t>
      </w:r>
      <w:r w:rsidR="00EF6899">
        <w:t xml:space="preserve">y </w:t>
      </w:r>
      <w:r>
        <w:t xml:space="preserve">may also be </w:t>
      </w:r>
      <w:r w:rsidR="00B8461A">
        <w:t xml:space="preserve">calling during the open enrollment period </w:t>
      </w:r>
      <w:r w:rsidR="00DD0280">
        <w:t xml:space="preserve">(prior to receiving the letter) with general formulary questions </w:t>
      </w:r>
      <w:r w:rsidR="00B8461A">
        <w:t xml:space="preserve">or </w:t>
      </w:r>
      <w:r w:rsidR="00BC48BE">
        <w:t>calling in response to a</w:t>
      </w:r>
      <w:r w:rsidR="000A51FE">
        <w:t xml:space="preserve"> reject at the point of sale.</w:t>
      </w:r>
    </w:p>
    <w:p w14:paraId="358C7B29" w14:textId="77777777" w:rsidR="0046641B" w:rsidRPr="0046641B" w:rsidRDefault="0046641B" w:rsidP="00391E4C">
      <w:pPr>
        <w:spacing w:before="120" w:after="120"/>
      </w:pPr>
    </w:p>
    <w:p w14:paraId="695D98FA" w14:textId="32F9F15E" w:rsidR="0046641B" w:rsidRDefault="00301E84" w:rsidP="00391E4C">
      <w:pPr>
        <w:spacing w:before="120" w:after="120"/>
      </w:pPr>
      <w:r>
        <w:t xml:space="preserve">Perform the following steps: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11693"/>
      </w:tblGrid>
      <w:tr w:rsidR="00CD089C" w:rsidRPr="0026343B" w14:paraId="051DB81C" w14:textId="77777777" w:rsidTr="00085F1C">
        <w:tc>
          <w:tcPr>
            <w:tcW w:w="1522" w:type="dxa"/>
            <w:shd w:val="clear" w:color="auto" w:fill="E6E6E6"/>
          </w:tcPr>
          <w:p w14:paraId="46C29ACB" w14:textId="77777777" w:rsidR="00CD089C" w:rsidRPr="0026343B" w:rsidRDefault="00CD089C" w:rsidP="00391E4C">
            <w:pPr>
              <w:spacing w:before="120" w:after="120"/>
              <w:jc w:val="center"/>
              <w:rPr>
                <w:b/>
              </w:rPr>
            </w:pPr>
            <w:r w:rsidRPr="0026343B">
              <w:rPr>
                <w:b/>
              </w:rPr>
              <w:t>Step</w:t>
            </w:r>
          </w:p>
        </w:tc>
        <w:tc>
          <w:tcPr>
            <w:tcW w:w="17041" w:type="dxa"/>
            <w:shd w:val="clear" w:color="auto" w:fill="E6E6E6"/>
          </w:tcPr>
          <w:p w14:paraId="32B92DC5" w14:textId="77777777" w:rsidR="00CD089C" w:rsidRPr="0026343B" w:rsidRDefault="00CD089C" w:rsidP="00391E4C">
            <w:pPr>
              <w:spacing w:before="120" w:after="120"/>
              <w:jc w:val="center"/>
              <w:rPr>
                <w:b/>
              </w:rPr>
            </w:pPr>
            <w:r w:rsidRPr="0026343B">
              <w:rPr>
                <w:b/>
              </w:rPr>
              <w:t>Action</w:t>
            </w:r>
          </w:p>
        </w:tc>
      </w:tr>
      <w:tr w:rsidR="00301E84" w:rsidRPr="0026343B" w14:paraId="7859D4D1" w14:textId="77777777" w:rsidTr="00085F1C">
        <w:trPr>
          <w:trHeight w:val="1133"/>
        </w:trPr>
        <w:tc>
          <w:tcPr>
            <w:tcW w:w="1522" w:type="dxa"/>
            <w:shd w:val="clear" w:color="auto" w:fill="auto"/>
          </w:tcPr>
          <w:p w14:paraId="602CBFF8" w14:textId="69D20007" w:rsidR="00301E84" w:rsidRPr="0026343B" w:rsidRDefault="00301E84" w:rsidP="00391E4C">
            <w:pPr>
              <w:spacing w:before="120" w:after="120"/>
              <w:jc w:val="center"/>
              <w:rPr>
                <w:b/>
              </w:rPr>
            </w:pPr>
            <w:r w:rsidRPr="0026343B">
              <w:rPr>
                <w:b/>
              </w:rPr>
              <w:t>1</w:t>
            </w:r>
          </w:p>
        </w:tc>
        <w:tc>
          <w:tcPr>
            <w:tcW w:w="17041" w:type="dxa"/>
            <w:shd w:val="clear" w:color="auto" w:fill="auto"/>
          </w:tcPr>
          <w:p w14:paraId="5CAA1034" w14:textId="6EEAEABD" w:rsidR="00301E84" w:rsidRPr="00586F81" w:rsidRDefault="008A43E1" w:rsidP="00391E4C">
            <w:pPr>
              <w:spacing w:before="120" w:after="120"/>
            </w:pPr>
            <w:r w:rsidRPr="00586F81">
              <w:t>Refer to the CIF to c</w:t>
            </w:r>
            <w:r w:rsidR="00301E84" w:rsidRPr="00586F81">
              <w:t xml:space="preserve">onfirm the member’s plan allows a </w:t>
            </w:r>
            <w:r w:rsidR="00912128" w:rsidRPr="00586F81">
              <w:t xml:space="preserve">Member Initiated </w:t>
            </w:r>
            <w:r w:rsidR="00301E84" w:rsidRPr="00586F81">
              <w:t xml:space="preserve">Prior Use </w:t>
            </w:r>
            <w:r w:rsidR="00912128" w:rsidRPr="00586F81">
              <w:t xml:space="preserve">Exemption </w:t>
            </w:r>
            <w:r w:rsidR="00301E84" w:rsidRPr="00586F81">
              <w:t>(</w:t>
            </w:r>
            <w:r w:rsidR="00912128" w:rsidRPr="00586F81">
              <w:t>MI</w:t>
            </w:r>
            <w:r w:rsidR="00301E84" w:rsidRPr="00586F81">
              <w:t>PUE).</w:t>
            </w:r>
          </w:p>
          <w:p w14:paraId="07793602" w14:textId="77777777" w:rsidR="00586F81" w:rsidRDefault="00301E84" w:rsidP="00391E4C">
            <w:pPr>
              <w:pStyle w:val="ListParagraph"/>
              <w:numPr>
                <w:ilvl w:val="0"/>
                <w:numId w:val="25"/>
              </w:numPr>
              <w:spacing w:before="120" w:after="120"/>
              <w:ind w:left="496"/>
            </w:pPr>
            <w:r w:rsidRPr="00586F81">
              <w:t xml:space="preserve">If the plan allows </w:t>
            </w:r>
            <w:r w:rsidR="00912128" w:rsidRPr="00586F81">
              <w:t>MI</w:t>
            </w:r>
            <w:r w:rsidRPr="00586F81">
              <w:t xml:space="preserve">PUE run a </w:t>
            </w:r>
            <w:r w:rsidR="005373D9" w:rsidRPr="00085F1C">
              <w:t>Test Claim</w:t>
            </w:r>
            <w:r w:rsidR="0060635B" w:rsidRPr="00586F81">
              <w:t xml:space="preserve"> </w:t>
            </w:r>
            <w:r w:rsidRPr="00586F81">
              <w:t>to verify rejection is the result of a formulary exclusion.</w:t>
            </w:r>
            <w:r w:rsidR="00D4580F" w:rsidRPr="00586F81">
              <w:t xml:space="preserve"> </w:t>
            </w:r>
          </w:p>
          <w:p w14:paraId="5AB83F91" w14:textId="709E6442" w:rsidR="00D4580F" w:rsidRPr="00586F81" w:rsidRDefault="00D4580F" w:rsidP="00085F1C">
            <w:pPr>
              <w:pStyle w:val="ListParagraph"/>
              <w:spacing w:before="120" w:after="120"/>
              <w:ind w:left="496"/>
            </w:pPr>
            <w:r w:rsidRPr="00586F81">
              <w:t xml:space="preserve"> </w:t>
            </w:r>
          </w:p>
          <w:p w14:paraId="2FCD76F8" w14:textId="13F9A7CE" w:rsidR="00301E84" w:rsidRPr="00301E84" w:rsidRDefault="00D4580F" w:rsidP="00391E4C">
            <w:pPr>
              <w:pStyle w:val="ListParagraph"/>
              <w:spacing w:before="120" w:after="120"/>
              <w:ind w:left="496"/>
            </w:pPr>
            <w:r w:rsidRPr="00586F81">
              <w:rPr>
                <w:b/>
                <w:bCs/>
              </w:rPr>
              <w:t>Note:</w:t>
            </w:r>
            <w:r w:rsidRPr="00586F81">
              <w:t xml:space="preserve">  The member does not need to have a rejected claim from the pharmacy.</w:t>
            </w:r>
          </w:p>
        </w:tc>
      </w:tr>
      <w:tr w:rsidR="00E116B1" w:rsidRPr="0026343B" w14:paraId="01EE06B9" w14:textId="77777777" w:rsidTr="00085F1C">
        <w:tc>
          <w:tcPr>
            <w:tcW w:w="1522" w:type="dxa"/>
            <w:shd w:val="clear" w:color="auto" w:fill="auto"/>
          </w:tcPr>
          <w:p w14:paraId="0F501C23" w14:textId="6D734E42" w:rsidR="00E116B1" w:rsidRDefault="00301E84" w:rsidP="00391E4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0F5436D8" w14:textId="0EF361D3" w:rsidR="001166FF" w:rsidRDefault="001166FF" w:rsidP="00391E4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7041" w:type="dxa"/>
            <w:shd w:val="clear" w:color="auto" w:fill="auto"/>
          </w:tcPr>
          <w:p w14:paraId="48D23D93" w14:textId="6BE0B825" w:rsidR="00E744EC" w:rsidRPr="00586F81" w:rsidRDefault="00E744EC" w:rsidP="00085F1C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ind w:left="432"/>
            </w:pPr>
            <w:r w:rsidRPr="00586F81">
              <w:t>Refer to</w:t>
            </w:r>
            <w:r w:rsidR="00E116B1" w:rsidRPr="00586F81">
              <w:t xml:space="preserve"> the list of preferred alternatives in the reject message and provide </w:t>
            </w:r>
            <w:r w:rsidR="0060635B" w:rsidRPr="00586F81">
              <w:t xml:space="preserve">the </w:t>
            </w:r>
            <w:r w:rsidR="00E116B1" w:rsidRPr="00586F81">
              <w:t>list of alternatives to the member</w:t>
            </w:r>
            <w:r w:rsidR="00085F1C" w:rsidRPr="00586F81">
              <w:t xml:space="preserve">. </w:t>
            </w:r>
          </w:p>
          <w:p w14:paraId="2CC8C4ED" w14:textId="51CCE68C" w:rsidR="00DF5F78" w:rsidRPr="00586F81" w:rsidRDefault="00E744EC" w:rsidP="00085F1C">
            <w:pPr>
              <w:autoSpaceDE w:val="0"/>
              <w:autoSpaceDN w:val="0"/>
              <w:adjustRightInd w:val="0"/>
              <w:spacing w:before="120" w:after="120"/>
              <w:ind w:left="432"/>
            </w:pPr>
            <w:r w:rsidRPr="00586F81">
              <w:rPr>
                <w:b/>
                <w:bCs/>
              </w:rPr>
              <w:t>Note:</w:t>
            </w:r>
            <w:r w:rsidRPr="00586F81">
              <w:t xml:space="preserve">  </w:t>
            </w:r>
            <w:r w:rsidR="005373D9" w:rsidRPr="00085F1C">
              <w:t>Transfer</w:t>
            </w:r>
            <w:r w:rsidRPr="00586F81">
              <w:t xml:space="preserve"> to </w:t>
            </w:r>
            <w:hyperlink r:id="rId17" w:anchor="!/view?docid=ff2706a9-6f42-4ccd-87e1-59cb2ce103a8" w:history="1">
              <w:r w:rsidR="009B293F" w:rsidRPr="00586F81">
                <w:rPr>
                  <w:rStyle w:val="Hyperlink"/>
                </w:rPr>
                <w:t>Clinical (024833)</w:t>
              </w:r>
            </w:hyperlink>
            <w:r w:rsidRPr="00586F81">
              <w:t xml:space="preserve"> i</w:t>
            </w:r>
            <w:r w:rsidR="00E116B1" w:rsidRPr="00586F81">
              <w:t xml:space="preserve">f the member has clinical questions on the alternatives or if the reject message does not return a list of preferred alternatives. </w:t>
            </w:r>
            <w:r w:rsidR="00301E84" w:rsidRPr="00586F81">
              <w:t xml:space="preserve"> </w:t>
            </w:r>
            <w:r w:rsidRPr="00586F81">
              <w:t xml:space="preserve"> </w:t>
            </w:r>
          </w:p>
          <w:p w14:paraId="1CE6E546" w14:textId="77777777" w:rsidR="00E744EC" w:rsidRPr="00586F81" w:rsidRDefault="00E744EC" w:rsidP="00391E4C">
            <w:pPr>
              <w:spacing w:before="120" w:after="120"/>
            </w:pPr>
          </w:p>
          <w:p w14:paraId="2D378460" w14:textId="27056585" w:rsidR="00E116B1" w:rsidRPr="00586F81" w:rsidRDefault="00E116B1" w:rsidP="00085F1C">
            <w:pPr>
              <w:pStyle w:val="ListParagraph"/>
              <w:numPr>
                <w:ilvl w:val="0"/>
                <w:numId w:val="26"/>
              </w:numPr>
              <w:spacing w:before="120" w:after="120"/>
              <w:ind w:left="432"/>
              <w:contextualSpacing w:val="0"/>
            </w:pPr>
            <w:r w:rsidRPr="00586F81">
              <w:t xml:space="preserve">Explain </w:t>
            </w:r>
            <w:r w:rsidR="00E744EC" w:rsidRPr="00586F81">
              <w:t xml:space="preserve">that </w:t>
            </w:r>
            <w:r w:rsidRPr="00586F81">
              <w:t xml:space="preserve">we can offer a </w:t>
            </w:r>
            <w:r w:rsidR="00912128" w:rsidRPr="00586F81">
              <w:t xml:space="preserve">temporary override </w:t>
            </w:r>
            <w:r w:rsidRPr="00586F81">
              <w:t>to allow additional time for the member to talk with the prescriber</w:t>
            </w:r>
            <w:r w:rsidR="00E744EC" w:rsidRPr="00586F81">
              <w:t>,</w:t>
            </w:r>
            <w:r w:rsidRPr="00586F81">
              <w:t xml:space="preserve"> if needed</w:t>
            </w:r>
            <w:r w:rsidR="00085F1C" w:rsidRPr="00586F81">
              <w:t xml:space="preserve">. </w:t>
            </w:r>
          </w:p>
          <w:p w14:paraId="45DE2D44" w14:textId="287DDCA2" w:rsidR="00E116B1" w:rsidRPr="00586F81" w:rsidRDefault="001166FF" w:rsidP="00901797">
            <w:pPr>
              <w:pStyle w:val="ListParagraph"/>
              <w:numPr>
                <w:ilvl w:val="1"/>
                <w:numId w:val="25"/>
              </w:numPr>
              <w:spacing w:before="120" w:after="120"/>
              <w:ind w:left="835"/>
              <w:contextualSpacing w:val="0"/>
            </w:pPr>
            <w:r w:rsidRPr="00586F81">
              <w:t>I</w:t>
            </w:r>
            <w:r w:rsidR="00E116B1" w:rsidRPr="00586F81">
              <w:t>f the member calls in too early to enter the override (</w:t>
            </w:r>
            <w:r w:rsidR="00301E84" w:rsidRPr="00586F81">
              <w:rPr>
                <w:b/>
                <w:bCs/>
              </w:rPr>
              <w:t xml:space="preserve">Example: </w:t>
            </w:r>
            <w:r w:rsidR="00301E84" w:rsidRPr="00586F81">
              <w:t xml:space="preserve"> P</w:t>
            </w:r>
            <w:r w:rsidR="00E116B1" w:rsidRPr="00586F81">
              <w:t xml:space="preserve">rior to eligibility information being available), instruct the member to call back on or after the implementation date so that the </w:t>
            </w:r>
            <w:r w:rsidR="00B23F61" w:rsidRPr="00586F81">
              <w:t>o</w:t>
            </w:r>
            <w:r w:rsidR="00E116B1" w:rsidRPr="00586F81">
              <w:t>verride can be entered at that time.</w:t>
            </w:r>
          </w:p>
          <w:p w14:paraId="371DD6C5" w14:textId="0A9F8403" w:rsidR="00E116B1" w:rsidRPr="00586F81" w:rsidRDefault="00E744EC" w:rsidP="00085F1C">
            <w:pPr>
              <w:spacing w:before="120" w:after="120"/>
              <w:ind w:left="792"/>
            </w:pPr>
            <w:r w:rsidRPr="00586F81">
              <w:rPr>
                <w:b/>
                <w:bCs/>
              </w:rPr>
              <w:t>Note:</w:t>
            </w:r>
            <w:r w:rsidRPr="00586F81">
              <w:t xml:space="preserve">  </w:t>
            </w:r>
            <w:r w:rsidR="00E116B1" w:rsidRPr="00586F81">
              <w:t xml:space="preserve">The </w:t>
            </w:r>
            <w:r w:rsidR="00C81CF7" w:rsidRPr="00586F81">
              <w:t>clients’</w:t>
            </w:r>
            <w:r w:rsidR="00E116B1" w:rsidRPr="00586F81">
              <w:t xml:space="preserve"> implementation date can be found in the CIF </w:t>
            </w:r>
            <w:r w:rsidRPr="00586F81">
              <w:t>with</w:t>
            </w:r>
            <w:r w:rsidR="00E116B1" w:rsidRPr="00586F81">
              <w:t>in the Client Info Section</w:t>
            </w:r>
            <w:r w:rsidR="001166FF" w:rsidRPr="00586F81">
              <w:t>.</w:t>
            </w:r>
          </w:p>
          <w:p w14:paraId="1CB6B9FE" w14:textId="16E97F7A" w:rsidR="00754515" w:rsidRPr="00586F81" w:rsidRDefault="00754515" w:rsidP="00391E4C">
            <w:pPr>
              <w:spacing w:before="120" w:after="120"/>
              <w:ind w:left="406"/>
            </w:pPr>
          </w:p>
          <w:p w14:paraId="16CC186E" w14:textId="15145F62" w:rsidR="00754515" w:rsidRPr="00586F81" w:rsidRDefault="00754515" w:rsidP="00085F1C">
            <w:pPr>
              <w:pStyle w:val="ListParagraph"/>
              <w:numPr>
                <w:ilvl w:val="0"/>
                <w:numId w:val="26"/>
              </w:numPr>
              <w:spacing w:before="120" w:after="120"/>
              <w:ind w:left="432"/>
            </w:pPr>
            <w:bookmarkStart w:id="12" w:name="OLE_LINK85"/>
            <w:r w:rsidRPr="00586F81">
              <w:t xml:space="preserve">Warm transfer to </w:t>
            </w:r>
            <w:r w:rsidR="00263D2F" w:rsidRPr="00586F81">
              <w:t xml:space="preserve">the </w:t>
            </w:r>
            <w:hyperlink r:id="rId18" w:anchor="!/view?docid=9eef064d-c7d7-42f7-9026-1497496b4d51" w:history="1">
              <w:r w:rsidR="00AF44D8" w:rsidRPr="00586F81">
                <w:rPr>
                  <w:rStyle w:val="Hyperlink"/>
                </w:rPr>
                <w:t>Senior Team (016311)</w:t>
              </w:r>
            </w:hyperlink>
            <w:r w:rsidRPr="00586F81">
              <w:t xml:space="preserve"> </w:t>
            </w:r>
            <w:r w:rsidR="00263D2F" w:rsidRPr="00586F81">
              <w:t xml:space="preserve">for the </w:t>
            </w:r>
            <w:r w:rsidR="00CA15FA" w:rsidRPr="00586F81">
              <w:t>MI</w:t>
            </w:r>
            <w:r w:rsidR="00EE2346" w:rsidRPr="00586F81">
              <w:t>PUE,</w:t>
            </w:r>
            <w:r w:rsidRPr="00586F81">
              <w:t xml:space="preserve"> if allowed per CIF.</w:t>
            </w:r>
            <w:bookmarkEnd w:id="12"/>
          </w:p>
          <w:p w14:paraId="4D14D204" w14:textId="77777777" w:rsidR="00E116B1" w:rsidRDefault="00E116B1" w:rsidP="00085F1C">
            <w:pPr>
              <w:spacing w:before="120" w:after="120"/>
            </w:pPr>
          </w:p>
          <w:p w14:paraId="6B80638C" w14:textId="77777777" w:rsidR="00586F81" w:rsidRDefault="00E116B1" w:rsidP="00391E4C">
            <w:pPr>
              <w:spacing w:before="120" w:after="120"/>
            </w:pPr>
            <w:r w:rsidRPr="0026343B">
              <w:rPr>
                <w:b/>
              </w:rPr>
              <w:t>Disclaimer:</w:t>
            </w:r>
            <w:r w:rsidRPr="0026343B">
              <w:t xml:space="preserve"> </w:t>
            </w:r>
            <w:r w:rsidR="00301E84">
              <w:t xml:space="preserve"> </w:t>
            </w:r>
            <w:r w:rsidRPr="0026343B">
              <w:t>This process only applies to drugs that moved to a Non-Formulary status and reject at point of sale</w:t>
            </w:r>
            <w:r>
              <w:t xml:space="preserve"> (or with a test claim)</w:t>
            </w:r>
            <w:r w:rsidRPr="0026343B">
              <w:t xml:space="preserve">. </w:t>
            </w:r>
            <w:r>
              <w:t>This override only applies to coverage; it does not change the member’s copay tier</w:t>
            </w:r>
            <w:r w:rsidR="00301E84">
              <w:t xml:space="preserve">. </w:t>
            </w:r>
          </w:p>
          <w:p w14:paraId="32C9C742" w14:textId="499BF1B1" w:rsidR="00E116B1" w:rsidRDefault="00301E84" w:rsidP="00391E4C">
            <w:pPr>
              <w:spacing w:before="120" w:after="120"/>
            </w:pPr>
            <w:r w:rsidRPr="00301E84">
              <w:rPr>
                <w:b/>
                <w:bCs/>
              </w:rPr>
              <w:t xml:space="preserve">Example: </w:t>
            </w:r>
            <w:r>
              <w:t xml:space="preserve"> T</w:t>
            </w:r>
            <w:r w:rsidR="00E116B1">
              <w:t>he member may have to pay a higher cost share than they would for a preferred drug.</w:t>
            </w:r>
          </w:p>
        </w:tc>
      </w:tr>
    </w:tbl>
    <w:p w14:paraId="35AD65E6" w14:textId="1A69A8C2" w:rsidR="71C5D3A1" w:rsidRDefault="71C5D3A1" w:rsidP="00085F1C">
      <w:pPr>
        <w:spacing w:before="120" w:after="120"/>
      </w:pPr>
    </w:p>
    <w:p w14:paraId="0A7DC7F4" w14:textId="77777777" w:rsidR="00F05797" w:rsidRDefault="00F05797" w:rsidP="00085F1C">
      <w:pPr>
        <w:spacing w:before="120" w:after="120"/>
        <w:rPr>
          <w:b/>
          <w:bCs/>
        </w:rPr>
      </w:pPr>
    </w:p>
    <w:p w14:paraId="63662D30" w14:textId="77777777" w:rsidR="00F05797" w:rsidRDefault="00F05797" w:rsidP="00391E4C">
      <w:pPr>
        <w:spacing w:before="120" w:after="120"/>
        <w:jc w:val="right"/>
      </w:pPr>
      <w:hyperlink w:anchor="_top" w:history="1">
        <w:r w:rsidRPr="00DB7F73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F05797" w:rsidRPr="0046641B" w14:paraId="7D16F40D" w14:textId="77777777" w:rsidTr="00372261">
        <w:tc>
          <w:tcPr>
            <w:tcW w:w="5000" w:type="pct"/>
            <w:shd w:val="clear" w:color="auto" w:fill="BFBFBF"/>
          </w:tcPr>
          <w:p w14:paraId="61E08338" w14:textId="1E622D8D" w:rsidR="00F05797" w:rsidRDefault="00F05797" w:rsidP="00391E4C">
            <w:pPr>
              <w:pStyle w:val="Heading2"/>
              <w:spacing w:before="120" w:after="120"/>
            </w:pPr>
            <w:bookmarkStart w:id="13" w:name="_Toc208315118"/>
            <w:r>
              <w:t>CIF Example</w:t>
            </w:r>
            <w:bookmarkEnd w:id="13"/>
          </w:p>
        </w:tc>
      </w:tr>
    </w:tbl>
    <w:p w14:paraId="47235BCF" w14:textId="78EC6133" w:rsidR="147677B4" w:rsidRPr="00412794" w:rsidRDefault="147677B4" w:rsidP="00085F1C">
      <w:pPr>
        <w:spacing w:before="120" w:after="120"/>
        <w:contextualSpacing/>
        <w:rPr>
          <w:b/>
          <w:bCs/>
        </w:rPr>
      </w:pPr>
    </w:p>
    <w:p w14:paraId="70D6C76F" w14:textId="41756BD1" w:rsidR="006F1BF0" w:rsidRDefault="282A98F3" w:rsidP="00085F1C">
      <w:pPr>
        <w:shd w:val="clear" w:color="auto" w:fill="FFFFFF" w:themeFill="background1"/>
        <w:spacing w:before="120" w:after="120"/>
      </w:pPr>
      <w:r w:rsidRPr="00085F1C">
        <w:rPr>
          <w:rFonts w:eastAsia="Helvetica" w:cs="Helvetica"/>
          <w:b/>
          <w:bCs/>
          <w:color w:val="000000" w:themeColor="text1"/>
        </w:rPr>
        <w:t>Claims Derived PUE</w:t>
      </w:r>
      <w:r w:rsidR="00391E4C">
        <w:rPr>
          <w:rFonts w:eastAsia="Helvetica" w:cs="Helvetica"/>
          <w:b/>
          <w:bCs/>
          <w:color w:val="000000" w:themeColor="text1"/>
        </w:rPr>
        <w:t>:</w:t>
      </w:r>
    </w:p>
    <w:p w14:paraId="274EBF9D" w14:textId="5921FFF6" w:rsidR="282A98F3" w:rsidRPr="006F1BF0" w:rsidRDefault="282A98F3" w:rsidP="00085F1C">
      <w:pPr>
        <w:shd w:val="clear" w:color="auto" w:fill="FFFFFF" w:themeFill="background1"/>
        <w:spacing w:before="120" w:after="120"/>
      </w:pPr>
      <w:r w:rsidRPr="00085F1C">
        <w:rPr>
          <w:rFonts w:eastAsia="Helvetica" w:cs="Helvetica"/>
          <w:color w:val="333333"/>
        </w:rPr>
        <w:t>[</w:t>
      </w:r>
      <w:r w:rsidRPr="00085F1C">
        <w:rPr>
          <w:rFonts w:eastAsia="Helvetica" w:cs="Helvetica"/>
          <w:i/>
          <w:iCs/>
          <w:color w:val="333333"/>
        </w:rPr>
        <w:t>Client Name</w:t>
      </w:r>
      <w:r w:rsidRPr="00085F1C">
        <w:rPr>
          <w:rFonts w:eastAsia="Helvetica" w:cs="Helvetica"/>
          <w:color w:val="333333"/>
        </w:rPr>
        <w:t xml:space="preserve">] was offered the “Claims derived prior use exemption (PUE) strategy”. Based on claims history, members will have an override put on their medication for up to </w:t>
      </w:r>
      <w:r w:rsidRPr="00085F1C">
        <w:rPr>
          <w:rFonts w:eastAsia="Helvetica" w:cs="Helvetica"/>
          <w:color w:val="000000" w:themeColor="text1"/>
        </w:rPr>
        <w:t xml:space="preserve">&lt;duration, typically 90-days&gt; past the </w:t>
      </w:r>
      <w:r w:rsidRPr="00085F1C">
        <w:rPr>
          <w:rFonts w:eastAsia="Helvetica" w:cs="Helvetica"/>
          <w:color w:val="333333"/>
        </w:rPr>
        <w:t xml:space="preserve">implementation date. This would include formulary exclusions which are drugs that the member is currently taking but are not covered by the new plan starting </w:t>
      </w:r>
      <w:r w:rsidR="00F05797">
        <w:rPr>
          <w:rFonts w:eastAsia="Helvetica" w:cs="Helvetica"/>
          <w:color w:val="333333"/>
        </w:rPr>
        <w:t>&lt;</w:t>
      </w:r>
      <w:r w:rsidRPr="00085F1C">
        <w:rPr>
          <w:rFonts w:eastAsia="Helvetica" w:cs="Helvetica"/>
          <w:color w:val="333333"/>
        </w:rPr>
        <w:t>Insert Implementation Date</w:t>
      </w:r>
      <w:r w:rsidR="00F05797">
        <w:rPr>
          <w:rFonts w:eastAsia="Helvetica" w:cs="Helvetica"/>
          <w:color w:val="333333"/>
        </w:rPr>
        <w:t>&gt;</w:t>
      </w:r>
      <w:r w:rsidRPr="00085F1C">
        <w:rPr>
          <w:rFonts w:eastAsia="Helvetica" w:cs="Helvetica"/>
          <w:color w:val="333333"/>
        </w:rPr>
        <w:t>.</w:t>
      </w:r>
      <w:r w:rsidRPr="00085F1C">
        <w:rPr>
          <w:rFonts w:eastAsia="Helvetica" w:cs="Helvetica"/>
          <w:color w:val="0070C0"/>
        </w:rPr>
        <w:t xml:space="preserve"> </w:t>
      </w:r>
      <w:r w:rsidRPr="00085F1C">
        <w:rPr>
          <w:rFonts w:eastAsia="Helvetica" w:cs="Helvetica"/>
          <w:color w:val="333333"/>
        </w:rPr>
        <w:t>Members will be receiving a</w:t>
      </w:r>
      <w:r w:rsidR="003F4599" w:rsidRPr="003F4599">
        <w:rPr>
          <w:rFonts w:eastAsia="Helvetica" w:cs="Helvetica"/>
          <w:color w:val="333333"/>
        </w:rPr>
        <w:t xml:space="preserve"> </w:t>
      </w:r>
      <w:hyperlink r:id="rId19" w:anchor="!/view?docid=680c8d4e-6600-460f-a566-8838a6cbb4a2" w:history="1">
        <w:r w:rsidR="003F4599" w:rsidRPr="003F4599">
          <w:rPr>
            <w:rStyle w:val="Hyperlink"/>
            <w:rFonts w:eastAsia="Helvetica" w:cs="Helvetica"/>
          </w:rPr>
          <w:t>letter (066350)</w:t>
        </w:r>
      </w:hyperlink>
      <w:r w:rsidR="00F05797" w:rsidRPr="00F05797">
        <w:rPr>
          <w:rFonts w:eastAsia="Helvetica" w:cs="Helvetica"/>
          <w:color w:val="333333"/>
        </w:rPr>
        <w:t xml:space="preserve"> </w:t>
      </w:r>
      <w:r w:rsidRPr="00085F1C">
        <w:rPr>
          <w:rFonts w:eastAsia="Helvetica" w:cs="Helvetica"/>
          <w:color w:val="333333"/>
        </w:rPr>
        <w:t>notifying prior to go live outlining formulary alternatives, but the override will allow more time for the member to speak to their doctor.</w:t>
      </w:r>
    </w:p>
    <w:p w14:paraId="7EC337AA" w14:textId="23594605" w:rsidR="71C5D3A1" w:rsidRPr="00412794" w:rsidRDefault="71C5D3A1" w:rsidP="00085F1C">
      <w:pPr>
        <w:spacing w:before="120" w:after="120"/>
      </w:pPr>
    </w:p>
    <w:p w14:paraId="4ACC7C07" w14:textId="30D4DC07" w:rsidR="7AFAFD5C" w:rsidRPr="00085F1C" w:rsidRDefault="7AFAFD5C" w:rsidP="006F1BF0">
      <w:pPr>
        <w:shd w:val="clear" w:color="auto" w:fill="FFFFFF" w:themeFill="background1"/>
        <w:spacing w:before="120" w:after="120"/>
        <w:rPr>
          <w:rFonts w:eastAsia="Helvetica" w:cs="Helvetica"/>
          <w:b/>
          <w:bCs/>
          <w:color w:val="000000" w:themeColor="text1"/>
        </w:rPr>
      </w:pPr>
      <w:r w:rsidRPr="00085F1C">
        <w:rPr>
          <w:rFonts w:eastAsia="Helvetica" w:cs="Helvetica"/>
          <w:b/>
          <w:bCs/>
          <w:color w:val="000000" w:themeColor="text1"/>
        </w:rPr>
        <w:t>Member Initiated Prior Use Exemption (MIPUE) Strategy</w:t>
      </w:r>
      <w:r w:rsidR="00391E4C">
        <w:rPr>
          <w:rFonts w:eastAsia="Helvetica" w:cs="Helvetica"/>
          <w:b/>
          <w:bCs/>
          <w:color w:val="000000" w:themeColor="text1"/>
        </w:rPr>
        <w:t>:</w:t>
      </w:r>
    </w:p>
    <w:p w14:paraId="0EAE1498" w14:textId="2E41AF96" w:rsidR="7AFAFD5C" w:rsidRDefault="7AFAFD5C" w:rsidP="006F1BF0">
      <w:pPr>
        <w:spacing w:before="120" w:after="120"/>
        <w:rPr>
          <w:rFonts w:eastAsia="Calibri" w:cs="Calibri"/>
          <w:color w:val="0078D4"/>
        </w:rPr>
      </w:pPr>
      <w:r w:rsidRPr="00085F1C">
        <w:rPr>
          <w:rFonts w:eastAsia="Helvetica" w:cs="Helvetica"/>
          <w:color w:val="333333"/>
        </w:rPr>
        <w:t>[Client Name] was offered the “Member initiated prior use exemption (MIPUE) strategy.”</w:t>
      </w:r>
      <w:r w:rsidR="00085F1C">
        <w:rPr>
          <w:rFonts w:eastAsia="Helvetica" w:cs="Helvetica"/>
          <w:color w:val="333333"/>
        </w:rPr>
        <w:t xml:space="preserve"> </w:t>
      </w:r>
      <w:r w:rsidRPr="00085F1C">
        <w:rPr>
          <w:rFonts w:eastAsia="Helvetica" w:cs="Helvetica"/>
          <w:color w:val="333333"/>
        </w:rPr>
        <w:t xml:space="preserve">Members can elect to opt-in on or after &lt;implementation date&gt; to have an override put on their medication for </w:t>
      </w:r>
      <w:r w:rsidRPr="00085F1C">
        <w:rPr>
          <w:rFonts w:eastAsia="Helvetica" w:cs="Helvetica"/>
          <w:color w:val="000000" w:themeColor="text1"/>
        </w:rPr>
        <w:t xml:space="preserve">up to &lt;duration, typically 90-days&gt;. </w:t>
      </w:r>
      <w:r w:rsidRPr="00085F1C">
        <w:rPr>
          <w:rFonts w:eastAsia="Helvetica" w:cs="Helvetica"/>
          <w:color w:val="333333"/>
        </w:rPr>
        <w:t xml:space="preserve">This would only include drugs that members are currently taking but are not covered or are excluded by the new plan starting &lt;implementation date&gt;. Members will be receiving a </w:t>
      </w:r>
      <w:hyperlink r:id="rId20" w:anchor="!/view?docid=680c8d4e-6600-460f-a566-8838a6cbb4a2" w:history="1">
        <w:r w:rsidR="00F05797" w:rsidRPr="00F05797">
          <w:rPr>
            <w:rStyle w:val="Hyperlink"/>
            <w:rFonts w:eastAsia="Helvetica" w:cs="Helvetica"/>
          </w:rPr>
          <w:t>letter (066350)</w:t>
        </w:r>
      </w:hyperlink>
      <w:r w:rsidRPr="00085F1C">
        <w:rPr>
          <w:rFonts w:eastAsia="Helvetica" w:cs="Helvetica"/>
          <w:color w:val="333333"/>
        </w:rPr>
        <w:t xml:space="preserve"> letting them know of this new strategy prior to going live outlining formulary alternatives and instructing them to call on or after &lt;implementation date&gt; if an override is needed for any of their not covered drugs.  </w:t>
      </w:r>
      <w:r w:rsidRPr="00085F1C">
        <w:rPr>
          <w:rFonts w:eastAsia="Calibri" w:cs="Calibri"/>
        </w:rPr>
        <w:t xml:space="preserve"> </w:t>
      </w:r>
      <w:r w:rsidRPr="00085F1C">
        <w:br/>
      </w:r>
      <w:r w:rsidRPr="00085F1C">
        <w:br/>
      </w:r>
      <w:r w:rsidRPr="00085F1C">
        <w:rPr>
          <w:rFonts w:eastAsia="Helvetica" w:cs="Helvetica"/>
          <w:b/>
          <w:bCs/>
          <w:color w:val="333333"/>
        </w:rPr>
        <w:t>If the member does not understand why they must call back</w:t>
      </w:r>
      <w:r w:rsidR="00085F1C" w:rsidRPr="00085F1C">
        <w:rPr>
          <w:rFonts w:eastAsia="Helvetica" w:cs="Helvetica"/>
          <w:b/>
          <w:bCs/>
          <w:color w:val="333333"/>
        </w:rPr>
        <w:t>:</w:t>
      </w:r>
      <w:r w:rsidR="00085F1C">
        <w:rPr>
          <w:rFonts w:eastAsia="Helvetica" w:cs="Helvetica"/>
          <w:b/>
          <w:bCs/>
          <w:color w:val="333333"/>
        </w:rPr>
        <w:t xml:space="preserve"> </w:t>
      </w:r>
      <w:r w:rsidRPr="00085F1C">
        <w:rPr>
          <w:rFonts w:eastAsia="Helvetica" w:cs="Helvetica"/>
          <w:color w:val="333333"/>
        </w:rPr>
        <w:t xml:space="preserve"> </w:t>
      </w:r>
      <w:r w:rsidR="00085F1C">
        <w:rPr>
          <w:rFonts w:eastAsia="Helvetica" w:cs="Helvetica"/>
          <w:color w:val="333333"/>
        </w:rPr>
        <w:t>E</w:t>
      </w:r>
      <w:r w:rsidRPr="00085F1C">
        <w:rPr>
          <w:rFonts w:eastAsia="Helvetica" w:cs="Helvetica"/>
          <w:color w:val="333333"/>
        </w:rPr>
        <w:t xml:space="preserve">xplain we do not receive their eligibility until a few days before &lt;implementation date&gt; and would need to link their override to their account once they are in our system “live.” For more information about the MIPUE process please </w:t>
      </w:r>
      <w:r w:rsidR="00705F51">
        <w:rPr>
          <w:rFonts w:eastAsia="Helvetica" w:cs="Helvetica"/>
          <w:color w:val="333333"/>
        </w:rPr>
        <w:t xml:space="preserve">refer to the </w:t>
      </w:r>
      <w:hyperlink w:anchor="_Process" w:history="1">
        <w:r w:rsidR="00705F51" w:rsidRPr="00705F51">
          <w:rPr>
            <w:rStyle w:val="Hyperlink"/>
            <w:rFonts w:eastAsia="Helvetica" w:cs="Helvetica"/>
          </w:rPr>
          <w:t>process section</w:t>
        </w:r>
      </w:hyperlink>
      <w:r w:rsidR="005646CE">
        <w:t>.</w:t>
      </w:r>
      <w:r w:rsidRPr="00085F1C">
        <w:rPr>
          <w:rFonts w:eastAsia="Calibri" w:cs="Calibri"/>
          <w:color w:val="0078D4"/>
        </w:rPr>
        <w:t xml:space="preserve"> </w:t>
      </w:r>
    </w:p>
    <w:p w14:paraId="4ED756F5" w14:textId="77777777" w:rsidR="00586F81" w:rsidRPr="00085F1C" w:rsidRDefault="00586F81" w:rsidP="00085F1C">
      <w:pPr>
        <w:spacing w:before="120" w:after="120"/>
        <w:rPr>
          <w:rFonts w:eastAsia="Calibri" w:cs="Calibri"/>
          <w:color w:val="0078D4"/>
        </w:rPr>
      </w:pPr>
    </w:p>
    <w:p w14:paraId="240F80B8" w14:textId="01618A2A" w:rsidR="7AFAFD5C" w:rsidRPr="00085F1C" w:rsidRDefault="7AFAFD5C" w:rsidP="00085F1C">
      <w:pPr>
        <w:shd w:val="clear" w:color="auto" w:fill="FFFFFF" w:themeFill="background1"/>
        <w:spacing w:before="120" w:after="120"/>
        <w:rPr>
          <w:rFonts w:eastAsia="Helvetica" w:cs="Helvetica"/>
          <w:color w:val="333333"/>
        </w:rPr>
      </w:pPr>
      <w:r w:rsidRPr="00085F1C">
        <w:rPr>
          <w:rFonts w:eastAsia="Helvetica" w:cs="Helvetica"/>
          <w:b/>
          <w:bCs/>
          <w:color w:val="000000" w:themeColor="text1"/>
        </w:rPr>
        <w:t>Disclaimer:</w:t>
      </w:r>
      <w:r w:rsidRPr="00085F1C">
        <w:rPr>
          <w:rFonts w:eastAsia="Helvetica" w:cs="Helvetica"/>
          <w:color w:val="000000" w:themeColor="text1"/>
        </w:rPr>
        <w:t xml:space="preserve">  </w:t>
      </w:r>
      <w:r w:rsidRPr="00085F1C">
        <w:rPr>
          <w:rFonts w:eastAsia="Helvetica" w:cs="Helvetica"/>
          <w:color w:val="333333"/>
        </w:rPr>
        <w:t xml:space="preserve">This process only applies to drugs that moved to a </w:t>
      </w:r>
      <w:r w:rsidR="00F05797">
        <w:rPr>
          <w:rFonts w:eastAsia="Helvetica" w:cs="Helvetica"/>
          <w:color w:val="333333"/>
        </w:rPr>
        <w:t>N</w:t>
      </w:r>
      <w:r w:rsidR="00F05797" w:rsidRPr="00F05797">
        <w:rPr>
          <w:rFonts w:eastAsia="Helvetica" w:cs="Helvetica"/>
          <w:color w:val="333333"/>
        </w:rPr>
        <w:t>on-Formulary</w:t>
      </w:r>
      <w:r w:rsidRPr="00085F1C">
        <w:rPr>
          <w:rFonts w:eastAsia="Helvetica" w:cs="Helvetica"/>
          <w:color w:val="333333"/>
        </w:rPr>
        <w:t xml:space="preserve"> status and reject at point of sale (or with a test claim). This override only applies to coverage; it does not change the member’s copay tier.</w:t>
      </w:r>
    </w:p>
    <w:p w14:paraId="24EEB7F2" w14:textId="0E55985E" w:rsidR="7AFAFD5C" w:rsidRPr="00412794" w:rsidRDefault="7AFAFD5C" w:rsidP="00085F1C">
      <w:pPr>
        <w:spacing w:before="120" w:after="120"/>
        <w:rPr>
          <w:rFonts w:eastAsia="Verdana" w:cs="Verdana"/>
        </w:rPr>
      </w:pPr>
      <w:r w:rsidRPr="00085F1C">
        <w:rPr>
          <w:rFonts w:eastAsia="Helvetica" w:cs="Helvetica"/>
          <w:b/>
          <w:bCs/>
          <w:color w:val="000000" w:themeColor="text1"/>
        </w:rPr>
        <w:t>Example:</w:t>
      </w:r>
      <w:r w:rsidRPr="00085F1C">
        <w:rPr>
          <w:rFonts w:eastAsia="Helvetica" w:cs="Helvetica"/>
          <w:color w:val="000000" w:themeColor="text1"/>
        </w:rPr>
        <w:t xml:space="preserve"> </w:t>
      </w:r>
      <w:r w:rsidR="00F05797">
        <w:rPr>
          <w:rFonts w:eastAsia="Helvetica" w:cs="Helvetica"/>
          <w:color w:val="000000" w:themeColor="text1"/>
        </w:rPr>
        <w:t xml:space="preserve"> </w:t>
      </w:r>
      <w:r w:rsidRPr="00085F1C">
        <w:rPr>
          <w:rFonts w:eastAsia="Helvetica" w:cs="Helvetica"/>
          <w:color w:val="333333"/>
        </w:rPr>
        <w:t>The members may have to pay a higher cost share than they would for a preferred drug.</w:t>
      </w:r>
    </w:p>
    <w:p w14:paraId="5A188AB8" w14:textId="77777777" w:rsidR="00842C04" w:rsidRDefault="00842C04" w:rsidP="00085F1C">
      <w:pPr>
        <w:spacing w:before="120" w:after="120"/>
        <w:jc w:val="right"/>
      </w:pPr>
    </w:p>
    <w:p w14:paraId="18FF7BDF" w14:textId="2BA1EDB6" w:rsidR="71C5D3A1" w:rsidRDefault="71C5D3A1" w:rsidP="00842C04">
      <w:pPr>
        <w:spacing w:before="120" w:after="120"/>
      </w:pPr>
      <w:bookmarkStart w:id="14" w:name="_Override_Information"/>
      <w:bookmarkEnd w:id="14"/>
    </w:p>
    <w:p w14:paraId="6CE36B29" w14:textId="4EB8BD05" w:rsidR="00DB7F73" w:rsidRDefault="00EA26E7" w:rsidP="00391E4C">
      <w:pPr>
        <w:spacing w:before="120" w:after="120"/>
        <w:jc w:val="right"/>
      </w:pPr>
      <w:hyperlink w:anchor="_top" w:history="1">
        <w:r w:rsidRPr="00EA26E7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B7086B" w:rsidRPr="00C457BD" w14:paraId="774D9820" w14:textId="77777777" w:rsidTr="00DB7F73">
        <w:tc>
          <w:tcPr>
            <w:tcW w:w="5000" w:type="pct"/>
            <w:shd w:val="clear" w:color="auto" w:fill="BFBFBF"/>
          </w:tcPr>
          <w:p w14:paraId="077A3B9D" w14:textId="77777777" w:rsidR="00B7086B" w:rsidRDefault="00B7086B" w:rsidP="00391E4C">
            <w:pPr>
              <w:pStyle w:val="Heading2"/>
              <w:spacing w:before="120" w:after="120"/>
            </w:pPr>
            <w:bookmarkStart w:id="15" w:name="_Toc108168390"/>
            <w:bookmarkStart w:id="16" w:name="_Toc208315119"/>
            <w:r>
              <w:t>Related Documents</w:t>
            </w:r>
            <w:bookmarkEnd w:id="15"/>
            <w:bookmarkEnd w:id="16"/>
          </w:p>
        </w:tc>
      </w:tr>
    </w:tbl>
    <w:p w14:paraId="3548360F" w14:textId="77777777" w:rsidR="00586F81" w:rsidRDefault="00586F81" w:rsidP="00085F1C">
      <w:pPr>
        <w:spacing w:before="120" w:after="120"/>
        <w:contextualSpacing/>
        <w:rPr>
          <w:color w:val="333333"/>
        </w:rPr>
      </w:pPr>
    </w:p>
    <w:p w14:paraId="1FFFE70E" w14:textId="6CBBB1EC" w:rsidR="00586F81" w:rsidRPr="00085F1C" w:rsidRDefault="00586F81" w:rsidP="00391E4C">
      <w:pPr>
        <w:spacing w:before="120" w:after="120"/>
        <w:rPr>
          <w:color w:val="333333"/>
        </w:rPr>
      </w:pPr>
      <w:hyperlink r:id="rId21" w:anchor="!/view?docid=bdac0c67-5fee-47ba-a3aa-aab84900cf78" w:tgtFrame="_blank" w:history="1">
        <w:r>
          <w:rPr>
            <w:rStyle w:val="Hyperlink"/>
            <w:bCs/>
          </w:rPr>
          <w:t>Log Activity/Capture Activity Codes (005164)</w:t>
        </w:r>
      </w:hyperlink>
    </w:p>
    <w:p w14:paraId="76D1F643" w14:textId="10F2AA4B" w:rsidR="00B7086B" w:rsidRDefault="005646CE" w:rsidP="00391E4C">
      <w:pPr>
        <w:spacing w:before="120" w:after="120"/>
      </w:pPr>
      <w:hyperlink r:id="rId22" w:anchor="!/view?docid=c1f1028b-e42c-4b4f-a4cf-cc0b42c91606" w:tgtFrame="_blank" w:history="1">
        <w:r>
          <w:rPr>
            <w:color w:val="0000FF"/>
            <w:u w:val="single"/>
          </w:rPr>
          <w:t>Customer Care Abbreviations, Definitions, and Terms Index (017428)</w:t>
        </w:r>
      </w:hyperlink>
    </w:p>
    <w:p w14:paraId="34F5F3EF" w14:textId="45237D9A" w:rsidR="00B7086B" w:rsidRDefault="00B7086B" w:rsidP="00391E4C">
      <w:pPr>
        <w:spacing w:before="120" w:after="120"/>
      </w:pPr>
      <w:r w:rsidRPr="001A0DD0">
        <w:rPr>
          <w:b/>
        </w:rPr>
        <w:t xml:space="preserve">Parent </w:t>
      </w:r>
      <w:r w:rsidR="00301E84">
        <w:rPr>
          <w:b/>
        </w:rPr>
        <w:t>Document</w:t>
      </w:r>
      <w:r w:rsidRPr="001A0DD0">
        <w:rPr>
          <w:b/>
        </w:rPr>
        <w:t>:</w:t>
      </w:r>
      <w:r>
        <w:rPr>
          <w:b/>
        </w:rPr>
        <w:t xml:space="preserve"> </w:t>
      </w:r>
      <w:r w:rsidR="00301E84">
        <w:rPr>
          <w:b/>
        </w:rPr>
        <w:t xml:space="preserve"> </w:t>
      </w:r>
      <w:hyperlink r:id="rId23" w:tgtFrame="_blank" w:history="1">
        <w:r w:rsidRPr="001A0DD0">
          <w:rPr>
            <w:color w:val="0000FF"/>
            <w:u w:val="single"/>
          </w:rPr>
          <w:t>CALL 0049 Customer Care Internal and External Call Handling</w:t>
        </w:r>
      </w:hyperlink>
    </w:p>
    <w:p w14:paraId="206B491D" w14:textId="694EB83F" w:rsidR="00DB7F73" w:rsidRDefault="00EA26E7" w:rsidP="00391E4C">
      <w:pPr>
        <w:spacing w:before="120" w:after="120"/>
        <w:jc w:val="right"/>
      </w:pPr>
      <w:hyperlink w:anchor="_top" w:history="1">
        <w:r w:rsidRPr="00EA26E7">
          <w:rPr>
            <w:rStyle w:val="Hyperlink"/>
          </w:rPr>
          <w:t>Top of the Document</w:t>
        </w:r>
      </w:hyperlink>
    </w:p>
    <w:p w14:paraId="2AFD5F28" w14:textId="74EB7386" w:rsidR="00D82A2D" w:rsidRDefault="00D82A2D" w:rsidP="00085F1C">
      <w:pPr>
        <w:spacing w:before="120" w:after="120"/>
        <w:rPr>
          <w:color w:val="333333"/>
          <w:sz w:val="17"/>
          <w:szCs w:val="17"/>
        </w:rPr>
      </w:pPr>
    </w:p>
    <w:p w14:paraId="55384B09" w14:textId="77777777" w:rsidR="00710E68" w:rsidRPr="00C247CB" w:rsidRDefault="00710E68" w:rsidP="00085F1C">
      <w:pPr>
        <w:spacing w:before="120" w:after="120"/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C81CF7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C81CF7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C81CF7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6BA37960" w14:textId="77777777" w:rsidR="00710E68" w:rsidRPr="00C247CB" w:rsidRDefault="00710E68" w:rsidP="00085F1C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E83689"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E83689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7974414C" w14:textId="77777777" w:rsidR="005A64DA" w:rsidRPr="00C247CB" w:rsidRDefault="005A64DA" w:rsidP="00085F1C">
      <w:pPr>
        <w:spacing w:before="120" w:after="120"/>
        <w:jc w:val="center"/>
        <w:rPr>
          <w:sz w:val="16"/>
          <w:szCs w:val="16"/>
        </w:rPr>
      </w:pPr>
    </w:p>
    <w:sectPr w:rsidR="005A64DA" w:rsidRPr="00C247CB" w:rsidSect="00E37627">
      <w:footerReference w:type="default" r:id="rId24"/>
      <w:headerReference w:type="first" r:id="rId25"/>
      <w:footerReference w:type="first" r:id="rId2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1F38C" w14:textId="77777777" w:rsidR="00C315E1" w:rsidRDefault="00C315E1">
      <w:r>
        <w:separator/>
      </w:r>
    </w:p>
  </w:endnote>
  <w:endnote w:type="continuationSeparator" w:id="0">
    <w:p w14:paraId="425AC263" w14:textId="77777777" w:rsidR="00C315E1" w:rsidRDefault="00C3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98E66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F5F78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09C6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8F1BE" w14:textId="77777777" w:rsidR="00C315E1" w:rsidRDefault="00C315E1">
      <w:r>
        <w:separator/>
      </w:r>
    </w:p>
  </w:footnote>
  <w:footnote w:type="continuationSeparator" w:id="0">
    <w:p w14:paraId="6EDE5137" w14:textId="77777777" w:rsidR="00C315E1" w:rsidRDefault="00C31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3BA7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7834DAF"/>
    <w:multiLevelType w:val="hybridMultilevel"/>
    <w:tmpl w:val="773A861C"/>
    <w:lvl w:ilvl="0" w:tplc="A93CD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CC0C4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44FE1"/>
    <w:multiLevelType w:val="hybridMultilevel"/>
    <w:tmpl w:val="AA003A62"/>
    <w:lvl w:ilvl="0" w:tplc="04090019">
      <w:start w:val="1"/>
      <w:numFmt w:val="lowerLetter"/>
      <w:lvlText w:val="%1.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7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702B1"/>
    <w:multiLevelType w:val="hybridMultilevel"/>
    <w:tmpl w:val="C9E034E2"/>
    <w:lvl w:ilvl="0" w:tplc="2BBAFE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963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E4E1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DEDE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0A44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A86D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72A3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AAED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47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E56D50"/>
    <w:multiLevelType w:val="hybridMultilevel"/>
    <w:tmpl w:val="3AF4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77E8D"/>
    <w:multiLevelType w:val="hybridMultilevel"/>
    <w:tmpl w:val="07E4F6B8"/>
    <w:lvl w:ilvl="0" w:tplc="8F9A7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9AC3986"/>
    <w:multiLevelType w:val="hybridMultilevel"/>
    <w:tmpl w:val="259A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1083B"/>
    <w:multiLevelType w:val="hybridMultilevel"/>
    <w:tmpl w:val="D454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F9331E0"/>
    <w:multiLevelType w:val="hybridMultilevel"/>
    <w:tmpl w:val="2530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B6B6B"/>
    <w:multiLevelType w:val="hybridMultilevel"/>
    <w:tmpl w:val="7046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B438DE"/>
    <w:multiLevelType w:val="hybridMultilevel"/>
    <w:tmpl w:val="037E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C728E"/>
    <w:multiLevelType w:val="hybridMultilevel"/>
    <w:tmpl w:val="00DC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DB3BC3"/>
    <w:multiLevelType w:val="hybridMultilevel"/>
    <w:tmpl w:val="1CC07880"/>
    <w:lvl w:ilvl="0" w:tplc="5AC21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A67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2093">
    <w:abstractNumId w:val="18"/>
  </w:num>
  <w:num w:numId="2" w16cid:durableId="1834446077">
    <w:abstractNumId w:val="4"/>
  </w:num>
  <w:num w:numId="3" w16cid:durableId="1058359208">
    <w:abstractNumId w:val="20"/>
  </w:num>
  <w:num w:numId="4" w16cid:durableId="1480924120">
    <w:abstractNumId w:val="23"/>
  </w:num>
  <w:num w:numId="5" w16cid:durableId="844709527">
    <w:abstractNumId w:val="2"/>
  </w:num>
  <w:num w:numId="6" w16cid:durableId="789082552">
    <w:abstractNumId w:val="24"/>
  </w:num>
  <w:num w:numId="7" w16cid:durableId="1831286972">
    <w:abstractNumId w:val="15"/>
  </w:num>
  <w:num w:numId="8" w16cid:durableId="15983654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18282522">
    <w:abstractNumId w:val="7"/>
  </w:num>
  <w:num w:numId="10" w16cid:durableId="2064986726">
    <w:abstractNumId w:val="1"/>
  </w:num>
  <w:num w:numId="11" w16cid:durableId="1790390113">
    <w:abstractNumId w:val="5"/>
  </w:num>
  <w:num w:numId="12" w16cid:durableId="1735005057">
    <w:abstractNumId w:val="3"/>
  </w:num>
  <w:num w:numId="13" w16cid:durableId="1618876618">
    <w:abstractNumId w:val="12"/>
  </w:num>
  <w:num w:numId="14" w16cid:durableId="470634690">
    <w:abstractNumId w:val="9"/>
  </w:num>
  <w:num w:numId="15" w16cid:durableId="2053338275">
    <w:abstractNumId w:val="19"/>
  </w:num>
  <w:num w:numId="16" w16cid:durableId="1633290861">
    <w:abstractNumId w:val="25"/>
  </w:num>
  <w:num w:numId="17" w16cid:durableId="892428960">
    <w:abstractNumId w:val="21"/>
  </w:num>
  <w:num w:numId="18" w16cid:durableId="221258618">
    <w:abstractNumId w:val="16"/>
  </w:num>
  <w:num w:numId="19" w16cid:durableId="308750819">
    <w:abstractNumId w:val="14"/>
  </w:num>
  <w:num w:numId="20" w16cid:durableId="1751193897">
    <w:abstractNumId w:val="13"/>
  </w:num>
  <w:num w:numId="21" w16cid:durableId="1422724551">
    <w:abstractNumId w:val="17"/>
  </w:num>
  <w:num w:numId="22" w16cid:durableId="2081632010">
    <w:abstractNumId w:val="22"/>
  </w:num>
  <w:num w:numId="23" w16cid:durableId="809592972">
    <w:abstractNumId w:val="10"/>
  </w:num>
  <w:num w:numId="24" w16cid:durableId="1970238349">
    <w:abstractNumId w:val="11"/>
  </w:num>
  <w:num w:numId="25" w16cid:durableId="1677069689">
    <w:abstractNumId w:val="0"/>
  </w:num>
  <w:num w:numId="26" w16cid:durableId="45955295">
    <w:abstractNumId w:val="6"/>
  </w:num>
  <w:num w:numId="27" w16cid:durableId="19427559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3073"/>
    <w:rsid w:val="00003189"/>
    <w:rsid w:val="00015A2E"/>
    <w:rsid w:val="00035BED"/>
    <w:rsid w:val="00046482"/>
    <w:rsid w:val="00061AD2"/>
    <w:rsid w:val="00085F1C"/>
    <w:rsid w:val="000863D4"/>
    <w:rsid w:val="0008665F"/>
    <w:rsid w:val="00095AB5"/>
    <w:rsid w:val="000A0F5A"/>
    <w:rsid w:val="000A51FE"/>
    <w:rsid w:val="000A6B88"/>
    <w:rsid w:val="000B2531"/>
    <w:rsid w:val="000B3C4C"/>
    <w:rsid w:val="000B656F"/>
    <w:rsid w:val="000B6E8D"/>
    <w:rsid w:val="000B72DF"/>
    <w:rsid w:val="000C7580"/>
    <w:rsid w:val="000D1870"/>
    <w:rsid w:val="000D47B7"/>
    <w:rsid w:val="000D4BA2"/>
    <w:rsid w:val="000D6714"/>
    <w:rsid w:val="000E4703"/>
    <w:rsid w:val="000E6086"/>
    <w:rsid w:val="000F0D1B"/>
    <w:rsid w:val="000F54AF"/>
    <w:rsid w:val="00104CDE"/>
    <w:rsid w:val="00115944"/>
    <w:rsid w:val="001166FF"/>
    <w:rsid w:val="0012373E"/>
    <w:rsid w:val="001360A5"/>
    <w:rsid w:val="001377CA"/>
    <w:rsid w:val="00152300"/>
    <w:rsid w:val="0016273A"/>
    <w:rsid w:val="0016741C"/>
    <w:rsid w:val="00181B1A"/>
    <w:rsid w:val="00186A47"/>
    <w:rsid w:val="0019130B"/>
    <w:rsid w:val="001A5256"/>
    <w:rsid w:val="001B3879"/>
    <w:rsid w:val="001D1B86"/>
    <w:rsid w:val="001D6C4E"/>
    <w:rsid w:val="001E5FD1"/>
    <w:rsid w:val="001E7746"/>
    <w:rsid w:val="001F0774"/>
    <w:rsid w:val="001F1218"/>
    <w:rsid w:val="001F3234"/>
    <w:rsid w:val="001F5947"/>
    <w:rsid w:val="002016B4"/>
    <w:rsid w:val="002055CF"/>
    <w:rsid w:val="00214EA2"/>
    <w:rsid w:val="00221FA5"/>
    <w:rsid w:val="00243EBB"/>
    <w:rsid w:val="00247A8B"/>
    <w:rsid w:val="00255C6B"/>
    <w:rsid w:val="00260090"/>
    <w:rsid w:val="0026343B"/>
    <w:rsid w:val="00263D2F"/>
    <w:rsid w:val="002643D9"/>
    <w:rsid w:val="0026472F"/>
    <w:rsid w:val="00265D86"/>
    <w:rsid w:val="00272340"/>
    <w:rsid w:val="002750DC"/>
    <w:rsid w:val="00291CE8"/>
    <w:rsid w:val="00296127"/>
    <w:rsid w:val="00296765"/>
    <w:rsid w:val="002B593E"/>
    <w:rsid w:val="002B6A76"/>
    <w:rsid w:val="002C3CDA"/>
    <w:rsid w:val="002D2359"/>
    <w:rsid w:val="002E0AC4"/>
    <w:rsid w:val="002E6E58"/>
    <w:rsid w:val="002F1F92"/>
    <w:rsid w:val="002F6F9E"/>
    <w:rsid w:val="00301E84"/>
    <w:rsid w:val="00322D30"/>
    <w:rsid w:val="00326DC3"/>
    <w:rsid w:val="00327711"/>
    <w:rsid w:val="0033143E"/>
    <w:rsid w:val="0034318F"/>
    <w:rsid w:val="0034552B"/>
    <w:rsid w:val="003552C2"/>
    <w:rsid w:val="00367BC9"/>
    <w:rsid w:val="003725A1"/>
    <w:rsid w:val="0038344D"/>
    <w:rsid w:val="003868A2"/>
    <w:rsid w:val="00391E4C"/>
    <w:rsid w:val="00392A5B"/>
    <w:rsid w:val="003A6D70"/>
    <w:rsid w:val="003A7DC7"/>
    <w:rsid w:val="003B1F86"/>
    <w:rsid w:val="003B3A8B"/>
    <w:rsid w:val="003C06FB"/>
    <w:rsid w:val="003C3DF4"/>
    <w:rsid w:val="003C4627"/>
    <w:rsid w:val="003C6FA5"/>
    <w:rsid w:val="003D0FA4"/>
    <w:rsid w:val="003E3BFD"/>
    <w:rsid w:val="003E6145"/>
    <w:rsid w:val="003E6C1A"/>
    <w:rsid w:val="003F1BFB"/>
    <w:rsid w:val="003F4599"/>
    <w:rsid w:val="003F6377"/>
    <w:rsid w:val="003F778E"/>
    <w:rsid w:val="0040640A"/>
    <w:rsid w:val="004067D3"/>
    <w:rsid w:val="00406DB5"/>
    <w:rsid w:val="0040796E"/>
    <w:rsid w:val="00410C00"/>
    <w:rsid w:val="00412794"/>
    <w:rsid w:val="00413847"/>
    <w:rsid w:val="0042336D"/>
    <w:rsid w:val="004243AD"/>
    <w:rsid w:val="004261FE"/>
    <w:rsid w:val="00427841"/>
    <w:rsid w:val="00442000"/>
    <w:rsid w:val="00444EE8"/>
    <w:rsid w:val="004455D8"/>
    <w:rsid w:val="00457EAE"/>
    <w:rsid w:val="00461103"/>
    <w:rsid w:val="0046546E"/>
    <w:rsid w:val="0046641B"/>
    <w:rsid w:val="004671F0"/>
    <w:rsid w:val="004768BE"/>
    <w:rsid w:val="00477F73"/>
    <w:rsid w:val="0048355A"/>
    <w:rsid w:val="00484781"/>
    <w:rsid w:val="00486108"/>
    <w:rsid w:val="004B123E"/>
    <w:rsid w:val="004B7929"/>
    <w:rsid w:val="004B7BF3"/>
    <w:rsid w:val="004D0AF2"/>
    <w:rsid w:val="004D3C53"/>
    <w:rsid w:val="004E4A5E"/>
    <w:rsid w:val="004F7F34"/>
    <w:rsid w:val="0050347E"/>
    <w:rsid w:val="00505588"/>
    <w:rsid w:val="00506E45"/>
    <w:rsid w:val="00512486"/>
    <w:rsid w:val="00517454"/>
    <w:rsid w:val="00523AF8"/>
    <w:rsid w:val="0052465B"/>
    <w:rsid w:val="00524CDD"/>
    <w:rsid w:val="005373D9"/>
    <w:rsid w:val="00547C68"/>
    <w:rsid w:val="00556001"/>
    <w:rsid w:val="005646CE"/>
    <w:rsid w:val="00565A58"/>
    <w:rsid w:val="00565BA0"/>
    <w:rsid w:val="0057247F"/>
    <w:rsid w:val="00577909"/>
    <w:rsid w:val="00582E85"/>
    <w:rsid w:val="00583F96"/>
    <w:rsid w:val="005850B5"/>
    <w:rsid w:val="00586F81"/>
    <w:rsid w:val="00587EE4"/>
    <w:rsid w:val="00590021"/>
    <w:rsid w:val="005910B5"/>
    <w:rsid w:val="00595E18"/>
    <w:rsid w:val="005A07BF"/>
    <w:rsid w:val="005A372D"/>
    <w:rsid w:val="005A6118"/>
    <w:rsid w:val="005A64DA"/>
    <w:rsid w:val="005A7571"/>
    <w:rsid w:val="005B446E"/>
    <w:rsid w:val="005B5D5B"/>
    <w:rsid w:val="005C1D83"/>
    <w:rsid w:val="005C3DEB"/>
    <w:rsid w:val="005E650E"/>
    <w:rsid w:val="005F3AB3"/>
    <w:rsid w:val="005F61DF"/>
    <w:rsid w:val="0060635B"/>
    <w:rsid w:val="0062266A"/>
    <w:rsid w:val="00622D77"/>
    <w:rsid w:val="00627F34"/>
    <w:rsid w:val="00636B18"/>
    <w:rsid w:val="00637CA1"/>
    <w:rsid w:val="00640092"/>
    <w:rsid w:val="00647CDD"/>
    <w:rsid w:val="00653DDE"/>
    <w:rsid w:val="00662334"/>
    <w:rsid w:val="0066617F"/>
    <w:rsid w:val="00674A16"/>
    <w:rsid w:val="00691E10"/>
    <w:rsid w:val="006950BB"/>
    <w:rsid w:val="006A0481"/>
    <w:rsid w:val="006A0CB8"/>
    <w:rsid w:val="006A3897"/>
    <w:rsid w:val="006B01BD"/>
    <w:rsid w:val="006B3FB0"/>
    <w:rsid w:val="006C110C"/>
    <w:rsid w:val="006C1C20"/>
    <w:rsid w:val="006C4A4B"/>
    <w:rsid w:val="006C653F"/>
    <w:rsid w:val="006E6FFC"/>
    <w:rsid w:val="006F1BF0"/>
    <w:rsid w:val="006F7DFC"/>
    <w:rsid w:val="00704AF2"/>
    <w:rsid w:val="00705F51"/>
    <w:rsid w:val="0070776C"/>
    <w:rsid w:val="00710E68"/>
    <w:rsid w:val="00714001"/>
    <w:rsid w:val="00714BA0"/>
    <w:rsid w:val="00725B82"/>
    <w:rsid w:val="007269B6"/>
    <w:rsid w:val="00726E7A"/>
    <w:rsid w:val="0073294A"/>
    <w:rsid w:val="00732E52"/>
    <w:rsid w:val="00736607"/>
    <w:rsid w:val="0073743C"/>
    <w:rsid w:val="007524B2"/>
    <w:rsid w:val="00752801"/>
    <w:rsid w:val="00754515"/>
    <w:rsid w:val="007562AB"/>
    <w:rsid w:val="00785118"/>
    <w:rsid w:val="00785C47"/>
    <w:rsid w:val="00786BEB"/>
    <w:rsid w:val="007A403E"/>
    <w:rsid w:val="007A75EA"/>
    <w:rsid w:val="007B1BA1"/>
    <w:rsid w:val="007B6E97"/>
    <w:rsid w:val="007C505F"/>
    <w:rsid w:val="007C77DD"/>
    <w:rsid w:val="007E3EA6"/>
    <w:rsid w:val="007F04AB"/>
    <w:rsid w:val="00803AE3"/>
    <w:rsid w:val="008042E1"/>
    <w:rsid w:val="00804D63"/>
    <w:rsid w:val="00806B9D"/>
    <w:rsid w:val="00812777"/>
    <w:rsid w:val="008230FA"/>
    <w:rsid w:val="0084129E"/>
    <w:rsid w:val="00842C04"/>
    <w:rsid w:val="00843390"/>
    <w:rsid w:val="00846373"/>
    <w:rsid w:val="00846ECB"/>
    <w:rsid w:val="008568AE"/>
    <w:rsid w:val="00860590"/>
    <w:rsid w:val="00861316"/>
    <w:rsid w:val="008614E8"/>
    <w:rsid w:val="00861EB2"/>
    <w:rsid w:val="0086210A"/>
    <w:rsid w:val="00867EDF"/>
    <w:rsid w:val="008734D7"/>
    <w:rsid w:val="00875F0D"/>
    <w:rsid w:val="00875F22"/>
    <w:rsid w:val="00877414"/>
    <w:rsid w:val="008825E7"/>
    <w:rsid w:val="008A03B7"/>
    <w:rsid w:val="008A43E1"/>
    <w:rsid w:val="008A619C"/>
    <w:rsid w:val="008C2197"/>
    <w:rsid w:val="008C3493"/>
    <w:rsid w:val="008D0276"/>
    <w:rsid w:val="008D11A6"/>
    <w:rsid w:val="008D1F7B"/>
    <w:rsid w:val="008D2D64"/>
    <w:rsid w:val="008E21BE"/>
    <w:rsid w:val="008E698F"/>
    <w:rsid w:val="008F16E7"/>
    <w:rsid w:val="00901797"/>
    <w:rsid w:val="0090240F"/>
    <w:rsid w:val="00902E07"/>
    <w:rsid w:val="00904888"/>
    <w:rsid w:val="00912128"/>
    <w:rsid w:val="00912E67"/>
    <w:rsid w:val="00913B1B"/>
    <w:rsid w:val="0092189C"/>
    <w:rsid w:val="009222FD"/>
    <w:rsid w:val="00927861"/>
    <w:rsid w:val="00931F73"/>
    <w:rsid w:val="00940EF9"/>
    <w:rsid w:val="0094148C"/>
    <w:rsid w:val="00947783"/>
    <w:rsid w:val="00952F90"/>
    <w:rsid w:val="00954FE8"/>
    <w:rsid w:val="009563CC"/>
    <w:rsid w:val="009726E0"/>
    <w:rsid w:val="00981918"/>
    <w:rsid w:val="00990822"/>
    <w:rsid w:val="00996CD5"/>
    <w:rsid w:val="009B293F"/>
    <w:rsid w:val="009C4A31"/>
    <w:rsid w:val="009C5B6C"/>
    <w:rsid w:val="009C7FD1"/>
    <w:rsid w:val="009D751B"/>
    <w:rsid w:val="009E00C2"/>
    <w:rsid w:val="009E48B0"/>
    <w:rsid w:val="009F321E"/>
    <w:rsid w:val="009F6FD2"/>
    <w:rsid w:val="009F78D3"/>
    <w:rsid w:val="00A116B5"/>
    <w:rsid w:val="00A20686"/>
    <w:rsid w:val="00A3546E"/>
    <w:rsid w:val="00A3735E"/>
    <w:rsid w:val="00A4732A"/>
    <w:rsid w:val="00A50BA9"/>
    <w:rsid w:val="00A54B4B"/>
    <w:rsid w:val="00A57D26"/>
    <w:rsid w:val="00A7166B"/>
    <w:rsid w:val="00A72DEB"/>
    <w:rsid w:val="00A735A6"/>
    <w:rsid w:val="00A816B8"/>
    <w:rsid w:val="00A81F0F"/>
    <w:rsid w:val="00A83BA0"/>
    <w:rsid w:val="00A84F18"/>
    <w:rsid w:val="00A85045"/>
    <w:rsid w:val="00A860BE"/>
    <w:rsid w:val="00A908CE"/>
    <w:rsid w:val="00A95738"/>
    <w:rsid w:val="00A96C3B"/>
    <w:rsid w:val="00A97B7D"/>
    <w:rsid w:val="00AA2252"/>
    <w:rsid w:val="00AA4825"/>
    <w:rsid w:val="00AB33E1"/>
    <w:rsid w:val="00AC4214"/>
    <w:rsid w:val="00AC6E70"/>
    <w:rsid w:val="00AD0D02"/>
    <w:rsid w:val="00AD1646"/>
    <w:rsid w:val="00AD67A5"/>
    <w:rsid w:val="00AD7AB4"/>
    <w:rsid w:val="00AD7F70"/>
    <w:rsid w:val="00AF038B"/>
    <w:rsid w:val="00AF44D8"/>
    <w:rsid w:val="00AF51BF"/>
    <w:rsid w:val="00AF57C2"/>
    <w:rsid w:val="00AF78FA"/>
    <w:rsid w:val="00AF79D5"/>
    <w:rsid w:val="00B078F6"/>
    <w:rsid w:val="00B102CE"/>
    <w:rsid w:val="00B12D10"/>
    <w:rsid w:val="00B23F61"/>
    <w:rsid w:val="00B2452B"/>
    <w:rsid w:val="00B26013"/>
    <w:rsid w:val="00B26045"/>
    <w:rsid w:val="00B44C55"/>
    <w:rsid w:val="00B46A95"/>
    <w:rsid w:val="00B5114C"/>
    <w:rsid w:val="00B5123C"/>
    <w:rsid w:val="00B544C2"/>
    <w:rsid w:val="00B5566F"/>
    <w:rsid w:val="00B630A6"/>
    <w:rsid w:val="00B637CC"/>
    <w:rsid w:val="00B66748"/>
    <w:rsid w:val="00B7086B"/>
    <w:rsid w:val="00B70CC4"/>
    <w:rsid w:val="00B8461A"/>
    <w:rsid w:val="00BB02DE"/>
    <w:rsid w:val="00BB0FB4"/>
    <w:rsid w:val="00BB371A"/>
    <w:rsid w:val="00BC48BE"/>
    <w:rsid w:val="00BD08A7"/>
    <w:rsid w:val="00BD5E06"/>
    <w:rsid w:val="00BD7B25"/>
    <w:rsid w:val="00BE1AFF"/>
    <w:rsid w:val="00BF74E9"/>
    <w:rsid w:val="00C03E9F"/>
    <w:rsid w:val="00C071E7"/>
    <w:rsid w:val="00C119B4"/>
    <w:rsid w:val="00C247CB"/>
    <w:rsid w:val="00C24E83"/>
    <w:rsid w:val="00C315E1"/>
    <w:rsid w:val="00C32D18"/>
    <w:rsid w:val="00C360BD"/>
    <w:rsid w:val="00C372E0"/>
    <w:rsid w:val="00C4164E"/>
    <w:rsid w:val="00C457BD"/>
    <w:rsid w:val="00C476E1"/>
    <w:rsid w:val="00C52E77"/>
    <w:rsid w:val="00C53E82"/>
    <w:rsid w:val="00C566B3"/>
    <w:rsid w:val="00C56AE9"/>
    <w:rsid w:val="00C63CF0"/>
    <w:rsid w:val="00C65249"/>
    <w:rsid w:val="00C67B32"/>
    <w:rsid w:val="00C72007"/>
    <w:rsid w:val="00C75C83"/>
    <w:rsid w:val="00C81CF7"/>
    <w:rsid w:val="00C837BA"/>
    <w:rsid w:val="00C83AF3"/>
    <w:rsid w:val="00C95346"/>
    <w:rsid w:val="00C97007"/>
    <w:rsid w:val="00CA15FA"/>
    <w:rsid w:val="00CA1E95"/>
    <w:rsid w:val="00CA3B23"/>
    <w:rsid w:val="00CA5362"/>
    <w:rsid w:val="00CA62F6"/>
    <w:rsid w:val="00CB0C1D"/>
    <w:rsid w:val="00CB348E"/>
    <w:rsid w:val="00CB7663"/>
    <w:rsid w:val="00CC5AA2"/>
    <w:rsid w:val="00CC721A"/>
    <w:rsid w:val="00CD089C"/>
    <w:rsid w:val="00CD0963"/>
    <w:rsid w:val="00CD5C71"/>
    <w:rsid w:val="00CE3D42"/>
    <w:rsid w:val="00CE53E6"/>
    <w:rsid w:val="00CE66B6"/>
    <w:rsid w:val="00CF1691"/>
    <w:rsid w:val="00CF539A"/>
    <w:rsid w:val="00CF6131"/>
    <w:rsid w:val="00D06EAA"/>
    <w:rsid w:val="00D36733"/>
    <w:rsid w:val="00D40281"/>
    <w:rsid w:val="00D4580F"/>
    <w:rsid w:val="00D471B5"/>
    <w:rsid w:val="00D54E9B"/>
    <w:rsid w:val="00D56A03"/>
    <w:rsid w:val="00D571DB"/>
    <w:rsid w:val="00D6774D"/>
    <w:rsid w:val="00D747BF"/>
    <w:rsid w:val="00D75191"/>
    <w:rsid w:val="00D75860"/>
    <w:rsid w:val="00D80929"/>
    <w:rsid w:val="00D82A2D"/>
    <w:rsid w:val="00D846E6"/>
    <w:rsid w:val="00D85254"/>
    <w:rsid w:val="00D92FCF"/>
    <w:rsid w:val="00D94FB0"/>
    <w:rsid w:val="00DA0D10"/>
    <w:rsid w:val="00DA53AB"/>
    <w:rsid w:val="00DA6053"/>
    <w:rsid w:val="00DB7F73"/>
    <w:rsid w:val="00DC4FFC"/>
    <w:rsid w:val="00DD0280"/>
    <w:rsid w:val="00DE5FBB"/>
    <w:rsid w:val="00DE79F7"/>
    <w:rsid w:val="00DF5F78"/>
    <w:rsid w:val="00DF6BE4"/>
    <w:rsid w:val="00DF7765"/>
    <w:rsid w:val="00E10774"/>
    <w:rsid w:val="00E116B1"/>
    <w:rsid w:val="00E157BC"/>
    <w:rsid w:val="00E37627"/>
    <w:rsid w:val="00E414EC"/>
    <w:rsid w:val="00E44AE0"/>
    <w:rsid w:val="00E50E4A"/>
    <w:rsid w:val="00E625C0"/>
    <w:rsid w:val="00E63A9F"/>
    <w:rsid w:val="00E650D0"/>
    <w:rsid w:val="00E744EC"/>
    <w:rsid w:val="00E83689"/>
    <w:rsid w:val="00E91F5F"/>
    <w:rsid w:val="00EA26E7"/>
    <w:rsid w:val="00EA7301"/>
    <w:rsid w:val="00EB12DD"/>
    <w:rsid w:val="00EB153E"/>
    <w:rsid w:val="00EB1F94"/>
    <w:rsid w:val="00EB202F"/>
    <w:rsid w:val="00EB57EB"/>
    <w:rsid w:val="00EC0AC8"/>
    <w:rsid w:val="00EC5C81"/>
    <w:rsid w:val="00EC7FBB"/>
    <w:rsid w:val="00ED0F0A"/>
    <w:rsid w:val="00ED50CF"/>
    <w:rsid w:val="00ED769E"/>
    <w:rsid w:val="00EE20CF"/>
    <w:rsid w:val="00EE2346"/>
    <w:rsid w:val="00EE453B"/>
    <w:rsid w:val="00EF1C1C"/>
    <w:rsid w:val="00EF6899"/>
    <w:rsid w:val="00F05797"/>
    <w:rsid w:val="00F06D1D"/>
    <w:rsid w:val="00F1152F"/>
    <w:rsid w:val="00F207B3"/>
    <w:rsid w:val="00F5486B"/>
    <w:rsid w:val="00F60729"/>
    <w:rsid w:val="00F62BC4"/>
    <w:rsid w:val="00F658E0"/>
    <w:rsid w:val="00F777DE"/>
    <w:rsid w:val="00F81783"/>
    <w:rsid w:val="00F81813"/>
    <w:rsid w:val="00F84D65"/>
    <w:rsid w:val="00F859B7"/>
    <w:rsid w:val="00F85B79"/>
    <w:rsid w:val="00F8687C"/>
    <w:rsid w:val="00F877B4"/>
    <w:rsid w:val="00F93722"/>
    <w:rsid w:val="00F97DFB"/>
    <w:rsid w:val="00FB0924"/>
    <w:rsid w:val="00FB2D67"/>
    <w:rsid w:val="00FB3DBC"/>
    <w:rsid w:val="00FB4507"/>
    <w:rsid w:val="00FC1C44"/>
    <w:rsid w:val="00FC2B53"/>
    <w:rsid w:val="00FC499F"/>
    <w:rsid w:val="00FE3AE9"/>
    <w:rsid w:val="00FF636B"/>
    <w:rsid w:val="0ACC56CA"/>
    <w:rsid w:val="0EF54E82"/>
    <w:rsid w:val="1107739B"/>
    <w:rsid w:val="11FC470E"/>
    <w:rsid w:val="130AF63E"/>
    <w:rsid w:val="147677B4"/>
    <w:rsid w:val="15D58ECC"/>
    <w:rsid w:val="1BB73B0F"/>
    <w:rsid w:val="22757E68"/>
    <w:rsid w:val="23F6E641"/>
    <w:rsid w:val="282A98F3"/>
    <w:rsid w:val="2C6721E1"/>
    <w:rsid w:val="30F4F870"/>
    <w:rsid w:val="3163D629"/>
    <w:rsid w:val="3AC55433"/>
    <w:rsid w:val="3EF2C3BC"/>
    <w:rsid w:val="4381FE69"/>
    <w:rsid w:val="44719805"/>
    <w:rsid w:val="44F99D02"/>
    <w:rsid w:val="451D802B"/>
    <w:rsid w:val="4592DBEF"/>
    <w:rsid w:val="470AA307"/>
    <w:rsid w:val="4B244E81"/>
    <w:rsid w:val="5825773C"/>
    <w:rsid w:val="58DD674E"/>
    <w:rsid w:val="5B3D2161"/>
    <w:rsid w:val="5B8FCEFD"/>
    <w:rsid w:val="5B94C265"/>
    <w:rsid w:val="5E7945A3"/>
    <w:rsid w:val="693177DF"/>
    <w:rsid w:val="6ABB174D"/>
    <w:rsid w:val="71C5D3A1"/>
    <w:rsid w:val="769C25A5"/>
    <w:rsid w:val="7A119416"/>
    <w:rsid w:val="7AFAFD5C"/>
    <w:rsid w:val="7CA5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A6848C"/>
  <w15:chartTrackingRefBased/>
  <w15:docId w15:val="{B9678A20-6D10-43A5-9186-7D476A1F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5E18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E83689"/>
    <w:pPr>
      <w:spacing w:after="240"/>
      <w:outlineLvl w:val="0"/>
    </w:pPr>
    <w:rPr>
      <w:rFonts w:ascii="Arial" w:hAnsi="Arial" w:cs="Arial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E83689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E83689"/>
    <w:rPr>
      <w:rFonts w:ascii="Arial" w:hAnsi="Arial" w:cs="Arial"/>
      <w:b/>
      <w:sz w:val="32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E83689"/>
    <w:rPr>
      <w:rFonts w:ascii="Verdana" w:hAnsi="Verdana" w:cs="Arial"/>
      <w:b/>
      <w:bCs/>
      <w:iCs/>
      <w:sz w:val="28"/>
      <w:szCs w:val="28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E836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83689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F84D65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391E4C"/>
    <w:pPr>
      <w:tabs>
        <w:tab w:val="right" w:leader="dot" w:pos="12950"/>
      </w:tabs>
      <w:spacing w:before="120" w:after="120"/>
      <w:contextualSpacing/>
    </w:pPr>
  </w:style>
  <w:style w:type="paragraph" w:styleId="CommentText">
    <w:name w:val="annotation text"/>
    <w:basedOn w:val="Normal"/>
    <w:link w:val="CommentTextChar"/>
    <w:rsid w:val="00F84D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4D65"/>
  </w:style>
  <w:style w:type="paragraph" w:styleId="CommentSubject">
    <w:name w:val="annotation subject"/>
    <w:basedOn w:val="CommentText"/>
    <w:next w:val="CommentText"/>
    <w:link w:val="CommentSubjectChar"/>
    <w:rsid w:val="00F84D65"/>
    <w:rPr>
      <w:b/>
      <w:bCs/>
    </w:rPr>
  </w:style>
  <w:style w:type="character" w:customStyle="1" w:styleId="CommentSubjectChar">
    <w:name w:val="Comment Subject Char"/>
    <w:link w:val="CommentSubject"/>
    <w:rsid w:val="00F84D65"/>
    <w:rPr>
      <w:b/>
      <w:bCs/>
    </w:rPr>
  </w:style>
  <w:style w:type="paragraph" w:styleId="ListParagraph">
    <w:name w:val="List Paragraph"/>
    <w:basedOn w:val="Normal"/>
    <w:uiPriority w:val="34"/>
    <w:qFormat/>
    <w:rsid w:val="00301E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1E8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F3234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9222F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policy.corp.cvscaremark.com/pnp/faces/DocRenderer?documentId=CALL-0049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AA0F1-D575-437E-966D-4F7A2D26620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69F57FA-3DED-460B-BD36-AD4DAC8A643B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3.xml><?xml version="1.0" encoding="utf-8"?>
<ds:datastoreItem xmlns:ds="http://schemas.openxmlformats.org/officeDocument/2006/customXml" ds:itemID="{3C65D35D-EF93-4AE8-92B2-5F98CA3BD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9C7B5AA-82E1-4A78-8510-23B845D1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15</TotalTime>
  <Pages>1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16</cp:revision>
  <cp:lastPrinted>2007-01-03T16:56:00Z</cp:lastPrinted>
  <dcterms:created xsi:type="dcterms:W3CDTF">2024-11-22T20:47:00Z</dcterms:created>
  <dcterms:modified xsi:type="dcterms:W3CDTF">2025-09-09T17:58:00Z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Davis, David</vt:lpwstr>
  </property>
  <property fmtid="{D5CDD505-2E9C-101B-9397-08002B2CF9AE}" pid="4" name="display_urn:schemas-microsoft-com:office:office#Author">
    <vt:lpwstr>Davis, David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ISdDocName">
    <vt:lpwstr>MYLIFE_DOC_169457</vt:lpwstr>
  </property>
  <property fmtid="{D5CDD505-2E9C-101B-9397-08002B2CF9AE}" pid="8" name="DISProperties">
    <vt:lpwstr>DISdDocName,DIScgiUrl,DISdUser,DISdID,DISidcName,DISTaskPaneUrl</vt:lpwstr>
  </property>
  <property fmtid="{D5CDD505-2E9C-101B-9397-08002B2CF9AE}" pid="9" name="DIScgiUrl">
    <vt:lpwstr>https://10.6.74.62:10013/cs/idcplg</vt:lpwstr>
  </property>
  <property fmtid="{D5CDD505-2E9C-101B-9397-08002B2CF9AE}" pid="10" name="DISdUser">
    <vt:lpwstr>1037760</vt:lpwstr>
  </property>
  <property fmtid="{D5CDD505-2E9C-101B-9397-08002B2CF9AE}" pid="11" name="DISdID">
    <vt:lpwstr>181928</vt:lpwstr>
  </property>
  <property fmtid="{D5CDD505-2E9C-101B-9397-08002B2CF9AE}" pid="12" name="DISidcName">
    <vt:lpwstr>109224410010013</vt:lpwstr>
  </property>
  <property fmtid="{D5CDD505-2E9C-101B-9397-08002B2CF9AE}" pid="13" name="DISTaskPaneUrl">
    <vt:lpwstr>https://10.6.74.62:10013/cs/idcplg?IdcService=DESKTOP_DOC_INFO&amp;dDocName=MYLIFE_DOC_169457&amp;dID=181928&amp;ClientControlled=DocMan,taskpane&amp;coreContentOnly=1</vt:lpwstr>
  </property>
  <property fmtid="{D5CDD505-2E9C-101B-9397-08002B2CF9AE}" pid="14" name="MSIP_Label_67599526-06ca-49cc-9fa9-5307800a949a_Enabled">
    <vt:lpwstr>true</vt:lpwstr>
  </property>
  <property fmtid="{D5CDD505-2E9C-101B-9397-08002B2CF9AE}" pid="15" name="MSIP_Label_67599526-06ca-49cc-9fa9-5307800a949a_SetDate">
    <vt:lpwstr>2022-01-26T12:59:54Z</vt:lpwstr>
  </property>
  <property fmtid="{D5CDD505-2E9C-101B-9397-08002B2CF9AE}" pid="16" name="MSIP_Label_67599526-06ca-49cc-9fa9-5307800a949a_Method">
    <vt:lpwstr>Standard</vt:lpwstr>
  </property>
  <property fmtid="{D5CDD505-2E9C-101B-9397-08002B2CF9AE}" pid="17" name="MSIP_Label_67599526-06ca-49cc-9fa9-5307800a949a_Name">
    <vt:lpwstr>67599526-06ca-49cc-9fa9-5307800a949a</vt:lpwstr>
  </property>
  <property fmtid="{D5CDD505-2E9C-101B-9397-08002B2CF9AE}" pid="18" name="MSIP_Label_67599526-06ca-49cc-9fa9-5307800a949a_SiteId">
    <vt:lpwstr>fabb61b8-3afe-4e75-b934-a47f782b8cd7</vt:lpwstr>
  </property>
  <property fmtid="{D5CDD505-2E9C-101B-9397-08002B2CF9AE}" pid="19" name="MSIP_Label_67599526-06ca-49cc-9fa9-5307800a949a_ActionId">
    <vt:lpwstr>979a5809-d2b3-47cf-991b-7e00c2211e8f</vt:lpwstr>
  </property>
  <property fmtid="{D5CDD505-2E9C-101B-9397-08002B2CF9AE}" pid="20" name="MSIP_Label_67599526-06ca-49cc-9fa9-5307800a949a_ContentBits">
    <vt:lpwstr>0</vt:lpwstr>
  </property>
  <property fmtid="{D5CDD505-2E9C-101B-9397-08002B2CF9AE}" pid="21" name="ContentTypeId">
    <vt:lpwstr>0x010100ACB49505AAF66544B3991E59A726D05A</vt:lpwstr>
  </property>
  <property fmtid="{D5CDD505-2E9C-101B-9397-08002B2CF9AE}" pid="22" name="MediaServiceImageTags">
    <vt:lpwstr/>
  </property>
</Properties>
</file>