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7BB10" w14:textId="5DDBE186" w:rsidR="00B17B22" w:rsidRPr="00B17B22" w:rsidRDefault="00B17B22" w:rsidP="00B17B22">
      <w:pPr>
        <w:spacing w:before="120" w:after="120" w:line="414" w:lineRule="atLeast"/>
        <w:outlineLvl w:val="0"/>
        <w:rPr>
          <w:rFonts w:ascii="Times New Roman" w:eastAsia="Times New Roman" w:hAnsi="Times New Roman" w:cs="Times New Roman"/>
          <w:b/>
          <w:bCs/>
          <w:color w:val="000000"/>
          <w:kern w:val="36"/>
          <w:sz w:val="36"/>
          <w:szCs w:val="36"/>
        </w:rPr>
      </w:pPr>
      <w:bookmarkStart w:id="0" w:name="_top"/>
      <w:bookmarkStart w:id="1" w:name="OLE_LINK21"/>
      <w:bookmarkEnd w:id="0"/>
      <w:r>
        <w:rPr>
          <w:rFonts w:ascii="Verdana" w:eastAsia="Times New Roman" w:hAnsi="Verdana" w:cs="Times New Roman"/>
          <w:b/>
          <w:bCs/>
          <w:color w:val="000000"/>
          <w:kern w:val="36"/>
          <w:sz w:val="36"/>
          <w:szCs w:val="36"/>
        </w:rPr>
        <w:t xml:space="preserve">Compass - </w:t>
      </w:r>
      <w:r w:rsidRPr="00B17B22">
        <w:rPr>
          <w:rFonts w:ascii="Verdana" w:eastAsia="Times New Roman" w:hAnsi="Verdana" w:cs="Times New Roman"/>
          <w:b/>
          <w:bCs/>
          <w:color w:val="000000"/>
          <w:kern w:val="36"/>
          <w:sz w:val="36"/>
          <w:szCs w:val="36"/>
        </w:rPr>
        <w:t>Client Program Offerings </w:t>
      </w:r>
    </w:p>
    <w:bookmarkEnd w:id="1"/>
    <w:p w14:paraId="6E752E9B" w14:textId="77777777" w:rsidR="00B17B22" w:rsidRPr="00B17B22" w:rsidRDefault="00B17B22" w:rsidP="00B17B22">
      <w:pPr>
        <w:spacing w:before="120" w:after="120" w:line="240" w:lineRule="auto"/>
        <w:rPr>
          <w:rFonts w:ascii="Times New Roman" w:eastAsia="Times New Roman" w:hAnsi="Times New Roman" w:cs="Times New Roman"/>
          <w:color w:val="000000"/>
          <w:sz w:val="27"/>
          <w:szCs w:val="27"/>
        </w:rPr>
      </w:pPr>
      <w:r w:rsidRPr="00B17B22">
        <w:rPr>
          <w:rFonts w:ascii="Verdana" w:eastAsia="Times New Roman" w:hAnsi="Verdana" w:cs="Times New Roman"/>
          <w:color w:val="000000"/>
        </w:rPr>
        <w:t> </w:t>
      </w:r>
    </w:p>
    <w:p w14:paraId="2089D71D" w14:textId="1F67E459" w:rsidR="00B17B22" w:rsidRPr="00B17B22" w:rsidRDefault="00B17B22" w:rsidP="00A343D5">
      <w:pPr>
        <w:spacing w:before="120" w:after="120" w:line="240" w:lineRule="auto"/>
        <w:rPr>
          <w:rFonts w:ascii="Times New Roman" w:eastAsia="Times New Roman" w:hAnsi="Times New Roman" w:cs="Times New Roman"/>
          <w:color w:val="000000"/>
          <w:sz w:val="27"/>
          <w:szCs w:val="27"/>
        </w:rPr>
      </w:pPr>
      <w:r w:rsidRPr="00B17B22">
        <w:rPr>
          <w:rFonts w:ascii="Verdana" w:eastAsia="Times New Roman" w:hAnsi="Verdana" w:cs="Times New Roman"/>
          <w:b/>
          <w:bCs/>
          <w:color w:val="000000"/>
          <w:sz w:val="24"/>
          <w:szCs w:val="24"/>
        </w:rPr>
        <w:t>Description:</w:t>
      </w:r>
      <w:r w:rsidRPr="00B17B22">
        <w:rPr>
          <w:rFonts w:ascii="Verdana" w:eastAsia="Times New Roman" w:hAnsi="Verdana" w:cs="Times New Roman"/>
          <w:color w:val="000000"/>
          <w:sz w:val="24"/>
          <w:szCs w:val="24"/>
        </w:rPr>
        <w:t> </w:t>
      </w:r>
      <w:bookmarkStart w:id="2" w:name="OLE_LINK23"/>
      <w:r w:rsidR="00C652F8">
        <w:rPr>
          <w:rFonts w:ascii="Verdana" w:eastAsia="Times New Roman" w:hAnsi="Verdana" w:cs="Times New Roman"/>
          <w:color w:val="000000"/>
          <w:sz w:val="24"/>
          <w:szCs w:val="24"/>
        </w:rPr>
        <w:t>P</w:t>
      </w:r>
      <w:r w:rsidRPr="00B17B22">
        <w:rPr>
          <w:rFonts w:ascii="Verdana" w:eastAsia="Times New Roman" w:hAnsi="Verdana" w:cs="Times New Roman"/>
          <w:color w:val="000000"/>
          <w:sz w:val="24"/>
          <w:szCs w:val="24"/>
        </w:rPr>
        <w:t>rovides an overview and comparison of the different CVS Caremark plan designs.</w:t>
      </w:r>
      <w:bookmarkStart w:id="3" w:name="OLE_LINK20"/>
      <w:bookmarkEnd w:id="2"/>
      <w:bookmarkEnd w:id="3"/>
    </w:p>
    <w:p w14:paraId="38D47634" w14:textId="77777777" w:rsidR="002D38A7" w:rsidRDefault="002D38A7" w:rsidP="00A343D5">
      <w:pPr>
        <w:spacing w:before="120" w:after="120" w:line="240" w:lineRule="auto"/>
        <w:rPr>
          <w:rFonts w:ascii="Verdana" w:eastAsia="Times New Roman" w:hAnsi="Verdana" w:cs="Times New Roman"/>
          <w:b/>
          <w:bCs/>
          <w:color w:val="000000"/>
          <w:sz w:val="24"/>
          <w:szCs w:val="24"/>
        </w:rPr>
      </w:pPr>
      <w:bookmarkStart w:id="4" w:name="OLE_LINK69"/>
    </w:p>
    <w:p w14:paraId="3EB0116C" w14:textId="6F29FCCF" w:rsidR="00B17B22" w:rsidRPr="00B17B22" w:rsidRDefault="00B17B22" w:rsidP="00A343D5">
      <w:pPr>
        <w:spacing w:before="120" w:after="120" w:line="240" w:lineRule="auto"/>
        <w:rPr>
          <w:rFonts w:ascii="Times New Roman" w:eastAsia="Times New Roman" w:hAnsi="Times New Roman" w:cs="Times New Roman"/>
          <w:color w:val="000000"/>
          <w:sz w:val="27"/>
          <w:szCs w:val="27"/>
        </w:rPr>
      </w:pPr>
      <w:r w:rsidRPr="00B17B22">
        <w:rPr>
          <w:rFonts w:ascii="Verdana" w:eastAsia="Times New Roman" w:hAnsi="Verdana" w:cs="Times New Roman"/>
          <w:b/>
          <w:bCs/>
          <w:color w:val="000000"/>
          <w:sz w:val="24"/>
          <w:szCs w:val="24"/>
        </w:rPr>
        <w:t>Reminders:</w:t>
      </w:r>
      <w:bookmarkEnd w:id="4"/>
    </w:p>
    <w:p w14:paraId="03992C90" w14:textId="18739695" w:rsidR="00B17B22" w:rsidRPr="002D38A7" w:rsidRDefault="00B17B22" w:rsidP="00A343D5">
      <w:pPr>
        <w:pStyle w:val="ListParagraph"/>
        <w:numPr>
          <w:ilvl w:val="0"/>
          <w:numId w:val="5"/>
        </w:numPr>
        <w:spacing w:before="120" w:after="120" w:line="240" w:lineRule="auto"/>
        <w:rPr>
          <w:rFonts w:ascii="Times New Roman" w:eastAsia="Times New Roman" w:hAnsi="Times New Roman" w:cs="Times New Roman"/>
          <w:color w:val="000000"/>
          <w:sz w:val="24"/>
          <w:szCs w:val="24"/>
        </w:rPr>
      </w:pPr>
      <w:bookmarkStart w:id="5" w:name="OLE_LINK1"/>
      <w:r w:rsidRPr="002D38A7">
        <w:rPr>
          <w:rFonts w:ascii="Verdana" w:eastAsia="Times New Roman" w:hAnsi="Verdana" w:cs="Times New Roman"/>
          <w:color w:val="000000"/>
          <w:sz w:val="24"/>
          <w:szCs w:val="24"/>
        </w:rPr>
        <w:t>Click the</w:t>
      </w:r>
      <w:r w:rsidR="001B0ACC">
        <w:rPr>
          <w:rFonts w:ascii="Verdana" w:eastAsia="Times New Roman" w:hAnsi="Verdana" w:cs="Times New Roman"/>
          <w:color w:val="000000"/>
          <w:sz w:val="24"/>
          <w:szCs w:val="24"/>
        </w:rPr>
        <w:t xml:space="preserve"> blue</w:t>
      </w:r>
      <w:r w:rsidRPr="002D38A7">
        <w:rPr>
          <w:rFonts w:ascii="Verdana" w:eastAsia="Times New Roman" w:hAnsi="Verdana" w:cs="Times New Roman"/>
          <w:color w:val="000000"/>
          <w:sz w:val="24"/>
          <w:szCs w:val="24"/>
        </w:rPr>
        <w:t> </w:t>
      </w:r>
      <w:r w:rsidRPr="002D38A7">
        <w:rPr>
          <w:rFonts w:ascii="Verdana" w:eastAsia="Times New Roman" w:hAnsi="Verdana" w:cs="Times New Roman"/>
          <w:b/>
          <w:bCs/>
          <w:color w:val="000000"/>
          <w:sz w:val="24"/>
          <w:szCs w:val="24"/>
        </w:rPr>
        <w:t>Client Program Offering</w:t>
      </w:r>
      <w:r w:rsidRPr="002D38A7">
        <w:rPr>
          <w:rFonts w:ascii="Verdana" w:eastAsia="Times New Roman" w:hAnsi="Verdana" w:cs="Times New Roman"/>
          <w:color w:val="000000"/>
          <w:sz w:val="24"/>
          <w:szCs w:val="24"/>
        </w:rPr>
        <w:t xml:space="preserve"> hyperlink in the </w:t>
      </w:r>
      <w:r w:rsidRPr="00CF0287">
        <w:rPr>
          <w:rFonts w:ascii="Verdana" w:eastAsia="Times New Roman" w:hAnsi="Verdana" w:cs="Times New Roman"/>
          <w:b/>
          <w:bCs/>
          <w:color w:val="000000"/>
          <w:sz w:val="24"/>
          <w:szCs w:val="24"/>
        </w:rPr>
        <w:t>Quick Actions</w:t>
      </w:r>
      <w:r w:rsidRPr="002D38A7">
        <w:rPr>
          <w:rFonts w:ascii="Verdana" w:eastAsia="Times New Roman" w:hAnsi="Verdana" w:cs="Times New Roman"/>
          <w:color w:val="000000"/>
          <w:sz w:val="24"/>
          <w:szCs w:val="24"/>
        </w:rPr>
        <w:t xml:space="preserve"> panel on the Claims Landing </w:t>
      </w:r>
      <w:r w:rsidR="00DA3471" w:rsidRPr="002D38A7">
        <w:rPr>
          <w:rFonts w:ascii="Verdana" w:eastAsia="Times New Roman" w:hAnsi="Verdana" w:cs="Times New Roman"/>
          <w:color w:val="000000"/>
          <w:sz w:val="24"/>
          <w:szCs w:val="24"/>
        </w:rPr>
        <w:t>P</w:t>
      </w:r>
      <w:r w:rsidRPr="002D38A7">
        <w:rPr>
          <w:rFonts w:ascii="Verdana" w:eastAsia="Times New Roman" w:hAnsi="Verdana" w:cs="Times New Roman"/>
          <w:color w:val="000000"/>
          <w:sz w:val="24"/>
          <w:szCs w:val="24"/>
        </w:rPr>
        <w:t>age</w:t>
      </w:r>
      <w:r w:rsidR="007E2B09" w:rsidRPr="002D38A7">
        <w:rPr>
          <w:rFonts w:ascii="Verdana" w:eastAsia="Times New Roman" w:hAnsi="Verdana" w:cs="Times New Roman"/>
          <w:color w:val="000000"/>
          <w:sz w:val="24"/>
          <w:szCs w:val="24"/>
        </w:rPr>
        <w:t>.</w:t>
      </w:r>
    </w:p>
    <w:bookmarkEnd w:id="5"/>
    <w:p w14:paraId="264F3900" w14:textId="3EC0972C" w:rsidR="00B17B22" w:rsidRPr="002D38A7" w:rsidRDefault="002A4F76" w:rsidP="00A343D5">
      <w:pPr>
        <w:pStyle w:val="ListParagraph"/>
        <w:numPr>
          <w:ilvl w:val="0"/>
          <w:numId w:val="5"/>
        </w:numPr>
        <w:spacing w:before="120" w:after="120" w:line="240" w:lineRule="auto"/>
        <w:rPr>
          <w:rFonts w:ascii="Times New Roman" w:eastAsia="Times New Roman" w:hAnsi="Times New Roman" w:cs="Times New Roman"/>
          <w:color w:val="000000"/>
          <w:sz w:val="24"/>
          <w:szCs w:val="24"/>
        </w:rPr>
      </w:pPr>
      <w:r w:rsidRPr="002A4F76">
        <w:rPr>
          <w:rFonts w:ascii="Verdana" w:eastAsia="Times New Roman" w:hAnsi="Verdana" w:cs="Times New Roman"/>
          <w:color w:val="000000"/>
          <w:sz w:val="24"/>
          <w:szCs w:val="24"/>
        </w:rPr>
        <w:t xml:space="preserve">Specialty Medications are not subject to Maintenance Choice </w:t>
      </w:r>
      <w:r w:rsidR="00A744EF">
        <w:rPr>
          <w:rFonts w:ascii="Verdana" w:eastAsia="Times New Roman" w:hAnsi="Verdana" w:cs="Times New Roman"/>
          <w:color w:val="000000"/>
          <w:sz w:val="24"/>
          <w:szCs w:val="24"/>
        </w:rPr>
        <w:t>n</w:t>
      </w:r>
      <w:r w:rsidRPr="002A4F76">
        <w:rPr>
          <w:rFonts w:ascii="Verdana" w:eastAsia="Times New Roman" w:hAnsi="Verdana" w:cs="Times New Roman"/>
          <w:color w:val="000000"/>
          <w:sz w:val="24"/>
          <w:szCs w:val="24"/>
        </w:rPr>
        <w:t xml:space="preserve">or </w:t>
      </w:r>
      <w:r w:rsidR="00A36575" w:rsidRPr="002A4F76">
        <w:rPr>
          <w:rFonts w:ascii="Verdana" w:eastAsia="Times New Roman" w:hAnsi="Verdana" w:cs="Times New Roman"/>
          <w:color w:val="000000"/>
          <w:sz w:val="24"/>
          <w:szCs w:val="24"/>
        </w:rPr>
        <w:t>are they available</w:t>
      </w:r>
      <w:r w:rsidRPr="002A4F76">
        <w:rPr>
          <w:rFonts w:ascii="Verdana" w:eastAsia="Times New Roman" w:hAnsi="Verdana" w:cs="Times New Roman"/>
          <w:color w:val="000000"/>
          <w:sz w:val="24"/>
          <w:szCs w:val="24"/>
        </w:rPr>
        <w:t xml:space="preserve"> at CVS Retail. View CIF to confirm Specialty coverage and pharmacy details. Refer to </w:t>
      </w:r>
      <w:hyperlink r:id="rId10" w:anchor="!/view?docid=845064bd-8ae0-4d30-af0a-e21d6d81933c" w:history="1">
        <w:r w:rsidRPr="004D45FF">
          <w:rPr>
            <w:rStyle w:val="Hyperlink"/>
            <w:rFonts w:ascii="Verdana" w:eastAsia="Times New Roman" w:hAnsi="Verdana" w:cs="Times New Roman"/>
            <w:sz w:val="24"/>
            <w:szCs w:val="24"/>
          </w:rPr>
          <w:t>Compass - Specialty Pharmacy (CTS - Caremark Therapeutic Pharmacy Services) Call Handling 058175</w:t>
        </w:r>
      </w:hyperlink>
      <w:r w:rsidRPr="002A4F76">
        <w:rPr>
          <w:rFonts w:ascii="Verdana" w:eastAsia="Times New Roman" w:hAnsi="Verdana" w:cs="Times New Roman"/>
          <w:color w:val="000000"/>
          <w:sz w:val="24"/>
          <w:szCs w:val="24"/>
        </w:rPr>
        <w:t>.</w:t>
      </w:r>
    </w:p>
    <w:p w14:paraId="6D375838" w14:textId="73926655" w:rsidR="00B17B22" w:rsidRPr="002D38A7" w:rsidRDefault="00B25FC3" w:rsidP="00A343D5">
      <w:pPr>
        <w:pStyle w:val="ListParagraph"/>
        <w:numPr>
          <w:ilvl w:val="0"/>
          <w:numId w:val="5"/>
        </w:numPr>
        <w:spacing w:before="120" w:after="120" w:line="240" w:lineRule="auto"/>
        <w:rPr>
          <w:rFonts w:ascii="Times New Roman" w:eastAsia="Times New Roman" w:hAnsi="Times New Roman" w:cs="Times New Roman"/>
          <w:color w:val="000000"/>
          <w:sz w:val="24"/>
          <w:szCs w:val="24"/>
        </w:rPr>
      </w:pPr>
      <w:bookmarkStart w:id="6" w:name="OLE_LINK5"/>
      <w:r w:rsidRPr="002D38A7">
        <w:rPr>
          <w:rFonts w:ascii="Verdana" w:eastAsia="Times New Roman" w:hAnsi="Verdana" w:cs="Times New Roman"/>
          <w:color w:val="000000"/>
          <w:sz w:val="24"/>
          <w:szCs w:val="24"/>
        </w:rPr>
        <w:t xml:space="preserve">This is not an </w:t>
      </w:r>
      <w:r w:rsidR="00C330D5" w:rsidRPr="002D38A7">
        <w:rPr>
          <w:rFonts w:ascii="Verdana" w:eastAsia="Times New Roman" w:hAnsi="Verdana" w:cs="Times New Roman"/>
          <w:color w:val="000000"/>
          <w:sz w:val="24"/>
          <w:szCs w:val="24"/>
        </w:rPr>
        <w:t>all-inclusive</w:t>
      </w:r>
      <w:r w:rsidRPr="002D38A7">
        <w:rPr>
          <w:rFonts w:ascii="Verdana" w:eastAsia="Times New Roman" w:hAnsi="Verdana" w:cs="Times New Roman"/>
          <w:color w:val="000000"/>
          <w:sz w:val="24"/>
          <w:szCs w:val="24"/>
        </w:rPr>
        <w:t xml:space="preserve"> list</w:t>
      </w:r>
      <w:r w:rsidR="00AC36BB" w:rsidRPr="002D38A7">
        <w:rPr>
          <w:rFonts w:ascii="Verdana" w:eastAsia="Times New Roman" w:hAnsi="Verdana" w:cs="Times New Roman"/>
          <w:color w:val="000000"/>
          <w:sz w:val="24"/>
          <w:szCs w:val="24"/>
        </w:rPr>
        <w:t>,</w:t>
      </w:r>
      <w:r w:rsidRPr="002D38A7">
        <w:rPr>
          <w:rFonts w:ascii="Verdana" w:eastAsia="Times New Roman" w:hAnsi="Verdana" w:cs="Times New Roman"/>
          <w:color w:val="000000"/>
          <w:sz w:val="24"/>
          <w:szCs w:val="24"/>
        </w:rPr>
        <w:t xml:space="preserve"> use the Client Program Offerings pop up</w:t>
      </w:r>
      <w:r w:rsidR="00AC36BB" w:rsidRPr="002D38A7">
        <w:rPr>
          <w:rFonts w:ascii="Verdana" w:eastAsia="Times New Roman" w:hAnsi="Verdana" w:cs="Times New Roman"/>
          <w:color w:val="000000"/>
          <w:sz w:val="24"/>
          <w:szCs w:val="24"/>
        </w:rPr>
        <w:t xml:space="preserve"> and the CIF for additional program offerings.</w:t>
      </w:r>
      <w:bookmarkEnd w:id="6"/>
    </w:p>
    <w:p w14:paraId="31956384" w14:textId="77777777" w:rsidR="00A753A0" w:rsidRPr="00A753A0" w:rsidRDefault="00A753A0" w:rsidP="002D38A7">
      <w:pPr>
        <w:spacing w:line="240" w:lineRule="auto"/>
        <w:ind w:left="1006"/>
        <w:rPr>
          <w:rFonts w:ascii="Times New Roman" w:eastAsia="Times New Roman" w:hAnsi="Times New Roman" w:cs="Times New Roman"/>
          <w:color w:val="000000"/>
          <w:sz w:val="24"/>
          <w:szCs w:val="24"/>
        </w:rPr>
      </w:pPr>
    </w:p>
    <w:tbl>
      <w:tblPr>
        <w:tblW w:w="5000" w:type="pct"/>
        <w:tblCellMar>
          <w:left w:w="0" w:type="dxa"/>
          <w:right w:w="0" w:type="dxa"/>
        </w:tblCellMar>
        <w:tblLook w:val="04A0" w:firstRow="1" w:lastRow="0" w:firstColumn="1" w:lastColumn="0" w:noHBand="0" w:noVBand="1"/>
      </w:tblPr>
      <w:tblGrid>
        <w:gridCol w:w="1929"/>
        <w:gridCol w:w="7415"/>
      </w:tblGrid>
      <w:tr w:rsidR="00B17B22" w:rsidRPr="00B17B22" w14:paraId="2E4C6C90" w14:textId="77777777" w:rsidTr="00F309A9">
        <w:tc>
          <w:tcPr>
            <w:tcW w:w="867"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7F404158" w14:textId="77777777" w:rsidR="00B17B22" w:rsidRPr="00B17B22" w:rsidRDefault="00B17B22" w:rsidP="00A343D5">
            <w:pPr>
              <w:spacing w:before="120" w:after="120" w:line="240" w:lineRule="auto"/>
              <w:jc w:val="center"/>
              <w:rPr>
                <w:rFonts w:ascii="Times New Roman" w:eastAsia="Times New Roman" w:hAnsi="Times New Roman" w:cs="Times New Roman"/>
                <w:sz w:val="24"/>
                <w:szCs w:val="24"/>
              </w:rPr>
            </w:pPr>
            <w:r w:rsidRPr="00B17B22">
              <w:rPr>
                <w:rFonts w:ascii="Verdana" w:eastAsia="Times New Roman" w:hAnsi="Verdana" w:cs="Times New Roman"/>
                <w:b/>
                <w:bCs/>
                <w:sz w:val="24"/>
                <w:szCs w:val="24"/>
              </w:rPr>
              <w:t>Plan Design</w:t>
            </w:r>
          </w:p>
        </w:tc>
        <w:tc>
          <w:tcPr>
            <w:tcW w:w="4133"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5F17C77A" w14:textId="77777777" w:rsidR="00B17B22" w:rsidRPr="00B17B22" w:rsidRDefault="00B17B22" w:rsidP="00A343D5">
            <w:pPr>
              <w:spacing w:before="120" w:after="120" w:line="240" w:lineRule="auto"/>
              <w:jc w:val="center"/>
              <w:rPr>
                <w:rFonts w:ascii="Times New Roman" w:eastAsia="Times New Roman" w:hAnsi="Times New Roman" w:cs="Times New Roman"/>
                <w:sz w:val="24"/>
                <w:szCs w:val="24"/>
              </w:rPr>
            </w:pPr>
            <w:r w:rsidRPr="00B17B22">
              <w:rPr>
                <w:rFonts w:ascii="Verdana" w:eastAsia="Times New Roman" w:hAnsi="Verdana" w:cs="Times New Roman"/>
                <w:b/>
                <w:bCs/>
                <w:sz w:val="24"/>
                <w:szCs w:val="24"/>
              </w:rPr>
              <w:t>Description</w:t>
            </w:r>
          </w:p>
        </w:tc>
      </w:tr>
      <w:tr w:rsidR="00B17B22" w:rsidRPr="00B17B22" w14:paraId="58A85C30" w14:textId="77777777" w:rsidTr="00F309A9">
        <w:trPr>
          <w:trHeight w:val="507"/>
        </w:trPr>
        <w:tc>
          <w:tcPr>
            <w:tcW w:w="86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68FF740" w14:textId="77777777" w:rsidR="00B17B22" w:rsidRDefault="00B17B22" w:rsidP="008D4B4A">
            <w:pPr>
              <w:spacing w:before="120" w:after="120" w:line="240" w:lineRule="auto"/>
              <w:rPr>
                <w:rFonts w:ascii="Verdana" w:eastAsia="Times New Roman" w:hAnsi="Verdana" w:cs="Times New Roman"/>
                <w:b/>
                <w:bCs/>
                <w:sz w:val="24"/>
                <w:szCs w:val="24"/>
              </w:rPr>
            </w:pPr>
            <w:r>
              <w:rPr>
                <w:rFonts w:ascii="Verdana" w:eastAsia="Times New Roman" w:hAnsi="Verdana" w:cs="Times New Roman"/>
                <w:b/>
                <w:bCs/>
                <w:sz w:val="24"/>
                <w:szCs w:val="24"/>
              </w:rPr>
              <w:t>Auto Refill Program (ARP</w:t>
            </w:r>
            <w:r w:rsidR="00475728">
              <w:rPr>
                <w:rFonts w:ascii="Verdana" w:eastAsia="Times New Roman" w:hAnsi="Verdana" w:cs="Times New Roman"/>
                <w:b/>
                <w:bCs/>
                <w:sz w:val="24"/>
                <w:szCs w:val="24"/>
              </w:rPr>
              <w:t>)</w:t>
            </w:r>
          </w:p>
          <w:p w14:paraId="79A1AD5B" w14:textId="23769071" w:rsidR="00475728" w:rsidRPr="00B17B22" w:rsidRDefault="00475728" w:rsidP="008D4B4A">
            <w:pPr>
              <w:spacing w:before="120" w:after="120" w:line="240" w:lineRule="auto"/>
              <w:rPr>
                <w:rFonts w:ascii="Verdana" w:eastAsia="Times New Roman" w:hAnsi="Verdana" w:cs="Times New Roman"/>
                <w:b/>
                <w:bCs/>
                <w:sz w:val="24"/>
                <w:szCs w:val="24"/>
              </w:rPr>
            </w:pPr>
          </w:p>
        </w:tc>
        <w:tc>
          <w:tcPr>
            <w:tcW w:w="413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4A848327" w14:textId="5A639ED8" w:rsidR="00475728" w:rsidRPr="00B17B22" w:rsidRDefault="00C652F8" w:rsidP="008D4B4A">
            <w:pPr>
              <w:spacing w:before="120" w:after="120" w:line="240" w:lineRule="auto"/>
              <w:rPr>
                <w:noProof/>
                <w:sz w:val="24"/>
                <w:szCs w:val="24"/>
              </w:rPr>
            </w:pPr>
            <w:r>
              <w:rPr>
                <w:rFonts w:ascii="Verdana" w:hAnsi="Verdana"/>
                <w:noProof/>
                <w:color w:val="000000"/>
                <w:sz w:val="24"/>
                <w:szCs w:val="24"/>
              </w:rPr>
              <w:drawing>
                <wp:inline distT="0" distB="0" distL="0" distR="0" wp14:anchorId="101252D6" wp14:editId="2C8B1DA1">
                  <wp:extent cx="304762" cy="304762"/>
                  <wp:effectExtent l="0" t="0" r="635" b="635"/>
                  <wp:docPr id="91838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81242" name="Picture 91838124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17B22" w:rsidRPr="00B17B22">
              <w:rPr>
                <w:rFonts w:ascii="Verdana" w:hAnsi="Verdana"/>
                <w:color w:val="000000"/>
                <w:sz w:val="24"/>
                <w:szCs w:val="24"/>
              </w:rPr>
              <w:t xml:space="preserve">The Auto Refill </w:t>
            </w:r>
            <w:r w:rsidR="00B17B22">
              <w:rPr>
                <w:rFonts w:ascii="Verdana" w:hAnsi="Verdana"/>
                <w:color w:val="000000"/>
                <w:sz w:val="24"/>
                <w:szCs w:val="24"/>
              </w:rPr>
              <w:t>P</w:t>
            </w:r>
            <w:r w:rsidR="00B17B22" w:rsidRPr="00B17B22">
              <w:rPr>
                <w:rFonts w:ascii="Verdana" w:hAnsi="Verdana"/>
                <w:color w:val="000000"/>
                <w:sz w:val="24"/>
                <w:szCs w:val="24"/>
              </w:rPr>
              <w:t>rogram</w:t>
            </w:r>
            <w:r w:rsidR="00B17B22">
              <w:rPr>
                <w:rFonts w:ascii="Verdana" w:hAnsi="Verdana"/>
                <w:color w:val="000000"/>
                <w:sz w:val="24"/>
                <w:szCs w:val="24"/>
              </w:rPr>
              <w:t xml:space="preserve"> (ARP)</w:t>
            </w:r>
            <w:r w:rsidR="00B17B22" w:rsidRPr="00B17B22">
              <w:rPr>
                <w:rFonts w:ascii="Verdana" w:hAnsi="Verdana"/>
                <w:color w:val="000000"/>
                <w:sz w:val="24"/>
                <w:szCs w:val="24"/>
              </w:rPr>
              <w:t xml:space="preserve"> allows members to automatically receive maintenance prescription refills at the appropriate time, without having to manually place the order.</w:t>
            </w:r>
            <w:r w:rsidR="00CE27BF">
              <w:rPr>
                <w:rFonts w:ascii="Verdana" w:hAnsi="Verdana"/>
                <w:color w:val="000000"/>
                <w:sz w:val="24"/>
                <w:szCs w:val="24"/>
              </w:rPr>
              <w:t xml:space="preserve">  Refer to</w:t>
            </w:r>
            <w:r w:rsidR="002D7D2E">
              <w:rPr>
                <w:rFonts w:ascii="Verdana" w:hAnsi="Verdana"/>
                <w:color w:val="000000"/>
                <w:sz w:val="24"/>
                <w:szCs w:val="24"/>
              </w:rPr>
              <w:t xml:space="preserve"> </w:t>
            </w:r>
            <w:hyperlink r:id="rId12" w:anchor="!/view?docid=dbbd827c-6422-4d74-9564-18d510c03aee" w:history="1">
              <w:r w:rsidR="00427884" w:rsidRPr="00BC0350">
                <w:rPr>
                  <w:rStyle w:val="Hyperlink"/>
                  <w:rFonts w:ascii="Verdana" w:hAnsi="Verdana"/>
                  <w:sz w:val="24"/>
                  <w:szCs w:val="24"/>
                </w:rPr>
                <w:t xml:space="preserve">Auto Refill Program (ARP) Including Questions and Answers </w:t>
              </w:r>
              <w:r w:rsidR="00BC0350" w:rsidRPr="00BC0350">
                <w:rPr>
                  <w:rStyle w:val="Hyperlink"/>
                  <w:rFonts w:ascii="Verdana" w:hAnsi="Verdana"/>
                  <w:sz w:val="24"/>
                  <w:szCs w:val="24"/>
                </w:rPr>
                <w:t>(086374)</w:t>
              </w:r>
            </w:hyperlink>
            <w:r w:rsidR="008D4B4A">
              <w:rPr>
                <w:rFonts w:ascii="Verdana" w:hAnsi="Verdana"/>
                <w:color w:val="000000"/>
                <w:sz w:val="24"/>
                <w:szCs w:val="24"/>
              </w:rPr>
              <w:t>.</w:t>
            </w:r>
          </w:p>
        </w:tc>
      </w:tr>
      <w:tr w:rsidR="00B17B22" w:rsidRPr="00B17B22" w14:paraId="3D5BE3C7" w14:textId="77777777" w:rsidTr="00F309A9">
        <w:trPr>
          <w:trHeight w:val="282"/>
        </w:trPr>
        <w:tc>
          <w:tcPr>
            <w:tcW w:w="86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2F669E5" w14:textId="77777777" w:rsidR="00B17B22" w:rsidRDefault="00B17B22" w:rsidP="008D4B4A">
            <w:pPr>
              <w:spacing w:before="120" w:after="120" w:line="240" w:lineRule="auto"/>
              <w:rPr>
                <w:rFonts w:ascii="Verdana" w:eastAsia="Times New Roman" w:hAnsi="Verdana" w:cs="Times New Roman"/>
                <w:b/>
                <w:bCs/>
                <w:sz w:val="24"/>
                <w:szCs w:val="24"/>
              </w:rPr>
            </w:pPr>
            <w:r w:rsidRPr="00B17B22">
              <w:rPr>
                <w:rFonts w:ascii="Verdana" w:eastAsia="Times New Roman" w:hAnsi="Verdana" w:cs="Times New Roman"/>
                <w:b/>
                <w:bCs/>
                <w:sz w:val="24"/>
                <w:szCs w:val="24"/>
              </w:rPr>
              <w:t>Mandatory Mail</w:t>
            </w:r>
          </w:p>
          <w:p w14:paraId="6D157ACC" w14:textId="77777777" w:rsidR="00475728" w:rsidRDefault="00475728" w:rsidP="008D4B4A">
            <w:pPr>
              <w:spacing w:before="120" w:after="120" w:line="240" w:lineRule="auto"/>
              <w:rPr>
                <w:rFonts w:ascii="Verdana" w:eastAsia="Times New Roman" w:hAnsi="Verdana" w:cs="Times New Roman"/>
                <w:b/>
                <w:bCs/>
                <w:sz w:val="24"/>
                <w:szCs w:val="24"/>
              </w:rPr>
            </w:pPr>
          </w:p>
          <w:p w14:paraId="44ED909A" w14:textId="5249611D" w:rsidR="00B17B22" w:rsidRPr="00B17B22" w:rsidRDefault="00B17B22" w:rsidP="008D4B4A">
            <w:pPr>
              <w:spacing w:before="120" w:after="120" w:line="240" w:lineRule="auto"/>
              <w:rPr>
                <w:rFonts w:ascii="Times New Roman" w:eastAsia="Times New Roman" w:hAnsi="Times New Roman" w:cs="Times New Roman"/>
                <w:sz w:val="24"/>
                <w:szCs w:val="24"/>
              </w:rPr>
            </w:pPr>
          </w:p>
        </w:tc>
        <w:tc>
          <w:tcPr>
            <w:tcW w:w="413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3D4F585" w14:textId="0417069C" w:rsidR="00B17B22" w:rsidRDefault="00C652F8" w:rsidP="008D4B4A">
            <w:pPr>
              <w:spacing w:before="120" w:after="120" w:line="240" w:lineRule="auto"/>
              <w:rPr>
                <w:rFonts w:ascii="Verdana" w:eastAsia="Times New Roman" w:hAnsi="Verdana" w:cs="Times New Roman"/>
                <w:sz w:val="24"/>
                <w:szCs w:val="24"/>
              </w:rPr>
            </w:pPr>
            <w:r>
              <w:rPr>
                <w:rFonts w:ascii="Verdana" w:hAnsi="Verdana"/>
                <w:noProof/>
                <w:color w:val="000000"/>
                <w:sz w:val="24"/>
                <w:szCs w:val="24"/>
              </w:rPr>
              <w:drawing>
                <wp:inline distT="0" distB="0" distL="0" distR="0" wp14:anchorId="542F3C08" wp14:editId="331EDFB7">
                  <wp:extent cx="304762" cy="304762"/>
                  <wp:effectExtent l="0" t="0" r="635" b="635"/>
                  <wp:docPr id="117558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81242" name="Picture 91838124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17B22" w:rsidRPr="00B17B22">
              <w:rPr>
                <w:rFonts w:ascii="Verdana" w:eastAsia="Times New Roman" w:hAnsi="Verdana" w:cs="Times New Roman"/>
                <w:sz w:val="24"/>
                <w:szCs w:val="24"/>
              </w:rPr>
              <w:t>Members are limited to a certain number of 30 Day retail refills (varies per Client) at in-network retail pharmacies. After this limit is reached, maintenance medications are only covered via Mail Order in 90 Day supplies.</w:t>
            </w:r>
            <w:r w:rsidR="00CE27BF">
              <w:rPr>
                <w:rFonts w:ascii="Verdana" w:eastAsia="Times New Roman" w:hAnsi="Verdana" w:cs="Times New Roman"/>
                <w:sz w:val="24"/>
                <w:szCs w:val="24"/>
              </w:rPr>
              <w:t xml:space="preserve">  Refer to</w:t>
            </w:r>
            <w:r w:rsidR="00B17B22" w:rsidRPr="00B17B22">
              <w:rPr>
                <w:rFonts w:ascii="Verdana" w:eastAsia="Times New Roman" w:hAnsi="Verdana" w:cs="Times New Roman"/>
                <w:sz w:val="24"/>
                <w:szCs w:val="24"/>
              </w:rPr>
              <w:t> </w:t>
            </w:r>
            <w:hyperlink r:id="rId13" w:anchor="!/view?docid=3b60a22f-46f3-4a63-882c-1e8f680c2d8a" w:history="1">
              <w:r w:rsidR="006264CC" w:rsidRPr="00E8276B">
                <w:rPr>
                  <w:rStyle w:val="Hyperlink"/>
                  <w:rFonts w:ascii="Verdana" w:eastAsia="Times New Roman" w:hAnsi="Verdana" w:cs="Times New Roman"/>
                  <w:sz w:val="24"/>
                  <w:szCs w:val="24"/>
                </w:rPr>
                <w:t>Compass - Mandatory Mail Order Pharmacy Fills (</w:t>
              </w:r>
              <w:r w:rsidR="00E8276B" w:rsidRPr="00E8276B">
                <w:rPr>
                  <w:rStyle w:val="Hyperlink"/>
                  <w:rFonts w:ascii="Verdana" w:eastAsia="Times New Roman" w:hAnsi="Verdana" w:cs="Times New Roman"/>
                  <w:sz w:val="24"/>
                  <w:szCs w:val="24"/>
                </w:rPr>
                <w:t>065654)</w:t>
              </w:r>
            </w:hyperlink>
          </w:p>
          <w:p w14:paraId="68D137F0" w14:textId="46C878F4" w:rsidR="00475728" w:rsidRPr="00B17B22" w:rsidRDefault="00475728" w:rsidP="008D4B4A">
            <w:pPr>
              <w:spacing w:before="120" w:after="120" w:line="240" w:lineRule="auto"/>
              <w:rPr>
                <w:rFonts w:ascii="Times New Roman" w:eastAsia="Times New Roman" w:hAnsi="Times New Roman" w:cs="Times New Roman"/>
                <w:sz w:val="24"/>
                <w:szCs w:val="24"/>
              </w:rPr>
            </w:pPr>
          </w:p>
        </w:tc>
      </w:tr>
      <w:tr w:rsidR="00B17B22" w:rsidRPr="00B17B22" w14:paraId="53A20003" w14:textId="77777777" w:rsidTr="00F309A9">
        <w:tc>
          <w:tcPr>
            <w:tcW w:w="86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D80A610" w14:textId="77777777" w:rsidR="00B17B22" w:rsidRDefault="00B17B22" w:rsidP="008D4B4A">
            <w:pPr>
              <w:spacing w:before="120" w:after="120" w:line="240" w:lineRule="auto"/>
              <w:rPr>
                <w:rFonts w:ascii="Verdana" w:eastAsia="Times New Roman" w:hAnsi="Verdana" w:cs="Times New Roman"/>
                <w:b/>
                <w:bCs/>
                <w:sz w:val="24"/>
                <w:szCs w:val="24"/>
              </w:rPr>
            </w:pPr>
            <w:r w:rsidRPr="00B17B22">
              <w:rPr>
                <w:rFonts w:ascii="Verdana" w:eastAsia="Times New Roman" w:hAnsi="Verdana" w:cs="Times New Roman"/>
                <w:b/>
                <w:bCs/>
                <w:sz w:val="24"/>
                <w:szCs w:val="24"/>
              </w:rPr>
              <w:t>Incentivized Mail</w:t>
            </w:r>
          </w:p>
          <w:p w14:paraId="093E3139" w14:textId="21268EC2" w:rsidR="00475728" w:rsidRPr="00B17B22" w:rsidRDefault="00475728" w:rsidP="008D4B4A">
            <w:pPr>
              <w:spacing w:before="120" w:after="120" w:line="240" w:lineRule="auto"/>
              <w:rPr>
                <w:rFonts w:ascii="Times New Roman" w:eastAsia="Times New Roman" w:hAnsi="Times New Roman" w:cs="Times New Roman"/>
                <w:sz w:val="24"/>
                <w:szCs w:val="24"/>
              </w:rPr>
            </w:pPr>
          </w:p>
        </w:tc>
        <w:tc>
          <w:tcPr>
            <w:tcW w:w="413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C9E3378" w14:textId="78B7059B" w:rsidR="00B17B22" w:rsidRDefault="00B17B22" w:rsidP="008D4B4A">
            <w:pPr>
              <w:spacing w:before="120" w:after="120" w:line="240" w:lineRule="auto"/>
              <w:rPr>
                <w:rFonts w:ascii="Verdana" w:eastAsia="Times New Roman" w:hAnsi="Verdana" w:cs="Times New Roman"/>
                <w:sz w:val="24"/>
                <w:szCs w:val="24"/>
              </w:rPr>
            </w:pPr>
            <w:r w:rsidRPr="00B17B22">
              <w:rPr>
                <w:rFonts w:ascii="Verdana" w:eastAsia="Times New Roman" w:hAnsi="Verdana" w:cs="Times New Roman"/>
                <w:sz w:val="24"/>
                <w:szCs w:val="24"/>
              </w:rPr>
              <w:t>This program incentivizes the use of Mail Order for maintenance medications by ensuring lower co</w:t>
            </w:r>
            <w:r w:rsidR="008B4FC8">
              <w:rPr>
                <w:rFonts w:ascii="Verdana" w:eastAsia="Times New Roman" w:hAnsi="Verdana" w:cs="Times New Roman"/>
                <w:sz w:val="24"/>
                <w:szCs w:val="24"/>
              </w:rPr>
              <w:t>insurance</w:t>
            </w:r>
            <w:r w:rsidRPr="00B17B22">
              <w:rPr>
                <w:rFonts w:ascii="Verdana" w:eastAsia="Times New Roman" w:hAnsi="Verdana" w:cs="Times New Roman"/>
                <w:sz w:val="24"/>
                <w:szCs w:val="24"/>
              </w:rPr>
              <w:t>/copays for Mail, whereas Retail refills may either reject or experience an increase in cost/copay.</w:t>
            </w:r>
            <w:r w:rsidR="00C652F8">
              <w:rPr>
                <w:rFonts w:ascii="Verdana" w:eastAsia="Times New Roman" w:hAnsi="Verdana" w:cs="Times New Roman"/>
                <w:sz w:val="24"/>
                <w:szCs w:val="24"/>
              </w:rPr>
              <w:t xml:space="preserve">  </w:t>
            </w:r>
          </w:p>
          <w:p w14:paraId="78F33637" w14:textId="1FF62ECB" w:rsidR="00C652F8" w:rsidRDefault="00C652F8" w:rsidP="008D4B4A">
            <w:pPr>
              <w:spacing w:before="120" w:after="120" w:line="240" w:lineRule="auto"/>
              <w:rPr>
                <w:rFonts w:ascii="Verdana" w:eastAsia="Times New Roman" w:hAnsi="Verdana" w:cs="Times New Roman"/>
                <w:sz w:val="24"/>
                <w:szCs w:val="24"/>
              </w:rPr>
            </w:pPr>
            <w:r>
              <w:rPr>
                <w:rFonts w:ascii="Verdana" w:hAnsi="Verdana"/>
                <w:noProof/>
                <w:color w:val="000000"/>
                <w:sz w:val="24"/>
                <w:szCs w:val="24"/>
              </w:rPr>
              <w:drawing>
                <wp:inline distT="0" distB="0" distL="0" distR="0" wp14:anchorId="426DE974" wp14:editId="0DA1DA77">
                  <wp:extent cx="304762" cy="304762"/>
                  <wp:effectExtent l="0" t="0" r="635" b="635"/>
                  <wp:docPr id="26482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81242" name="Picture 91838124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eastAsia="Times New Roman" w:hAnsi="Verdana" w:cs="Times New Roman"/>
                <w:sz w:val="24"/>
                <w:szCs w:val="24"/>
              </w:rPr>
              <w:t>Refer to:</w:t>
            </w:r>
          </w:p>
          <w:p w14:paraId="7DB91A6E" w14:textId="7CAA85BA" w:rsidR="00504828" w:rsidRDefault="00B944C8" w:rsidP="008D4B4A">
            <w:pPr>
              <w:spacing w:before="120" w:after="120" w:line="240" w:lineRule="auto"/>
              <w:rPr>
                <w:rFonts w:ascii="Verdana" w:eastAsia="Times New Roman" w:hAnsi="Verdana" w:cs="Times New Roman"/>
                <w:sz w:val="24"/>
                <w:szCs w:val="24"/>
              </w:rPr>
            </w:pPr>
            <w:hyperlink r:id="rId14" w:anchor="!/view?docid=2caace6e-39db-4411-9813-86cc2997a67d" w:history="1">
              <w:r w:rsidR="00524CBA" w:rsidRPr="00B944C8">
                <w:rPr>
                  <w:rStyle w:val="Hyperlink"/>
                  <w:rFonts w:ascii="Verdana" w:eastAsia="Times New Roman" w:hAnsi="Verdana" w:cs="Times New Roman"/>
                  <w:sz w:val="24"/>
                  <w:szCs w:val="24"/>
                </w:rPr>
                <w:t>Compass - Handling Maintenance Choice Calls (</w:t>
              </w:r>
              <w:r w:rsidR="00B7478A" w:rsidRPr="00B944C8">
                <w:rPr>
                  <w:rStyle w:val="Hyperlink"/>
                  <w:rFonts w:ascii="Verdana" w:eastAsia="Times New Roman" w:hAnsi="Verdana" w:cs="Times New Roman"/>
                  <w:sz w:val="24"/>
                  <w:szCs w:val="24"/>
                </w:rPr>
                <w:t>062</w:t>
              </w:r>
              <w:r w:rsidR="00204158" w:rsidRPr="00B944C8">
                <w:rPr>
                  <w:rStyle w:val="Hyperlink"/>
                  <w:rFonts w:ascii="Verdana" w:eastAsia="Times New Roman" w:hAnsi="Verdana" w:cs="Times New Roman"/>
                  <w:sz w:val="24"/>
                  <w:szCs w:val="24"/>
                </w:rPr>
                <w:t>836)</w:t>
              </w:r>
            </w:hyperlink>
          </w:p>
          <w:p w14:paraId="6F2AC449" w14:textId="663A5036" w:rsidR="00D31F0F" w:rsidRPr="00E82956" w:rsidRDefault="00E82956" w:rsidP="008D4B4A">
            <w:pPr>
              <w:spacing w:before="120" w:after="120" w:line="240" w:lineRule="auto"/>
              <w:rPr>
                <w:rFonts w:ascii="Verdana" w:eastAsia="Times New Roman" w:hAnsi="Verdana" w:cs="Times New Roman"/>
                <w:sz w:val="24"/>
                <w:szCs w:val="24"/>
              </w:rPr>
            </w:pPr>
            <w:hyperlink r:id="rId15" w:anchor="!/view?docid=14ae0958-12e7-48ef-bdb1-8f903f3c48ae" w:history="1">
              <w:r w:rsidR="00D31F0F" w:rsidRPr="00E82956">
                <w:rPr>
                  <w:rStyle w:val="Hyperlink"/>
                  <w:rFonts w:ascii="Verdana" w:eastAsia="Times New Roman" w:hAnsi="Verdana" w:cs="Times New Roman"/>
                  <w:sz w:val="24"/>
                  <w:szCs w:val="24"/>
                </w:rPr>
                <w:t>Maintenance Choice All Access (010242)</w:t>
              </w:r>
            </w:hyperlink>
          </w:p>
          <w:p w14:paraId="31F308B6" w14:textId="7922F1AB" w:rsidR="00475728" w:rsidRPr="00B17B22" w:rsidRDefault="00475728" w:rsidP="008D4B4A">
            <w:pPr>
              <w:spacing w:before="120" w:after="120" w:line="240" w:lineRule="auto"/>
              <w:rPr>
                <w:rFonts w:ascii="Times New Roman" w:eastAsia="Times New Roman" w:hAnsi="Times New Roman" w:cs="Times New Roman"/>
                <w:sz w:val="24"/>
                <w:szCs w:val="24"/>
              </w:rPr>
            </w:pPr>
          </w:p>
        </w:tc>
      </w:tr>
      <w:tr w:rsidR="00B17B22" w:rsidRPr="00B17B22" w14:paraId="59B1D5BA" w14:textId="77777777" w:rsidTr="00F309A9">
        <w:trPr>
          <w:trHeight w:val="620"/>
        </w:trPr>
        <w:tc>
          <w:tcPr>
            <w:tcW w:w="86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5A0AE98" w14:textId="77777777" w:rsidR="00B17B22" w:rsidRDefault="00B17B22" w:rsidP="008D4B4A">
            <w:pPr>
              <w:spacing w:before="120" w:after="120" w:line="240" w:lineRule="auto"/>
              <w:rPr>
                <w:rFonts w:ascii="Verdana" w:eastAsia="Times New Roman" w:hAnsi="Verdana" w:cs="Times New Roman"/>
                <w:b/>
                <w:bCs/>
                <w:sz w:val="24"/>
                <w:szCs w:val="24"/>
              </w:rPr>
            </w:pPr>
            <w:r w:rsidRPr="00B17B22">
              <w:rPr>
                <w:rFonts w:ascii="Verdana" w:eastAsia="Times New Roman" w:hAnsi="Verdana" w:cs="Times New Roman"/>
                <w:b/>
                <w:bCs/>
                <w:sz w:val="24"/>
                <w:szCs w:val="24"/>
              </w:rPr>
              <w:t>Retail 90</w:t>
            </w:r>
          </w:p>
          <w:p w14:paraId="08E76163" w14:textId="5362F011" w:rsidR="00475728" w:rsidRPr="00B17B22" w:rsidRDefault="00475728" w:rsidP="008D4B4A">
            <w:pPr>
              <w:spacing w:before="120" w:after="120" w:line="240" w:lineRule="auto"/>
              <w:rPr>
                <w:rFonts w:ascii="Times New Roman" w:eastAsia="Times New Roman" w:hAnsi="Times New Roman" w:cs="Times New Roman"/>
                <w:sz w:val="24"/>
                <w:szCs w:val="24"/>
              </w:rPr>
            </w:pPr>
          </w:p>
        </w:tc>
        <w:tc>
          <w:tcPr>
            <w:tcW w:w="413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F8FD4D4" w14:textId="77777777" w:rsidR="00B17B22" w:rsidRPr="00B17B22" w:rsidRDefault="00B17B22" w:rsidP="008D4B4A">
            <w:pPr>
              <w:spacing w:before="120" w:after="120" w:line="240" w:lineRule="auto"/>
              <w:rPr>
                <w:rFonts w:ascii="Times New Roman" w:eastAsia="Times New Roman" w:hAnsi="Times New Roman" w:cs="Times New Roman"/>
                <w:sz w:val="24"/>
                <w:szCs w:val="24"/>
              </w:rPr>
            </w:pPr>
            <w:r w:rsidRPr="00B17B22">
              <w:rPr>
                <w:rFonts w:ascii="Verdana" w:eastAsia="Times New Roman" w:hAnsi="Verdana" w:cs="Times New Roman"/>
                <w:sz w:val="24"/>
                <w:szCs w:val="24"/>
              </w:rPr>
              <w:t>Members can refill 90 day supplies at any participating in-network retail pharmacy.</w:t>
            </w:r>
          </w:p>
          <w:p w14:paraId="3BE495E5" w14:textId="77777777" w:rsidR="00B17B22" w:rsidRPr="00B17B22" w:rsidRDefault="00B17B22" w:rsidP="008D4B4A">
            <w:pPr>
              <w:numPr>
                <w:ilvl w:val="0"/>
                <w:numId w:val="6"/>
              </w:numPr>
              <w:spacing w:before="120" w:after="120" w:line="240" w:lineRule="auto"/>
              <w:rPr>
                <w:rFonts w:ascii="Times New Roman" w:eastAsia="Times New Roman" w:hAnsi="Times New Roman" w:cs="Times New Roman"/>
                <w:sz w:val="24"/>
                <w:szCs w:val="24"/>
              </w:rPr>
            </w:pPr>
            <w:r w:rsidRPr="00B17B22">
              <w:rPr>
                <w:rFonts w:ascii="Verdana" w:eastAsia="Times New Roman" w:hAnsi="Verdana" w:cs="Times New Roman"/>
                <w:sz w:val="24"/>
                <w:szCs w:val="24"/>
              </w:rPr>
              <w:t>Some clients allow the option to continue to fill 30 day supplies at retail.</w:t>
            </w:r>
          </w:p>
          <w:p w14:paraId="4B57339A" w14:textId="77777777" w:rsidR="00B17B22" w:rsidRPr="00B17B22" w:rsidRDefault="00B17B22" w:rsidP="008D4B4A">
            <w:pPr>
              <w:numPr>
                <w:ilvl w:val="0"/>
                <w:numId w:val="6"/>
              </w:numPr>
              <w:spacing w:before="120" w:after="120" w:line="240" w:lineRule="auto"/>
              <w:rPr>
                <w:rFonts w:ascii="Times New Roman" w:eastAsia="Times New Roman" w:hAnsi="Times New Roman" w:cs="Times New Roman"/>
                <w:sz w:val="24"/>
                <w:szCs w:val="24"/>
              </w:rPr>
            </w:pPr>
            <w:bookmarkStart w:id="7" w:name="OLE_LINK66"/>
            <w:r w:rsidRPr="00B17B22">
              <w:rPr>
                <w:rFonts w:ascii="Verdana" w:eastAsia="Times New Roman" w:hAnsi="Verdana" w:cs="Times New Roman"/>
                <w:sz w:val="24"/>
                <w:szCs w:val="24"/>
              </w:rPr>
              <w:t>Some pharmacies offer Retail Home Delivery. The member should consult with local pharmacy for details and any additional fees.</w:t>
            </w:r>
            <w:bookmarkEnd w:id="7"/>
          </w:p>
          <w:p w14:paraId="6B638ABC" w14:textId="77777777" w:rsidR="00B17B22" w:rsidRPr="00B17B22" w:rsidRDefault="00B17B22" w:rsidP="008D4B4A">
            <w:pPr>
              <w:numPr>
                <w:ilvl w:val="0"/>
                <w:numId w:val="6"/>
              </w:numPr>
              <w:spacing w:before="120" w:after="120" w:line="240" w:lineRule="auto"/>
              <w:rPr>
                <w:rFonts w:ascii="Times New Roman" w:eastAsia="Times New Roman" w:hAnsi="Times New Roman" w:cs="Times New Roman"/>
                <w:sz w:val="24"/>
                <w:szCs w:val="24"/>
              </w:rPr>
            </w:pPr>
            <w:r w:rsidRPr="00B17B22">
              <w:rPr>
                <w:rFonts w:ascii="Verdana" w:eastAsia="Times New Roman" w:hAnsi="Verdana" w:cs="Times New Roman"/>
                <w:sz w:val="24"/>
                <w:szCs w:val="24"/>
              </w:rPr>
              <w:t>90 day supplies under this program are often the same copay, or even less, than the 30 day supply.</w:t>
            </w:r>
          </w:p>
          <w:p w14:paraId="10B39314" w14:textId="1A85F07E" w:rsidR="00475728" w:rsidRPr="00A343D5" w:rsidRDefault="00B17B22" w:rsidP="005C3635">
            <w:pPr>
              <w:numPr>
                <w:ilvl w:val="1"/>
                <w:numId w:val="6"/>
              </w:numPr>
              <w:spacing w:before="120" w:after="120" w:line="240" w:lineRule="auto"/>
              <w:rPr>
                <w:rFonts w:ascii="Times New Roman" w:eastAsia="Times New Roman" w:hAnsi="Times New Roman" w:cs="Times New Roman"/>
              </w:rPr>
            </w:pPr>
            <w:bookmarkStart w:id="8" w:name="OLE_LINK64"/>
            <w:bookmarkStart w:id="9" w:name="OLE_LINK73"/>
            <w:bookmarkEnd w:id="8"/>
            <w:r w:rsidRPr="00A343D5">
              <w:rPr>
                <w:rFonts w:ascii="Verdana" w:eastAsia="Times New Roman" w:hAnsi="Verdana" w:cs="Times New Roman"/>
                <w:sz w:val="24"/>
                <w:szCs w:val="24"/>
              </w:rPr>
              <w:t>Retail = Copay varies by Client</w:t>
            </w:r>
            <w:bookmarkEnd w:id="9"/>
          </w:p>
          <w:p w14:paraId="64CE4ECC" w14:textId="36823677" w:rsidR="00475728" w:rsidRPr="00B17B22" w:rsidRDefault="00475728" w:rsidP="008D4B4A">
            <w:pPr>
              <w:spacing w:before="120" w:after="120" w:line="240" w:lineRule="auto"/>
              <w:ind w:left="1377"/>
              <w:rPr>
                <w:rFonts w:ascii="Times New Roman" w:eastAsia="Times New Roman" w:hAnsi="Times New Roman" w:cs="Times New Roman"/>
              </w:rPr>
            </w:pPr>
          </w:p>
        </w:tc>
      </w:tr>
      <w:tr w:rsidR="00B17B22" w:rsidRPr="00B17B22" w14:paraId="666E2DD6" w14:textId="77777777" w:rsidTr="00F309A9">
        <w:trPr>
          <w:trHeight w:val="2181"/>
        </w:trPr>
        <w:tc>
          <w:tcPr>
            <w:tcW w:w="86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66136CF" w14:textId="77777777" w:rsidR="00B17B22" w:rsidRPr="00B17B22" w:rsidRDefault="00B17B22" w:rsidP="008D4B4A">
            <w:pPr>
              <w:spacing w:before="120" w:after="120" w:line="240" w:lineRule="auto"/>
              <w:rPr>
                <w:rFonts w:ascii="Times New Roman" w:eastAsia="Times New Roman" w:hAnsi="Times New Roman" w:cs="Times New Roman"/>
                <w:sz w:val="24"/>
                <w:szCs w:val="24"/>
              </w:rPr>
            </w:pPr>
            <w:r w:rsidRPr="00B17B22">
              <w:rPr>
                <w:rFonts w:ascii="Verdana" w:eastAsia="Times New Roman" w:hAnsi="Verdana" w:cs="Times New Roman"/>
                <w:b/>
                <w:bCs/>
                <w:sz w:val="24"/>
                <w:szCs w:val="24"/>
              </w:rPr>
              <w:t>Maintenance Choice</w:t>
            </w:r>
          </w:p>
          <w:p w14:paraId="2A806ECE" w14:textId="5F3F5D26" w:rsidR="00B17B22" w:rsidRPr="00B17B22" w:rsidRDefault="00B17B22" w:rsidP="008D4B4A">
            <w:pPr>
              <w:spacing w:before="120" w:after="120" w:line="240" w:lineRule="auto"/>
              <w:rPr>
                <w:rFonts w:ascii="Times New Roman" w:eastAsia="Times New Roman" w:hAnsi="Times New Roman" w:cs="Times New Roman"/>
                <w:sz w:val="24"/>
                <w:szCs w:val="24"/>
              </w:rPr>
            </w:pPr>
            <w:r w:rsidRPr="00B17B22">
              <w:rPr>
                <w:rFonts w:ascii="Verdana" w:eastAsia="Times New Roman" w:hAnsi="Verdana" w:cs="Times New Roman"/>
                <w:sz w:val="24"/>
                <w:szCs w:val="24"/>
              </w:rPr>
              <w:t> </w:t>
            </w:r>
          </w:p>
        </w:tc>
        <w:tc>
          <w:tcPr>
            <w:tcW w:w="413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4EA6885" w14:textId="24FF3B20" w:rsidR="00C652F8" w:rsidRPr="00C652F8" w:rsidRDefault="00C652F8" w:rsidP="008D4B4A">
            <w:pPr>
              <w:spacing w:before="120" w:after="120" w:line="240" w:lineRule="auto"/>
              <w:rPr>
                <w:rFonts w:ascii="Times New Roman" w:eastAsia="Times New Roman" w:hAnsi="Times New Roman" w:cs="Times New Roman"/>
                <w:sz w:val="24"/>
                <w:szCs w:val="24"/>
              </w:rPr>
            </w:pPr>
            <w:bookmarkStart w:id="10" w:name="OLE_LINK4"/>
            <w:r>
              <w:rPr>
                <w:rFonts w:ascii="Verdana" w:hAnsi="Verdana"/>
                <w:noProof/>
                <w:color w:val="000000"/>
                <w:sz w:val="24"/>
                <w:szCs w:val="24"/>
              </w:rPr>
              <w:drawing>
                <wp:inline distT="0" distB="0" distL="0" distR="0" wp14:anchorId="6E8C11B0" wp14:editId="0E8F8FB1">
                  <wp:extent cx="304762" cy="304762"/>
                  <wp:effectExtent l="0" t="0" r="635" b="635"/>
                  <wp:docPr id="200985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81242" name="Picture 91838124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
          <w:p w14:paraId="3D1B1C39" w14:textId="1BD4FC94" w:rsidR="00E27A32" w:rsidRPr="00E27A32" w:rsidRDefault="00E00747" w:rsidP="008D4B4A">
            <w:pPr>
              <w:numPr>
                <w:ilvl w:val="0"/>
                <w:numId w:val="6"/>
              </w:numPr>
              <w:spacing w:before="120" w:after="120" w:line="240" w:lineRule="auto"/>
              <w:rPr>
                <w:rFonts w:ascii="Times New Roman" w:eastAsia="Times New Roman" w:hAnsi="Times New Roman" w:cs="Times New Roman"/>
                <w:sz w:val="24"/>
                <w:szCs w:val="24"/>
              </w:rPr>
            </w:pPr>
            <w:r w:rsidRPr="00E00747">
              <w:rPr>
                <w:rFonts w:ascii="Verdana" w:eastAsia="Times New Roman" w:hAnsi="Verdana" w:cs="Times New Roman"/>
                <w:sz w:val="24"/>
                <w:szCs w:val="24"/>
              </w:rPr>
              <w:t>CVS Caremark’s </w:t>
            </w:r>
            <w:r w:rsidRPr="00E00747">
              <w:rPr>
                <w:rFonts w:ascii="Verdana" w:eastAsia="Times New Roman" w:hAnsi="Verdana" w:cs="Times New Roman"/>
                <w:b/>
                <w:bCs/>
                <w:sz w:val="24"/>
                <w:szCs w:val="24"/>
              </w:rPr>
              <w:t>Maintenance Choice </w:t>
            </w:r>
            <w:r w:rsidRPr="00E00747">
              <w:rPr>
                <w:rFonts w:ascii="Verdana" w:eastAsia="Times New Roman" w:hAnsi="Verdana" w:cs="Times New Roman"/>
                <w:sz w:val="24"/>
                <w:szCs w:val="24"/>
              </w:rPr>
              <w:t>(MChoice) program helps manage drug costs and reduce trips to the pharmacy by offering members the option of filling maintenance (long-term) medications in 90-day supplies at select participating pharmacies for the </w:t>
            </w:r>
            <w:r w:rsidRPr="00E00747">
              <w:rPr>
                <w:rFonts w:ascii="Verdana" w:eastAsia="Times New Roman" w:hAnsi="Verdana" w:cs="Times New Roman"/>
                <w:b/>
                <w:bCs/>
                <w:sz w:val="24"/>
                <w:szCs w:val="24"/>
              </w:rPr>
              <w:t>same</w:t>
            </w:r>
            <w:r w:rsidRPr="00E00747">
              <w:rPr>
                <w:rFonts w:ascii="Verdana" w:eastAsia="Times New Roman" w:hAnsi="Verdana" w:cs="Times New Roman"/>
                <w:sz w:val="24"/>
                <w:szCs w:val="24"/>
              </w:rPr>
              <w:t> mail rate and copay. </w:t>
            </w:r>
          </w:p>
          <w:bookmarkEnd w:id="10"/>
          <w:p w14:paraId="353A8480" w14:textId="6E30FED2" w:rsidR="00B17B22" w:rsidRDefault="00B17B22" w:rsidP="008D4B4A">
            <w:pPr>
              <w:numPr>
                <w:ilvl w:val="0"/>
                <w:numId w:val="6"/>
              </w:numPr>
              <w:spacing w:before="120" w:after="120" w:line="240" w:lineRule="auto"/>
              <w:rPr>
                <w:rFonts w:ascii="Verdana" w:eastAsia="Times New Roman" w:hAnsi="Verdana" w:cs="Times New Roman"/>
                <w:sz w:val="24"/>
                <w:szCs w:val="24"/>
              </w:rPr>
            </w:pPr>
            <w:r w:rsidRPr="00475728">
              <w:rPr>
                <w:rFonts w:ascii="Verdana" w:eastAsia="Times New Roman" w:hAnsi="Verdana" w:cs="Times New Roman"/>
                <w:sz w:val="24"/>
                <w:szCs w:val="24"/>
              </w:rPr>
              <w:t xml:space="preserve">MChoice programs may be All Access, Incentivized, Mandatory, Voluntary, and may include an </w:t>
            </w:r>
            <w:r w:rsidR="006865B7" w:rsidRPr="00475728">
              <w:rPr>
                <w:rFonts w:ascii="Verdana" w:eastAsia="Times New Roman" w:hAnsi="Verdana" w:cs="Times New Roman"/>
                <w:sz w:val="24"/>
                <w:szCs w:val="24"/>
              </w:rPr>
              <w:t>O</w:t>
            </w:r>
            <w:r w:rsidRPr="00475728">
              <w:rPr>
                <w:rFonts w:ascii="Verdana" w:eastAsia="Times New Roman" w:hAnsi="Verdana" w:cs="Times New Roman"/>
                <w:sz w:val="24"/>
                <w:szCs w:val="24"/>
              </w:rPr>
              <w:t xml:space="preserve">pt </w:t>
            </w:r>
            <w:r w:rsidR="006865B7" w:rsidRPr="00475728">
              <w:rPr>
                <w:rFonts w:ascii="Verdana" w:eastAsia="Times New Roman" w:hAnsi="Verdana" w:cs="Times New Roman"/>
                <w:sz w:val="24"/>
                <w:szCs w:val="24"/>
              </w:rPr>
              <w:t>O</w:t>
            </w:r>
            <w:r w:rsidRPr="00475728">
              <w:rPr>
                <w:rFonts w:ascii="Verdana" w:eastAsia="Times New Roman" w:hAnsi="Verdana" w:cs="Times New Roman"/>
                <w:sz w:val="24"/>
                <w:szCs w:val="24"/>
              </w:rPr>
              <w:t>ut</w:t>
            </w:r>
            <w:r w:rsidR="00175397" w:rsidRPr="00475728">
              <w:rPr>
                <w:rFonts w:ascii="Verdana" w:eastAsia="Times New Roman" w:hAnsi="Verdana" w:cs="Times New Roman"/>
                <w:sz w:val="24"/>
                <w:szCs w:val="24"/>
              </w:rPr>
              <w:t xml:space="preserve"> option</w:t>
            </w:r>
            <w:r w:rsidRPr="00475728">
              <w:rPr>
                <w:rFonts w:ascii="Verdana" w:eastAsia="Times New Roman" w:hAnsi="Verdana" w:cs="Times New Roman"/>
                <w:sz w:val="24"/>
                <w:szCs w:val="24"/>
              </w:rPr>
              <w:t>. </w:t>
            </w:r>
          </w:p>
          <w:p w14:paraId="46481623" w14:textId="5673A861" w:rsidR="00B1633C" w:rsidRPr="00475728" w:rsidRDefault="00B1633C" w:rsidP="008D4B4A">
            <w:pPr>
              <w:numPr>
                <w:ilvl w:val="0"/>
                <w:numId w:val="6"/>
              </w:numPr>
              <w:spacing w:before="120" w:after="120" w:line="240" w:lineRule="auto"/>
              <w:rPr>
                <w:rFonts w:ascii="Verdana" w:eastAsia="Times New Roman" w:hAnsi="Verdana" w:cs="Times New Roman"/>
                <w:sz w:val="24"/>
                <w:szCs w:val="24"/>
              </w:rPr>
            </w:pPr>
            <w:bookmarkStart w:id="11" w:name="OLE_LINK50"/>
            <w:r w:rsidRPr="00B1633C">
              <w:rPr>
                <w:rFonts w:ascii="Verdana" w:eastAsia="Times New Roman" w:hAnsi="Verdana" w:cs="Times New Roman"/>
                <w:sz w:val="24"/>
                <w:szCs w:val="24"/>
              </w:rPr>
              <w:t>MChoice 90-day refills are available via select participating pharmacies, including, but not limited to, CVS Caremark Mail Order, all CVS Retail pharmacies (including those inside Target stores), Costco Pharmacy, Kroger, and select independent pharmacies.</w:t>
            </w:r>
            <w:bookmarkEnd w:id="11"/>
            <w:r w:rsidRPr="00B1633C">
              <w:rPr>
                <w:rFonts w:ascii="Verdana" w:eastAsia="Times New Roman" w:hAnsi="Verdana" w:cs="Times New Roman"/>
                <w:sz w:val="24"/>
                <w:szCs w:val="24"/>
              </w:rPr>
              <w:t> </w:t>
            </w:r>
          </w:p>
          <w:p w14:paraId="20F9F646" w14:textId="796C65E3" w:rsidR="00B17B22" w:rsidRPr="00475728" w:rsidRDefault="00B17B22" w:rsidP="008D4B4A">
            <w:pPr>
              <w:numPr>
                <w:ilvl w:val="0"/>
                <w:numId w:val="6"/>
              </w:numPr>
              <w:spacing w:before="120" w:after="120" w:line="240" w:lineRule="auto"/>
              <w:rPr>
                <w:rFonts w:ascii="Verdana" w:eastAsia="Times New Roman" w:hAnsi="Verdana" w:cs="Times New Roman"/>
                <w:sz w:val="24"/>
                <w:szCs w:val="24"/>
              </w:rPr>
            </w:pPr>
            <w:bookmarkStart w:id="12" w:name="OLE_LINK22"/>
            <w:r w:rsidRPr="00475728">
              <w:rPr>
                <w:rFonts w:ascii="Verdana" w:eastAsia="Times New Roman" w:hAnsi="Verdana" w:cs="Times New Roman"/>
                <w:sz w:val="24"/>
                <w:szCs w:val="24"/>
              </w:rPr>
              <w:t>Most plans offer either two or three 30 day retail refills </w:t>
            </w:r>
            <w:bookmarkStart w:id="13" w:name="OLE_LINK74"/>
            <w:bookmarkStart w:id="14" w:name="OLE_LINK75"/>
            <w:bookmarkEnd w:id="12"/>
            <w:bookmarkEnd w:id="13"/>
            <w:r w:rsidRPr="00475728">
              <w:rPr>
                <w:rFonts w:ascii="Verdana" w:eastAsia="Times New Roman" w:hAnsi="Verdana" w:cs="Times New Roman"/>
                <w:sz w:val="24"/>
                <w:szCs w:val="24"/>
              </w:rPr>
              <w:t>per medication at any in-network pharmacy before moving to 90 days at CVS</w:t>
            </w:r>
            <w:r w:rsidR="00A874F2">
              <w:rPr>
                <w:rFonts w:ascii="Verdana" w:eastAsia="Times New Roman" w:hAnsi="Verdana" w:cs="Times New Roman"/>
                <w:sz w:val="24"/>
                <w:szCs w:val="24"/>
              </w:rPr>
              <w:t xml:space="preserve"> Retail,</w:t>
            </w:r>
            <w:r w:rsidRPr="00475728">
              <w:rPr>
                <w:rFonts w:ascii="Verdana" w:eastAsia="Times New Roman" w:hAnsi="Verdana" w:cs="Times New Roman"/>
                <w:sz w:val="24"/>
                <w:szCs w:val="24"/>
              </w:rPr>
              <w:t> CVS Caremark Mail Order</w:t>
            </w:r>
            <w:r w:rsidR="00A874F2">
              <w:rPr>
                <w:rFonts w:ascii="Verdana" w:eastAsia="Times New Roman" w:hAnsi="Verdana" w:cs="Times New Roman"/>
                <w:sz w:val="24"/>
                <w:szCs w:val="24"/>
              </w:rPr>
              <w:t>, Costco</w:t>
            </w:r>
            <w:r w:rsidR="000D55F5">
              <w:rPr>
                <w:rFonts w:ascii="Verdana" w:eastAsia="Times New Roman" w:hAnsi="Verdana" w:cs="Times New Roman"/>
                <w:sz w:val="24"/>
                <w:szCs w:val="24"/>
              </w:rPr>
              <w:t>, Kroger, and select independent pharmacies</w:t>
            </w:r>
            <w:r w:rsidRPr="00475728">
              <w:rPr>
                <w:rFonts w:ascii="Verdana" w:eastAsia="Times New Roman" w:hAnsi="Verdana" w:cs="Times New Roman"/>
                <w:sz w:val="24"/>
                <w:szCs w:val="24"/>
              </w:rPr>
              <w:t>. </w:t>
            </w:r>
            <w:bookmarkEnd w:id="14"/>
            <w:r w:rsidRPr="00475728">
              <w:rPr>
                <w:rFonts w:ascii="Verdana" w:eastAsia="Times New Roman" w:hAnsi="Verdana" w:cs="Times New Roman"/>
                <w:sz w:val="24"/>
                <w:szCs w:val="24"/>
              </w:rPr>
              <w:t>Refer to CIF (Plan Design Highlights Fill Limitations).</w:t>
            </w:r>
          </w:p>
          <w:p w14:paraId="306991C1" w14:textId="2DD02D6D" w:rsidR="00B17B22" w:rsidRPr="00475728" w:rsidRDefault="00B17B22" w:rsidP="008D4B4A">
            <w:pPr>
              <w:numPr>
                <w:ilvl w:val="0"/>
                <w:numId w:val="6"/>
              </w:numPr>
              <w:spacing w:before="120" w:after="120" w:line="240" w:lineRule="auto"/>
              <w:rPr>
                <w:rFonts w:ascii="Verdana" w:eastAsia="Times New Roman" w:hAnsi="Verdana" w:cs="Times New Roman"/>
                <w:sz w:val="24"/>
                <w:szCs w:val="24"/>
              </w:rPr>
            </w:pPr>
            <w:r w:rsidRPr="00475728">
              <w:rPr>
                <w:rFonts w:ascii="Verdana" w:eastAsia="Times New Roman" w:hAnsi="Verdana" w:cs="Times New Roman"/>
                <w:sz w:val="24"/>
                <w:szCs w:val="24"/>
              </w:rPr>
              <w:t>The same copay applies to</w:t>
            </w:r>
            <w:r w:rsidR="00313C7B">
              <w:rPr>
                <w:rFonts w:ascii="Verdana" w:eastAsia="Times New Roman" w:hAnsi="Verdana" w:cs="Times New Roman"/>
                <w:sz w:val="24"/>
                <w:szCs w:val="24"/>
              </w:rPr>
              <w:t xml:space="preserve"> 84</w:t>
            </w:r>
            <w:r w:rsidR="00C565F0">
              <w:rPr>
                <w:rFonts w:ascii="Verdana" w:eastAsia="Times New Roman" w:hAnsi="Verdana" w:cs="Times New Roman"/>
                <w:sz w:val="24"/>
                <w:szCs w:val="24"/>
              </w:rPr>
              <w:t>/</w:t>
            </w:r>
            <w:r w:rsidRPr="00475728">
              <w:rPr>
                <w:rFonts w:ascii="Verdana" w:eastAsia="Times New Roman" w:hAnsi="Verdana" w:cs="Times New Roman"/>
                <w:sz w:val="24"/>
                <w:szCs w:val="24"/>
              </w:rPr>
              <w:t>90 day supplies via Mail Order or </w:t>
            </w:r>
            <w:r w:rsidR="00863751">
              <w:rPr>
                <w:rFonts w:ascii="Verdana" w:eastAsia="Times New Roman" w:hAnsi="Verdana" w:cs="Times New Roman"/>
                <w:sz w:val="24"/>
                <w:szCs w:val="24"/>
              </w:rPr>
              <w:t xml:space="preserve">84/90 day supplies via </w:t>
            </w:r>
            <w:r w:rsidR="00F927FA">
              <w:rPr>
                <w:rFonts w:ascii="Verdana" w:eastAsia="Times New Roman" w:hAnsi="Verdana" w:cs="Times New Roman"/>
                <w:sz w:val="24"/>
                <w:szCs w:val="24"/>
              </w:rPr>
              <w:t>retail MChoice pharmacies</w:t>
            </w:r>
            <w:r w:rsidRPr="00475728">
              <w:rPr>
                <w:rFonts w:ascii="Verdana" w:eastAsia="Times New Roman" w:hAnsi="Verdana" w:cs="Times New Roman"/>
                <w:sz w:val="24"/>
                <w:szCs w:val="24"/>
              </w:rPr>
              <w:t xml:space="preserve">. Run Test </w:t>
            </w:r>
            <w:r w:rsidR="00550489" w:rsidRPr="00475728">
              <w:rPr>
                <w:rFonts w:ascii="Verdana" w:eastAsia="Times New Roman" w:hAnsi="Verdana" w:cs="Times New Roman"/>
                <w:sz w:val="24"/>
                <w:szCs w:val="24"/>
              </w:rPr>
              <w:t>Claims</w:t>
            </w:r>
            <w:r w:rsidRPr="00475728">
              <w:rPr>
                <w:rFonts w:ascii="Verdana" w:eastAsia="Times New Roman" w:hAnsi="Verdana" w:cs="Times New Roman"/>
                <w:sz w:val="24"/>
                <w:szCs w:val="24"/>
              </w:rPr>
              <w:t xml:space="preserve"> refer to CIF.</w:t>
            </w:r>
          </w:p>
          <w:p w14:paraId="5E1B5779" w14:textId="4A597ED9" w:rsidR="00B17B22" w:rsidRPr="00F927FA" w:rsidRDefault="00B17B22" w:rsidP="008D4B4A">
            <w:pPr>
              <w:spacing w:before="120" w:after="120" w:line="240" w:lineRule="auto"/>
              <w:ind w:left="720"/>
              <w:rPr>
                <w:rFonts w:ascii="Times New Roman" w:eastAsia="Times New Roman" w:hAnsi="Times New Roman" w:cs="Times New Roman"/>
                <w:sz w:val="24"/>
                <w:szCs w:val="24"/>
              </w:rPr>
            </w:pPr>
          </w:p>
          <w:p w14:paraId="3D5F02AA" w14:textId="2016E3FC" w:rsidR="00FC4198" w:rsidRPr="00F309A9" w:rsidRDefault="00F309A9" w:rsidP="008D4B4A">
            <w:pPr>
              <w:spacing w:before="120" w:after="120" w:line="240" w:lineRule="auto"/>
              <w:ind w:left="720"/>
              <w:rPr>
                <w:rFonts w:ascii="Verdana" w:eastAsia="Times New Roman" w:hAnsi="Verdana" w:cs="Times New Roman"/>
                <w:sz w:val="24"/>
                <w:szCs w:val="24"/>
              </w:rPr>
            </w:pPr>
            <w:r w:rsidRPr="00F309A9">
              <w:rPr>
                <w:rFonts w:ascii="Verdana" w:eastAsia="Times New Roman" w:hAnsi="Verdana" w:cs="Times New Roman"/>
                <w:sz w:val="24"/>
                <w:szCs w:val="24"/>
              </w:rPr>
              <w:t xml:space="preserve">Refer to </w:t>
            </w:r>
            <w:hyperlink r:id="rId16" w:anchor="!/view?docid=2caace6e-39db-4411-9813-86cc2997a67d" w:history="1">
              <w:r w:rsidR="00D54B0C" w:rsidRPr="00F309A9">
                <w:rPr>
                  <w:rStyle w:val="Hyperlink"/>
                  <w:rFonts w:ascii="Verdana" w:eastAsia="Times New Roman" w:hAnsi="Verdana" w:cs="Times New Roman"/>
                  <w:sz w:val="24"/>
                  <w:szCs w:val="24"/>
                </w:rPr>
                <w:t xml:space="preserve">Compass - Handling Maintenance Choice Calls </w:t>
              </w:r>
              <w:r w:rsidR="0083271B" w:rsidRPr="00F309A9">
                <w:rPr>
                  <w:rStyle w:val="Hyperlink"/>
                  <w:rFonts w:ascii="Verdana" w:eastAsia="Times New Roman" w:hAnsi="Verdana" w:cs="Times New Roman"/>
                  <w:sz w:val="24"/>
                  <w:szCs w:val="24"/>
                </w:rPr>
                <w:t>(062836)</w:t>
              </w:r>
            </w:hyperlink>
            <w:r w:rsidR="008D4B4A">
              <w:rPr>
                <w:rFonts w:ascii="Verdana" w:eastAsia="Times New Roman" w:hAnsi="Verdana" w:cs="Times New Roman"/>
                <w:sz w:val="24"/>
                <w:szCs w:val="24"/>
              </w:rPr>
              <w:t>.</w:t>
            </w:r>
          </w:p>
          <w:p w14:paraId="4CC2C0E0" w14:textId="013EB7BC" w:rsidR="00FD5FBF" w:rsidRPr="00475728" w:rsidRDefault="00FD5FBF" w:rsidP="008D4B4A">
            <w:pPr>
              <w:spacing w:before="120" w:after="120" w:line="240" w:lineRule="auto"/>
              <w:ind w:left="720"/>
              <w:rPr>
                <w:rFonts w:ascii="Times New Roman" w:eastAsia="Times New Roman" w:hAnsi="Times New Roman" w:cs="Times New Roman"/>
                <w:sz w:val="24"/>
                <w:szCs w:val="24"/>
              </w:rPr>
            </w:pPr>
          </w:p>
        </w:tc>
      </w:tr>
      <w:tr w:rsidR="003B021E" w:rsidRPr="00B17B22" w14:paraId="4B250418" w14:textId="77777777" w:rsidTr="00F309A9">
        <w:trPr>
          <w:trHeight w:val="723"/>
        </w:trPr>
        <w:tc>
          <w:tcPr>
            <w:tcW w:w="86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AD23CE8" w14:textId="77777777" w:rsidR="003B021E" w:rsidRDefault="003B021E" w:rsidP="008D4B4A">
            <w:pPr>
              <w:spacing w:before="120" w:after="120" w:line="240" w:lineRule="auto"/>
              <w:rPr>
                <w:rFonts w:ascii="Verdana" w:hAnsi="Verdana" w:cs="Segoe UI"/>
                <w:b/>
                <w:bCs/>
                <w:color w:val="181818"/>
                <w:sz w:val="24"/>
                <w:szCs w:val="24"/>
                <w:shd w:val="clear" w:color="auto" w:fill="FFFFFF"/>
              </w:rPr>
            </w:pPr>
            <w:r>
              <w:rPr>
                <w:rFonts w:ascii="Verdana" w:hAnsi="Verdana" w:cs="Segoe UI"/>
                <w:b/>
                <w:bCs/>
                <w:color w:val="181818"/>
                <w:sz w:val="24"/>
                <w:szCs w:val="24"/>
                <w:shd w:val="clear" w:color="auto" w:fill="FFFFFF"/>
              </w:rPr>
              <w:t>True Accumulation (Specialty Use Only)</w:t>
            </w:r>
          </w:p>
          <w:p w14:paraId="46C9D48E" w14:textId="65737EBE" w:rsidR="00FD5FBF" w:rsidRDefault="00FD5FBF" w:rsidP="008D4B4A">
            <w:pPr>
              <w:spacing w:before="120" w:after="120" w:line="240" w:lineRule="auto"/>
              <w:rPr>
                <w:rFonts w:ascii="Verdana" w:eastAsia="Times New Roman" w:hAnsi="Verdana" w:cs="Times New Roman"/>
                <w:b/>
                <w:bCs/>
                <w:sz w:val="24"/>
                <w:szCs w:val="24"/>
              </w:rPr>
            </w:pPr>
          </w:p>
        </w:tc>
        <w:tc>
          <w:tcPr>
            <w:tcW w:w="413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3FF033D" w14:textId="7C0AD05F" w:rsidR="003B021E" w:rsidRDefault="00C652F8" w:rsidP="008D4B4A">
            <w:pPr>
              <w:spacing w:before="120" w:after="120" w:line="240" w:lineRule="auto"/>
              <w:rPr>
                <w:rFonts w:ascii="Verdana" w:hAnsi="Verdana" w:cs="Segoe UI"/>
                <w:color w:val="181818"/>
                <w:sz w:val="24"/>
                <w:szCs w:val="24"/>
                <w:shd w:val="clear" w:color="auto" w:fill="FFFFFF"/>
              </w:rPr>
            </w:pPr>
            <w:r>
              <w:rPr>
                <w:rFonts w:ascii="Verdana" w:hAnsi="Verdana"/>
                <w:noProof/>
                <w:color w:val="000000"/>
                <w:sz w:val="24"/>
                <w:szCs w:val="24"/>
              </w:rPr>
              <w:drawing>
                <wp:inline distT="0" distB="0" distL="0" distR="0" wp14:anchorId="6A4D048A" wp14:editId="27B411ED">
                  <wp:extent cx="304762" cy="304762"/>
                  <wp:effectExtent l="0" t="0" r="635" b="635"/>
                  <wp:docPr id="23670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81242" name="Picture 91838124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B021E">
              <w:rPr>
                <w:rFonts w:ascii="Verdana" w:hAnsi="Verdana" w:cs="Segoe UI"/>
                <w:color w:val="181818"/>
                <w:sz w:val="24"/>
                <w:szCs w:val="24"/>
                <w:shd w:val="clear" w:color="auto" w:fill="FFFFFF"/>
              </w:rPr>
              <w:t>When a member uses a copay card for a specialty drug filled at a CVS Specialty pharmacy, it ensures only true member cost share (</w:t>
            </w:r>
            <w:r w:rsidR="00550489">
              <w:rPr>
                <w:rFonts w:ascii="Verdana" w:hAnsi="Verdana" w:cs="Segoe UI"/>
                <w:color w:val="181818"/>
                <w:sz w:val="24"/>
                <w:szCs w:val="24"/>
                <w:shd w:val="clear" w:color="auto" w:fill="FFFFFF"/>
              </w:rPr>
              <w:t>non-third-party</w:t>
            </w:r>
            <w:r w:rsidR="003B021E">
              <w:rPr>
                <w:rFonts w:ascii="Verdana" w:hAnsi="Verdana" w:cs="Segoe UI"/>
                <w:color w:val="181818"/>
                <w:sz w:val="24"/>
                <w:szCs w:val="24"/>
                <w:shd w:val="clear" w:color="auto" w:fill="FFFFFF"/>
              </w:rPr>
              <w:t xml:space="preserve"> dollars) are applied towards member</w:t>
            </w:r>
            <w:r w:rsidR="00C76FDD">
              <w:rPr>
                <w:rFonts w:ascii="Verdana" w:hAnsi="Verdana" w:cs="Segoe UI"/>
                <w:color w:val="181818"/>
                <w:sz w:val="24"/>
                <w:szCs w:val="24"/>
                <w:shd w:val="clear" w:color="auto" w:fill="FFFFFF"/>
              </w:rPr>
              <w:t>’</w:t>
            </w:r>
            <w:r w:rsidR="003B021E">
              <w:rPr>
                <w:rFonts w:ascii="Verdana" w:hAnsi="Verdana" w:cs="Segoe UI"/>
                <w:color w:val="181818"/>
                <w:sz w:val="24"/>
                <w:szCs w:val="24"/>
                <w:shd w:val="clear" w:color="auto" w:fill="FFFFFF"/>
              </w:rPr>
              <w:t>s accumulations (Deductibles and Out of Pocket).</w:t>
            </w:r>
            <w:r w:rsidR="00F309A9">
              <w:rPr>
                <w:rFonts w:ascii="Verdana" w:hAnsi="Verdana" w:cs="Segoe UI"/>
                <w:color w:val="181818"/>
                <w:sz w:val="24"/>
                <w:szCs w:val="24"/>
                <w:shd w:val="clear" w:color="auto" w:fill="FFFFFF"/>
              </w:rPr>
              <w:t xml:space="preserve"> Refer to</w:t>
            </w:r>
            <w:r w:rsidR="0029142C">
              <w:rPr>
                <w:rFonts w:ascii="Verdana" w:hAnsi="Verdana" w:cs="Segoe UI"/>
                <w:color w:val="181818"/>
                <w:sz w:val="24"/>
                <w:szCs w:val="24"/>
                <w:shd w:val="clear" w:color="auto" w:fill="FFFFFF"/>
              </w:rPr>
              <w:t xml:space="preserve"> </w:t>
            </w:r>
            <w:hyperlink r:id="rId17" w:anchor="!/view?docid=61656868-2241-42ad-ac78-516f378f2a43" w:history="1">
              <w:r w:rsidR="00F22CBA" w:rsidRPr="00B14E60">
                <w:rPr>
                  <w:rStyle w:val="Hyperlink"/>
                  <w:rFonts w:ascii="Verdana" w:hAnsi="Verdana" w:cs="Segoe UI"/>
                  <w:sz w:val="24"/>
                  <w:szCs w:val="24"/>
                  <w:shd w:val="clear" w:color="auto" w:fill="FFFFFF"/>
                </w:rPr>
                <w:t>Compass - CVS Specialty Copay Plan Design Strategies (058047)</w:t>
              </w:r>
            </w:hyperlink>
            <w:r w:rsidR="008D4B4A">
              <w:rPr>
                <w:rFonts w:ascii="Verdana" w:hAnsi="Verdana" w:cs="Segoe UI"/>
                <w:color w:val="181818"/>
                <w:sz w:val="24"/>
                <w:szCs w:val="24"/>
                <w:shd w:val="clear" w:color="auto" w:fill="FFFFFF"/>
              </w:rPr>
              <w:t>.</w:t>
            </w:r>
          </w:p>
          <w:p w14:paraId="47EC311D" w14:textId="77777777" w:rsidR="003B021E" w:rsidRPr="00B17B22" w:rsidRDefault="003B021E" w:rsidP="008D4B4A">
            <w:pPr>
              <w:spacing w:before="120" w:after="120" w:line="240" w:lineRule="auto"/>
              <w:rPr>
                <w:rFonts w:ascii="Verdana" w:hAnsi="Verdana" w:cs="Segoe UI"/>
                <w:color w:val="181818"/>
                <w:sz w:val="24"/>
                <w:szCs w:val="24"/>
                <w:shd w:val="clear" w:color="auto" w:fill="FFFFFF"/>
              </w:rPr>
            </w:pPr>
          </w:p>
        </w:tc>
      </w:tr>
      <w:tr w:rsidR="00B17B22" w:rsidRPr="00B17B22" w14:paraId="07F8397C" w14:textId="77777777" w:rsidTr="00F309A9">
        <w:trPr>
          <w:trHeight w:val="345"/>
        </w:trPr>
        <w:tc>
          <w:tcPr>
            <w:tcW w:w="86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60619BC" w14:textId="77777777" w:rsidR="00B17B22" w:rsidRDefault="00B17B22" w:rsidP="008D4B4A">
            <w:pPr>
              <w:spacing w:before="120" w:after="120" w:line="240" w:lineRule="auto"/>
              <w:rPr>
                <w:rFonts w:ascii="Verdana" w:eastAsia="Times New Roman" w:hAnsi="Verdana" w:cs="Times New Roman"/>
                <w:b/>
                <w:bCs/>
                <w:sz w:val="24"/>
                <w:szCs w:val="24"/>
              </w:rPr>
            </w:pPr>
            <w:r>
              <w:rPr>
                <w:rFonts w:ascii="Verdana" w:eastAsia="Times New Roman" w:hAnsi="Verdana" w:cs="Times New Roman"/>
                <w:b/>
                <w:bCs/>
                <w:sz w:val="24"/>
                <w:szCs w:val="24"/>
              </w:rPr>
              <w:t>MED B COB Mandatory</w:t>
            </w:r>
          </w:p>
          <w:p w14:paraId="7ABA43EC" w14:textId="13161DD6" w:rsidR="003B021E" w:rsidRPr="00B17B22" w:rsidRDefault="003B021E" w:rsidP="008D4B4A">
            <w:pPr>
              <w:spacing w:before="120" w:after="120" w:line="240" w:lineRule="auto"/>
              <w:rPr>
                <w:rFonts w:ascii="Verdana" w:eastAsia="Times New Roman" w:hAnsi="Verdana" w:cs="Times New Roman"/>
                <w:b/>
                <w:bCs/>
                <w:sz w:val="24"/>
                <w:szCs w:val="24"/>
              </w:rPr>
            </w:pPr>
          </w:p>
        </w:tc>
        <w:tc>
          <w:tcPr>
            <w:tcW w:w="413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7D46F95E" w14:textId="77777777" w:rsidR="00B17B22" w:rsidRDefault="00B17B22" w:rsidP="008D4B4A">
            <w:pPr>
              <w:spacing w:before="120" w:after="120" w:line="240" w:lineRule="auto"/>
              <w:rPr>
                <w:rFonts w:ascii="Verdana" w:hAnsi="Verdana" w:cs="Segoe UI"/>
                <w:color w:val="181818"/>
                <w:sz w:val="24"/>
                <w:szCs w:val="24"/>
                <w:shd w:val="clear" w:color="auto" w:fill="FFFFFF"/>
              </w:rPr>
            </w:pPr>
            <w:r w:rsidRPr="00B17B22">
              <w:rPr>
                <w:rFonts w:ascii="Verdana" w:hAnsi="Verdana" w:cs="Segoe UI"/>
                <w:color w:val="181818"/>
                <w:sz w:val="24"/>
                <w:szCs w:val="24"/>
                <w:shd w:val="clear" w:color="auto" w:fill="FFFFFF"/>
              </w:rPr>
              <w:t>This program identifies that the client agrees to be the secondary payer on claims where the member and drug are Med B eligible, the Med B eligible drug requires processing under the Med B plan as primary and the commercial plan as secondary when applicable.</w:t>
            </w:r>
          </w:p>
          <w:p w14:paraId="56CCC040" w14:textId="4DBF826C" w:rsidR="00B17B22" w:rsidRPr="00B17B22" w:rsidRDefault="00B17B22" w:rsidP="008D4B4A">
            <w:pPr>
              <w:spacing w:before="120" w:after="120" w:line="240" w:lineRule="auto"/>
              <w:rPr>
                <w:rFonts w:ascii="Verdana" w:eastAsia="Times New Roman" w:hAnsi="Verdana" w:cs="Times New Roman"/>
                <w:sz w:val="24"/>
                <w:szCs w:val="24"/>
              </w:rPr>
            </w:pPr>
          </w:p>
        </w:tc>
      </w:tr>
      <w:tr w:rsidR="00B17B22" w:rsidRPr="00B17B22" w14:paraId="0E63C741" w14:textId="77777777" w:rsidTr="00F309A9">
        <w:trPr>
          <w:trHeight w:val="129"/>
        </w:trPr>
        <w:tc>
          <w:tcPr>
            <w:tcW w:w="86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3D2A4BE4" w14:textId="77777777" w:rsidR="00B17B22" w:rsidRDefault="00175397" w:rsidP="008D4B4A">
            <w:pPr>
              <w:spacing w:before="120" w:after="120" w:line="240" w:lineRule="auto"/>
              <w:rPr>
                <w:rFonts w:ascii="Verdana" w:hAnsi="Verdana" w:cs="Segoe UI"/>
                <w:b/>
                <w:bCs/>
                <w:color w:val="181818"/>
                <w:sz w:val="24"/>
                <w:szCs w:val="24"/>
                <w:shd w:val="clear" w:color="auto" w:fill="FFFFFF"/>
              </w:rPr>
            </w:pPr>
            <w:r w:rsidRPr="00175397">
              <w:rPr>
                <w:rFonts w:ascii="Verdana" w:hAnsi="Verdana" w:cs="Segoe UI"/>
                <w:b/>
                <w:bCs/>
                <w:color w:val="181818"/>
                <w:sz w:val="24"/>
                <w:szCs w:val="24"/>
                <w:shd w:val="clear" w:color="auto" w:fill="FFFFFF"/>
              </w:rPr>
              <w:t>Preferred Pharmacy Network</w:t>
            </w:r>
          </w:p>
          <w:p w14:paraId="3ADF89EA" w14:textId="42B88DF2" w:rsidR="00FD5FBF" w:rsidRPr="00175397" w:rsidRDefault="00FD5FBF" w:rsidP="008D4B4A">
            <w:pPr>
              <w:spacing w:before="120" w:after="120" w:line="240" w:lineRule="auto"/>
              <w:rPr>
                <w:rFonts w:ascii="Verdana" w:hAnsi="Verdana" w:cs="Segoe UI"/>
                <w:b/>
                <w:bCs/>
                <w:color w:val="181818"/>
                <w:sz w:val="24"/>
                <w:szCs w:val="24"/>
                <w:shd w:val="clear" w:color="auto" w:fill="FFFFFF"/>
              </w:rPr>
            </w:pPr>
          </w:p>
        </w:tc>
        <w:tc>
          <w:tcPr>
            <w:tcW w:w="413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23D977FB" w14:textId="7AF9DD4C" w:rsidR="00B17B22" w:rsidRDefault="00C652F8" w:rsidP="008D4B4A">
            <w:pPr>
              <w:spacing w:before="120" w:after="120" w:line="240" w:lineRule="auto"/>
              <w:rPr>
                <w:rFonts w:ascii="Verdana" w:hAnsi="Verdana" w:cs="Segoe UI"/>
                <w:color w:val="181818"/>
                <w:sz w:val="24"/>
                <w:szCs w:val="24"/>
                <w:shd w:val="clear" w:color="auto" w:fill="FFFFFF"/>
              </w:rPr>
            </w:pPr>
            <w:r>
              <w:rPr>
                <w:rFonts w:ascii="Verdana" w:hAnsi="Verdana"/>
                <w:noProof/>
                <w:color w:val="000000"/>
                <w:sz w:val="24"/>
                <w:szCs w:val="24"/>
              </w:rPr>
              <w:drawing>
                <wp:inline distT="0" distB="0" distL="0" distR="0" wp14:anchorId="1A0E4ABE" wp14:editId="31562C19">
                  <wp:extent cx="304762" cy="304762"/>
                  <wp:effectExtent l="0" t="0" r="635" b="635"/>
                  <wp:docPr id="163844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81242" name="Picture 91838124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175397" w:rsidRPr="00175397">
              <w:rPr>
                <w:rFonts w:ascii="Verdana" w:hAnsi="Verdana" w:cs="Segoe UI"/>
                <w:color w:val="181818"/>
                <w:sz w:val="24"/>
                <w:szCs w:val="24"/>
                <w:shd w:val="clear" w:color="auto" w:fill="FFFFFF"/>
              </w:rPr>
              <w:t>A plan benefit exists which may offer a reduced cost share for the member at a preferred pharmacy.</w:t>
            </w:r>
            <w:r w:rsidR="008D4B4A">
              <w:rPr>
                <w:rFonts w:ascii="Verdana" w:hAnsi="Verdana" w:cs="Segoe UI"/>
                <w:color w:val="181818"/>
                <w:sz w:val="24"/>
                <w:szCs w:val="24"/>
                <w:shd w:val="clear" w:color="auto" w:fill="FFFFFF"/>
              </w:rPr>
              <w:t xml:space="preserve"> Refer to </w:t>
            </w:r>
            <w:hyperlink r:id="rId18" w:anchor="!/view?docid=ede79ef0-e196-481c-9f1b-c4ea562d9025" w:history="1">
              <w:r w:rsidR="0036489E" w:rsidRPr="00F45D2C">
                <w:rPr>
                  <w:rStyle w:val="Hyperlink"/>
                  <w:rFonts w:ascii="Verdana" w:hAnsi="Verdana" w:cs="Segoe UI"/>
                  <w:sz w:val="24"/>
                  <w:szCs w:val="24"/>
                  <w:shd w:val="clear" w:color="auto" w:fill="FFFFFF"/>
                </w:rPr>
                <w:t>Compass - Pharmacy Search and Details (</w:t>
              </w:r>
              <w:r w:rsidR="007212C7" w:rsidRPr="00F45D2C">
                <w:rPr>
                  <w:rStyle w:val="Hyperlink"/>
                  <w:rFonts w:ascii="Verdana" w:hAnsi="Verdana" w:cs="Segoe UI"/>
                  <w:sz w:val="24"/>
                  <w:szCs w:val="24"/>
                  <w:shd w:val="clear" w:color="auto" w:fill="FFFFFF"/>
                </w:rPr>
                <w:t>057</w:t>
              </w:r>
              <w:r w:rsidR="00FC3263" w:rsidRPr="00F45D2C">
                <w:rPr>
                  <w:rStyle w:val="Hyperlink"/>
                  <w:rFonts w:ascii="Verdana" w:hAnsi="Verdana" w:cs="Segoe UI"/>
                  <w:sz w:val="24"/>
                  <w:szCs w:val="24"/>
                  <w:shd w:val="clear" w:color="auto" w:fill="FFFFFF"/>
                </w:rPr>
                <w:t>995)</w:t>
              </w:r>
            </w:hyperlink>
            <w:r w:rsidR="008D4B4A">
              <w:rPr>
                <w:rFonts w:ascii="Verdana" w:hAnsi="Verdana" w:cs="Segoe UI"/>
                <w:color w:val="181818"/>
                <w:sz w:val="24"/>
                <w:szCs w:val="24"/>
                <w:shd w:val="clear" w:color="auto" w:fill="FFFFFF"/>
              </w:rPr>
              <w:t>.</w:t>
            </w:r>
          </w:p>
          <w:p w14:paraId="2CBA9E9D" w14:textId="5A59031E" w:rsidR="00FD5FBF" w:rsidRPr="00175397" w:rsidRDefault="00FD5FBF" w:rsidP="008D4B4A">
            <w:pPr>
              <w:spacing w:before="120" w:after="120" w:line="240" w:lineRule="auto"/>
              <w:rPr>
                <w:rFonts w:ascii="Verdana" w:hAnsi="Verdana" w:cs="Segoe UI"/>
                <w:color w:val="181818"/>
                <w:sz w:val="24"/>
                <w:szCs w:val="24"/>
                <w:shd w:val="clear" w:color="auto" w:fill="FFFFFF"/>
              </w:rPr>
            </w:pPr>
          </w:p>
        </w:tc>
      </w:tr>
      <w:tr w:rsidR="00F927FA" w:rsidRPr="00B17B22" w14:paraId="4D1B6D14" w14:textId="77777777" w:rsidTr="00F309A9">
        <w:trPr>
          <w:trHeight w:val="129"/>
        </w:trPr>
        <w:tc>
          <w:tcPr>
            <w:tcW w:w="86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6141DE1" w14:textId="2D6F3463" w:rsidR="00336EA2" w:rsidRDefault="00C652F8" w:rsidP="008D4B4A">
            <w:pPr>
              <w:spacing w:before="120" w:after="120" w:line="240" w:lineRule="auto"/>
              <w:rPr>
                <w:rFonts w:ascii="Verdana" w:hAnsi="Verdana" w:cs="Segoe UI"/>
                <w:b/>
                <w:bCs/>
                <w:color w:val="181818"/>
                <w:sz w:val="24"/>
                <w:szCs w:val="24"/>
                <w:shd w:val="clear" w:color="auto" w:fill="FFFFFF"/>
              </w:rPr>
            </w:pPr>
            <w:r>
              <w:rPr>
                <w:rFonts w:ascii="Verdana" w:hAnsi="Verdana"/>
                <w:noProof/>
                <w:color w:val="000000"/>
                <w:sz w:val="24"/>
                <w:szCs w:val="24"/>
              </w:rPr>
              <w:drawing>
                <wp:inline distT="0" distB="0" distL="0" distR="0" wp14:anchorId="1E39777C" wp14:editId="1DA98865">
                  <wp:extent cx="304762" cy="304762"/>
                  <wp:effectExtent l="0" t="0" r="635" b="635"/>
                  <wp:docPr id="50635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81242" name="Picture 91838124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1207B0">
              <w:rPr>
                <w:rFonts w:ascii="Verdana" w:hAnsi="Verdana" w:cs="Segoe UI"/>
                <w:b/>
                <w:bCs/>
                <w:color w:val="181818"/>
                <w:sz w:val="24"/>
                <w:szCs w:val="24"/>
                <w:shd w:val="clear" w:color="auto" w:fill="FFFFFF"/>
              </w:rPr>
              <w:t>Caremark Cost Saver</w:t>
            </w:r>
          </w:p>
          <w:p w14:paraId="17A1C932" w14:textId="77777777" w:rsidR="00616B18" w:rsidRDefault="00616B18" w:rsidP="008D4B4A">
            <w:pPr>
              <w:spacing w:before="120" w:after="120" w:line="240" w:lineRule="auto"/>
              <w:rPr>
                <w:rFonts w:ascii="Verdana" w:hAnsi="Verdana" w:cs="Segoe UI"/>
                <w:b/>
                <w:bCs/>
                <w:color w:val="181818"/>
                <w:sz w:val="24"/>
                <w:szCs w:val="24"/>
                <w:shd w:val="clear" w:color="auto" w:fill="FFFFFF"/>
              </w:rPr>
            </w:pPr>
          </w:p>
          <w:p w14:paraId="38B06DD9" w14:textId="77777777" w:rsidR="00616B18" w:rsidRPr="00175397" w:rsidRDefault="00616B18" w:rsidP="008D4B4A">
            <w:pPr>
              <w:spacing w:before="120" w:after="120" w:line="240" w:lineRule="auto"/>
              <w:rPr>
                <w:rFonts w:ascii="Verdana" w:hAnsi="Verdana" w:cs="Segoe UI"/>
                <w:b/>
                <w:bCs/>
                <w:color w:val="181818"/>
                <w:sz w:val="24"/>
                <w:szCs w:val="24"/>
                <w:shd w:val="clear" w:color="auto" w:fill="FFFFFF"/>
              </w:rPr>
            </w:pPr>
          </w:p>
        </w:tc>
        <w:tc>
          <w:tcPr>
            <w:tcW w:w="413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372FB31" w14:textId="5EAB96EE" w:rsidR="00336EA2" w:rsidRPr="00175397" w:rsidRDefault="00F45B75" w:rsidP="008D4B4A">
            <w:pPr>
              <w:spacing w:before="120" w:after="120" w:line="240" w:lineRule="auto"/>
              <w:rPr>
                <w:rFonts w:ascii="Verdana" w:hAnsi="Verdana" w:cs="Segoe UI"/>
                <w:color w:val="181818"/>
                <w:sz w:val="24"/>
                <w:szCs w:val="24"/>
                <w:shd w:val="clear" w:color="auto" w:fill="FFFFFF"/>
              </w:rPr>
            </w:pPr>
            <w:r>
              <w:rPr>
                <w:rFonts w:ascii="Verdana" w:hAnsi="Verdana" w:cs="Segoe UI"/>
                <w:color w:val="181818"/>
                <w:sz w:val="24"/>
                <w:szCs w:val="24"/>
                <w:shd w:val="clear" w:color="auto" w:fill="FFFFFF"/>
              </w:rPr>
              <w:t>Caremark Cost Saver is a program intended to make lower prices available to members on certain covered products.  This solution leverages a partnership with a discount vendor while applying payments to</w:t>
            </w:r>
            <w:r w:rsidR="00696DFB">
              <w:rPr>
                <w:rFonts w:ascii="Verdana" w:hAnsi="Verdana" w:cs="Segoe UI"/>
                <w:color w:val="181818"/>
                <w:sz w:val="24"/>
                <w:szCs w:val="24"/>
                <w:shd w:val="clear" w:color="auto" w:fill="FFFFFF"/>
              </w:rPr>
              <w:t xml:space="preserve"> the member’s </w:t>
            </w:r>
            <w:r w:rsidR="00FC7CBE">
              <w:rPr>
                <w:rFonts w:ascii="Verdana" w:hAnsi="Verdana" w:cs="Segoe UI"/>
                <w:color w:val="181818"/>
                <w:sz w:val="24"/>
                <w:szCs w:val="24"/>
                <w:shd w:val="clear" w:color="auto" w:fill="FFFFFF"/>
              </w:rPr>
              <w:t xml:space="preserve">accumulators and retaining visibility of the claim for clinical management programs. </w:t>
            </w:r>
            <w:r w:rsidR="008D4B4A">
              <w:rPr>
                <w:rFonts w:ascii="Verdana" w:hAnsi="Verdana" w:cs="Segoe UI"/>
                <w:color w:val="181818"/>
                <w:sz w:val="24"/>
                <w:szCs w:val="24"/>
                <w:shd w:val="clear" w:color="auto" w:fill="FFFFFF"/>
              </w:rPr>
              <w:t>Refer to</w:t>
            </w:r>
            <w:r w:rsidR="00FC7CBE">
              <w:rPr>
                <w:rFonts w:ascii="Verdana" w:hAnsi="Verdana" w:cs="Segoe UI"/>
                <w:color w:val="181818"/>
                <w:sz w:val="24"/>
                <w:szCs w:val="24"/>
                <w:shd w:val="clear" w:color="auto" w:fill="FFFFFF"/>
              </w:rPr>
              <w:t xml:space="preserve"> </w:t>
            </w:r>
            <w:hyperlink r:id="rId19" w:anchor="!/view?docid=f389b4bb-3337-4b32-af6f-556d7fa03a78" w:history="1">
              <w:r w:rsidR="00CE3367" w:rsidRPr="006D54EE">
                <w:rPr>
                  <w:rStyle w:val="Hyperlink"/>
                  <w:rFonts w:ascii="Verdana" w:hAnsi="Verdana" w:cs="Segoe UI"/>
                  <w:sz w:val="24"/>
                  <w:szCs w:val="24"/>
                  <w:shd w:val="clear" w:color="auto" w:fill="FFFFFF"/>
                </w:rPr>
                <w:t>Caremark Cost Saver Program</w:t>
              </w:r>
              <w:r w:rsidR="00871BAD" w:rsidRPr="006D54EE">
                <w:rPr>
                  <w:rStyle w:val="Hyperlink"/>
                  <w:rFonts w:ascii="Verdana" w:hAnsi="Verdana" w:cs="Segoe UI"/>
                  <w:sz w:val="24"/>
                  <w:szCs w:val="24"/>
                  <w:shd w:val="clear" w:color="auto" w:fill="FFFFFF"/>
                </w:rPr>
                <w:t xml:space="preserve"> (060360)</w:t>
              </w:r>
            </w:hyperlink>
            <w:r w:rsidR="008D4B4A">
              <w:rPr>
                <w:rFonts w:ascii="Verdana" w:hAnsi="Verdana" w:cs="Segoe UI"/>
                <w:color w:val="181818"/>
                <w:sz w:val="24"/>
                <w:szCs w:val="24"/>
                <w:shd w:val="clear" w:color="auto" w:fill="FFFFFF"/>
              </w:rPr>
              <w:t>.</w:t>
            </w:r>
          </w:p>
        </w:tc>
      </w:tr>
    </w:tbl>
    <w:p w14:paraId="23F4B60D" w14:textId="77777777" w:rsidR="00FC4198" w:rsidRDefault="00FC4198" w:rsidP="00FC4198">
      <w:pPr>
        <w:spacing w:line="240" w:lineRule="auto"/>
        <w:jc w:val="right"/>
        <w:rPr>
          <w:rFonts w:ascii="Times New Roman" w:eastAsia="Times New Roman" w:hAnsi="Times New Roman" w:cs="Times New Roman"/>
          <w:sz w:val="24"/>
          <w:szCs w:val="24"/>
        </w:rPr>
      </w:pPr>
      <w:bookmarkStart w:id="15" w:name="OLE_LINK2"/>
    </w:p>
    <w:bookmarkEnd w:id="15"/>
    <w:p w14:paraId="2D68C593" w14:textId="683F0054" w:rsidR="00FC4198" w:rsidRPr="00FC4198" w:rsidRDefault="00550489" w:rsidP="00FC4198">
      <w:pPr>
        <w:spacing w:line="240" w:lineRule="auto"/>
        <w:jc w:val="right"/>
        <w:rPr>
          <w:rFonts w:ascii="Verdana" w:eastAsia="Times New Roman" w:hAnsi="Verdana" w:cs="Times New Roman"/>
          <w:sz w:val="24"/>
          <w:szCs w:val="24"/>
        </w:rPr>
      </w:pPr>
      <w:r>
        <w:rPr>
          <w:rFonts w:ascii="Verdana" w:eastAsia="Times New Roman" w:hAnsi="Verdana" w:cs="Times New Roman"/>
          <w:sz w:val="24"/>
          <w:szCs w:val="24"/>
        </w:rPr>
        <w:fldChar w:fldCharType="begin"/>
      </w:r>
      <w:r>
        <w:rPr>
          <w:rFonts w:ascii="Verdana" w:eastAsia="Times New Roman" w:hAnsi="Verdana" w:cs="Times New Roman"/>
          <w:sz w:val="24"/>
          <w:szCs w:val="24"/>
        </w:rPr>
        <w:instrText>HYPERLINK  \l "_top"</w:instrText>
      </w:r>
      <w:r>
        <w:rPr>
          <w:rFonts w:ascii="Verdana" w:eastAsia="Times New Roman" w:hAnsi="Verdana" w:cs="Times New Roman"/>
          <w:sz w:val="24"/>
          <w:szCs w:val="24"/>
        </w:rPr>
      </w:r>
      <w:r>
        <w:rPr>
          <w:rFonts w:ascii="Verdana" w:eastAsia="Times New Roman" w:hAnsi="Verdana" w:cs="Times New Roman"/>
          <w:sz w:val="24"/>
          <w:szCs w:val="24"/>
        </w:rPr>
        <w:fldChar w:fldCharType="separate"/>
      </w:r>
      <w:r w:rsidRPr="00550489">
        <w:rPr>
          <w:rStyle w:val="Hyperlink"/>
          <w:rFonts w:ascii="Verdana" w:eastAsia="Times New Roman" w:hAnsi="Verdana" w:cs="Times New Roman"/>
          <w:sz w:val="24"/>
          <w:szCs w:val="24"/>
        </w:rPr>
        <w:t>Top of the Document</w:t>
      </w:r>
      <w:r>
        <w:rPr>
          <w:rFonts w:ascii="Verdana" w:eastAsia="Times New Roman" w:hAnsi="Verdana" w:cs="Times New Roman"/>
          <w:sz w:val="24"/>
          <w:szCs w:val="24"/>
        </w:rPr>
        <w:fldChar w:fldCharType="end"/>
      </w:r>
    </w:p>
    <w:p w14:paraId="277070AB" w14:textId="77777777" w:rsidR="00FC4198" w:rsidRPr="00FC4198" w:rsidRDefault="00FC4198" w:rsidP="00FC4198">
      <w:pPr>
        <w:spacing w:line="240" w:lineRule="auto"/>
        <w:jc w:val="center"/>
        <w:rPr>
          <w:rFonts w:ascii="Verdana" w:eastAsia="Times New Roman" w:hAnsi="Verdana" w:cs="Times New Roman"/>
          <w:sz w:val="16"/>
          <w:szCs w:val="16"/>
        </w:rPr>
      </w:pPr>
      <w:r w:rsidRPr="00FC4198">
        <w:rPr>
          <w:rFonts w:ascii="Verdana" w:eastAsia="Times New Roman" w:hAnsi="Verdana" w:cs="Times New Roman"/>
          <w:sz w:val="16"/>
          <w:szCs w:val="16"/>
        </w:rPr>
        <w:t>Not To Be Reproduced Or Disclosed to Others Without Prior Written Approval</w:t>
      </w:r>
    </w:p>
    <w:p w14:paraId="1F9F28EA" w14:textId="77777777" w:rsidR="00FC4198" w:rsidRPr="00FC4198" w:rsidRDefault="00FC4198" w:rsidP="00FC4198">
      <w:pPr>
        <w:spacing w:line="240" w:lineRule="auto"/>
        <w:jc w:val="center"/>
        <w:rPr>
          <w:rFonts w:ascii="Verdana" w:eastAsia="Times New Roman" w:hAnsi="Verdana" w:cs="Times New Roman"/>
          <w:b/>
          <w:color w:val="000000"/>
          <w:sz w:val="16"/>
          <w:szCs w:val="16"/>
        </w:rPr>
      </w:pPr>
      <w:r w:rsidRPr="00FC4198">
        <w:rPr>
          <w:rFonts w:ascii="Verdana" w:eastAsia="Times New Roman" w:hAnsi="Verdana" w:cs="Times New Roman"/>
          <w:b/>
          <w:color w:val="000000"/>
          <w:sz w:val="16"/>
          <w:szCs w:val="16"/>
        </w:rPr>
        <w:t>ELECTRONIC DATA = OFFICIAL VERSION / PAPER COPY = INFORMATIONAL ONLY</w:t>
      </w:r>
    </w:p>
    <w:p w14:paraId="520301D4" w14:textId="4A93706A" w:rsidR="00A579F5" w:rsidRDefault="00A579F5"/>
    <w:sectPr w:rsidR="00A579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3CE1B" w14:textId="77777777" w:rsidR="008354A8" w:rsidRDefault="008354A8" w:rsidP="00175397">
      <w:pPr>
        <w:spacing w:line="240" w:lineRule="auto"/>
      </w:pPr>
      <w:r>
        <w:separator/>
      </w:r>
    </w:p>
  </w:endnote>
  <w:endnote w:type="continuationSeparator" w:id="0">
    <w:p w14:paraId="592F0B99" w14:textId="77777777" w:rsidR="008354A8" w:rsidRDefault="008354A8" w:rsidP="00175397">
      <w:pPr>
        <w:spacing w:line="240" w:lineRule="auto"/>
      </w:pPr>
      <w:r>
        <w:continuationSeparator/>
      </w:r>
    </w:p>
  </w:endnote>
  <w:endnote w:type="continuationNotice" w:id="1">
    <w:p w14:paraId="3C89D0D9" w14:textId="77777777" w:rsidR="008354A8" w:rsidRDefault="008354A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DA1B6" w14:textId="77777777" w:rsidR="008354A8" w:rsidRDefault="008354A8" w:rsidP="00175397">
      <w:pPr>
        <w:spacing w:line="240" w:lineRule="auto"/>
      </w:pPr>
      <w:r>
        <w:separator/>
      </w:r>
    </w:p>
  </w:footnote>
  <w:footnote w:type="continuationSeparator" w:id="0">
    <w:p w14:paraId="3728C0BE" w14:textId="77777777" w:rsidR="008354A8" w:rsidRDefault="008354A8" w:rsidP="00175397">
      <w:pPr>
        <w:spacing w:line="240" w:lineRule="auto"/>
      </w:pPr>
      <w:r>
        <w:continuationSeparator/>
      </w:r>
    </w:p>
  </w:footnote>
  <w:footnote w:type="continuationNotice" w:id="1">
    <w:p w14:paraId="41AB07FB" w14:textId="77777777" w:rsidR="008354A8" w:rsidRDefault="008354A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6C39"/>
    <w:multiLevelType w:val="multilevel"/>
    <w:tmpl w:val="0B3E9E44"/>
    <w:lvl w:ilvl="0">
      <w:start w:val="1"/>
      <w:numFmt w:val="bullet"/>
      <w:lvlText w:val=""/>
      <w:lvlJc w:val="left"/>
      <w:pPr>
        <w:tabs>
          <w:tab w:val="num" w:pos="148"/>
        </w:tabs>
        <w:ind w:left="148" w:hanging="360"/>
      </w:pPr>
      <w:rPr>
        <w:rFonts w:ascii="Symbol" w:hAnsi="Symbol" w:hint="default"/>
        <w:sz w:val="20"/>
      </w:rPr>
    </w:lvl>
    <w:lvl w:ilvl="1" w:tentative="1">
      <w:start w:val="1"/>
      <w:numFmt w:val="bullet"/>
      <w:lvlText w:val=""/>
      <w:lvlJc w:val="left"/>
      <w:pPr>
        <w:tabs>
          <w:tab w:val="num" w:pos="868"/>
        </w:tabs>
        <w:ind w:left="868" w:hanging="360"/>
      </w:pPr>
      <w:rPr>
        <w:rFonts w:ascii="Symbol" w:hAnsi="Symbol" w:hint="default"/>
        <w:sz w:val="20"/>
      </w:rPr>
    </w:lvl>
    <w:lvl w:ilvl="2" w:tentative="1">
      <w:start w:val="1"/>
      <w:numFmt w:val="bullet"/>
      <w:lvlText w:val=""/>
      <w:lvlJc w:val="left"/>
      <w:pPr>
        <w:tabs>
          <w:tab w:val="num" w:pos="1588"/>
        </w:tabs>
        <w:ind w:left="1588" w:hanging="360"/>
      </w:pPr>
      <w:rPr>
        <w:rFonts w:ascii="Symbol" w:hAnsi="Symbol" w:hint="default"/>
        <w:sz w:val="20"/>
      </w:rPr>
    </w:lvl>
    <w:lvl w:ilvl="3" w:tentative="1">
      <w:start w:val="1"/>
      <w:numFmt w:val="bullet"/>
      <w:lvlText w:val=""/>
      <w:lvlJc w:val="left"/>
      <w:pPr>
        <w:tabs>
          <w:tab w:val="num" w:pos="2308"/>
        </w:tabs>
        <w:ind w:left="2308" w:hanging="360"/>
      </w:pPr>
      <w:rPr>
        <w:rFonts w:ascii="Symbol" w:hAnsi="Symbol" w:hint="default"/>
        <w:sz w:val="20"/>
      </w:rPr>
    </w:lvl>
    <w:lvl w:ilvl="4" w:tentative="1">
      <w:start w:val="1"/>
      <w:numFmt w:val="bullet"/>
      <w:lvlText w:val=""/>
      <w:lvlJc w:val="left"/>
      <w:pPr>
        <w:tabs>
          <w:tab w:val="num" w:pos="3028"/>
        </w:tabs>
        <w:ind w:left="3028" w:hanging="360"/>
      </w:pPr>
      <w:rPr>
        <w:rFonts w:ascii="Symbol" w:hAnsi="Symbol" w:hint="default"/>
        <w:sz w:val="20"/>
      </w:rPr>
    </w:lvl>
    <w:lvl w:ilvl="5" w:tentative="1">
      <w:start w:val="1"/>
      <w:numFmt w:val="bullet"/>
      <w:lvlText w:val=""/>
      <w:lvlJc w:val="left"/>
      <w:pPr>
        <w:tabs>
          <w:tab w:val="num" w:pos="3748"/>
        </w:tabs>
        <w:ind w:left="3748" w:hanging="360"/>
      </w:pPr>
      <w:rPr>
        <w:rFonts w:ascii="Symbol" w:hAnsi="Symbol" w:hint="default"/>
        <w:sz w:val="20"/>
      </w:rPr>
    </w:lvl>
    <w:lvl w:ilvl="6" w:tentative="1">
      <w:start w:val="1"/>
      <w:numFmt w:val="bullet"/>
      <w:lvlText w:val=""/>
      <w:lvlJc w:val="left"/>
      <w:pPr>
        <w:tabs>
          <w:tab w:val="num" w:pos="4468"/>
        </w:tabs>
        <w:ind w:left="4468" w:hanging="360"/>
      </w:pPr>
      <w:rPr>
        <w:rFonts w:ascii="Symbol" w:hAnsi="Symbol" w:hint="default"/>
        <w:sz w:val="20"/>
      </w:rPr>
    </w:lvl>
    <w:lvl w:ilvl="7" w:tentative="1">
      <w:start w:val="1"/>
      <w:numFmt w:val="bullet"/>
      <w:lvlText w:val=""/>
      <w:lvlJc w:val="left"/>
      <w:pPr>
        <w:tabs>
          <w:tab w:val="num" w:pos="5188"/>
        </w:tabs>
        <w:ind w:left="5188" w:hanging="360"/>
      </w:pPr>
      <w:rPr>
        <w:rFonts w:ascii="Symbol" w:hAnsi="Symbol" w:hint="default"/>
        <w:sz w:val="20"/>
      </w:rPr>
    </w:lvl>
    <w:lvl w:ilvl="8" w:tentative="1">
      <w:start w:val="1"/>
      <w:numFmt w:val="bullet"/>
      <w:lvlText w:val=""/>
      <w:lvlJc w:val="left"/>
      <w:pPr>
        <w:tabs>
          <w:tab w:val="num" w:pos="5908"/>
        </w:tabs>
        <w:ind w:left="5908" w:hanging="360"/>
      </w:pPr>
      <w:rPr>
        <w:rFonts w:ascii="Symbol" w:hAnsi="Symbol" w:hint="default"/>
        <w:sz w:val="20"/>
      </w:rPr>
    </w:lvl>
  </w:abstractNum>
  <w:abstractNum w:abstractNumId="1" w15:restartNumberingAfterBreak="0">
    <w:nsid w:val="132A6FB2"/>
    <w:multiLevelType w:val="hybridMultilevel"/>
    <w:tmpl w:val="89FE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930C7"/>
    <w:multiLevelType w:val="multilevel"/>
    <w:tmpl w:val="04D8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254EE7"/>
    <w:multiLevelType w:val="hybridMultilevel"/>
    <w:tmpl w:val="9766A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63616A"/>
    <w:multiLevelType w:val="hybridMultilevel"/>
    <w:tmpl w:val="C47A1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C4F37A5"/>
    <w:multiLevelType w:val="multilevel"/>
    <w:tmpl w:val="062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8C12D0"/>
    <w:multiLevelType w:val="multilevel"/>
    <w:tmpl w:val="BABC5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36132324">
    <w:abstractNumId w:val="0"/>
  </w:num>
  <w:num w:numId="2" w16cid:durableId="232400389">
    <w:abstractNumId w:val="5"/>
  </w:num>
  <w:num w:numId="3" w16cid:durableId="1433745761">
    <w:abstractNumId w:val="6"/>
  </w:num>
  <w:num w:numId="4" w16cid:durableId="1899976764">
    <w:abstractNumId w:val="2"/>
  </w:num>
  <w:num w:numId="5" w16cid:durableId="1769766330">
    <w:abstractNumId w:val="1"/>
  </w:num>
  <w:num w:numId="6" w16cid:durableId="1182470042">
    <w:abstractNumId w:val="3"/>
  </w:num>
  <w:num w:numId="7" w16cid:durableId="1490708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22"/>
    <w:rsid w:val="0004537F"/>
    <w:rsid w:val="00085EA7"/>
    <w:rsid w:val="0009035E"/>
    <w:rsid w:val="000D55F5"/>
    <w:rsid w:val="000F6059"/>
    <w:rsid w:val="001207B0"/>
    <w:rsid w:val="001241CA"/>
    <w:rsid w:val="00144BE6"/>
    <w:rsid w:val="00145F13"/>
    <w:rsid w:val="00175397"/>
    <w:rsid w:val="0018695C"/>
    <w:rsid w:val="001A6514"/>
    <w:rsid w:val="001B0ACC"/>
    <w:rsid w:val="001B263A"/>
    <w:rsid w:val="001C1D32"/>
    <w:rsid w:val="001F4E2A"/>
    <w:rsid w:val="00201881"/>
    <w:rsid w:val="00204158"/>
    <w:rsid w:val="002116BF"/>
    <w:rsid w:val="00222110"/>
    <w:rsid w:val="00225B95"/>
    <w:rsid w:val="002406A1"/>
    <w:rsid w:val="002749D0"/>
    <w:rsid w:val="00276A15"/>
    <w:rsid w:val="0029142C"/>
    <w:rsid w:val="002A4F76"/>
    <w:rsid w:val="002B339C"/>
    <w:rsid w:val="002B5FB5"/>
    <w:rsid w:val="002D1E74"/>
    <w:rsid w:val="002D38A7"/>
    <w:rsid w:val="002D7D2E"/>
    <w:rsid w:val="002E4E65"/>
    <w:rsid w:val="002F7A63"/>
    <w:rsid w:val="00313C7B"/>
    <w:rsid w:val="00327B1D"/>
    <w:rsid w:val="003357C6"/>
    <w:rsid w:val="00336EA2"/>
    <w:rsid w:val="003430B4"/>
    <w:rsid w:val="00343CE6"/>
    <w:rsid w:val="0034720A"/>
    <w:rsid w:val="0036489E"/>
    <w:rsid w:val="003B021E"/>
    <w:rsid w:val="00427884"/>
    <w:rsid w:val="00475728"/>
    <w:rsid w:val="0048371E"/>
    <w:rsid w:val="0048682A"/>
    <w:rsid w:val="00490E75"/>
    <w:rsid w:val="004B5E5B"/>
    <w:rsid w:val="004D45FF"/>
    <w:rsid w:val="004E3E2F"/>
    <w:rsid w:val="004F78D9"/>
    <w:rsid w:val="00504828"/>
    <w:rsid w:val="00511693"/>
    <w:rsid w:val="00524CBA"/>
    <w:rsid w:val="00550489"/>
    <w:rsid w:val="0059395B"/>
    <w:rsid w:val="005A1AE5"/>
    <w:rsid w:val="005F7066"/>
    <w:rsid w:val="00600D41"/>
    <w:rsid w:val="006016EB"/>
    <w:rsid w:val="0061211F"/>
    <w:rsid w:val="00616B18"/>
    <w:rsid w:val="006264CC"/>
    <w:rsid w:val="006865B7"/>
    <w:rsid w:val="00696DFB"/>
    <w:rsid w:val="006D54EE"/>
    <w:rsid w:val="00701F29"/>
    <w:rsid w:val="00714A18"/>
    <w:rsid w:val="007212C7"/>
    <w:rsid w:val="00763948"/>
    <w:rsid w:val="007E2B09"/>
    <w:rsid w:val="00814003"/>
    <w:rsid w:val="0083271B"/>
    <w:rsid w:val="00832C4B"/>
    <w:rsid w:val="008354A8"/>
    <w:rsid w:val="00841B14"/>
    <w:rsid w:val="0086359D"/>
    <w:rsid w:val="00863751"/>
    <w:rsid w:val="00871BAD"/>
    <w:rsid w:val="008B4FC8"/>
    <w:rsid w:val="008D19BE"/>
    <w:rsid w:val="008D4B4A"/>
    <w:rsid w:val="00931497"/>
    <w:rsid w:val="009837ED"/>
    <w:rsid w:val="009D4EA4"/>
    <w:rsid w:val="009E53F2"/>
    <w:rsid w:val="00A219E2"/>
    <w:rsid w:val="00A343D5"/>
    <w:rsid w:val="00A36575"/>
    <w:rsid w:val="00A517A7"/>
    <w:rsid w:val="00A5609E"/>
    <w:rsid w:val="00A579F5"/>
    <w:rsid w:val="00A744EF"/>
    <w:rsid w:val="00A753A0"/>
    <w:rsid w:val="00A874F2"/>
    <w:rsid w:val="00A93C3C"/>
    <w:rsid w:val="00A97C4F"/>
    <w:rsid w:val="00AA4155"/>
    <w:rsid w:val="00AB107E"/>
    <w:rsid w:val="00AB4CAA"/>
    <w:rsid w:val="00AC36BB"/>
    <w:rsid w:val="00AD7DC2"/>
    <w:rsid w:val="00B06CF3"/>
    <w:rsid w:val="00B14E60"/>
    <w:rsid w:val="00B1633C"/>
    <w:rsid w:val="00B17B22"/>
    <w:rsid w:val="00B25FC3"/>
    <w:rsid w:val="00B2772E"/>
    <w:rsid w:val="00B40C5A"/>
    <w:rsid w:val="00B7478A"/>
    <w:rsid w:val="00B812E1"/>
    <w:rsid w:val="00B944C8"/>
    <w:rsid w:val="00BA61A1"/>
    <w:rsid w:val="00BC0350"/>
    <w:rsid w:val="00BE00CF"/>
    <w:rsid w:val="00BF1CF7"/>
    <w:rsid w:val="00C047B6"/>
    <w:rsid w:val="00C330D5"/>
    <w:rsid w:val="00C40709"/>
    <w:rsid w:val="00C51270"/>
    <w:rsid w:val="00C565F0"/>
    <w:rsid w:val="00C652F8"/>
    <w:rsid w:val="00C76463"/>
    <w:rsid w:val="00C76FDD"/>
    <w:rsid w:val="00C85735"/>
    <w:rsid w:val="00CA0643"/>
    <w:rsid w:val="00CE27BF"/>
    <w:rsid w:val="00CE3367"/>
    <w:rsid w:val="00CF0287"/>
    <w:rsid w:val="00CF149A"/>
    <w:rsid w:val="00CF45ED"/>
    <w:rsid w:val="00D02411"/>
    <w:rsid w:val="00D12646"/>
    <w:rsid w:val="00D12D8E"/>
    <w:rsid w:val="00D31F0F"/>
    <w:rsid w:val="00D54B0C"/>
    <w:rsid w:val="00D63C14"/>
    <w:rsid w:val="00D804BB"/>
    <w:rsid w:val="00D84631"/>
    <w:rsid w:val="00DA3471"/>
    <w:rsid w:val="00DD1270"/>
    <w:rsid w:val="00E003B9"/>
    <w:rsid w:val="00E00747"/>
    <w:rsid w:val="00E25FB3"/>
    <w:rsid w:val="00E27A32"/>
    <w:rsid w:val="00E33563"/>
    <w:rsid w:val="00E33778"/>
    <w:rsid w:val="00E53701"/>
    <w:rsid w:val="00E8276B"/>
    <w:rsid w:val="00E82956"/>
    <w:rsid w:val="00EA3540"/>
    <w:rsid w:val="00EB330D"/>
    <w:rsid w:val="00ED1935"/>
    <w:rsid w:val="00ED5D3D"/>
    <w:rsid w:val="00EE7EF0"/>
    <w:rsid w:val="00F22CBA"/>
    <w:rsid w:val="00F25BED"/>
    <w:rsid w:val="00F309A9"/>
    <w:rsid w:val="00F45B75"/>
    <w:rsid w:val="00F45D2C"/>
    <w:rsid w:val="00F468B6"/>
    <w:rsid w:val="00F76907"/>
    <w:rsid w:val="00F927FA"/>
    <w:rsid w:val="00F93930"/>
    <w:rsid w:val="00F9591D"/>
    <w:rsid w:val="00FB162E"/>
    <w:rsid w:val="00FB2C4A"/>
    <w:rsid w:val="00FC088D"/>
    <w:rsid w:val="00FC3263"/>
    <w:rsid w:val="00FC4198"/>
    <w:rsid w:val="00FC7CBE"/>
    <w:rsid w:val="00FD5FBF"/>
    <w:rsid w:val="00FE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7A8D8"/>
  <w15:chartTrackingRefBased/>
  <w15:docId w15:val="{3EDAE514-DF0A-44B8-B56A-38B5BC7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7B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7B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B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7B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7B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7B22"/>
    <w:rPr>
      <w:color w:val="0000FF"/>
      <w:u w:val="single"/>
    </w:rPr>
  </w:style>
  <w:style w:type="paragraph" w:styleId="Revision">
    <w:name w:val="Revision"/>
    <w:hidden/>
    <w:uiPriority w:val="99"/>
    <w:semiHidden/>
    <w:rsid w:val="002D38A7"/>
    <w:pPr>
      <w:spacing w:line="240" w:lineRule="auto"/>
    </w:pPr>
  </w:style>
  <w:style w:type="paragraph" w:styleId="ListParagraph">
    <w:name w:val="List Paragraph"/>
    <w:basedOn w:val="Normal"/>
    <w:uiPriority w:val="34"/>
    <w:qFormat/>
    <w:rsid w:val="002D38A7"/>
    <w:pPr>
      <w:ind w:left="720"/>
      <w:contextualSpacing/>
    </w:pPr>
  </w:style>
  <w:style w:type="character" w:styleId="UnresolvedMention">
    <w:name w:val="Unresolved Mention"/>
    <w:basedOn w:val="DefaultParagraphFont"/>
    <w:uiPriority w:val="99"/>
    <w:semiHidden/>
    <w:unhideWhenUsed/>
    <w:rsid w:val="004D45FF"/>
    <w:rPr>
      <w:color w:val="605E5C"/>
      <w:shd w:val="clear" w:color="auto" w:fill="E1DFDD"/>
    </w:rPr>
  </w:style>
  <w:style w:type="paragraph" w:styleId="Header">
    <w:name w:val="header"/>
    <w:basedOn w:val="Normal"/>
    <w:link w:val="HeaderChar"/>
    <w:uiPriority w:val="99"/>
    <w:semiHidden/>
    <w:unhideWhenUsed/>
    <w:rsid w:val="00A517A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517A7"/>
  </w:style>
  <w:style w:type="paragraph" w:styleId="Footer">
    <w:name w:val="footer"/>
    <w:basedOn w:val="Normal"/>
    <w:link w:val="FooterChar"/>
    <w:uiPriority w:val="99"/>
    <w:semiHidden/>
    <w:unhideWhenUsed/>
    <w:rsid w:val="00A517A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51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7089">
      <w:bodyDiv w:val="1"/>
      <w:marLeft w:val="0"/>
      <w:marRight w:val="0"/>
      <w:marTop w:val="0"/>
      <w:marBottom w:val="0"/>
      <w:divBdr>
        <w:top w:val="none" w:sz="0" w:space="0" w:color="auto"/>
        <w:left w:val="none" w:sz="0" w:space="0" w:color="auto"/>
        <w:bottom w:val="none" w:sz="0" w:space="0" w:color="auto"/>
        <w:right w:val="none" w:sz="0" w:space="0" w:color="auto"/>
      </w:divBdr>
    </w:div>
    <w:div w:id="1623999902">
      <w:bodyDiv w:val="1"/>
      <w:marLeft w:val="0"/>
      <w:marRight w:val="0"/>
      <w:marTop w:val="0"/>
      <w:marBottom w:val="0"/>
      <w:divBdr>
        <w:top w:val="none" w:sz="0" w:space="0" w:color="auto"/>
        <w:left w:val="none" w:sz="0" w:space="0" w:color="auto"/>
        <w:bottom w:val="none" w:sz="0" w:space="0" w:color="auto"/>
        <w:right w:val="none" w:sz="0" w:space="0" w:color="auto"/>
      </w:divBdr>
    </w:div>
    <w:div w:id="2034728169">
      <w:bodyDiv w:val="1"/>
      <w:marLeft w:val="0"/>
      <w:marRight w:val="0"/>
      <w:marTop w:val="0"/>
      <w:marBottom w:val="0"/>
      <w:divBdr>
        <w:top w:val="none" w:sz="0" w:space="0" w:color="auto"/>
        <w:left w:val="none" w:sz="0" w:space="0" w:color="auto"/>
        <w:bottom w:val="none" w:sz="0" w:space="0" w:color="auto"/>
        <w:right w:val="none" w:sz="0" w:space="0" w:color="auto"/>
      </w:divBdr>
    </w:div>
    <w:div w:id="212206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UserStoryNumber xmlns="65624d1d-cfd8-476a-9af4-03c08f6d829e" xsi:nil="true"/>
    <lcf76f155ced4ddcb4097134ff3c332f xmlns="65624d1d-cfd8-476a-9af4-03c08f6d829e">
      <Terms xmlns="http://schemas.microsoft.com/office/infopath/2007/PartnerControls"/>
    </lcf76f155ced4ddcb4097134ff3c332f>
    <USStory_x0023_ xmlns="65624d1d-cfd8-476a-9af4-03c08f6d829e" xsi:nil="true"/>
    <ReleaseName_x002f_Year xmlns="65624d1d-cfd8-476a-9af4-03c08f6d829e" xsi:nil="true"/>
    <LOB xmlns="65624d1d-cfd8-476a-9af4-03c08f6d829e" xsi:nil="true"/>
    <TaxCatchAll xmlns="a7c4a04d-57ed-4144-aac1-e9fd4ebb6938" xsi:nil="true"/>
    <Feature0 xmlns="65624d1d-cfd8-476a-9af4-03c08f6d829e" xsi:nil="true"/>
    <TechnicalWriter xmlns="65624d1d-cfd8-476a-9af4-03c08f6d829e">
      <UserInfo>
        <DisplayName/>
        <AccountId xsi:nil="true"/>
        <AccountType/>
      </UserInfo>
    </TechnicalWriter>
    <TechnicalWriterReviewComplete xmlns="65624d1d-cfd8-476a-9af4-03c08f6d829e" xsi:nil="true"/>
    <Notes xmlns="65624d1d-cfd8-476a-9af4-03c08f6d829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29" ma:contentTypeDescription="Create a new document." ma:contentTypeScope="" ma:versionID="5a4f0693ce89415c873257aed7517169">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fb8e112324911668dcf4d129d6740ec3" ns2:_="" ns3:_="">
    <xsd:import namespace="65624d1d-cfd8-476a-9af4-03c08f6d829e"/>
    <xsd:import namespace="a7c4a04d-57ed-4144-aac1-e9fd4ebb693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OB" minOccurs="0"/>
                <xsd:element ref="ns2:Notes" minOccurs="0"/>
                <xsd:element ref="ns2:ReleaseName_x002f_Year" minOccurs="0"/>
                <xsd:element ref="ns2:lcf76f155ced4ddcb4097134ff3c332f" minOccurs="0"/>
                <xsd:element ref="ns3:TaxCatchAll" minOccurs="0"/>
                <xsd:element ref="ns2:USStory_x0023_" minOccurs="0"/>
                <xsd:element ref="ns2:UserStoryNumber" minOccurs="0"/>
                <xsd:element ref="ns2:Feature0" minOccurs="0"/>
                <xsd:element ref="ns2:TechnicalWriter" minOccurs="0"/>
                <xsd:element ref="ns2:TechnicalWriterReviewComple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OB" ma:index="20" nillable="true" ma:displayName="LOB" ma:format="Dropdown" ma:internalName="LOB">
      <xsd:simpleType>
        <xsd:restriction base="dms:Choice">
          <xsd:enumeration value="Care Only"/>
          <xsd:enumeration value="PHD Only"/>
          <xsd:enumeration value="Shared"/>
        </xsd:restriction>
      </xsd:simpleType>
    </xsd:element>
    <xsd:element name="Notes" ma:index="21" nillable="true" ma:displayName="Notes" ma:format="Dropdown" ma:internalName="Notes">
      <xsd:simpleType>
        <xsd:restriction base="dms:Note">
          <xsd:maxLength value="255"/>
        </xsd:restriction>
      </xsd:simpleType>
    </xsd:element>
    <xsd:element name="ReleaseName_x002f_Year" ma:index="22" nillable="true" ma:displayName="Release Name/Year" ma:format="Dropdown" ma:internalName="ReleaseName_x002f_Year">
      <xsd:simpleType>
        <xsd:restriction base="dms:Text">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USStory_x0023_" ma:index="26" nillable="true" ma:displayName="theSource Document Title" ma:format="Dropdown" ma:list="660c0a1d-3f33-4e5b-a7a5-be88833a8b50" ma:internalName="USStory_x0023_" ma:showField="theSourceDocumentTitle">
      <xsd:simpleType>
        <xsd:restriction base="dms:Lookup"/>
      </xsd:simpleType>
    </xsd:element>
    <xsd:element name="UserStoryNumber" ma:index="27" nillable="true" ma:displayName="User Story Number" ma:description="&#10;" ma:format="Dropdown" ma:internalName="UserStoryNumber">
      <xsd:simpleType>
        <xsd:restriction base="dms:Note">
          <xsd:maxLength value="255"/>
        </xsd:restriction>
      </xsd:simpleType>
    </xsd:element>
    <xsd:element name="Feature0" ma:index="28" nillable="true" ma:displayName="Feature" ma:format="Dropdown" ma:internalName="Feature0">
      <xsd:simpleType>
        <xsd:restriction base="dms:Note">
          <xsd:maxLength value="255"/>
        </xsd:restriction>
      </xsd:simpleType>
    </xsd:element>
    <xsd:element name="TechnicalWriter" ma:index="29" nillable="true" ma:displayName="Technical Writer" ma:format="Dropdown" ma:list="UserInfo" ma:SharePointGroup="0" ma:internalName="TechnicalWrite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chnicalWriterReviewComplete" ma:index="30" nillable="true" ma:displayName="Technical Writer Review Complete" ma:format="Dropdown" ma:internalName="TechnicalWriterReviewComplete">
      <xsd:simpleType>
        <xsd:restriction base="dms:Choice">
          <xsd:enumeration value="Yes"/>
          <xsd:enumeration value="Choice 2"/>
          <xsd:enumeration value="Choice 3"/>
        </xsd:restriction>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bc85311b-016a-4b33-a25d-3a9d61f515ac}" ma:internalName="TaxCatchAll"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4F2CE6-2EA8-4EE2-AAD7-E37A9B064DA8}">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3F579A5C-8549-4811-9302-33846DC819BA}">
  <ds:schemaRefs>
    <ds:schemaRef ds:uri="http://schemas.microsoft.com/sharepoint/v3/contenttype/forms"/>
  </ds:schemaRefs>
</ds:datastoreItem>
</file>

<file path=customXml/itemProps3.xml><?xml version="1.0" encoding="utf-8"?>
<ds:datastoreItem xmlns:ds="http://schemas.openxmlformats.org/officeDocument/2006/customXml" ds:itemID="{0847CA7B-4117-47CB-976C-DFC72BE31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Links>
    <vt:vector size="60" baseType="variant">
      <vt:variant>
        <vt:i4>262192</vt:i4>
      </vt:variant>
      <vt:variant>
        <vt:i4>27</vt:i4>
      </vt:variant>
      <vt:variant>
        <vt:i4>0</vt:i4>
      </vt:variant>
      <vt:variant>
        <vt:i4>5</vt:i4>
      </vt:variant>
      <vt:variant>
        <vt:lpwstr/>
      </vt:variant>
      <vt:variant>
        <vt:lpwstr>_top</vt:lpwstr>
      </vt:variant>
      <vt:variant>
        <vt:i4>1310797</vt:i4>
      </vt:variant>
      <vt:variant>
        <vt:i4>24</vt:i4>
      </vt:variant>
      <vt:variant>
        <vt:i4>0</vt:i4>
      </vt:variant>
      <vt:variant>
        <vt:i4>5</vt:i4>
      </vt:variant>
      <vt:variant>
        <vt:lpwstr>https://thesource.cvshealth.com/nuxeo/thesource/</vt:lpwstr>
      </vt:variant>
      <vt:variant>
        <vt:lpwstr>!/view?docid=f389b4bb-3337-4b32-af6f-556d7fa03a78</vt:lpwstr>
      </vt:variant>
      <vt:variant>
        <vt:i4>4915278</vt:i4>
      </vt:variant>
      <vt:variant>
        <vt:i4>21</vt:i4>
      </vt:variant>
      <vt:variant>
        <vt:i4>0</vt:i4>
      </vt:variant>
      <vt:variant>
        <vt:i4>5</vt:i4>
      </vt:variant>
      <vt:variant>
        <vt:lpwstr>https://thesource.cvshealth.com/nuxeo/thesource/</vt:lpwstr>
      </vt:variant>
      <vt:variant>
        <vt:lpwstr>!/view?docid=ede79ef0-e196-481c-9f1b-c4ea562d9025</vt:lpwstr>
      </vt:variant>
      <vt:variant>
        <vt:i4>1769493</vt:i4>
      </vt:variant>
      <vt:variant>
        <vt:i4>18</vt:i4>
      </vt:variant>
      <vt:variant>
        <vt:i4>0</vt:i4>
      </vt:variant>
      <vt:variant>
        <vt:i4>5</vt:i4>
      </vt:variant>
      <vt:variant>
        <vt:lpwstr>https://thesource.cvshealth.com/nuxeo/thesource/</vt:lpwstr>
      </vt:variant>
      <vt:variant>
        <vt:lpwstr>!/view?docid=61656868-2241-42ad-ac78-516f378f2a43</vt:lpwstr>
      </vt:variant>
      <vt:variant>
        <vt:i4>5046341</vt:i4>
      </vt:variant>
      <vt:variant>
        <vt:i4>15</vt:i4>
      </vt:variant>
      <vt:variant>
        <vt:i4>0</vt:i4>
      </vt:variant>
      <vt:variant>
        <vt:i4>5</vt:i4>
      </vt:variant>
      <vt:variant>
        <vt:lpwstr>https://thesource.cvshealth.com/nuxeo/thesource/</vt:lpwstr>
      </vt:variant>
      <vt:variant>
        <vt:lpwstr>!/view?docid=2caace6e-39db-4411-9813-86cc2997a67d</vt:lpwstr>
      </vt:variant>
      <vt:variant>
        <vt:i4>1572929</vt:i4>
      </vt:variant>
      <vt:variant>
        <vt:i4>12</vt:i4>
      </vt:variant>
      <vt:variant>
        <vt:i4>0</vt:i4>
      </vt:variant>
      <vt:variant>
        <vt:i4>5</vt:i4>
      </vt:variant>
      <vt:variant>
        <vt:lpwstr>https://thesource.cvshealth.com/nuxeo/thesource/</vt:lpwstr>
      </vt:variant>
      <vt:variant>
        <vt:lpwstr>!/view?docid=14ae0958-12e7-48ef-bdb1-8f903f3c48ae</vt:lpwstr>
      </vt:variant>
      <vt:variant>
        <vt:i4>5046341</vt:i4>
      </vt:variant>
      <vt:variant>
        <vt:i4>9</vt:i4>
      </vt:variant>
      <vt:variant>
        <vt:i4>0</vt:i4>
      </vt:variant>
      <vt:variant>
        <vt:i4>5</vt:i4>
      </vt:variant>
      <vt:variant>
        <vt:lpwstr>https://thesource.cvshealth.com/nuxeo/thesource/</vt:lpwstr>
      </vt:variant>
      <vt:variant>
        <vt:lpwstr>!/view?docid=2caace6e-39db-4411-9813-86cc2997a67d</vt:lpwstr>
      </vt:variant>
      <vt:variant>
        <vt:i4>1507392</vt:i4>
      </vt:variant>
      <vt:variant>
        <vt:i4>6</vt:i4>
      </vt:variant>
      <vt:variant>
        <vt:i4>0</vt:i4>
      </vt:variant>
      <vt:variant>
        <vt:i4>5</vt:i4>
      </vt:variant>
      <vt:variant>
        <vt:lpwstr>https://thesource.cvshealth.com/nuxeo/thesource/</vt:lpwstr>
      </vt:variant>
      <vt:variant>
        <vt:lpwstr>!/view?docid=3b60a22f-46f3-4a63-882c-1e8f680c2d8a</vt:lpwstr>
      </vt:variant>
      <vt:variant>
        <vt:i4>4456464</vt:i4>
      </vt:variant>
      <vt:variant>
        <vt:i4>3</vt:i4>
      </vt:variant>
      <vt:variant>
        <vt:i4>0</vt:i4>
      </vt:variant>
      <vt:variant>
        <vt:i4>5</vt:i4>
      </vt:variant>
      <vt:variant>
        <vt:lpwstr>https://thesource.cvshealth.com/nuxeo/thesource/</vt:lpwstr>
      </vt:variant>
      <vt:variant>
        <vt:lpwstr>!/view?docid=dbbd827c-6422-4d74-9564-18d510c03aee</vt:lpwstr>
      </vt:variant>
      <vt:variant>
        <vt:i4>4194380</vt:i4>
      </vt:variant>
      <vt:variant>
        <vt:i4>0</vt:i4>
      </vt:variant>
      <vt:variant>
        <vt:i4>0</vt:i4>
      </vt:variant>
      <vt:variant>
        <vt:i4>5</vt:i4>
      </vt:variant>
      <vt:variant>
        <vt:lpwstr>https://thesource.cvshealth.com/nuxeo/thesource/</vt:lpwstr>
      </vt:variant>
      <vt:variant>
        <vt:lpwstr>!/view?docid=845064bd-8ae0-4d30-af0a-e21d6d81933c</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Blondell, Michael S</dc:creator>
  <cp:keywords/>
  <dc:description/>
  <cp:lastModifiedBy>Davis, David P.</cp:lastModifiedBy>
  <cp:revision>9</cp:revision>
  <dcterms:created xsi:type="dcterms:W3CDTF">2025-08-06T10:46:00Z</dcterms:created>
  <dcterms:modified xsi:type="dcterms:W3CDTF">2025-08-06T11:06:00Z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2023-04-21T12:06:15Z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7e7435cc-eb3f-425b-aec7-bbfbd2d1d087</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