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A9AF" w14:textId="0DC85040" w:rsidR="00255C6B" w:rsidRPr="00812777" w:rsidRDefault="00443E5A" w:rsidP="003135E7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0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644018">
        <w:rPr>
          <w:rFonts w:ascii="Verdana" w:hAnsi="Verdana"/>
          <w:color w:val="000000"/>
          <w:sz w:val="36"/>
          <w:szCs w:val="36"/>
        </w:rPr>
        <w:t xml:space="preserve">- </w:t>
      </w:r>
      <w:r w:rsidR="009978DC">
        <w:rPr>
          <w:rFonts w:ascii="Verdana" w:hAnsi="Verdana"/>
          <w:color w:val="000000"/>
          <w:sz w:val="36"/>
          <w:szCs w:val="36"/>
        </w:rPr>
        <w:t xml:space="preserve">Duplicate </w:t>
      </w:r>
      <w:r>
        <w:rPr>
          <w:rFonts w:ascii="Verdana" w:hAnsi="Verdana"/>
          <w:color w:val="000000"/>
          <w:sz w:val="36"/>
          <w:szCs w:val="36"/>
        </w:rPr>
        <w:t>EOB</w:t>
      </w:r>
      <w:r w:rsidR="009978DC">
        <w:rPr>
          <w:rFonts w:ascii="Verdana" w:hAnsi="Verdana"/>
          <w:color w:val="000000"/>
          <w:sz w:val="36"/>
          <w:szCs w:val="36"/>
        </w:rPr>
        <w:t xml:space="preserve"> Statements</w:t>
      </w:r>
    </w:p>
    <w:bookmarkEnd w:id="1"/>
    <w:p w14:paraId="0CAC4AD0" w14:textId="77777777" w:rsidR="003135E7" w:rsidRDefault="003135E7" w:rsidP="005D3136">
      <w:pPr>
        <w:pStyle w:val="TOC2"/>
      </w:pPr>
    </w:p>
    <w:p w14:paraId="79F9DC25" w14:textId="77777777" w:rsidR="003135E7" w:rsidRDefault="003135E7" w:rsidP="005D3136">
      <w:pPr>
        <w:pStyle w:val="TOC2"/>
      </w:pPr>
    </w:p>
    <w:p w14:paraId="40C83C2F" w14:textId="05AB22F7" w:rsidR="005D3136" w:rsidRDefault="00F5017D" w:rsidP="005D313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4810D1">
        <w:fldChar w:fldCharType="begin"/>
      </w:r>
      <w:r w:rsidRPr="004810D1">
        <w:instrText xml:space="preserve"> TOC \o "2-2" \n \p " " \h \z \u </w:instrText>
      </w:r>
      <w:r w:rsidRPr="004810D1">
        <w:fldChar w:fldCharType="separate"/>
      </w:r>
      <w:hyperlink w:anchor="_Toc176354287" w:history="1">
        <w:r w:rsidR="005D3136" w:rsidRPr="00F361D7">
          <w:rPr>
            <w:rStyle w:val="Hyperlink"/>
            <w:rFonts w:ascii="Verdana" w:hAnsi="Verdana"/>
            <w:noProof/>
          </w:rPr>
          <w:t>Process</w:t>
        </w:r>
      </w:hyperlink>
    </w:p>
    <w:p w14:paraId="5CB9B6D5" w14:textId="066FB3CF" w:rsidR="005D3136" w:rsidRDefault="005D3136" w:rsidP="005D313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6354288" w:history="1">
        <w:r w:rsidRPr="00F361D7">
          <w:rPr>
            <w:rStyle w:val="Hyperlink"/>
            <w:rFonts w:ascii="Verdana" w:hAnsi="Verdana"/>
            <w:noProof/>
          </w:rPr>
          <w:t>Turnaround Time (TAT)</w:t>
        </w:r>
      </w:hyperlink>
    </w:p>
    <w:p w14:paraId="5BA7E876" w14:textId="0A69938E" w:rsidR="005D3136" w:rsidRDefault="005D3136" w:rsidP="005D313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6354289" w:history="1">
        <w:r w:rsidRPr="00F361D7">
          <w:rPr>
            <w:rStyle w:val="Hyperlink"/>
            <w:rFonts w:ascii="Verdana" w:hAnsi="Verdana"/>
            <w:noProof/>
          </w:rPr>
          <w:t>Related Documents</w:t>
        </w:r>
      </w:hyperlink>
    </w:p>
    <w:p w14:paraId="54E7148A" w14:textId="457B6001" w:rsidR="000F2C27" w:rsidRPr="004810D1" w:rsidRDefault="00F5017D" w:rsidP="003135E7">
      <w:pPr>
        <w:spacing w:before="120" w:after="120"/>
        <w:rPr>
          <w:rFonts w:ascii="Verdana" w:hAnsi="Verdana"/>
        </w:rPr>
      </w:pPr>
      <w:r w:rsidRPr="004810D1">
        <w:rPr>
          <w:rFonts w:ascii="Verdana" w:hAnsi="Verdana"/>
        </w:rPr>
        <w:fldChar w:fldCharType="end"/>
      </w:r>
    </w:p>
    <w:p w14:paraId="3455DEE7" w14:textId="77777777" w:rsidR="00314893" w:rsidRPr="004810D1" w:rsidRDefault="00314893" w:rsidP="003135E7">
      <w:pPr>
        <w:spacing w:before="120" w:after="120"/>
        <w:rPr>
          <w:rFonts w:ascii="Verdana" w:hAnsi="Verdana"/>
          <w:b/>
          <w:bCs/>
          <w:color w:val="000000"/>
        </w:rPr>
      </w:pPr>
      <w:bookmarkStart w:id="2" w:name="_Overview"/>
      <w:bookmarkEnd w:id="2"/>
    </w:p>
    <w:p w14:paraId="179B2CDD" w14:textId="15452E39" w:rsidR="00A22137" w:rsidRDefault="00C03487" w:rsidP="003135E7">
      <w:pPr>
        <w:spacing w:before="120" w:after="120"/>
        <w:rPr>
          <w:rFonts w:ascii="Verdana" w:hAnsi="Verdana"/>
          <w:color w:val="000000"/>
        </w:rPr>
      </w:pPr>
      <w:r w:rsidRPr="004810D1">
        <w:rPr>
          <w:rFonts w:ascii="Verdana" w:hAnsi="Verdana"/>
          <w:b/>
          <w:bCs/>
          <w:color w:val="000000"/>
        </w:rPr>
        <w:t>Description:</w:t>
      </w:r>
      <w:r w:rsidRPr="004810D1">
        <w:rPr>
          <w:rFonts w:ascii="Verdana" w:hAnsi="Verdana"/>
          <w:color w:val="000000"/>
        </w:rPr>
        <w:t xml:space="preserve">  </w:t>
      </w:r>
      <w:bookmarkStart w:id="3" w:name="OLE_LINK9"/>
      <w:bookmarkStart w:id="4" w:name="OLE_LINK31"/>
      <w:r w:rsidR="006C3813">
        <w:rPr>
          <w:rFonts w:ascii="Verdana" w:hAnsi="Verdana"/>
          <w:color w:val="000000"/>
        </w:rPr>
        <w:t>H</w:t>
      </w:r>
      <w:r w:rsidR="005C22CB" w:rsidRPr="004810D1">
        <w:rPr>
          <w:rFonts w:ascii="Verdana" w:hAnsi="Verdana"/>
          <w:color w:val="000000"/>
        </w:rPr>
        <w:t xml:space="preserve">ow to </w:t>
      </w:r>
      <w:r w:rsidR="0034108C" w:rsidRPr="004810D1">
        <w:rPr>
          <w:rFonts w:ascii="Verdana" w:hAnsi="Verdana"/>
          <w:color w:val="000000"/>
        </w:rPr>
        <w:t xml:space="preserve">respond to a member’s </w:t>
      </w:r>
      <w:r w:rsidR="005C22CB" w:rsidRPr="004810D1">
        <w:rPr>
          <w:rFonts w:ascii="Verdana" w:hAnsi="Verdana"/>
          <w:color w:val="000000"/>
        </w:rPr>
        <w:t xml:space="preserve">request </w:t>
      </w:r>
      <w:r w:rsidR="0034108C" w:rsidRPr="004810D1">
        <w:rPr>
          <w:rFonts w:ascii="Verdana" w:hAnsi="Verdana"/>
          <w:color w:val="000000"/>
        </w:rPr>
        <w:t xml:space="preserve">to create </w:t>
      </w:r>
      <w:r w:rsidR="005C22CB" w:rsidRPr="004810D1">
        <w:rPr>
          <w:rFonts w:ascii="Verdana" w:hAnsi="Verdana"/>
          <w:color w:val="000000"/>
        </w:rPr>
        <w:t xml:space="preserve">a duplicate </w:t>
      </w:r>
      <w:r w:rsidR="00D1123F" w:rsidRPr="004810D1">
        <w:rPr>
          <w:rFonts w:ascii="Verdana" w:hAnsi="Verdana"/>
          <w:color w:val="000000"/>
        </w:rPr>
        <w:t xml:space="preserve">Explanation of </w:t>
      </w:r>
      <w:r w:rsidR="003F155B" w:rsidRPr="004810D1">
        <w:rPr>
          <w:rFonts w:ascii="Verdana" w:hAnsi="Verdana"/>
          <w:color w:val="000000"/>
        </w:rPr>
        <w:t>Benefits</w:t>
      </w:r>
      <w:r w:rsidR="00D951BF" w:rsidRPr="004810D1">
        <w:rPr>
          <w:rFonts w:ascii="Verdana" w:hAnsi="Verdana"/>
          <w:color w:val="000000"/>
        </w:rPr>
        <w:t xml:space="preserve"> (</w:t>
      </w:r>
      <w:r w:rsidR="003F155B" w:rsidRPr="004810D1">
        <w:rPr>
          <w:rFonts w:ascii="Verdana" w:hAnsi="Verdana"/>
          <w:color w:val="000000"/>
        </w:rPr>
        <w:t>EOB</w:t>
      </w:r>
      <w:r w:rsidR="00AE0331" w:rsidRPr="004810D1">
        <w:rPr>
          <w:rFonts w:ascii="Verdana" w:hAnsi="Verdana"/>
          <w:color w:val="000000"/>
        </w:rPr>
        <w:t>)</w:t>
      </w:r>
      <w:r w:rsidR="005C22CB" w:rsidRPr="004810D1">
        <w:rPr>
          <w:rFonts w:ascii="Verdana" w:hAnsi="Verdana"/>
          <w:color w:val="000000"/>
        </w:rPr>
        <w:t>.</w:t>
      </w:r>
      <w:r w:rsidR="00850D79" w:rsidRPr="004810D1">
        <w:rPr>
          <w:rFonts w:ascii="Verdana" w:hAnsi="Verdana"/>
          <w:color w:val="000000"/>
        </w:rPr>
        <w:t xml:space="preserve"> </w:t>
      </w:r>
      <w:r w:rsidR="005C22CB" w:rsidRPr="004810D1">
        <w:rPr>
          <w:rFonts w:ascii="Verdana" w:hAnsi="Verdana"/>
          <w:color w:val="000000"/>
        </w:rPr>
        <w:t xml:space="preserve">An </w:t>
      </w:r>
      <w:r w:rsidR="003F155B" w:rsidRPr="004810D1">
        <w:rPr>
          <w:rFonts w:ascii="Verdana" w:hAnsi="Verdana"/>
          <w:color w:val="000000"/>
        </w:rPr>
        <w:t xml:space="preserve">EOB </w:t>
      </w:r>
      <w:r w:rsidR="00850D79" w:rsidRPr="004810D1">
        <w:rPr>
          <w:rFonts w:ascii="Verdana" w:hAnsi="Verdana"/>
          <w:color w:val="000000"/>
        </w:rPr>
        <w:t xml:space="preserve">is generated for each claim </w:t>
      </w:r>
      <w:proofErr w:type="gramStart"/>
      <w:r w:rsidR="00850D79" w:rsidRPr="004810D1">
        <w:rPr>
          <w:rFonts w:ascii="Verdana" w:hAnsi="Verdana"/>
          <w:color w:val="000000"/>
        </w:rPr>
        <w:t>adjudicated</w:t>
      </w:r>
      <w:proofErr w:type="gramEnd"/>
      <w:r w:rsidR="00850D79" w:rsidRPr="004810D1">
        <w:rPr>
          <w:rFonts w:ascii="Verdana" w:hAnsi="Verdana"/>
          <w:color w:val="000000"/>
        </w:rPr>
        <w:t>, whether it is paid or denied in the system</w:t>
      </w:r>
      <w:bookmarkStart w:id="5" w:name="_Definitions"/>
      <w:bookmarkStart w:id="6" w:name="_Definitions/Abbreviations"/>
      <w:bookmarkStart w:id="7" w:name="_Abbreviations/Definitions"/>
      <w:bookmarkStart w:id="8" w:name="_Various_Work_Instructions"/>
      <w:bookmarkStart w:id="9" w:name="_PAR_Process_after_a_FRX_/_FRC_confl"/>
      <w:bookmarkStart w:id="10" w:name="_Next_Day_and"/>
      <w:bookmarkStart w:id="11" w:name="_Scanning_the_Targets"/>
      <w:bookmarkStart w:id="12" w:name="_LAN_Log_In"/>
      <w:bookmarkStart w:id="13" w:name="_AMOS_Log_In"/>
      <w:bookmarkStart w:id="14" w:name="_Search_by_Order#"/>
      <w:bookmarkStart w:id="15" w:name="_Check_Look_Up"/>
      <w:bookmarkEnd w:id="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4E0238" w:rsidRPr="004810D1">
        <w:rPr>
          <w:rFonts w:ascii="Verdana" w:hAnsi="Verdana"/>
          <w:color w:val="000000"/>
        </w:rPr>
        <w:t xml:space="preserve">. </w:t>
      </w:r>
    </w:p>
    <w:p w14:paraId="12A17311" w14:textId="77777777" w:rsidR="004810D1" w:rsidRPr="004810D1" w:rsidRDefault="004810D1" w:rsidP="003135E7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DB3D5E" w14:paraId="3617CD24" w14:textId="77777777" w:rsidTr="005C22CB">
        <w:tc>
          <w:tcPr>
            <w:tcW w:w="5000" w:type="pct"/>
            <w:shd w:val="clear" w:color="auto" w:fill="C0C0C0"/>
          </w:tcPr>
          <w:p w14:paraId="3714DAB9" w14:textId="4EF3DBFA" w:rsidR="005A64DA" w:rsidRPr="00DB3D5E" w:rsidRDefault="009978DC" w:rsidP="003135E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Process"/>
            <w:bookmarkStart w:id="17" w:name="_Toc176354287"/>
            <w:bookmarkEnd w:id="4"/>
            <w:bookmarkEnd w:id="16"/>
            <w:r w:rsidRPr="00DB3D5E">
              <w:rPr>
                <w:rFonts w:ascii="Verdana" w:hAnsi="Verdana"/>
                <w:i w:val="0"/>
                <w:iCs w:val="0"/>
              </w:rPr>
              <w:t>Process</w:t>
            </w:r>
            <w:bookmarkEnd w:id="17"/>
          </w:p>
        </w:tc>
      </w:tr>
    </w:tbl>
    <w:p w14:paraId="18CAB7D4" w14:textId="77777777" w:rsidR="00296CB4" w:rsidRDefault="00296CB4" w:rsidP="003135E7">
      <w:pPr>
        <w:spacing w:before="120" w:after="120"/>
        <w:contextualSpacing/>
        <w:rPr>
          <w:rFonts w:ascii="Verdana" w:hAnsi="Verdana"/>
          <w:color w:val="000000"/>
        </w:rPr>
      </w:pPr>
    </w:p>
    <w:p w14:paraId="222A4F10" w14:textId="209067CB" w:rsidR="00296CB4" w:rsidRPr="00296CB4" w:rsidRDefault="00296CB4" w:rsidP="003135E7">
      <w:pPr>
        <w:spacing w:before="120" w:after="12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Notes:</w:t>
      </w:r>
    </w:p>
    <w:p w14:paraId="3A6509F3" w14:textId="7C4AF529" w:rsidR="00BA753C" w:rsidRPr="00296CB4" w:rsidRDefault="00D951BF" w:rsidP="003135E7">
      <w:pPr>
        <w:pStyle w:val="ListParagraph"/>
        <w:numPr>
          <w:ilvl w:val="0"/>
          <w:numId w:val="24"/>
        </w:numPr>
        <w:spacing w:before="120" w:after="120"/>
        <w:ind w:left="432"/>
        <w:contextualSpacing w:val="0"/>
        <w:rPr>
          <w:rFonts w:ascii="Verdana" w:hAnsi="Verdana"/>
          <w:color w:val="000000"/>
        </w:rPr>
      </w:pPr>
      <w:r w:rsidRPr="00296CB4">
        <w:rPr>
          <w:rFonts w:ascii="Verdana" w:hAnsi="Verdana"/>
          <w:b/>
          <w:bCs/>
          <w:color w:val="000000"/>
        </w:rPr>
        <w:t>For Commercial members,</w:t>
      </w:r>
      <w:r w:rsidRPr="00296CB4">
        <w:rPr>
          <w:rFonts w:ascii="Verdana" w:hAnsi="Verdana"/>
          <w:color w:val="000000"/>
        </w:rPr>
        <w:t xml:space="preserve"> </w:t>
      </w:r>
      <w:r w:rsidR="003F155B" w:rsidRPr="00296CB4">
        <w:rPr>
          <w:rFonts w:ascii="Verdana" w:hAnsi="Verdana"/>
          <w:color w:val="000000"/>
        </w:rPr>
        <w:t xml:space="preserve">EOBs </w:t>
      </w:r>
      <w:r w:rsidRPr="00296CB4">
        <w:rPr>
          <w:rFonts w:ascii="Verdana" w:hAnsi="Verdana"/>
          <w:color w:val="000000"/>
        </w:rPr>
        <w:t xml:space="preserve">are issued only for paper claim responses. </w:t>
      </w:r>
    </w:p>
    <w:p w14:paraId="51EA2E9C" w14:textId="7ACBF9F2" w:rsidR="00F755E4" w:rsidRPr="00296CB4" w:rsidRDefault="00F755E4" w:rsidP="003135E7">
      <w:pPr>
        <w:pStyle w:val="ListParagraph"/>
        <w:numPr>
          <w:ilvl w:val="0"/>
          <w:numId w:val="24"/>
        </w:numPr>
        <w:spacing w:before="120" w:after="120"/>
        <w:ind w:left="432"/>
        <w:contextualSpacing w:val="0"/>
        <w:rPr>
          <w:rFonts w:ascii="Verdana" w:hAnsi="Verdana"/>
          <w:color w:val="000000"/>
        </w:rPr>
      </w:pPr>
      <w:r w:rsidRPr="00296CB4">
        <w:rPr>
          <w:rFonts w:ascii="Verdana" w:hAnsi="Verdana"/>
          <w:b/>
          <w:bCs/>
          <w:color w:val="000000"/>
        </w:rPr>
        <w:t>For rejected paper claims,</w:t>
      </w:r>
      <w:r w:rsidRPr="00296CB4">
        <w:rPr>
          <w:rFonts w:ascii="Verdana" w:hAnsi="Verdana"/>
          <w:color w:val="000000"/>
        </w:rPr>
        <w:t xml:space="preserve"> the EOB displays the rejection messages explaining why the </w:t>
      </w:r>
      <w:r w:rsidR="00491954" w:rsidRPr="00296CB4">
        <w:rPr>
          <w:rFonts w:ascii="Verdana" w:hAnsi="Verdana"/>
          <w:color w:val="000000"/>
        </w:rPr>
        <w:t>Rx</w:t>
      </w:r>
      <w:r w:rsidRPr="00296CB4">
        <w:rPr>
          <w:rFonts w:ascii="Verdana" w:hAnsi="Verdana"/>
          <w:color w:val="000000"/>
        </w:rPr>
        <w:t xml:space="preserve"> was not covered</w:t>
      </w:r>
      <w:r w:rsidR="004E0238" w:rsidRPr="00296CB4">
        <w:rPr>
          <w:rFonts w:ascii="Verdana" w:hAnsi="Verdana"/>
          <w:color w:val="000000"/>
        </w:rPr>
        <w:t xml:space="preserve">. </w:t>
      </w:r>
      <w:r w:rsidRPr="00296CB4">
        <w:rPr>
          <w:rFonts w:ascii="Verdana" w:hAnsi="Verdana"/>
          <w:color w:val="000000"/>
        </w:rPr>
        <w:t>For paper claims that were paid, it will include the paid information, such as what would be included in a Statement of Cost.</w:t>
      </w:r>
    </w:p>
    <w:p w14:paraId="200B0B1D" w14:textId="10AC2C72" w:rsidR="00F755E4" w:rsidRDefault="00F755E4" w:rsidP="003135E7">
      <w:pPr>
        <w:pStyle w:val="ListParagraph"/>
        <w:numPr>
          <w:ilvl w:val="0"/>
          <w:numId w:val="24"/>
        </w:numPr>
        <w:spacing w:before="120" w:after="120"/>
        <w:ind w:left="432"/>
        <w:contextualSpacing w:val="0"/>
      </w:pPr>
      <w:r w:rsidRPr="00296CB4">
        <w:rPr>
          <w:rFonts w:ascii="Verdana" w:hAnsi="Verdana"/>
          <w:b/>
          <w:bCs/>
          <w:color w:val="000000"/>
        </w:rPr>
        <w:t>If a paper claim is reversed,</w:t>
      </w:r>
      <w:r w:rsidRPr="00296CB4">
        <w:rPr>
          <w:rFonts w:ascii="Verdana" w:hAnsi="Verdana"/>
          <w:color w:val="000000"/>
        </w:rPr>
        <w:t xml:space="preserve"> it will reflect on the following month's EOB. We </w:t>
      </w:r>
      <w:r w:rsidRPr="00296CB4">
        <w:rPr>
          <w:rFonts w:ascii="Verdana" w:hAnsi="Verdana"/>
          <w:b/>
          <w:color w:val="000000"/>
        </w:rPr>
        <w:t>do not</w:t>
      </w:r>
      <w:r w:rsidRPr="00296CB4">
        <w:rPr>
          <w:rFonts w:ascii="Verdana" w:hAnsi="Verdana"/>
          <w:color w:val="000000"/>
        </w:rPr>
        <w:t xml:space="preserve"> update EOB’s</w:t>
      </w:r>
      <w:r w:rsidR="004E0238" w:rsidRPr="00296CB4">
        <w:rPr>
          <w:rFonts w:ascii="Verdana" w:hAnsi="Verdana"/>
          <w:color w:val="000000"/>
        </w:rPr>
        <w:t>.</w:t>
      </w:r>
    </w:p>
    <w:p w14:paraId="5227E8D6" w14:textId="77777777" w:rsidR="00E848E0" w:rsidRDefault="00E848E0" w:rsidP="003135E7">
      <w:pPr>
        <w:spacing w:before="120" w:after="120"/>
      </w:pPr>
    </w:p>
    <w:p w14:paraId="7BE35FFF" w14:textId="27A5A206" w:rsidR="00E848E0" w:rsidRDefault="00000000" w:rsidP="003135E7">
      <w:pPr>
        <w:spacing w:before="120" w:after="120"/>
      </w:pPr>
      <w:r>
        <w:pict w14:anchorId="17A970B6">
          <v:shape id="Picture 2" o:spid="_x0000_i1026" type="#_x0000_t75" style="width:18.6pt;height:16.2pt;visibility:visible">
            <v:imagedata r:id="rId11" o:title=""/>
          </v:shape>
        </w:pict>
      </w:r>
      <w:r w:rsidR="00296CB4">
        <w:t xml:space="preserve"> </w:t>
      </w:r>
      <w:r w:rsidR="00E848E0" w:rsidRPr="219B02FB">
        <w:rPr>
          <w:rFonts w:ascii="Verdana" w:hAnsi="Verdana"/>
          <w:color w:val="000000"/>
        </w:rPr>
        <w:t xml:space="preserve">EOB Number, Check issue Date, and Check Number are required for </w:t>
      </w:r>
      <w:r w:rsidR="00583274" w:rsidRPr="219B02FB">
        <w:rPr>
          <w:rFonts w:ascii="Verdana" w:hAnsi="Verdana"/>
          <w:color w:val="000000"/>
        </w:rPr>
        <w:t xml:space="preserve">the Duplicate EOB support </w:t>
      </w:r>
      <w:r w:rsidR="00E848E0" w:rsidRPr="219B02FB">
        <w:rPr>
          <w:rFonts w:ascii="Verdana" w:hAnsi="Verdana"/>
          <w:color w:val="000000"/>
        </w:rPr>
        <w:t xml:space="preserve">task. If member does not have this information available, </w:t>
      </w:r>
      <w:r w:rsidR="00E848E0">
        <w:rPr>
          <w:rFonts w:ascii="Verdana" w:hAnsi="Verdana"/>
          <w:color w:val="000000"/>
        </w:rPr>
        <w:t>offer to send a Statement of Cost (SOC). Refer to</w:t>
      </w:r>
      <w:r w:rsidR="0053062A">
        <w:rPr>
          <w:rFonts w:ascii="Verdana" w:hAnsi="Verdana"/>
          <w:color w:val="000000"/>
        </w:rPr>
        <w:t xml:space="preserve"> </w:t>
      </w:r>
      <w:bookmarkStart w:id="18" w:name="OLE_LINK2"/>
      <w:r w:rsidR="00EF3CE1">
        <w:rPr>
          <w:rFonts w:ascii="Verdana" w:hAnsi="Verdana"/>
          <w:color w:val="000000"/>
        </w:rPr>
        <w:fldChar w:fldCharType="begin"/>
      </w:r>
      <w:r w:rsidR="003135E7">
        <w:rPr>
          <w:rFonts w:ascii="Verdana" w:hAnsi="Verdana"/>
          <w:color w:val="000000"/>
        </w:rPr>
        <w:instrText>HYPERLINK "https://thesource.cvshealth.com/nuxeo/thesource/" \l "!/view?docid=7bd8dfef-b12e-401e-9c4e-1e67e9a6a662"</w:instrText>
      </w:r>
      <w:r w:rsidR="003135E7">
        <w:rPr>
          <w:rFonts w:ascii="Verdana" w:hAnsi="Verdana"/>
          <w:color w:val="000000"/>
        </w:rPr>
      </w:r>
      <w:r w:rsidR="00EF3CE1">
        <w:rPr>
          <w:rFonts w:ascii="Verdana" w:hAnsi="Verdana"/>
          <w:color w:val="000000"/>
        </w:rPr>
        <w:fldChar w:fldCharType="separate"/>
      </w:r>
      <w:r w:rsidR="003135E7">
        <w:rPr>
          <w:rStyle w:val="Hyperlink"/>
          <w:rFonts w:ascii="Verdana" w:hAnsi="Verdana"/>
        </w:rPr>
        <w:t>Compass - Member Resource Orders, Fulfillment Support Tasks, and Statement of Cost (SOC) Requests (056893)</w:t>
      </w:r>
      <w:r w:rsidR="00EF3CE1">
        <w:rPr>
          <w:rFonts w:ascii="Verdana" w:hAnsi="Verdana"/>
          <w:color w:val="000000"/>
        </w:rPr>
        <w:fldChar w:fldCharType="end"/>
      </w:r>
      <w:bookmarkEnd w:id="18"/>
      <w:r w:rsidR="00E848E0" w:rsidRPr="00BA04F8">
        <w:rPr>
          <w:rFonts w:ascii="Verdana" w:hAnsi="Verdana"/>
          <w:color w:val="000000"/>
        </w:rPr>
        <w:t>.</w:t>
      </w:r>
      <w:r w:rsidR="00583274" w:rsidRPr="00BA04F8">
        <w:rPr>
          <w:rFonts w:ascii="Verdana" w:hAnsi="Verdana"/>
          <w:color w:val="000000"/>
        </w:rPr>
        <w:t xml:space="preserve"> </w:t>
      </w:r>
    </w:p>
    <w:p w14:paraId="01CA163F" w14:textId="77777777" w:rsidR="00E848E0" w:rsidRDefault="00E848E0" w:rsidP="003135E7">
      <w:pPr>
        <w:spacing w:before="120" w:after="120"/>
      </w:pPr>
    </w:p>
    <w:p w14:paraId="6D5EDD58" w14:textId="116408A2" w:rsidR="00AE0331" w:rsidRPr="00AE0331" w:rsidRDefault="00AE0331" w:rsidP="003135E7">
      <w:pPr>
        <w:spacing w:before="120" w:after="120"/>
        <w:rPr>
          <w:rFonts w:ascii="Verdana" w:hAnsi="Verdana"/>
        </w:rPr>
      </w:pPr>
      <w:r w:rsidRPr="00AE0331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551"/>
        <w:gridCol w:w="1994"/>
        <w:gridCol w:w="4390"/>
        <w:gridCol w:w="4191"/>
      </w:tblGrid>
      <w:tr w:rsidR="00296CB4" w:rsidRPr="00841471" w14:paraId="3C54BEE7" w14:textId="77777777" w:rsidTr="004E0238">
        <w:tc>
          <w:tcPr>
            <w:tcW w:w="206" w:type="pct"/>
            <w:shd w:val="clear" w:color="auto" w:fill="D9D9D9" w:themeFill="background1" w:themeFillShade="D9"/>
          </w:tcPr>
          <w:p w14:paraId="6B5E6B02" w14:textId="77777777" w:rsidR="005A64DA" w:rsidRPr="00DB3D5E" w:rsidRDefault="005A64DA" w:rsidP="003135E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B3D5E">
              <w:rPr>
                <w:rFonts w:ascii="Verdana" w:hAnsi="Verdana"/>
                <w:b/>
              </w:rPr>
              <w:t>Step</w:t>
            </w:r>
          </w:p>
        </w:tc>
        <w:tc>
          <w:tcPr>
            <w:tcW w:w="4794" w:type="pct"/>
            <w:gridSpan w:val="4"/>
            <w:shd w:val="clear" w:color="auto" w:fill="D9D9D9" w:themeFill="background1" w:themeFillShade="D9"/>
          </w:tcPr>
          <w:p w14:paraId="203C1740" w14:textId="77777777" w:rsidR="005A64DA" w:rsidRPr="00DB3D5E" w:rsidRDefault="005A64DA" w:rsidP="003135E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B3D5E">
              <w:rPr>
                <w:rFonts w:ascii="Verdana" w:hAnsi="Verdana"/>
                <w:b/>
              </w:rPr>
              <w:t xml:space="preserve">Action </w:t>
            </w:r>
          </w:p>
        </w:tc>
      </w:tr>
      <w:tr w:rsidR="00867FD1" w:rsidRPr="00841471" w14:paraId="6E5AE47C" w14:textId="77777777" w:rsidTr="004E0238">
        <w:trPr>
          <w:trHeight w:val="242"/>
        </w:trPr>
        <w:tc>
          <w:tcPr>
            <w:tcW w:w="206" w:type="pct"/>
            <w:vMerge w:val="restart"/>
          </w:tcPr>
          <w:p w14:paraId="34FDD6AF" w14:textId="7C27A645" w:rsidR="001618E4" w:rsidRDefault="005F369C" w:rsidP="003135E7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1</w:t>
            </w:r>
          </w:p>
        </w:tc>
        <w:tc>
          <w:tcPr>
            <w:tcW w:w="4794" w:type="pct"/>
            <w:gridSpan w:val="4"/>
            <w:tcBorders>
              <w:bottom w:val="single" w:sz="4" w:space="0" w:color="auto"/>
            </w:tcBorders>
          </w:tcPr>
          <w:p w14:paraId="0921BCF6" w14:textId="18457C6D" w:rsidR="008A7291" w:rsidRDefault="00E77E8E" w:rsidP="003135E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Determine if the request is related to a paper claim.</w:t>
            </w:r>
          </w:p>
        </w:tc>
      </w:tr>
      <w:tr w:rsidR="00867FD1" w:rsidRPr="00841471" w14:paraId="4ADC21FC" w14:textId="77777777" w:rsidTr="004E0238">
        <w:trPr>
          <w:trHeight w:val="323"/>
        </w:trPr>
        <w:tc>
          <w:tcPr>
            <w:tcW w:w="206" w:type="pct"/>
            <w:vMerge/>
          </w:tcPr>
          <w:p w14:paraId="48E3659B" w14:textId="77777777" w:rsidR="001618E4" w:rsidRDefault="001618E4" w:rsidP="003135E7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4A4B68" w14:textId="4584B444" w:rsidR="001618E4" w:rsidRPr="009D5AB1" w:rsidRDefault="000B7CFA" w:rsidP="003135E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9D5AB1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4168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BDCFDC" w14:textId="6E7618F4" w:rsidR="001618E4" w:rsidRPr="009D5AB1" w:rsidRDefault="000B7CFA" w:rsidP="003135E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9D5AB1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A64BD5" w:rsidRPr="00841471" w14:paraId="472CDA90" w14:textId="77777777" w:rsidTr="004E0238">
        <w:trPr>
          <w:trHeight w:val="57"/>
        </w:trPr>
        <w:tc>
          <w:tcPr>
            <w:tcW w:w="206" w:type="pct"/>
            <w:vMerge/>
          </w:tcPr>
          <w:p w14:paraId="7A108C12" w14:textId="77777777" w:rsidR="001618E4" w:rsidRDefault="001618E4" w:rsidP="003135E7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</w:p>
        </w:tc>
        <w:tc>
          <w:tcPr>
            <w:tcW w:w="627" w:type="pct"/>
            <w:tcBorders>
              <w:bottom w:val="single" w:sz="4" w:space="0" w:color="auto"/>
            </w:tcBorders>
          </w:tcPr>
          <w:p w14:paraId="73062F8A" w14:textId="4A365741" w:rsidR="001618E4" w:rsidRDefault="007D7F9A" w:rsidP="003135E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4168" w:type="pct"/>
            <w:gridSpan w:val="3"/>
            <w:tcBorders>
              <w:bottom w:val="single" w:sz="4" w:space="0" w:color="auto"/>
            </w:tcBorders>
          </w:tcPr>
          <w:p w14:paraId="67DA9256" w14:textId="3CC31693" w:rsidR="004810D1" w:rsidRDefault="001A579C" w:rsidP="003135E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</w:t>
            </w:r>
            <w:r w:rsidRPr="009C2D24">
              <w:rPr>
                <w:rFonts w:ascii="Verdana" w:hAnsi="Verdana"/>
                <w:b/>
                <w:bCs/>
              </w:rPr>
              <w:t>Step 2</w:t>
            </w:r>
            <w:r w:rsidR="004810D1">
              <w:rPr>
                <w:rFonts w:ascii="Verdana" w:hAnsi="Verdana"/>
              </w:rPr>
              <w:t>.</w:t>
            </w:r>
          </w:p>
        </w:tc>
      </w:tr>
      <w:tr w:rsidR="00A64BD5" w:rsidRPr="00841471" w14:paraId="2165FBBB" w14:textId="77777777" w:rsidTr="004E0238">
        <w:trPr>
          <w:trHeight w:val="57"/>
        </w:trPr>
        <w:tc>
          <w:tcPr>
            <w:tcW w:w="206" w:type="pct"/>
            <w:vMerge/>
          </w:tcPr>
          <w:p w14:paraId="1EC9A0AE" w14:textId="77777777" w:rsidR="001618E4" w:rsidRDefault="001618E4" w:rsidP="003135E7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</w:p>
        </w:tc>
        <w:tc>
          <w:tcPr>
            <w:tcW w:w="627" w:type="pct"/>
            <w:tcBorders>
              <w:bottom w:val="single" w:sz="4" w:space="0" w:color="auto"/>
            </w:tcBorders>
          </w:tcPr>
          <w:p w14:paraId="00BF3245" w14:textId="0D76FBC5" w:rsidR="001618E4" w:rsidRDefault="001A579C" w:rsidP="003135E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4168" w:type="pct"/>
            <w:gridSpan w:val="3"/>
            <w:tcBorders>
              <w:bottom w:val="single" w:sz="4" w:space="0" w:color="auto"/>
            </w:tcBorders>
          </w:tcPr>
          <w:p w14:paraId="35003420" w14:textId="550A1D66" w:rsidR="00F72D03" w:rsidRDefault="00F72D03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Inform the member that we are unable to generate </w:t>
            </w:r>
            <w:r w:rsidR="007278FC">
              <w:rPr>
                <w:rFonts w:ascii="Verdana" w:hAnsi="Verdana"/>
              </w:rPr>
              <w:t xml:space="preserve">an </w:t>
            </w:r>
            <w:r>
              <w:rPr>
                <w:rFonts w:ascii="Verdana" w:hAnsi="Verdana"/>
                <w:b/>
              </w:rPr>
              <w:t>EOB</w:t>
            </w:r>
            <w:r>
              <w:rPr>
                <w:rFonts w:ascii="Verdana" w:hAnsi="Verdana"/>
                <w:bCs/>
              </w:rPr>
              <w:t xml:space="preserve">. The alternative options available include: </w:t>
            </w:r>
          </w:p>
          <w:p w14:paraId="63DC766E" w14:textId="77777777" w:rsidR="00F72D03" w:rsidRDefault="00F72D03" w:rsidP="003135E7">
            <w:pPr>
              <w:numPr>
                <w:ilvl w:val="0"/>
                <w:numId w:val="20"/>
              </w:numPr>
              <w:spacing w:before="120" w:after="120"/>
              <w:ind w:left="43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Recommend the member acquire an itemized printout of all the medications from their retail pharmacy.</w:t>
            </w:r>
          </w:p>
          <w:p w14:paraId="1BB84CC1" w14:textId="7312C106" w:rsidR="00F72D03" w:rsidRDefault="00F72D03" w:rsidP="003135E7">
            <w:pPr>
              <w:numPr>
                <w:ilvl w:val="0"/>
                <w:numId w:val="20"/>
              </w:numPr>
              <w:spacing w:before="120" w:after="120"/>
              <w:ind w:left="432"/>
              <w:rPr>
                <w:rFonts w:ascii="Verdana" w:hAnsi="Verdana"/>
              </w:rPr>
            </w:pPr>
            <w:r w:rsidRPr="219B02FB">
              <w:rPr>
                <w:rFonts w:ascii="Verdana" w:hAnsi="Verdana"/>
              </w:rPr>
              <w:t>If the request is for the member’s own records, and does not need to be on company letterhead, a Financial Summary can be printed from Caremark.com. Refer to</w:t>
            </w:r>
            <w:r w:rsidR="00FD4498" w:rsidRPr="219B02FB">
              <w:rPr>
                <w:rFonts w:ascii="Verdana" w:hAnsi="Verdana"/>
              </w:rPr>
              <w:t xml:space="preserve"> </w:t>
            </w:r>
            <w:hyperlink r:id="rId12" w:anchor="!/view?docid=49174a61-def5-436c-9087-69cf5f17a352">
              <w:r w:rsidR="003135E7">
                <w:rPr>
                  <w:rStyle w:val="Hyperlink"/>
                  <w:rFonts w:ascii="Verdana" w:hAnsi="Verdana"/>
                </w:rPr>
                <w:t>Caremark.com - Financial Summary (Prescription History) – Integrated Pharmacy Experience (IPE) (018771)</w:t>
              </w:r>
            </w:hyperlink>
            <w:r w:rsidR="00FD4498" w:rsidRPr="219B02FB">
              <w:rPr>
                <w:rFonts w:ascii="Verdana" w:hAnsi="Verdana"/>
              </w:rPr>
              <w:t>.</w:t>
            </w:r>
          </w:p>
          <w:p w14:paraId="08654615" w14:textId="49AC5188" w:rsidR="00F72D03" w:rsidRDefault="00F72D03" w:rsidP="003135E7">
            <w:pPr>
              <w:numPr>
                <w:ilvl w:val="0"/>
                <w:numId w:val="20"/>
              </w:numPr>
              <w:spacing w:before="120" w:after="120"/>
              <w:ind w:left="432"/>
              <w:rPr>
                <w:rFonts w:ascii="Verdana" w:hAnsi="Verdana"/>
              </w:rPr>
            </w:pPr>
            <w:r w:rsidRPr="219B02FB">
              <w:rPr>
                <w:rFonts w:ascii="Verdana" w:hAnsi="Verdana"/>
                <w:color w:val="000000" w:themeColor="text1"/>
              </w:rPr>
              <w:t xml:space="preserve">Offer to send out a Statement of Cost (SOC). </w:t>
            </w:r>
            <w:bookmarkStart w:id="19" w:name="OLE_LINK7"/>
            <w:r w:rsidRPr="219B02FB">
              <w:rPr>
                <w:rFonts w:ascii="Verdana" w:hAnsi="Verdana"/>
                <w:color w:val="000000" w:themeColor="text1"/>
              </w:rPr>
              <w:t>Refer to</w:t>
            </w:r>
            <w:r w:rsidR="00A349AB" w:rsidRPr="219B02FB">
              <w:rPr>
                <w:rFonts w:ascii="Verdana" w:hAnsi="Verdana"/>
                <w:color w:val="000000" w:themeColor="text1"/>
              </w:rPr>
              <w:t xml:space="preserve"> </w:t>
            </w:r>
            <w:hyperlink r:id="rId13" w:anchor="!/view?docid=7bd8dfef-b12e-401e-9c4e-1e67e9a6a662">
              <w:r w:rsidR="003135E7">
                <w:rPr>
                  <w:rFonts w:ascii="Verdana" w:hAnsi="Verdana"/>
                  <w:color w:val="0000FF"/>
                  <w:u w:val="single"/>
                </w:rPr>
                <w:t>Compass - Member Resource Orders, Fulfillment Support Tasks, and Statement of Cost (SOC) Requests (056893)</w:t>
              </w:r>
            </w:hyperlink>
            <w:r w:rsidR="004E0238">
              <w:rPr>
                <w:rFonts w:ascii="Verdana" w:hAnsi="Verdana"/>
                <w:color w:val="000000" w:themeColor="text1"/>
              </w:rPr>
              <w:t>.</w:t>
            </w:r>
            <w:bookmarkEnd w:id="19"/>
          </w:p>
          <w:p w14:paraId="2AE3B390" w14:textId="48C6F846" w:rsidR="00F72D03" w:rsidRDefault="00F72D03" w:rsidP="003135E7">
            <w:pPr>
              <w:numPr>
                <w:ilvl w:val="0"/>
                <w:numId w:val="20"/>
              </w:numPr>
              <w:spacing w:before="120" w:after="120"/>
              <w:ind w:left="432"/>
              <w:rPr>
                <w:rFonts w:ascii="Verdana" w:hAnsi="Verdana"/>
                <w:color w:val="000000" w:themeColor="text1"/>
              </w:rPr>
            </w:pPr>
            <w:r w:rsidRPr="219B02FB">
              <w:rPr>
                <w:rFonts w:ascii="Verdana" w:hAnsi="Verdana"/>
                <w:color w:val="000000" w:themeColor="text1"/>
              </w:rPr>
              <w:t xml:space="preserve">Offer to send out an invoice </w:t>
            </w:r>
            <w:r w:rsidR="004E0238" w:rsidRPr="219B02FB">
              <w:rPr>
                <w:rFonts w:ascii="Verdana" w:hAnsi="Verdana"/>
                <w:color w:val="000000" w:themeColor="text1"/>
              </w:rPr>
              <w:t>copy if</w:t>
            </w:r>
            <w:r w:rsidRPr="219B02FB">
              <w:rPr>
                <w:rFonts w:ascii="Verdana" w:hAnsi="Verdana"/>
                <w:color w:val="000000" w:themeColor="text1"/>
              </w:rPr>
              <w:t xml:space="preserve"> it has not been over 30 days. </w:t>
            </w:r>
            <w:bookmarkStart w:id="20" w:name="OLE_LINK5"/>
            <w:bookmarkStart w:id="21" w:name="OLE_LINK21"/>
            <w:r w:rsidRPr="219B02FB">
              <w:rPr>
                <w:rFonts w:ascii="Verdana" w:hAnsi="Verdana"/>
                <w:color w:val="000000" w:themeColor="text1"/>
              </w:rPr>
              <w:t xml:space="preserve">Refer to </w:t>
            </w:r>
            <w:hyperlink r:id="rId14" w:anchor="!/view?docid=cbb8a222-7be3-469f-8287-387d92d742c9" w:history="1">
              <w:r w:rsidR="53671F3E" w:rsidRPr="003135E7">
                <w:rPr>
                  <w:rStyle w:val="Hyperlink"/>
                  <w:rFonts w:ascii="Verdana" w:hAnsi="Verdana"/>
                </w:rPr>
                <w:t>Compass – Statement Invoice Copy Request for Previous Orders (066728)</w:t>
              </w:r>
            </w:hyperlink>
            <w:r w:rsidR="53671F3E" w:rsidRPr="219B02FB">
              <w:rPr>
                <w:rFonts w:ascii="Verdana" w:hAnsi="Verdana"/>
                <w:color w:val="000000" w:themeColor="text1"/>
              </w:rPr>
              <w:t>.</w:t>
            </w:r>
            <w:bookmarkEnd w:id="20"/>
            <w:bookmarkEnd w:id="21"/>
          </w:p>
          <w:p w14:paraId="3825E8EF" w14:textId="118BD751" w:rsidR="001618E4" w:rsidRDefault="001618E4" w:rsidP="003135E7">
            <w:pPr>
              <w:spacing w:before="120" w:after="120"/>
              <w:rPr>
                <w:rFonts w:ascii="Verdana" w:hAnsi="Verdana"/>
              </w:rPr>
            </w:pPr>
          </w:p>
        </w:tc>
      </w:tr>
      <w:tr w:rsidR="00296CB4" w:rsidRPr="00841471" w14:paraId="6FCAAFD5" w14:textId="77777777" w:rsidTr="004E0238">
        <w:trPr>
          <w:trHeight w:val="285"/>
        </w:trPr>
        <w:tc>
          <w:tcPr>
            <w:tcW w:w="206" w:type="pct"/>
            <w:vMerge w:val="restart"/>
          </w:tcPr>
          <w:p w14:paraId="1A2C76CB" w14:textId="06258964" w:rsidR="00D2031A" w:rsidRPr="00DB3D5E" w:rsidRDefault="005F369C" w:rsidP="003135E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94" w:type="pct"/>
            <w:gridSpan w:val="4"/>
            <w:tcBorders>
              <w:bottom w:val="single" w:sz="4" w:space="0" w:color="auto"/>
            </w:tcBorders>
          </w:tcPr>
          <w:p w14:paraId="447FA430" w14:textId="4639166C" w:rsidR="00D2031A" w:rsidRPr="00DB3D5E" w:rsidRDefault="00640F45" w:rsidP="003135E7">
            <w:pPr>
              <w:spacing w:before="120" w:after="120"/>
              <w:rPr>
                <w:rFonts w:ascii="Verdana" w:hAnsi="Verdana"/>
              </w:rPr>
            </w:pPr>
            <w:bookmarkStart w:id="22" w:name="OLE_LINK17"/>
            <w:bookmarkStart w:id="23" w:name="OLE_LINK16"/>
            <w:r>
              <w:rPr>
                <w:rFonts w:ascii="Verdana" w:hAnsi="Verdana"/>
              </w:rPr>
              <w:t>Determine who is requesting the Duplicate EOB</w:t>
            </w:r>
            <w:bookmarkEnd w:id="22"/>
            <w:r w:rsidR="004810D1">
              <w:rPr>
                <w:rFonts w:ascii="Verdana" w:hAnsi="Verdana"/>
              </w:rPr>
              <w:t>.</w:t>
            </w:r>
            <w:bookmarkEnd w:id="23"/>
          </w:p>
        </w:tc>
      </w:tr>
      <w:tr w:rsidR="00867FD1" w:rsidRPr="00841471" w14:paraId="46563F1A" w14:textId="77777777" w:rsidTr="004E0238">
        <w:trPr>
          <w:trHeight w:val="285"/>
        </w:trPr>
        <w:tc>
          <w:tcPr>
            <w:tcW w:w="206" w:type="pct"/>
            <w:vMerge/>
          </w:tcPr>
          <w:p w14:paraId="4DC87BE2" w14:textId="77777777" w:rsidR="00D2031A" w:rsidRPr="00DB3D5E" w:rsidRDefault="00D2031A" w:rsidP="003135E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25" w:type="pct"/>
            <w:gridSpan w:val="2"/>
            <w:shd w:val="clear" w:color="auto" w:fill="D9D9D9" w:themeFill="background1" w:themeFillShade="D9"/>
          </w:tcPr>
          <w:p w14:paraId="1F457089" w14:textId="381C53EC" w:rsidR="00D2031A" w:rsidRPr="00DB3D5E" w:rsidRDefault="00D2031A" w:rsidP="003135E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B3D5E">
              <w:rPr>
                <w:rFonts w:ascii="Verdana" w:hAnsi="Verdana"/>
                <w:b/>
              </w:rPr>
              <w:t xml:space="preserve">If a </w:t>
            </w:r>
            <w:r w:rsidR="005C22CB">
              <w:rPr>
                <w:rFonts w:ascii="Verdana" w:hAnsi="Verdana"/>
                <w:b/>
              </w:rPr>
              <w:t>D</w:t>
            </w:r>
            <w:r w:rsidRPr="00DB3D5E">
              <w:rPr>
                <w:rFonts w:ascii="Verdana" w:hAnsi="Verdana"/>
                <w:b/>
              </w:rPr>
              <w:t xml:space="preserve">uplicate </w:t>
            </w:r>
            <w:r w:rsidR="005F4338">
              <w:rPr>
                <w:rFonts w:ascii="Verdana" w:hAnsi="Verdana"/>
                <w:b/>
              </w:rPr>
              <w:t>EOB</w:t>
            </w:r>
            <w:r w:rsidR="005F4338" w:rsidRPr="00DB3D5E">
              <w:rPr>
                <w:rFonts w:ascii="Verdana" w:hAnsi="Verdana"/>
                <w:b/>
              </w:rPr>
              <w:t xml:space="preserve"> </w:t>
            </w:r>
            <w:r w:rsidRPr="00DB3D5E">
              <w:rPr>
                <w:rFonts w:ascii="Verdana" w:hAnsi="Verdana"/>
                <w:b/>
              </w:rPr>
              <w:t>is…</w:t>
            </w:r>
          </w:p>
        </w:tc>
        <w:tc>
          <w:tcPr>
            <w:tcW w:w="3369" w:type="pct"/>
            <w:gridSpan w:val="2"/>
            <w:shd w:val="clear" w:color="auto" w:fill="D9D9D9" w:themeFill="background1" w:themeFillShade="D9"/>
          </w:tcPr>
          <w:p w14:paraId="45FAECAB" w14:textId="77777777" w:rsidR="00D2031A" w:rsidRPr="00DB3D5E" w:rsidRDefault="00D2031A" w:rsidP="003135E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B3D5E">
              <w:rPr>
                <w:rFonts w:ascii="Verdana" w:hAnsi="Verdana"/>
                <w:b/>
              </w:rPr>
              <w:t>Then...</w:t>
            </w:r>
          </w:p>
        </w:tc>
      </w:tr>
      <w:tr w:rsidR="00867FD1" w:rsidRPr="00841471" w14:paraId="578D3775" w14:textId="77777777" w:rsidTr="004E0238">
        <w:trPr>
          <w:trHeight w:val="285"/>
        </w:trPr>
        <w:tc>
          <w:tcPr>
            <w:tcW w:w="206" w:type="pct"/>
            <w:vMerge/>
          </w:tcPr>
          <w:p w14:paraId="434696A7" w14:textId="77777777" w:rsidR="00DA4E51" w:rsidRPr="00DB3D5E" w:rsidRDefault="00DA4E51" w:rsidP="003135E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25" w:type="pct"/>
            <w:gridSpan w:val="2"/>
          </w:tcPr>
          <w:p w14:paraId="34E57D7C" w14:textId="77777777" w:rsidR="00DA4E51" w:rsidRDefault="00DA4E51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Requested by member</w:t>
            </w:r>
          </w:p>
          <w:p w14:paraId="060E5CCA" w14:textId="77777777" w:rsidR="00DA4E51" w:rsidRPr="00DB3D5E" w:rsidRDefault="00DA4E51" w:rsidP="003135E7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369" w:type="pct"/>
            <w:gridSpan w:val="2"/>
          </w:tcPr>
          <w:p w14:paraId="6AD33450" w14:textId="58ECA742" w:rsidR="00DA4E51" w:rsidRDefault="00DA4E51" w:rsidP="003135E7">
            <w:pPr>
              <w:pStyle w:val="ListParagraph"/>
              <w:numPr>
                <w:ilvl w:val="0"/>
                <w:numId w:val="22"/>
              </w:numPr>
              <w:spacing w:before="120" w:after="120"/>
              <w:ind w:left="432"/>
              <w:contextualSpacing w:val="0"/>
              <w:rPr>
                <w:rFonts w:ascii="Verdana" w:hAnsi="Verdana"/>
              </w:rPr>
            </w:pPr>
            <w:r w:rsidRPr="219B02FB">
              <w:rPr>
                <w:rFonts w:ascii="Verdana" w:hAnsi="Verdana"/>
                <w:color w:val="000000" w:themeColor="text1"/>
              </w:rPr>
              <w:t>Offer to send out a</w:t>
            </w:r>
            <w:r w:rsidR="00934E4A" w:rsidRPr="219B02FB">
              <w:rPr>
                <w:rFonts w:ascii="Verdana" w:hAnsi="Verdana"/>
                <w:color w:val="000000" w:themeColor="text1"/>
              </w:rPr>
              <w:t xml:space="preserve"> Statement of Cost</w:t>
            </w:r>
            <w:r w:rsidR="000125A2" w:rsidRPr="219B02FB">
              <w:rPr>
                <w:rFonts w:ascii="Verdana" w:hAnsi="Verdana"/>
                <w:color w:val="000000" w:themeColor="text1"/>
              </w:rPr>
              <w:t xml:space="preserve"> (SOC). </w:t>
            </w:r>
            <w:bookmarkStart w:id="24" w:name="OLE_LINK8"/>
            <w:r w:rsidR="000125A2" w:rsidRPr="219B02FB">
              <w:rPr>
                <w:rFonts w:ascii="Verdana" w:hAnsi="Verdana"/>
                <w:color w:val="000000" w:themeColor="text1"/>
              </w:rPr>
              <w:t xml:space="preserve">Refer to </w:t>
            </w:r>
            <w:hyperlink r:id="rId15" w:anchor="!/view?docid=7bd8dfef-b12e-401e-9c4e-1e67e9a6a662">
              <w:r w:rsidR="009C2D24">
                <w:rPr>
                  <w:rFonts w:ascii="Verdana" w:hAnsi="Verdana"/>
                  <w:color w:val="0000FF"/>
                  <w:u w:val="single"/>
                </w:rPr>
                <w:t>Compass - Member Resource Orders, Fulfillment Support Tasks, and Statement of Cost (SOC) Requests (056893)</w:t>
              </w:r>
            </w:hyperlink>
            <w:r w:rsidR="000125A2" w:rsidRPr="219B02FB">
              <w:rPr>
                <w:rFonts w:ascii="Verdana" w:hAnsi="Verdana"/>
                <w:color w:val="000000" w:themeColor="text1"/>
              </w:rPr>
              <w:t>.</w:t>
            </w:r>
            <w:r w:rsidRPr="219B02FB">
              <w:rPr>
                <w:rFonts w:ascii="Verdana" w:hAnsi="Verdana"/>
                <w:color w:val="000000" w:themeColor="text1"/>
              </w:rPr>
              <w:t xml:space="preserve"> </w:t>
            </w:r>
            <w:bookmarkEnd w:id="24"/>
          </w:p>
          <w:p w14:paraId="60483587" w14:textId="152D09A1" w:rsidR="00DA4E51" w:rsidRDefault="00DA4E51" w:rsidP="003135E7">
            <w:pPr>
              <w:pStyle w:val="ListParagraph"/>
              <w:numPr>
                <w:ilvl w:val="0"/>
                <w:numId w:val="22"/>
              </w:numPr>
              <w:spacing w:before="120" w:after="120"/>
              <w:ind w:left="432"/>
              <w:contextualSpacing w:val="0"/>
              <w:rPr>
                <w:rFonts w:ascii="Verdana" w:hAnsi="Verdana"/>
                <w:color w:val="000000" w:themeColor="text1"/>
              </w:rPr>
            </w:pPr>
            <w:r w:rsidRPr="219B02FB">
              <w:rPr>
                <w:rFonts w:ascii="Verdana" w:hAnsi="Verdana"/>
                <w:color w:val="000000" w:themeColor="text1"/>
              </w:rPr>
              <w:t xml:space="preserve">Offer to send out an invoice copy, as long as it has not been over 30 days. Refer to </w:t>
            </w:r>
            <w:hyperlink r:id="rId16" w:anchor="!/view?docid=cbb8a222-7be3-469f-8287-387d92d742c9" w:history="1">
              <w:r w:rsidR="105BD9B3" w:rsidRPr="00ED6B34">
                <w:rPr>
                  <w:rStyle w:val="Hyperlink"/>
                  <w:rFonts w:ascii="Verdana" w:hAnsi="Verdana"/>
                </w:rPr>
                <w:t>Compass – Statement Invoice Copy Request for Previous Orders (066728)</w:t>
              </w:r>
            </w:hyperlink>
            <w:r w:rsidR="00ED6B34">
              <w:rPr>
                <w:rFonts w:ascii="Verdana" w:hAnsi="Verdana"/>
                <w:color w:val="000000" w:themeColor="text1"/>
              </w:rPr>
              <w:t>.</w:t>
            </w:r>
          </w:p>
          <w:p w14:paraId="700A55DF" w14:textId="7BD7276C" w:rsidR="00DA4E51" w:rsidRPr="00ED6B34" w:rsidRDefault="00DA4E51" w:rsidP="003135E7">
            <w:pPr>
              <w:pStyle w:val="ListParagraph"/>
              <w:numPr>
                <w:ilvl w:val="0"/>
                <w:numId w:val="22"/>
              </w:numPr>
              <w:spacing w:before="120" w:after="120"/>
              <w:ind w:left="432"/>
              <w:contextualSpacing w:val="0"/>
              <w:rPr>
                <w:rFonts w:ascii="Verdana" w:hAnsi="Verdana"/>
                <w:color w:val="000000"/>
              </w:rPr>
            </w:pPr>
            <w:r w:rsidRPr="219B02FB">
              <w:rPr>
                <w:rFonts w:ascii="Verdana" w:hAnsi="Verdana"/>
              </w:rPr>
              <w:t xml:space="preserve">If member refuses, proceed to </w:t>
            </w:r>
            <w:r w:rsidRPr="009C2D24">
              <w:rPr>
                <w:rFonts w:ascii="Verdana" w:hAnsi="Verdana"/>
                <w:b/>
                <w:bCs/>
              </w:rPr>
              <w:t>Step 3</w:t>
            </w:r>
            <w:r w:rsidR="00A64BD5" w:rsidRPr="219B02FB">
              <w:rPr>
                <w:rFonts w:ascii="Verdana" w:hAnsi="Verdana"/>
              </w:rPr>
              <w:t>.</w:t>
            </w:r>
            <w:r>
              <w:t xml:space="preserve"> </w:t>
            </w:r>
          </w:p>
        </w:tc>
      </w:tr>
      <w:tr w:rsidR="00867FD1" w:rsidRPr="00841471" w14:paraId="58FC0A60" w14:textId="77777777" w:rsidTr="004E0238">
        <w:trPr>
          <w:trHeight w:val="285"/>
        </w:trPr>
        <w:tc>
          <w:tcPr>
            <w:tcW w:w="206" w:type="pct"/>
            <w:vMerge/>
          </w:tcPr>
          <w:p w14:paraId="75BFA042" w14:textId="77777777" w:rsidR="00D2031A" w:rsidRPr="00DB3D5E" w:rsidRDefault="00D2031A" w:rsidP="003135E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25" w:type="pct"/>
            <w:gridSpan w:val="2"/>
          </w:tcPr>
          <w:p w14:paraId="5373FFAF" w14:textId="77777777" w:rsidR="00D2031A" w:rsidRPr="00DB3D5E" w:rsidRDefault="00D2031A" w:rsidP="003135E7">
            <w:pPr>
              <w:spacing w:before="120" w:after="120"/>
              <w:rPr>
                <w:rFonts w:ascii="Verdana" w:hAnsi="Verdana"/>
              </w:rPr>
            </w:pPr>
            <w:r w:rsidRPr="00DB3D5E">
              <w:rPr>
                <w:rFonts w:ascii="Verdana" w:hAnsi="Verdana"/>
              </w:rPr>
              <w:t xml:space="preserve">Being required by the Housing Authority or by a lawyer </w:t>
            </w:r>
          </w:p>
          <w:p w14:paraId="2424B238" w14:textId="77777777" w:rsidR="00D2031A" w:rsidRPr="00DB3D5E" w:rsidRDefault="00D2031A" w:rsidP="003135E7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369" w:type="pct"/>
            <w:gridSpan w:val="2"/>
          </w:tcPr>
          <w:p w14:paraId="2F102A76" w14:textId="335B8335" w:rsidR="00867FD1" w:rsidRDefault="00D2031A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710A6">
              <w:rPr>
                <w:rFonts w:ascii="Verdana" w:hAnsi="Verdana"/>
                <w:color w:val="000000"/>
              </w:rPr>
              <w:t xml:space="preserve">Determine if a Statement of Cost would be more appropriate than a </w:t>
            </w:r>
            <w:r w:rsidR="00485711" w:rsidRPr="002710A6">
              <w:rPr>
                <w:rFonts w:ascii="Verdana" w:hAnsi="Verdana"/>
                <w:color w:val="000000"/>
              </w:rPr>
              <w:t>paper claim</w:t>
            </w:r>
            <w:r w:rsidR="00485711">
              <w:rPr>
                <w:rFonts w:ascii="Verdana" w:hAnsi="Verdana"/>
                <w:color w:val="000000"/>
              </w:rPr>
              <w:t>s</w:t>
            </w:r>
            <w:r w:rsidRPr="002710A6">
              <w:rPr>
                <w:rFonts w:ascii="Verdana" w:hAnsi="Verdana"/>
                <w:color w:val="000000"/>
              </w:rPr>
              <w:t xml:space="preserve"> </w:t>
            </w:r>
            <w:r w:rsidR="0078496E">
              <w:rPr>
                <w:rFonts w:ascii="Verdana" w:hAnsi="Verdana"/>
                <w:color w:val="000000"/>
              </w:rPr>
              <w:t>EOB</w:t>
            </w:r>
            <w:r w:rsidRPr="002710A6">
              <w:rPr>
                <w:rFonts w:ascii="Verdana" w:hAnsi="Verdana"/>
                <w:color w:val="000000"/>
              </w:rPr>
              <w:t xml:space="preserve">. </w:t>
            </w:r>
          </w:p>
          <w:p w14:paraId="3E1FFE6C" w14:textId="77777777" w:rsidR="00867FD1" w:rsidRDefault="00867FD1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2ED5D96C" w14:textId="75C04DCF" w:rsidR="00D2031A" w:rsidRPr="00867FD1" w:rsidRDefault="00D2031A" w:rsidP="00ED6B34">
            <w:pPr>
              <w:pStyle w:val="ListParagraph"/>
              <w:numPr>
                <w:ilvl w:val="0"/>
                <w:numId w:val="22"/>
              </w:numPr>
              <w:spacing w:before="120" w:after="120"/>
              <w:ind w:left="432"/>
              <w:contextualSpacing w:val="0"/>
              <w:rPr>
                <w:rFonts w:ascii="Verdana" w:hAnsi="Verdana"/>
                <w:color w:val="FF0000"/>
              </w:rPr>
            </w:pPr>
            <w:r w:rsidRPr="219B02FB">
              <w:rPr>
                <w:rFonts w:ascii="Verdana" w:hAnsi="Verdana"/>
                <w:color w:val="000000" w:themeColor="text1"/>
              </w:rPr>
              <w:t xml:space="preserve">If </w:t>
            </w:r>
            <w:r w:rsidR="00867FD1" w:rsidRPr="219B02FB">
              <w:rPr>
                <w:rFonts w:ascii="Verdana" w:hAnsi="Verdana"/>
                <w:color w:val="000000" w:themeColor="text1"/>
              </w:rPr>
              <w:t>yes</w:t>
            </w:r>
            <w:r w:rsidRPr="219B02FB">
              <w:rPr>
                <w:rFonts w:ascii="Verdana" w:hAnsi="Verdana"/>
                <w:color w:val="000000" w:themeColor="text1"/>
              </w:rPr>
              <w:t xml:space="preserve">, </w:t>
            </w:r>
            <w:r w:rsidR="00BE6925" w:rsidRPr="219B02FB">
              <w:rPr>
                <w:rFonts w:ascii="Verdana" w:hAnsi="Verdana"/>
                <w:color w:val="000000" w:themeColor="text1"/>
              </w:rPr>
              <w:t>r</w:t>
            </w:r>
            <w:r w:rsidR="00A64BD5" w:rsidRPr="219B02FB">
              <w:rPr>
                <w:rFonts w:ascii="Verdana" w:hAnsi="Verdana"/>
                <w:color w:val="000000" w:themeColor="text1"/>
              </w:rPr>
              <w:t xml:space="preserve">efer to </w:t>
            </w:r>
            <w:hyperlink r:id="rId17" w:anchor="!/view?docid=7bd8dfef-b12e-401e-9c4e-1e67e9a6a662" w:history="1">
              <w:r w:rsidR="00A64BD5" w:rsidRPr="00ED6B34">
                <w:rPr>
                  <w:rStyle w:val="Hyperlink"/>
                  <w:rFonts w:ascii="Verdana" w:hAnsi="Verdana"/>
                </w:rPr>
                <w:t>Compass - Member Resource Orders, Fulfillment Support Tasks, and Statement of Cost (SOC) Requests</w:t>
              </w:r>
              <w:r w:rsidR="709A1DE1" w:rsidRPr="00ED6B34">
                <w:rPr>
                  <w:rStyle w:val="Hyperlink"/>
                  <w:rFonts w:ascii="Verdana" w:hAnsi="Verdana"/>
                </w:rPr>
                <w:t xml:space="preserve"> (056893)</w:t>
              </w:r>
            </w:hyperlink>
            <w:r w:rsidR="00867FD1" w:rsidRPr="219B02FB">
              <w:rPr>
                <w:rFonts w:ascii="Verdana" w:hAnsi="Verdana"/>
                <w:color w:val="000000" w:themeColor="text1"/>
              </w:rPr>
              <w:t>.</w:t>
            </w:r>
          </w:p>
          <w:p w14:paraId="55F6BBDB" w14:textId="77777777" w:rsidR="00867FD1" w:rsidRPr="00867FD1" w:rsidRDefault="00867FD1" w:rsidP="003135E7">
            <w:pPr>
              <w:pStyle w:val="ListParagraph"/>
              <w:spacing w:before="120" w:after="120"/>
              <w:ind w:left="360"/>
              <w:rPr>
                <w:rFonts w:ascii="Verdana" w:hAnsi="Verdana"/>
                <w:color w:val="FF0000"/>
              </w:rPr>
            </w:pPr>
          </w:p>
          <w:p w14:paraId="0E9275E0" w14:textId="77777777" w:rsidR="00ED6B34" w:rsidRDefault="00D2031A" w:rsidP="00ED6B34">
            <w:pPr>
              <w:pStyle w:val="ListParagraph"/>
              <w:numPr>
                <w:ilvl w:val="0"/>
                <w:numId w:val="22"/>
              </w:numPr>
              <w:spacing w:before="120" w:after="120"/>
              <w:ind w:left="432"/>
              <w:contextualSpacing w:val="0"/>
              <w:rPr>
                <w:rFonts w:ascii="Verdana" w:hAnsi="Verdana"/>
              </w:rPr>
            </w:pPr>
            <w:r w:rsidRPr="00867FD1">
              <w:rPr>
                <w:rFonts w:ascii="Verdana" w:hAnsi="Verdana"/>
                <w:color w:val="000000"/>
              </w:rPr>
              <w:t xml:space="preserve">If a paper claims </w:t>
            </w:r>
            <w:r w:rsidR="00485711" w:rsidRPr="00867FD1">
              <w:rPr>
                <w:rFonts w:ascii="Verdana" w:hAnsi="Verdana"/>
                <w:color w:val="000000"/>
              </w:rPr>
              <w:t xml:space="preserve">EOB </w:t>
            </w:r>
            <w:r w:rsidRPr="00867FD1">
              <w:rPr>
                <w:rFonts w:ascii="Verdana" w:hAnsi="Verdana"/>
                <w:color w:val="000000"/>
              </w:rPr>
              <w:t>is needed, inform</w:t>
            </w:r>
            <w:r w:rsidRPr="00867FD1">
              <w:rPr>
                <w:rFonts w:ascii="Verdana" w:hAnsi="Verdana"/>
              </w:rPr>
              <w:t xml:space="preserve"> the member that Caremark requires the request in writing by the Housing Authority or lawyer requesting the information.</w:t>
            </w:r>
          </w:p>
          <w:p w14:paraId="66C2C492" w14:textId="758456C7" w:rsidR="004810D1" w:rsidRPr="00ED6B34" w:rsidRDefault="00D2031A" w:rsidP="00ED6B34">
            <w:pPr>
              <w:spacing w:before="120" w:after="120"/>
              <w:ind w:left="432"/>
              <w:rPr>
                <w:rFonts w:ascii="Verdana" w:hAnsi="Verdana"/>
              </w:rPr>
            </w:pPr>
            <w:r w:rsidRPr="00ED6B34">
              <w:rPr>
                <w:rFonts w:ascii="Verdana" w:hAnsi="Verdana"/>
              </w:rPr>
              <w:br/>
            </w:r>
            <w:r w:rsidRPr="00ED6B34">
              <w:rPr>
                <w:rFonts w:ascii="Verdana" w:hAnsi="Verdana"/>
                <w:b/>
                <w:bCs/>
              </w:rPr>
              <w:t>Mail request to:</w:t>
            </w:r>
            <w:r w:rsidRPr="00ED6B34">
              <w:rPr>
                <w:rFonts w:ascii="Verdana" w:hAnsi="Verdana"/>
                <w:b/>
                <w:bCs/>
              </w:rPr>
              <w:br/>
            </w:r>
            <w:r w:rsidR="009E7FE9" w:rsidRPr="00ED6B34">
              <w:rPr>
                <w:rFonts w:ascii="Verdana" w:hAnsi="Verdana"/>
              </w:rPr>
              <w:t>&lt;Name of Home Delivery Pharmacy&gt;</w:t>
            </w:r>
            <w:r w:rsidRPr="00ED6B34">
              <w:rPr>
                <w:rFonts w:ascii="Verdana" w:hAnsi="Verdana"/>
              </w:rPr>
              <w:br/>
              <w:t>Attn: Patient Advocate Team – Claims</w:t>
            </w:r>
            <w:r w:rsidRPr="00ED6B34">
              <w:rPr>
                <w:rFonts w:ascii="Verdana" w:hAnsi="Verdana"/>
              </w:rPr>
              <w:br/>
              <w:t>7034 Alamo Down Parkway</w:t>
            </w:r>
            <w:r w:rsidRPr="00ED6B34">
              <w:rPr>
                <w:rFonts w:ascii="Verdana" w:hAnsi="Verdana"/>
              </w:rPr>
              <w:br/>
              <w:t>San Antonio, TX 78238</w:t>
            </w:r>
          </w:p>
        </w:tc>
      </w:tr>
      <w:tr w:rsidR="00296CB4" w:rsidRPr="00841471" w14:paraId="6C9C582D" w14:textId="77777777" w:rsidTr="004E0238">
        <w:trPr>
          <w:trHeight w:val="54"/>
        </w:trPr>
        <w:tc>
          <w:tcPr>
            <w:tcW w:w="206" w:type="pct"/>
            <w:vMerge/>
          </w:tcPr>
          <w:p w14:paraId="7A4B1BA3" w14:textId="77777777" w:rsidR="00F54799" w:rsidRPr="00DB3D5E" w:rsidRDefault="00F54799" w:rsidP="003135E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25" w:type="pct"/>
            <w:gridSpan w:val="2"/>
            <w:vMerge w:val="restart"/>
          </w:tcPr>
          <w:p w14:paraId="2E7047BC" w14:textId="77777777" w:rsidR="00F54799" w:rsidRPr="00A5490F" w:rsidRDefault="00F54799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5490F">
              <w:rPr>
                <w:rFonts w:ascii="Verdana" w:hAnsi="Verdana"/>
                <w:color w:val="000000"/>
              </w:rPr>
              <w:t>For a government agency paper claim</w:t>
            </w:r>
          </w:p>
          <w:p w14:paraId="247CB32B" w14:textId="77777777" w:rsidR="00F54799" w:rsidRDefault="00F54799" w:rsidP="003135E7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  <w:p w14:paraId="7B9D0641" w14:textId="77777777" w:rsidR="00F54799" w:rsidRDefault="00F54799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E20EE">
              <w:rPr>
                <w:rFonts w:ascii="Verdana" w:hAnsi="Verdana"/>
                <w:b/>
                <w:color w:val="000000"/>
              </w:rPr>
              <w:t>Example</w:t>
            </w:r>
            <w:r>
              <w:rPr>
                <w:rFonts w:ascii="Verdana" w:hAnsi="Verdana"/>
                <w:b/>
                <w:color w:val="000000"/>
              </w:rPr>
              <w:t xml:space="preserve">: </w:t>
            </w:r>
            <w:r w:rsidR="004810D1">
              <w:rPr>
                <w:rFonts w:ascii="Verdana" w:hAnsi="Verdana"/>
                <w:b/>
                <w:color w:val="000000"/>
              </w:rPr>
              <w:t xml:space="preserve"> </w:t>
            </w:r>
            <w:r w:rsidRPr="00A5490F">
              <w:rPr>
                <w:rFonts w:ascii="Verdana" w:hAnsi="Verdana"/>
                <w:color w:val="000000"/>
              </w:rPr>
              <w:t>Veteran’s Administration (VA) states that there are missing claims or questions regarding the EOB statement received</w:t>
            </w:r>
          </w:p>
          <w:p w14:paraId="5EF2311E" w14:textId="2CA2C645" w:rsidR="004810D1" w:rsidRPr="00A5490F" w:rsidRDefault="004810D1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723" w:type="pct"/>
            <w:shd w:val="clear" w:color="auto" w:fill="D9D9D9" w:themeFill="background1" w:themeFillShade="D9"/>
          </w:tcPr>
          <w:p w14:paraId="06EDADEB" w14:textId="480068E7" w:rsidR="00F54799" w:rsidRPr="009D5AB1" w:rsidRDefault="00991D47" w:rsidP="003135E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9D5AB1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1645" w:type="pct"/>
            <w:shd w:val="clear" w:color="auto" w:fill="D9D9D9" w:themeFill="background1" w:themeFillShade="D9"/>
          </w:tcPr>
          <w:p w14:paraId="0C532418" w14:textId="282B1139" w:rsidR="00F54799" w:rsidRPr="00396A5F" w:rsidRDefault="00991D47" w:rsidP="003135E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000000"/>
              </w:rPr>
              <w:t>Then Warm Transfer the call to…</w:t>
            </w:r>
          </w:p>
        </w:tc>
      </w:tr>
      <w:tr w:rsidR="00296CB4" w:rsidRPr="00841471" w14:paraId="69ACE77C" w14:textId="77777777" w:rsidTr="004E0238">
        <w:trPr>
          <w:trHeight w:val="67"/>
        </w:trPr>
        <w:tc>
          <w:tcPr>
            <w:tcW w:w="206" w:type="pct"/>
            <w:vMerge/>
          </w:tcPr>
          <w:p w14:paraId="3C2F93F9" w14:textId="77777777" w:rsidR="00D2031A" w:rsidRPr="00DB3D5E" w:rsidRDefault="00D2031A" w:rsidP="003135E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25" w:type="pct"/>
            <w:gridSpan w:val="2"/>
            <w:vMerge/>
          </w:tcPr>
          <w:p w14:paraId="084C7BA5" w14:textId="77777777" w:rsidR="00D2031A" w:rsidRPr="002710A6" w:rsidRDefault="00D2031A" w:rsidP="003135E7">
            <w:pPr>
              <w:spacing w:before="120" w:after="120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723" w:type="pct"/>
          </w:tcPr>
          <w:p w14:paraId="537737A0" w14:textId="77777777" w:rsidR="00AE0331" w:rsidRDefault="00D2031A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5490F">
              <w:rPr>
                <w:rFonts w:ascii="Verdana" w:hAnsi="Verdana"/>
                <w:color w:val="000000"/>
              </w:rPr>
              <w:t>Department of Defense</w:t>
            </w:r>
          </w:p>
          <w:p w14:paraId="793027A7" w14:textId="02BACDD6" w:rsidR="004810D1" w:rsidRPr="00A5490F" w:rsidRDefault="004810D1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645" w:type="pct"/>
          </w:tcPr>
          <w:p w14:paraId="476E3325" w14:textId="77777777" w:rsidR="00D2031A" w:rsidRPr="00ED6B34" w:rsidRDefault="00D2031A" w:rsidP="003135E7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ED6B34">
              <w:rPr>
                <w:rFonts w:ascii="Verdana" w:hAnsi="Verdana"/>
                <w:b/>
                <w:bCs/>
                <w:color w:val="000000"/>
              </w:rPr>
              <w:t>1-</w:t>
            </w:r>
            <w:bookmarkStart w:id="25" w:name="OLE_LINK14"/>
            <w:r w:rsidRPr="00ED6B34">
              <w:rPr>
                <w:rFonts w:ascii="Verdana" w:hAnsi="Verdana"/>
                <w:b/>
                <w:bCs/>
                <w:color w:val="000000"/>
              </w:rPr>
              <w:t>866-257-4879</w:t>
            </w:r>
            <w:bookmarkEnd w:id="25"/>
          </w:p>
        </w:tc>
      </w:tr>
      <w:tr w:rsidR="00296CB4" w:rsidRPr="00841471" w14:paraId="7756D9A5" w14:textId="77777777" w:rsidTr="004E0238">
        <w:trPr>
          <w:trHeight w:val="67"/>
        </w:trPr>
        <w:tc>
          <w:tcPr>
            <w:tcW w:w="206" w:type="pct"/>
            <w:vMerge/>
          </w:tcPr>
          <w:p w14:paraId="2939601B" w14:textId="77777777" w:rsidR="00D2031A" w:rsidRPr="00DB3D5E" w:rsidRDefault="00D2031A" w:rsidP="003135E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25" w:type="pct"/>
            <w:gridSpan w:val="2"/>
            <w:vMerge/>
          </w:tcPr>
          <w:p w14:paraId="1928C068" w14:textId="77777777" w:rsidR="00D2031A" w:rsidRPr="002710A6" w:rsidRDefault="00D2031A" w:rsidP="003135E7">
            <w:pPr>
              <w:spacing w:before="120" w:after="120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723" w:type="pct"/>
          </w:tcPr>
          <w:p w14:paraId="665954B5" w14:textId="77777777" w:rsidR="00AE0331" w:rsidRDefault="00D2031A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5490F">
              <w:rPr>
                <w:rFonts w:ascii="Verdana" w:hAnsi="Verdana"/>
                <w:color w:val="000000"/>
              </w:rPr>
              <w:t>All other government branches (VA, Medicaid, Indian Health Services)</w:t>
            </w:r>
          </w:p>
          <w:p w14:paraId="4B6A0C07" w14:textId="66DDCEF4" w:rsidR="004810D1" w:rsidRPr="00A5490F" w:rsidRDefault="004810D1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645" w:type="pct"/>
          </w:tcPr>
          <w:p w14:paraId="3E5C55DD" w14:textId="77777777" w:rsidR="00D2031A" w:rsidRPr="00ED6B34" w:rsidRDefault="00D2031A" w:rsidP="003135E7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ED6B34">
              <w:rPr>
                <w:rFonts w:ascii="Verdana" w:hAnsi="Verdana"/>
                <w:b/>
                <w:bCs/>
                <w:color w:val="000000"/>
              </w:rPr>
              <w:t>1-800-303-0187</w:t>
            </w:r>
          </w:p>
        </w:tc>
      </w:tr>
      <w:tr w:rsidR="00867FD1" w:rsidRPr="00841471" w14:paraId="520E9C2D" w14:textId="77777777" w:rsidTr="004E0238">
        <w:trPr>
          <w:trHeight w:val="67"/>
        </w:trPr>
        <w:tc>
          <w:tcPr>
            <w:tcW w:w="206" w:type="pct"/>
            <w:vMerge/>
          </w:tcPr>
          <w:p w14:paraId="59E89164" w14:textId="77777777" w:rsidR="00D2031A" w:rsidRPr="00DB3D5E" w:rsidRDefault="00D2031A" w:rsidP="003135E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25" w:type="pct"/>
            <w:gridSpan w:val="2"/>
            <w:vMerge/>
          </w:tcPr>
          <w:p w14:paraId="4A1E8C4F" w14:textId="77777777" w:rsidR="00D2031A" w:rsidRPr="002710A6" w:rsidRDefault="00D2031A" w:rsidP="003135E7">
            <w:pPr>
              <w:spacing w:before="120" w:after="120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3369" w:type="pct"/>
            <w:gridSpan w:val="2"/>
          </w:tcPr>
          <w:p w14:paraId="10F98A85" w14:textId="77777777" w:rsidR="00D2031A" w:rsidRPr="00A5490F" w:rsidRDefault="00D2031A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5490F">
              <w:rPr>
                <w:rFonts w:ascii="Verdana" w:hAnsi="Verdana"/>
                <w:color w:val="000000"/>
              </w:rPr>
              <w:t xml:space="preserve">Government Agency Paper Claim Support Team Hours of Operation: </w:t>
            </w:r>
          </w:p>
          <w:p w14:paraId="569B577A" w14:textId="7102076D" w:rsidR="00AE0331" w:rsidRPr="00ED6B34" w:rsidRDefault="00D2031A" w:rsidP="003135E7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ED6B34">
              <w:rPr>
                <w:rFonts w:ascii="Verdana" w:hAnsi="Verdana"/>
                <w:b/>
                <w:bCs/>
                <w:color w:val="000000"/>
              </w:rPr>
              <w:t>Monday</w:t>
            </w:r>
            <w:r w:rsidR="00ED6B34" w:rsidRPr="00ED6B34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ED6B34">
              <w:rPr>
                <w:rFonts w:ascii="Verdana" w:hAnsi="Verdana"/>
                <w:b/>
                <w:bCs/>
                <w:color w:val="000000"/>
              </w:rPr>
              <w:t>–</w:t>
            </w:r>
            <w:r w:rsidR="00ED6B34" w:rsidRPr="00ED6B34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D6B34">
              <w:rPr>
                <w:rFonts w:ascii="Verdana" w:hAnsi="Verdana"/>
                <w:b/>
                <w:bCs/>
                <w:color w:val="000000"/>
              </w:rPr>
              <w:t>Friday</w:t>
            </w:r>
            <w:r w:rsidR="00ED6B34">
              <w:rPr>
                <w:rFonts w:ascii="Verdana" w:hAnsi="Verdana"/>
                <w:b/>
                <w:bCs/>
                <w:color w:val="000000"/>
              </w:rPr>
              <w:t>,</w:t>
            </w:r>
            <w:r w:rsidRPr="00ED6B34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7B7906" w:rsidRPr="00ED6B34">
              <w:rPr>
                <w:rFonts w:ascii="Verdana" w:hAnsi="Verdana"/>
                <w:b/>
                <w:bCs/>
                <w:color w:val="000000"/>
              </w:rPr>
              <w:t>8</w:t>
            </w:r>
            <w:r w:rsidRPr="00ED6B34">
              <w:rPr>
                <w:rFonts w:ascii="Verdana" w:hAnsi="Verdana"/>
                <w:b/>
                <w:bCs/>
                <w:color w:val="000000"/>
              </w:rPr>
              <w:t xml:space="preserve">:00 a.m. - </w:t>
            </w:r>
            <w:r w:rsidR="007B7906" w:rsidRPr="00ED6B34">
              <w:rPr>
                <w:rFonts w:ascii="Verdana" w:hAnsi="Verdana"/>
                <w:b/>
                <w:bCs/>
                <w:color w:val="000000"/>
              </w:rPr>
              <w:t>5</w:t>
            </w:r>
            <w:r w:rsidRPr="00ED6B34">
              <w:rPr>
                <w:rFonts w:ascii="Verdana" w:hAnsi="Verdana"/>
                <w:b/>
                <w:bCs/>
                <w:color w:val="000000"/>
              </w:rPr>
              <w:t xml:space="preserve">:00 p.m. </w:t>
            </w:r>
            <w:r w:rsidR="007B7906" w:rsidRPr="00ED6B34">
              <w:rPr>
                <w:rFonts w:ascii="Verdana" w:hAnsi="Verdana"/>
                <w:b/>
                <w:bCs/>
                <w:color w:val="000000"/>
              </w:rPr>
              <w:t>C</w:t>
            </w:r>
            <w:r w:rsidRPr="00ED6B34">
              <w:rPr>
                <w:rFonts w:ascii="Verdana" w:hAnsi="Verdana"/>
                <w:b/>
                <w:bCs/>
                <w:color w:val="000000"/>
              </w:rPr>
              <w:t>T</w:t>
            </w:r>
          </w:p>
          <w:p w14:paraId="5043BF4C" w14:textId="4F504CB3" w:rsidR="004810D1" w:rsidRPr="00A5490F" w:rsidRDefault="004810D1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296CB4" w:rsidRPr="00841471" w14:paraId="2ED278A1" w14:textId="77777777" w:rsidTr="004E0238">
        <w:trPr>
          <w:trHeight w:val="67"/>
        </w:trPr>
        <w:tc>
          <w:tcPr>
            <w:tcW w:w="206" w:type="pct"/>
          </w:tcPr>
          <w:p w14:paraId="240D8D3E" w14:textId="6BF0FECB" w:rsidR="00484B08" w:rsidRPr="00DB3D5E" w:rsidRDefault="005F369C" w:rsidP="003135E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94" w:type="pct"/>
            <w:gridSpan w:val="4"/>
          </w:tcPr>
          <w:p w14:paraId="193DC057" w14:textId="574DFC23" w:rsidR="00484B08" w:rsidRDefault="00484B08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219B02FB">
              <w:rPr>
                <w:rFonts w:ascii="Verdana" w:hAnsi="Verdana"/>
                <w:color w:val="000000" w:themeColor="text1"/>
              </w:rPr>
              <w:t xml:space="preserve">From the </w:t>
            </w:r>
            <w:r w:rsidRPr="219B02FB">
              <w:rPr>
                <w:rFonts w:ascii="Verdana" w:hAnsi="Verdana"/>
                <w:b/>
                <w:bCs/>
                <w:color w:val="000000" w:themeColor="text1"/>
              </w:rPr>
              <w:t>Case Data</w:t>
            </w:r>
            <w:r w:rsidRPr="219B02FB">
              <w:rPr>
                <w:rFonts w:ascii="Verdana" w:hAnsi="Verdana"/>
                <w:color w:val="000000" w:themeColor="text1"/>
              </w:rPr>
              <w:t xml:space="preserve"> section that appears </w:t>
            </w:r>
            <w:r w:rsidR="005452B7" w:rsidRPr="219B02FB">
              <w:rPr>
                <w:rFonts w:ascii="Verdana" w:hAnsi="Verdana"/>
                <w:color w:val="000000" w:themeColor="text1"/>
              </w:rPr>
              <w:t xml:space="preserve">at the top of </w:t>
            </w:r>
            <w:r w:rsidRPr="219B02FB">
              <w:rPr>
                <w:rFonts w:ascii="Verdana" w:hAnsi="Verdana"/>
                <w:color w:val="000000" w:themeColor="text1"/>
              </w:rPr>
              <w:t xml:space="preserve">all Compass screens, click the </w:t>
            </w:r>
            <w:r w:rsidRPr="219B02FB">
              <w:rPr>
                <w:rFonts w:ascii="Verdana" w:hAnsi="Verdana"/>
                <w:b/>
                <w:bCs/>
                <w:color w:val="000000" w:themeColor="text1"/>
              </w:rPr>
              <w:t>Create Support Task</w:t>
            </w:r>
            <w:r w:rsidRPr="219B02FB">
              <w:rPr>
                <w:rFonts w:ascii="Verdana" w:hAnsi="Verdana"/>
                <w:color w:val="000000" w:themeColor="text1"/>
              </w:rPr>
              <w:t xml:space="preserve"> button to submit a Duplicate EOB </w:t>
            </w:r>
            <w:r w:rsidR="005452B7" w:rsidRPr="219B02FB">
              <w:rPr>
                <w:rFonts w:ascii="Verdana" w:hAnsi="Verdana"/>
                <w:color w:val="000000" w:themeColor="text1"/>
              </w:rPr>
              <w:t>S</w:t>
            </w:r>
            <w:r w:rsidRPr="219B02FB">
              <w:rPr>
                <w:rFonts w:ascii="Verdana" w:hAnsi="Verdana"/>
                <w:color w:val="000000" w:themeColor="text1"/>
              </w:rPr>
              <w:t xml:space="preserve">upport </w:t>
            </w:r>
            <w:r w:rsidR="005452B7" w:rsidRPr="219B02FB">
              <w:rPr>
                <w:rFonts w:ascii="Verdana" w:hAnsi="Verdana"/>
                <w:color w:val="000000" w:themeColor="text1"/>
              </w:rPr>
              <w:t>T</w:t>
            </w:r>
            <w:r w:rsidRPr="219B02FB">
              <w:rPr>
                <w:rFonts w:ascii="Verdana" w:hAnsi="Verdana"/>
                <w:color w:val="000000" w:themeColor="text1"/>
              </w:rPr>
              <w:t xml:space="preserve">ask. Refer to </w:t>
            </w:r>
            <w:hyperlink r:id="rId18" w:anchor="!/view?docid=64f18e5a-4d56-4175-ba8e-e7d094e501d6">
              <w:r w:rsidR="00ED6B34">
                <w:rPr>
                  <w:rStyle w:val="Hyperlink"/>
                  <w:rFonts w:ascii="Verdana" w:hAnsi="Verdana"/>
                </w:rPr>
                <w:t>Compass - Create a Support Task (050031)</w:t>
              </w:r>
            </w:hyperlink>
            <w:r w:rsidRPr="219B02FB">
              <w:rPr>
                <w:rFonts w:ascii="Verdana" w:hAnsi="Verdana"/>
                <w:color w:val="000000" w:themeColor="text1"/>
              </w:rPr>
              <w:t xml:space="preserve"> </w:t>
            </w:r>
            <w:r w:rsidR="005452B7" w:rsidRPr="219B02FB">
              <w:rPr>
                <w:rFonts w:ascii="Verdana" w:hAnsi="Verdana"/>
                <w:color w:val="000000" w:themeColor="text1"/>
              </w:rPr>
              <w:t xml:space="preserve">and </w:t>
            </w:r>
            <w:hyperlink r:id="rId19" w:anchor="!/view?docid=6753488f-3996-45d9-88ba-257575369a98">
              <w:r w:rsidR="00ED6B34">
                <w:rPr>
                  <w:rStyle w:val="Hyperlink"/>
                  <w:rFonts w:ascii="Verdana" w:hAnsi="Verdana"/>
                </w:rPr>
                <w:t>Compass - Support Task Types and Uses List (058147)</w:t>
              </w:r>
            </w:hyperlink>
            <w:r w:rsidRPr="219B02FB">
              <w:rPr>
                <w:rFonts w:ascii="Verdana" w:hAnsi="Verdana"/>
                <w:color w:val="000000" w:themeColor="text1"/>
              </w:rPr>
              <w:t xml:space="preserve"> as needed.</w:t>
            </w:r>
          </w:p>
          <w:p w14:paraId="126E1225" w14:textId="77777777" w:rsidR="00920CC3" w:rsidRDefault="00920CC3" w:rsidP="003135E7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  <w:p w14:paraId="7A81F444" w14:textId="6F20908C" w:rsidR="008726CE" w:rsidRDefault="008726CE" w:rsidP="003135E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219B02FB">
              <w:rPr>
                <w:rFonts w:ascii="Verdana" w:hAnsi="Verdana"/>
                <w:b/>
                <w:bCs/>
                <w:color w:val="000000" w:themeColor="text1"/>
              </w:rPr>
              <w:t>Note:</w:t>
            </w:r>
            <w:r w:rsidRPr="219B02FB">
              <w:rPr>
                <w:rFonts w:ascii="Verdana" w:hAnsi="Verdana"/>
                <w:color w:val="000000" w:themeColor="text1"/>
              </w:rPr>
              <w:t xml:space="preserve"> </w:t>
            </w:r>
            <w:r w:rsidR="00296CB4" w:rsidRPr="219B02FB">
              <w:rPr>
                <w:rFonts w:ascii="Verdana" w:hAnsi="Verdana"/>
                <w:color w:val="000000" w:themeColor="text1"/>
              </w:rPr>
              <w:t xml:space="preserve"> </w:t>
            </w:r>
            <w:r w:rsidRPr="219B02FB">
              <w:rPr>
                <w:rFonts w:ascii="Verdana" w:hAnsi="Verdana"/>
                <w:color w:val="000000" w:themeColor="text1"/>
              </w:rPr>
              <w:t xml:space="preserve">EOB Number, Check issue Date, and Check Number are required for the Duplicate EOB support task. If member does not have this information available, offer to send a Statement of Cost (SOC). </w:t>
            </w:r>
            <w:r w:rsidR="00AB3AE9" w:rsidRPr="219B02FB">
              <w:rPr>
                <w:rFonts w:ascii="Verdana" w:hAnsi="Verdana"/>
                <w:color w:val="000000" w:themeColor="text1"/>
              </w:rPr>
              <w:t xml:space="preserve">Refer to </w:t>
            </w:r>
            <w:hyperlink r:id="rId20" w:anchor="!/view?docid=7bd8dfef-b12e-401e-9c4e-1e67e9a6a662">
              <w:r w:rsidR="00ED6B34">
                <w:rPr>
                  <w:rFonts w:ascii="Verdana" w:hAnsi="Verdana"/>
                  <w:color w:val="0000FF"/>
                  <w:u w:val="single"/>
                </w:rPr>
                <w:t>Compass - Member Resource Orders, Fulfillment Support Tasks, and Statement of Cost (SOC) Requests (056893)</w:t>
              </w:r>
            </w:hyperlink>
            <w:r w:rsidR="00AB3AE9" w:rsidRPr="219B02FB">
              <w:rPr>
                <w:rFonts w:ascii="Verdana" w:hAnsi="Verdana"/>
                <w:color w:val="000000" w:themeColor="text1"/>
              </w:rPr>
              <w:t>.</w:t>
            </w:r>
          </w:p>
          <w:p w14:paraId="6FCA083E" w14:textId="77777777" w:rsidR="00484B08" w:rsidRDefault="00484B08" w:rsidP="003135E7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  <w:p w14:paraId="34AB3307" w14:textId="4F56364F" w:rsidR="00484B08" w:rsidRDefault="004E0238" w:rsidP="003135E7">
            <w:pPr>
              <w:spacing w:before="120" w:after="12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4D6E9C" wp14:editId="5A99408B">
                  <wp:extent cx="6857143" cy="1333333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143" cy="1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E693D" w14:textId="77777777" w:rsidR="00484B08" w:rsidRPr="00A5490F" w:rsidRDefault="00484B08" w:rsidP="003135E7">
            <w:pPr>
              <w:pStyle w:val="ListParagraph"/>
              <w:spacing w:before="120" w:after="120"/>
              <w:ind w:left="1440"/>
              <w:rPr>
                <w:rFonts w:ascii="Verdana" w:hAnsi="Verdana"/>
                <w:color w:val="000000"/>
              </w:rPr>
            </w:pPr>
          </w:p>
        </w:tc>
      </w:tr>
    </w:tbl>
    <w:p w14:paraId="12C3FBB9" w14:textId="77777777" w:rsidR="00236A6E" w:rsidRDefault="00236A6E" w:rsidP="003135E7">
      <w:pPr>
        <w:spacing w:before="120" w:after="120"/>
        <w:rPr>
          <w:rFonts w:ascii="Verdana" w:hAnsi="Verdana"/>
        </w:rPr>
      </w:pPr>
    </w:p>
    <w:p w14:paraId="3BEB9694" w14:textId="23BAD236" w:rsidR="00236A6E" w:rsidRDefault="00000000" w:rsidP="003135E7">
      <w:pPr>
        <w:spacing w:before="120" w:after="120"/>
        <w:jc w:val="right"/>
        <w:rPr>
          <w:rFonts w:ascii="Verdana" w:hAnsi="Verdana"/>
        </w:rPr>
      </w:pPr>
      <w:hyperlink w:anchor="_top" w:history="1">
        <w:r w:rsidR="00236A6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36A6E" w14:paraId="0F16EC0B" w14:textId="77777777" w:rsidTr="00236A6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7FC8F6B" w14:textId="0D3EA309" w:rsidR="00236A6E" w:rsidRDefault="00236A6E" w:rsidP="003135E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6" w:name="_Toc176354288"/>
            <w:r>
              <w:rPr>
                <w:rFonts w:ascii="Verdana" w:hAnsi="Verdana"/>
                <w:i w:val="0"/>
                <w:iCs w:val="0"/>
              </w:rPr>
              <w:t xml:space="preserve">Turnaround Time </w:t>
            </w:r>
            <w:r w:rsidR="00ED6B34">
              <w:rPr>
                <w:rFonts w:ascii="Verdana" w:hAnsi="Verdana"/>
                <w:i w:val="0"/>
                <w:iCs w:val="0"/>
              </w:rPr>
              <w:t>(TAT)</w:t>
            </w:r>
            <w:bookmarkEnd w:id="26"/>
          </w:p>
        </w:tc>
      </w:tr>
    </w:tbl>
    <w:p w14:paraId="283F2251" w14:textId="77777777" w:rsidR="00CA787A" w:rsidRDefault="00CA787A" w:rsidP="00ED6B34">
      <w:pPr>
        <w:pStyle w:val="NormalWeb"/>
        <w:spacing w:before="120" w:beforeAutospacing="0" w:after="120" w:afterAutospacing="0"/>
        <w:contextualSpacing/>
        <w:rPr>
          <w:rFonts w:ascii="Verdana" w:hAnsi="Verdana"/>
          <w:color w:val="000000"/>
        </w:rPr>
      </w:pPr>
    </w:p>
    <w:p w14:paraId="51084F49" w14:textId="239988D0" w:rsidR="00296CB4" w:rsidRDefault="00236A6E" w:rsidP="003135E7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Legal Requests have up to 30</w:t>
      </w:r>
      <w:r w:rsidR="00845169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calendar day turnaround time from the date received by our Mail Order pharmacy. </w:t>
      </w:r>
    </w:p>
    <w:p w14:paraId="158A54D3" w14:textId="73736699" w:rsidR="005C22CB" w:rsidRPr="002E3289" w:rsidRDefault="00236A6E" w:rsidP="003135E7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All other requests have up to a </w:t>
      </w:r>
      <w:r w:rsidR="004E0238">
        <w:rPr>
          <w:rFonts w:ascii="Verdana" w:hAnsi="Verdana"/>
          <w:color w:val="000000"/>
        </w:rPr>
        <w:t>5-business</w:t>
      </w:r>
      <w:r>
        <w:rPr>
          <w:rFonts w:ascii="Verdana" w:hAnsi="Verdana"/>
          <w:color w:val="000000"/>
        </w:rPr>
        <w:t xml:space="preserve"> day turnaround time from receipt of authorization by our</w:t>
      </w:r>
      <w:r w:rsidR="00B06328" w:rsidDel="00B06328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Mail Order pharmacy</w:t>
      </w:r>
      <w:r w:rsidR="00296CB4">
        <w:rPr>
          <w:rFonts w:ascii="Verdana" w:hAnsi="Verdana"/>
          <w:color w:val="000000"/>
        </w:rPr>
        <w:t>.</w:t>
      </w:r>
    </w:p>
    <w:p w14:paraId="770391EE" w14:textId="77777777" w:rsidR="00236A6E" w:rsidRDefault="00236A6E" w:rsidP="003135E7">
      <w:pPr>
        <w:spacing w:before="120" w:after="120"/>
        <w:jc w:val="right"/>
        <w:rPr>
          <w:rFonts w:ascii="Verdana" w:hAnsi="Verdana"/>
        </w:rPr>
      </w:pPr>
    </w:p>
    <w:bookmarkStart w:id="27" w:name="_Resolution_Time"/>
    <w:bookmarkStart w:id="28" w:name="OLE_LINK1"/>
    <w:bookmarkEnd w:id="27"/>
    <w:p w14:paraId="1804C491" w14:textId="77777777" w:rsidR="00AE0331" w:rsidRDefault="000532B0" w:rsidP="003135E7">
      <w:pPr>
        <w:spacing w:before="120" w:after="120"/>
        <w:jc w:val="right"/>
        <w:rPr>
          <w:rFonts w:ascii="Verdana" w:hAnsi="Verdana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AE0331" w:rsidRPr="00A22137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E0331" w:rsidRPr="00DB3D5E" w14:paraId="2F8B61A5" w14:textId="77777777" w:rsidTr="00731CD0">
        <w:tc>
          <w:tcPr>
            <w:tcW w:w="5000" w:type="pct"/>
            <w:shd w:val="clear" w:color="auto" w:fill="C0C0C0"/>
          </w:tcPr>
          <w:p w14:paraId="09F5A36E" w14:textId="21EA26DA" w:rsidR="00AE0331" w:rsidRPr="00DB3D5E" w:rsidRDefault="005C22CB" w:rsidP="003135E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9" w:name="_Toc176354289"/>
            <w:r>
              <w:rPr>
                <w:rFonts w:ascii="Verdana" w:hAnsi="Verdana"/>
                <w:i w:val="0"/>
                <w:iCs w:val="0"/>
              </w:rPr>
              <w:t>Related</w:t>
            </w:r>
            <w:r w:rsidR="00AE0331">
              <w:rPr>
                <w:rFonts w:ascii="Verdana" w:hAnsi="Verdana"/>
                <w:i w:val="0"/>
                <w:iCs w:val="0"/>
              </w:rPr>
              <w:t xml:space="preserve"> Document</w:t>
            </w:r>
            <w:r>
              <w:rPr>
                <w:rFonts w:ascii="Verdana" w:hAnsi="Verdana"/>
                <w:i w:val="0"/>
                <w:iCs w:val="0"/>
              </w:rPr>
              <w:t>s</w:t>
            </w:r>
            <w:bookmarkEnd w:id="29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  <w:bookmarkEnd w:id="28"/>
    </w:tbl>
    <w:p w14:paraId="10CE4897" w14:textId="77777777" w:rsidR="00335C65" w:rsidRDefault="00335C65" w:rsidP="00ED6B34">
      <w:pPr>
        <w:spacing w:before="120" w:after="120"/>
        <w:contextualSpacing/>
        <w:rPr>
          <w:rFonts w:ascii="Verdana" w:hAnsi="Verdana"/>
          <w:b/>
          <w:bCs/>
          <w:color w:val="000000"/>
        </w:rPr>
      </w:pPr>
    </w:p>
    <w:p w14:paraId="6B93CE64" w14:textId="1B2EAFEB" w:rsidR="00335C65" w:rsidRPr="004E0238" w:rsidRDefault="004E0238" w:rsidP="004E0238">
      <w:pPr>
        <w:rPr>
          <w:rFonts w:ascii="Verdana" w:hAnsi="Verdana"/>
        </w:rPr>
      </w:pPr>
      <w:hyperlink r:id="rId22" w:anchor="!/view?docid=c1f1028b-e42c-4b4f-a4cf-cc0b42c91606" w:history="1">
        <w:r w:rsidR="00ED6B34" w:rsidRPr="004E0238">
          <w:rPr>
            <w:rStyle w:val="Hyperlink"/>
            <w:rFonts w:ascii="Verdana" w:hAnsi="Verdana"/>
          </w:rPr>
          <w:t>Customer Care Abbreviations, Definitions and Terms Index (017428)</w:t>
        </w:r>
      </w:hyperlink>
    </w:p>
    <w:p w14:paraId="46AAFF4C" w14:textId="2D541B6B" w:rsidR="00AE0331" w:rsidRPr="005A3203" w:rsidRDefault="005C22CB" w:rsidP="003135E7">
      <w:pPr>
        <w:spacing w:before="120" w:after="120"/>
        <w:rPr>
          <w:rFonts w:ascii="Verdana" w:hAnsi="Verdana"/>
        </w:rPr>
      </w:pPr>
      <w:r w:rsidRPr="005C22CB">
        <w:rPr>
          <w:rFonts w:ascii="Verdana" w:hAnsi="Verdana"/>
          <w:b/>
        </w:rPr>
        <w:t>Parent Document:</w:t>
      </w:r>
      <w:r w:rsidR="00652A0D">
        <w:rPr>
          <w:rFonts w:ascii="Verdana" w:hAnsi="Verdana"/>
          <w:b/>
        </w:rPr>
        <w:t xml:space="preserve">  </w:t>
      </w:r>
      <w:hyperlink r:id="rId23" w:tgtFrame="_blank" w:history="1">
        <w:r w:rsidR="00AE0331" w:rsidRPr="000F2C27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="001C2A97">
        <w:rPr>
          <w:rFonts w:ascii="Verdana" w:hAnsi="Verdana"/>
          <w:color w:val="0000FF"/>
          <w:u w:val="single"/>
        </w:rPr>
        <w:t xml:space="preserve">  </w:t>
      </w:r>
    </w:p>
    <w:bookmarkStart w:id="30" w:name="_Parent_SOP"/>
    <w:bookmarkEnd w:id="30"/>
    <w:p w14:paraId="2910E984" w14:textId="77777777" w:rsidR="005A64DA" w:rsidRDefault="00A22137" w:rsidP="003135E7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A22137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08DB3DCE" w14:textId="77777777" w:rsidR="00710E68" w:rsidRDefault="00E86C39" w:rsidP="003135E7">
      <w:pPr>
        <w:spacing w:before="120" w:after="120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5DDEBAEF" w14:textId="77777777" w:rsidR="00710E68" w:rsidRPr="00C247CB" w:rsidRDefault="00710E68" w:rsidP="003135E7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4C2304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4C2304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4C2304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4B65E62" w14:textId="77777777" w:rsidR="00710E68" w:rsidRPr="00C247CB" w:rsidRDefault="00710E68" w:rsidP="003135E7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A5490F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34F9D3C" w14:textId="15C531F3" w:rsidR="005A64DA" w:rsidRPr="00C247CB" w:rsidRDefault="005A64DA" w:rsidP="003135E7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default" r:id="rId24"/>
      <w:headerReference w:type="first" r:id="rId25"/>
      <w:footerReference w:type="first" r:id="rId2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54F1" w14:textId="77777777" w:rsidR="00C63034" w:rsidRDefault="00C63034">
      <w:r>
        <w:separator/>
      </w:r>
    </w:p>
  </w:endnote>
  <w:endnote w:type="continuationSeparator" w:id="0">
    <w:p w14:paraId="1373DA8D" w14:textId="77777777" w:rsidR="00C63034" w:rsidRDefault="00C63034">
      <w:r>
        <w:continuationSeparator/>
      </w:r>
    </w:p>
  </w:endnote>
  <w:endnote w:type="continuationNotice" w:id="1">
    <w:p w14:paraId="6FFFD0A1" w14:textId="77777777" w:rsidR="00C63034" w:rsidRDefault="00C630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2CE9" w14:textId="77777777" w:rsidR="00602707" w:rsidRDefault="0060270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3035">
      <w:rPr>
        <w:noProof/>
      </w:rPr>
      <w:t>1</w:t>
    </w:r>
    <w:r>
      <w:fldChar w:fldCharType="end"/>
    </w:r>
  </w:p>
  <w:p w14:paraId="09E99DF2" w14:textId="77777777" w:rsidR="00C476E1" w:rsidRPr="00401D86" w:rsidRDefault="00C476E1">
    <w:pPr>
      <w:pStyle w:val="Footer"/>
      <w:rPr>
        <w:rFonts w:ascii="Arial" w:hAnsi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F9E1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EB4EC" w14:textId="77777777" w:rsidR="00C63034" w:rsidRDefault="00C63034">
      <w:r>
        <w:separator/>
      </w:r>
    </w:p>
  </w:footnote>
  <w:footnote w:type="continuationSeparator" w:id="0">
    <w:p w14:paraId="1A4958DF" w14:textId="77777777" w:rsidR="00C63034" w:rsidRDefault="00C63034">
      <w:r>
        <w:continuationSeparator/>
      </w:r>
    </w:p>
  </w:footnote>
  <w:footnote w:type="continuationNotice" w:id="1">
    <w:p w14:paraId="495D777B" w14:textId="77777777" w:rsidR="00C63034" w:rsidRDefault="00C630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FA1A2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8.6pt;height:16.2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19FE780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</w:lvl>
  </w:abstractNum>
  <w:abstractNum w:abstractNumId="1" w15:restartNumberingAfterBreak="0">
    <w:nsid w:val="FFFFFF7D"/>
    <w:multiLevelType w:val="singleLevel"/>
    <w:tmpl w:val="564E44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DA16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2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F66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1CCD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6EC7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40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107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0B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F3290D"/>
    <w:multiLevelType w:val="hybridMultilevel"/>
    <w:tmpl w:val="403209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9D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22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ED13DD"/>
    <w:multiLevelType w:val="hybridMultilevel"/>
    <w:tmpl w:val="6542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874DC"/>
    <w:multiLevelType w:val="hybridMultilevel"/>
    <w:tmpl w:val="B7FA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B3348"/>
    <w:multiLevelType w:val="hybridMultilevel"/>
    <w:tmpl w:val="219EF50A"/>
    <w:lvl w:ilvl="0" w:tplc="18B2C2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070DCC"/>
    <w:multiLevelType w:val="hybridMultilevel"/>
    <w:tmpl w:val="7160FE2A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6664F"/>
    <w:multiLevelType w:val="hybridMultilevel"/>
    <w:tmpl w:val="03229C10"/>
    <w:lvl w:ilvl="0" w:tplc="8F4E0D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F4ADF"/>
    <w:multiLevelType w:val="hybridMultilevel"/>
    <w:tmpl w:val="045A4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CA0F28"/>
    <w:multiLevelType w:val="hybridMultilevel"/>
    <w:tmpl w:val="520E46BA"/>
    <w:lvl w:ilvl="0" w:tplc="DD1C39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D03450"/>
    <w:multiLevelType w:val="hybridMultilevel"/>
    <w:tmpl w:val="43A6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30A20"/>
    <w:multiLevelType w:val="hybridMultilevel"/>
    <w:tmpl w:val="49A46C90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982997">
    <w:abstractNumId w:val="10"/>
  </w:num>
  <w:num w:numId="2" w16cid:durableId="1852914873">
    <w:abstractNumId w:val="9"/>
  </w:num>
  <w:num w:numId="3" w16cid:durableId="1944722649">
    <w:abstractNumId w:val="7"/>
  </w:num>
  <w:num w:numId="4" w16cid:durableId="649479181">
    <w:abstractNumId w:val="6"/>
  </w:num>
  <w:num w:numId="5" w16cid:durableId="584535408">
    <w:abstractNumId w:val="5"/>
  </w:num>
  <w:num w:numId="6" w16cid:durableId="399330245">
    <w:abstractNumId w:val="4"/>
  </w:num>
  <w:num w:numId="7" w16cid:durableId="806703657">
    <w:abstractNumId w:val="8"/>
  </w:num>
  <w:num w:numId="8" w16cid:durableId="980305097">
    <w:abstractNumId w:val="3"/>
  </w:num>
  <w:num w:numId="9" w16cid:durableId="1433671236">
    <w:abstractNumId w:val="2"/>
  </w:num>
  <w:num w:numId="10" w16cid:durableId="2008360901">
    <w:abstractNumId w:val="1"/>
  </w:num>
  <w:num w:numId="11" w16cid:durableId="1120029808">
    <w:abstractNumId w:val="0"/>
  </w:num>
  <w:num w:numId="12" w16cid:durableId="288635818">
    <w:abstractNumId w:val="13"/>
  </w:num>
  <w:num w:numId="13" w16cid:durableId="90854718">
    <w:abstractNumId w:val="14"/>
  </w:num>
  <w:num w:numId="14" w16cid:durableId="686171962">
    <w:abstractNumId w:val="19"/>
  </w:num>
  <w:num w:numId="15" w16cid:durableId="643388607">
    <w:abstractNumId w:val="12"/>
  </w:num>
  <w:num w:numId="16" w16cid:durableId="1046955180">
    <w:abstractNumId w:val="18"/>
  </w:num>
  <w:num w:numId="17" w16cid:durableId="526597913">
    <w:abstractNumId w:val="17"/>
  </w:num>
  <w:num w:numId="18" w16cid:durableId="976105643">
    <w:abstractNumId w:val="16"/>
  </w:num>
  <w:num w:numId="19" w16cid:durableId="1789156846">
    <w:abstractNumId w:val="11"/>
  </w:num>
  <w:num w:numId="20" w16cid:durableId="103766794">
    <w:abstractNumId w:val="13"/>
  </w:num>
  <w:num w:numId="21" w16cid:durableId="15618946">
    <w:abstractNumId w:val="11"/>
  </w:num>
  <w:num w:numId="22" w16cid:durableId="1373579551">
    <w:abstractNumId w:val="17"/>
  </w:num>
  <w:num w:numId="23" w16cid:durableId="1011494071">
    <w:abstractNumId w:val="13"/>
  </w:num>
  <w:num w:numId="24" w16cid:durableId="16394600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93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2205"/>
    <w:rsid w:val="00007C61"/>
    <w:rsid w:val="000120C3"/>
    <w:rsid w:val="000125A2"/>
    <w:rsid w:val="00015A2E"/>
    <w:rsid w:val="00032891"/>
    <w:rsid w:val="00035BED"/>
    <w:rsid w:val="00050B03"/>
    <w:rsid w:val="0005126B"/>
    <w:rsid w:val="000532B0"/>
    <w:rsid w:val="00060283"/>
    <w:rsid w:val="00061AD2"/>
    <w:rsid w:val="000746B9"/>
    <w:rsid w:val="0008665F"/>
    <w:rsid w:val="00094737"/>
    <w:rsid w:val="00095AB5"/>
    <w:rsid w:val="000961F4"/>
    <w:rsid w:val="000A2654"/>
    <w:rsid w:val="000A6B88"/>
    <w:rsid w:val="000B3C4C"/>
    <w:rsid w:val="000B656F"/>
    <w:rsid w:val="000B72DF"/>
    <w:rsid w:val="000B7CFA"/>
    <w:rsid w:val="000D04F3"/>
    <w:rsid w:val="000D1870"/>
    <w:rsid w:val="000D6714"/>
    <w:rsid w:val="000E20EE"/>
    <w:rsid w:val="000F0D1B"/>
    <w:rsid w:val="000F224D"/>
    <w:rsid w:val="000F2C27"/>
    <w:rsid w:val="00114437"/>
    <w:rsid w:val="00115944"/>
    <w:rsid w:val="0012373E"/>
    <w:rsid w:val="001360A5"/>
    <w:rsid w:val="00145B41"/>
    <w:rsid w:val="001618E4"/>
    <w:rsid w:val="00161ED0"/>
    <w:rsid w:val="0016273A"/>
    <w:rsid w:val="001647A8"/>
    <w:rsid w:val="00172B29"/>
    <w:rsid w:val="001860A0"/>
    <w:rsid w:val="0019214D"/>
    <w:rsid w:val="00193553"/>
    <w:rsid w:val="001A579C"/>
    <w:rsid w:val="001B3879"/>
    <w:rsid w:val="001C24EA"/>
    <w:rsid w:val="001C2A97"/>
    <w:rsid w:val="001D0657"/>
    <w:rsid w:val="001E598C"/>
    <w:rsid w:val="001E7174"/>
    <w:rsid w:val="001F1218"/>
    <w:rsid w:val="002016B4"/>
    <w:rsid w:val="002055CF"/>
    <w:rsid w:val="002140EE"/>
    <w:rsid w:val="002235EF"/>
    <w:rsid w:val="00223C6D"/>
    <w:rsid w:val="00233EFF"/>
    <w:rsid w:val="00236A6E"/>
    <w:rsid w:val="00243EBB"/>
    <w:rsid w:val="00245E04"/>
    <w:rsid w:val="00247C14"/>
    <w:rsid w:val="00255C6B"/>
    <w:rsid w:val="00262690"/>
    <w:rsid w:val="00265D86"/>
    <w:rsid w:val="002710A6"/>
    <w:rsid w:val="002810FF"/>
    <w:rsid w:val="00291CE8"/>
    <w:rsid w:val="002933C6"/>
    <w:rsid w:val="00296127"/>
    <w:rsid w:val="00296765"/>
    <w:rsid w:val="00296CB4"/>
    <w:rsid w:val="002A2E98"/>
    <w:rsid w:val="002B593E"/>
    <w:rsid w:val="002D1820"/>
    <w:rsid w:val="002E3289"/>
    <w:rsid w:val="002E3703"/>
    <w:rsid w:val="002E596C"/>
    <w:rsid w:val="002F1F92"/>
    <w:rsid w:val="003135E7"/>
    <w:rsid w:val="00313691"/>
    <w:rsid w:val="00314893"/>
    <w:rsid w:val="0033143E"/>
    <w:rsid w:val="00332057"/>
    <w:rsid w:val="00335C65"/>
    <w:rsid w:val="00336CCE"/>
    <w:rsid w:val="0034108C"/>
    <w:rsid w:val="00350248"/>
    <w:rsid w:val="003547C1"/>
    <w:rsid w:val="00355E4B"/>
    <w:rsid w:val="00357E40"/>
    <w:rsid w:val="00366679"/>
    <w:rsid w:val="00367A6A"/>
    <w:rsid w:val="003725A1"/>
    <w:rsid w:val="003824ED"/>
    <w:rsid w:val="003868A2"/>
    <w:rsid w:val="00391448"/>
    <w:rsid w:val="00392A5B"/>
    <w:rsid w:val="00396A5F"/>
    <w:rsid w:val="00397CD9"/>
    <w:rsid w:val="003A6D70"/>
    <w:rsid w:val="003B0C84"/>
    <w:rsid w:val="003B1F86"/>
    <w:rsid w:val="003B4E7C"/>
    <w:rsid w:val="003B5DFD"/>
    <w:rsid w:val="003C4627"/>
    <w:rsid w:val="003E6C1A"/>
    <w:rsid w:val="003F155B"/>
    <w:rsid w:val="00405AD5"/>
    <w:rsid w:val="0040640A"/>
    <w:rsid w:val="00406DB5"/>
    <w:rsid w:val="0041395C"/>
    <w:rsid w:val="0042336D"/>
    <w:rsid w:val="00423498"/>
    <w:rsid w:val="004323D8"/>
    <w:rsid w:val="00433D38"/>
    <w:rsid w:val="00443E5A"/>
    <w:rsid w:val="004576C3"/>
    <w:rsid w:val="00457EAE"/>
    <w:rsid w:val="00470624"/>
    <w:rsid w:val="004728E8"/>
    <w:rsid w:val="00473636"/>
    <w:rsid w:val="004768BE"/>
    <w:rsid w:val="00477F73"/>
    <w:rsid w:val="004810D1"/>
    <w:rsid w:val="004818CA"/>
    <w:rsid w:val="0048355A"/>
    <w:rsid w:val="00484B08"/>
    <w:rsid w:val="00485711"/>
    <w:rsid w:val="0048671A"/>
    <w:rsid w:val="00487101"/>
    <w:rsid w:val="00487590"/>
    <w:rsid w:val="00491954"/>
    <w:rsid w:val="004C2304"/>
    <w:rsid w:val="004D3C53"/>
    <w:rsid w:val="004D4EC1"/>
    <w:rsid w:val="004E0238"/>
    <w:rsid w:val="004F0BE4"/>
    <w:rsid w:val="004F1CAD"/>
    <w:rsid w:val="004F3804"/>
    <w:rsid w:val="00512486"/>
    <w:rsid w:val="00512A87"/>
    <w:rsid w:val="00516B94"/>
    <w:rsid w:val="00521937"/>
    <w:rsid w:val="0052465B"/>
    <w:rsid w:val="00524CDD"/>
    <w:rsid w:val="0053062A"/>
    <w:rsid w:val="005452B7"/>
    <w:rsid w:val="0055292F"/>
    <w:rsid w:val="00555524"/>
    <w:rsid w:val="00582E85"/>
    <w:rsid w:val="00583274"/>
    <w:rsid w:val="00584B16"/>
    <w:rsid w:val="005910B5"/>
    <w:rsid w:val="00595A0E"/>
    <w:rsid w:val="005A37C4"/>
    <w:rsid w:val="005A6118"/>
    <w:rsid w:val="005A64DA"/>
    <w:rsid w:val="005B4655"/>
    <w:rsid w:val="005C1D83"/>
    <w:rsid w:val="005C22CB"/>
    <w:rsid w:val="005D0F71"/>
    <w:rsid w:val="005D3136"/>
    <w:rsid w:val="005E218B"/>
    <w:rsid w:val="005E650E"/>
    <w:rsid w:val="005F369C"/>
    <w:rsid w:val="005F4338"/>
    <w:rsid w:val="0060100F"/>
    <w:rsid w:val="00602707"/>
    <w:rsid w:val="00613E6B"/>
    <w:rsid w:val="00622D77"/>
    <w:rsid w:val="00627F34"/>
    <w:rsid w:val="00636B18"/>
    <w:rsid w:val="00637CA1"/>
    <w:rsid w:val="00640F45"/>
    <w:rsid w:val="00644018"/>
    <w:rsid w:val="006447C3"/>
    <w:rsid w:val="00647A00"/>
    <w:rsid w:val="00652A0D"/>
    <w:rsid w:val="006635C0"/>
    <w:rsid w:val="00674A16"/>
    <w:rsid w:val="00691E10"/>
    <w:rsid w:val="00693D4E"/>
    <w:rsid w:val="006A0481"/>
    <w:rsid w:val="006A10C9"/>
    <w:rsid w:val="006A2DB3"/>
    <w:rsid w:val="006B232F"/>
    <w:rsid w:val="006B5639"/>
    <w:rsid w:val="006C1B22"/>
    <w:rsid w:val="006C3813"/>
    <w:rsid w:val="006C653F"/>
    <w:rsid w:val="006C7D86"/>
    <w:rsid w:val="006D552D"/>
    <w:rsid w:val="006D7755"/>
    <w:rsid w:val="006E10EC"/>
    <w:rsid w:val="006E7D0E"/>
    <w:rsid w:val="006F6DE5"/>
    <w:rsid w:val="006F7DFC"/>
    <w:rsid w:val="007047C2"/>
    <w:rsid w:val="00704AF2"/>
    <w:rsid w:val="00707E19"/>
    <w:rsid w:val="00710E68"/>
    <w:rsid w:val="00714BA0"/>
    <w:rsid w:val="007269B6"/>
    <w:rsid w:val="00726E7A"/>
    <w:rsid w:val="007278FC"/>
    <w:rsid w:val="00731CD0"/>
    <w:rsid w:val="0073294A"/>
    <w:rsid w:val="00732E52"/>
    <w:rsid w:val="00740482"/>
    <w:rsid w:val="00752801"/>
    <w:rsid w:val="0076147C"/>
    <w:rsid w:val="00761E98"/>
    <w:rsid w:val="00771EFB"/>
    <w:rsid w:val="0078496E"/>
    <w:rsid w:val="00785118"/>
    <w:rsid w:val="00786BEB"/>
    <w:rsid w:val="007B7906"/>
    <w:rsid w:val="007C77DD"/>
    <w:rsid w:val="007D0664"/>
    <w:rsid w:val="007D7F9A"/>
    <w:rsid w:val="007E3EA6"/>
    <w:rsid w:val="007E6A62"/>
    <w:rsid w:val="00801D26"/>
    <w:rsid w:val="008042E1"/>
    <w:rsid w:val="00804D63"/>
    <w:rsid w:val="00806B9D"/>
    <w:rsid w:val="008121B3"/>
    <w:rsid w:val="00812777"/>
    <w:rsid w:val="00817479"/>
    <w:rsid w:val="00822209"/>
    <w:rsid w:val="0084075D"/>
    <w:rsid w:val="0084129E"/>
    <w:rsid w:val="00841471"/>
    <w:rsid w:val="00843390"/>
    <w:rsid w:val="00845169"/>
    <w:rsid w:val="00846373"/>
    <w:rsid w:val="00850D79"/>
    <w:rsid w:val="008568AE"/>
    <w:rsid w:val="00856DDD"/>
    <w:rsid w:val="00860590"/>
    <w:rsid w:val="008614E8"/>
    <w:rsid w:val="00864887"/>
    <w:rsid w:val="00867EDF"/>
    <w:rsid w:val="00867FD1"/>
    <w:rsid w:val="008726CE"/>
    <w:rsid w:val="00873D8B"/>
    <w:rsid w:val="00875F0D"/>
    <w:rsid w:val="00876058"/>
    <w:rsid w:val="00877414"/>
    <w:rsid w:val="0088493E"/>
    <w:rsid w:val="008864F0"/>
    <w:rsid w:val="00887CA6"/>
    <w:rsid w:val="00894828"/>
    <w:rsid w:val="008A03B7"/>
    <w:rsid w:val="008A5F5F"/>
    <w:rsid w:val="008A6B68"/>
    <w:rsid w:val="008A7291"/>
    <w:rsid w:val="008C2197"/>
    <w:rsid w:val="008C3493"/>
    <w:rsid w:val="008D11A6"/>
    <w:rsid w:val="008D1F7B"/>
    <w:rsid w:val="008D2D64"/>
    <w:rsid w:val="008D4F21"/>
    <w:rsid w:val="009016E0"/>
    <w:rsid w:val="00902E07"/>
    <w:rsid w:val="00920CC3"/>
    <w:rsid w:val="00930E08"/>
    <w:rsid w:val="00934E4A"/>
    <w:rsid w:val="009440EF"/>
    <w:rsid w:val="00947783"/>
    <w:rsid w:val="00954FE8"/>
    <w:rsid w:val="009630E5"/>
    <w:rsid w:val="0097045B"/>
    <w:rsid w:val="009726E0"/>
    <w:rsid w:val="00990822"/>
    <w:rsid w:val="00991D47"/>
    <w:rsid w:val="009978DC"/>
    <w:rsid w:val="009C2D24"/>
    <w:rsid w:val="009C4A31"/>
    <w:rsid w:val="009C5796"/>
    <w:rsid w:val="009D5AB1"/>
    <w:rsid w:val="009E4F3F"/>
    <w:rsid w:val="009E7FE9"/>
    <w:rsid w:val="009F6FD2"/>
    <w:rsid w:val="009F78D3"/>
    <w:rsid w:val="00A05002"/>
    <w:rsid w:val="00A05CF4"/>
    <w:rsid w:val="00A13FFC"/>
    <w:rsid w:val="00A21DBB"/>
    <w:rsid w:val="00A22137"/>
    <w:rsid w:val="00A25F70"/>
    <w:rsid w:val="00A349AB"/>
    <w:rsid w:val="00A4732A"/>
    <w:rsid w:val="00A5490F"/>
    <w:rsid w:val="00A64BD5"/>
    <w:rsid w:val="00A7166B"/>
    <w:rsid w:val="00A777F3"/>
    <w:rsid w:val="00A77929"/>
    <w:rsid w:val="00A83BA0"/>
    <w:rsid w:val="00A84F18"/>
    <w:rsid w:val="00A85045"/>
    <w:rsid w:val="00A95738"/>
    <w:rsid w:val="00A97B7D"/>
    <w:rsid w:val="00AA4825"/>
    <w:rsid w:val="00AA70E9"/>
    <w:rsid w:val="00AB33E1"/>
    <w:rsid w:val="00AB3AE9"/>
    <w:rsid w:val="00AB4B79"/>
    <w:rsid w:val="00AB5536"/>
    <w:rsid w:val="00AC0D09"/>
    <w:rsid w:val="00AC1771"/>
    <w:rsid w:val="00AC4A3C"/>
    <w:rsid w:val="00AD1646"/>
    <w:rsid w:val="00AD27A6"/>
    <w:rsid w:val="00AE0331"/>
    <w:rsid w:val="00AE33C7"/>
    <w:rsid w:val="00AF038B"/>
    <w:rsid w:val="00B033F6"/>
    <w:rsid w:val="00B06328"/>
    <w:rsid w:val="00B170D2"/>
    <w:rsid w:val="00B202E5"/>
    <w:rsid w:val="00B26045"/>
    <w:rsid w:val="00B32D24"/>
    <w:rsid w:val="00B44C55"/>
    <w:rsid w:val="00B46A95"/>
    <w:rsid w:val="00B537D0"/>
    <w:rsid w:val="00B544C2"/>
    <w:rsid w:val="00B5566F"/>
    <w:rsid w:val="00B56F52"/>
    <w:rsid w:val="00B70CC4"/>
    <w:rsid w:val="00B82077"/>
    <w:rsid w:val="00B90E05"/>
    <w:rsid w:val="00B93702"/>
    <w:rsid w:val="00B9600D"/>
    <w:rsid w:val="00BA04F8"/>
    <w:rsid w:val="00BA6D49"/>
    <w:rsid w:val="00BA753C"/>
    <w:rsid w:val="00BB02DE"/>
    <w:rsid w:val="00BB371A"/>
    <w:rsid w:val="00BB7581"/>
    <w:rsid w:val="00BC2371"/>
    <w:rsid w:val="00BC6710"/>
    <w:rsid w:val="00BD7B25"/>
    <w:rsid w:val="00BE1AFF"/>
    <w:rsid w:val="00BE6925"/>
    <w:rsid w:val="00BE7FE6"/>
    <w:rsid w:val="00BF1511"/>
    <w:rsid w:val="00BF74E9"/>
    <w:rsid w:val="00C03487"/>
    <w:rsid w:val="00C17FB0"/>
    <w:rsid w:val="00C247CB"/>
    <w:rsid w:val="00C31CD8"/>
    <w:rsid w:val="00C360BD"/>
    <w:rsid w:val="00C476E1"/>
    <w:rsid w:val="00C52E77"/>
    <w:rsid w:val="00C566B3"/>
    <w:rsid w:val="00C63034"/>
    <w:rsid w:val="00C65249"/>
    <w:rsid w:val="00C67B32"/>
    <w:rsid w:val="00C75C83"/>
    <w:rsid w:val="00C820E3"/>
    <w:rsid w:val="00C8334F"/>
    <w:rsid w:val="00CA787A"/>
    <w:rsid w:val="00CB0C1D"/>
    <w:rsid w:val="00CB2622"/>
    <w:rsid w:val="00CC5AA2"/>
    <w:rsid w:val="00CC721A"/>
    <w:rsid w:val="00CD0963"/>
    <w:rsid w:val="00CE07AF"/>
    <w:rsid w:val="00CE3D42"/>
    <w:rsid w:val="00CE53E6"/>
    <w:rsid w:val="00CF09B0"/>
    <w:rsid w:val="00CF6131"/>
    <w:rsid w:val="00D06EAA"/>
    <w:rsid w:val="00D10837"/>
    <w:rsid w:val="00D1123F"/>
    <w:rsid w:val="00D17402"/>
    <w:rsid w:val="00D2031A"/>
    <w:rsid w:val="00D30912"/>
    <w:rsid w:val="00D35B76"/>
    <w:rsid w:val="00D36733"/>
    <w:rsid w:val="00D36835"/>
    <w:rsid w:val="00D47162"/>
    <w:rsid w:val="00D471B5"/>
    <w:rsid w:val="00D571DB"/>
    <w:rsid w:val="00D60C26"/>
    <w:rsid w:val="00D61994"/>
    <w:rsid w:val="00D6296D"/>
    <w:rsid w:val="00D62E83"/>
    <w:rsid w:val="00D6774D"/>
    <w:rsid w:val="00D75191"/>
    <w:rsid w:val="00D80929"/>
    <w:rsid w:val="00D84908"/>
    <w:rsid w:val="00D85254"/>
    <w:rsid w:val="00D85DDE"/>
    <w:rsid w:val="00D877AF"/>
    <w:rsid w:val="00D951BF"/>
    <w:rsid w:val="00DA4E51"/>
    <w:rsid w:val="00DB3D5E"/>
    <w:rsid w:val="00DB69DF"/>
    <w:rsid w:val="00DC4FFC"/>
    <w:rsid w:val="00DC5375"/>
    <w:rsid w:val="00DC5B9A"/>
    <w:rsid w:val="00DD576E"/>
    <w:rsid w:val="00DD7E8A"/>
    <w:rsid w:val="00DE057F"/>
    <w:rsid w:val="00DF05FA"/>
    <w:rsid w:val="00DF10EA"/>
    <w:rsid w:val="00DF579E"/>
    <w:rsid w:val="00DF6BE4"/>
    <w:rsid w:val="00E0387A"/>
    <w:rsid w:val="00E11A6C"/>
    <w:rsid w:val="00E157BC"/>
    <w:rsid w:val="00E168D9"/>
    <w:rsid w:val="00E2151C"/>
    <w:rsid w:val="00E2781D"/>
    <w:rsid w:val="00E30DF3"/>
    <w:rsid w:val="00E31954"/>
    <w:rsid w:val="00E44DE8"/>
    <w:rsid w:val="00E50E4A"/>
    <w:rsid w:val="00E569B3"/>
    <w:rsid w:val="00E6650C"/>
    <w:rsid w:val="00E74CC4"/>
    <w:rsid w:val="00E77E8E"/>
    <w:rsid w:val="00E848E0"/>
    <w:rsid w:val="00E86C39"/>
    <w:rsid w:val="00E91F5F"/>
    <w:rsid w:val="00E97271"/>
    <w:rsid w:val="00EB12DD"/>
    <w:rsid w:val="00EB153E"/>
    <w:rsid w:val="00EB57EB"/>
    <w:rsid w:val="00EC0CBC"/>
    <w:rsid w:val="00EC6C88"/>
    <w:rsid w:val="00ED50CF"/>
    <w:rsid w:val="00ED6B34"/>
    <w:rsid w:val="00ED70EE"/>
    <w:rsid w:val="00ED7581"/>
    <w:rsid w:val="00EF3CE1"/>
    <w:rsid w:val="00EF7996"/>
    <w:rsid w:val="00F073B4"/>
    <w:rsid w:val="00F1152F"/>
    <w:rsid w:val="00F207B3"/>
    <w:rsid w:val="00F5017D"/>
    <w:rsid w:val="00F54799"/>
    <w:rsid w:val="00F5486B"/>
    <w:rsid w:val="00F57218"/>
    <w:rsid w:val="00F60B99"/>
    <w:rsid w:val="00F63E3A"/>
    <w:rsid w:val="00F658E0"/>
    <w:rsid w:val="00F72D03"/>
    <w:rsid w:val="00F75172"/>
    <w:rsid w:val="00F755E4"/>
    <w:rsid w:val="00F859B7"/>
    <w:rsid w:val="00FC1C44"/>
    <w:rsid w:val="00FD0216"/>
    <w:rsid w:val="00FD15F4"/>
    <w:rsid w:val="00FD3035"/>
    <w:rsid w:val="00FD4498"/>
    <w:rsid w:val="00FF77D8"/>
    <w:rsid w:val="105BD9B3"/>
    <w:rsid w:val="10CBF4A1"/>
    <w:rsid w:val="157576A7"/>
    <w:rsid w:val="19379B60"/>
    <w:rsid w:val="1D367383"/>
    <w:rsid w:val="219B02FB"/>
    <w:rsid w:val="2752F3DD"/>
    <w:rsid w:val="2A483CCF"/>
    <w:rsid w:val="35089377"/>
    <w:rsid w:val="382CF7B1"/>
    <w:rsid w:val="474B61F4"/>
    <w:rsid w:val="4DE76D56"/>
    <w:rsid w:val="53671F3E"/>
    <w:rsid w:val="558794E8"/>
    <w:rsid w:val="5AA9C379"/>
    <w:rsid w:val="5B6018A5"/>
    <w:rsid w:val="641F4E84"/>
    <w:rsid w:val="6C70970B"/>
    <w:rsid w:val="709A1DE1"/>
    <w:rsid w:val="71E8BDD5"/>
    <w:rsid w:val="7493955F"/>
    <w:rsid w:val="77DBA13F"/>
    <w:rsid w:val="7849E6C1"/>
    <w:rsid w:val="7E1B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A11FEB"/>
  <w15:chartTrackingRefBased/>
  <w15:docId w15:val="{3B7F47CF-E294-4E21-BB97-8B029A33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850D79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02707"/>
    <w:rPr>
      <w:sz w:val="24"/>
      <w:szCs w:val="24"/>
    </w:rPr>
  </w:style>
  <w:style w:type="character" w:styleId="CommentReference">
    <w:name w:val="annotation reference"/>
    <w:rsid w:val="008864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64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864F0"/>
  </w:style>
  <w:style w:type="paragraph" w:styleId="CommentSubject">
    <w:name w:val="annotation subject"/>
    <w:basedOn w:val="CommentText"/>
    <w:next w:val="CommentText"/>
    <w:link w:val="CommentSubjectChar"/>
    <w:rsid w:val="008864F0"/>
    <w:rPr>
      <w:b/>
      <w:bCs/>
    </w:rPr>
  </w:style>
  <w:style w:type="character" w:customStyle="1" w:styleId="CommentSubjectChar">
    <w:name w:val="Comment Subject Char"/>
    <w:link w:val="CommentSubject"/>
    <w:rsid w:val="008864F0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5D3136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5C22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6F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36A6E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443E5A"/>
    <w:rPr>
      <w:sz w:val="24"/>
      <w:szCs w:val="24"/>
    </w:rPr>
  </w:style>
  <w:style w:type="paragraph" w:customStyle="1" w:styleId="style-scope">
    <w:name w:val="style-scope"/>
    <w:basedOn w:val="Normal"/>
    <w:rsid w:val="004F0BE4"/>
    <w:pPr>
      <w:spacing w:before="100" w:beforeAutospacing="1" w:after="100" w:afterAutospacing="1"/>
    </w:pPr>
  </w:style>
  <w:style w:type="character" w:styleId="Mention">
    <w:name w:val="Mention"/>
    <w:basedOn w:val="DefaultParagraphFont"/>
    <w:uiPriority w:val="99"/>
    <w:unhideWhenUsed/>
    <w:rsid w:val="00B033F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380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020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policy.corp.cvscaremark.com/pnp/faces/DocRenderer?documentId=CALL-0049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Props1.xml><?xml version="1.0" encoding="utf-8"?>
<ds:datastoreItem xmlns:ds="http://schemas.openxmlformats.org/officeDocument/2006/customXml" ds:itemID="{709B748E-FD44-4376-8C5F-C1CD59FD3E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C9A1B-DAA8-4398-B866-35EE66744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150345-0F7E-48A5-B502-17DFFF69F7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BCBACE-70EF-413D-B644-40DD41781D29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13</TotalTime>
  <Pages>1</Pages>
  <Words>936</Words>
  <Characters>5339</Characters>
  <Application>Microsoft Office Word</Application>
  <DocSecurity>2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Brown, Heather K</cp:lastModifiedBy>
  <cp:revision>5</cp:revision>
  <cp:lastPrinted>2007-01-03T19:56:00Z</cp:lastPrinted>
  <dcterms:created xsi:type="dcterms:W3CDTF">2024-09-04T19:46:00Z</dcterms:created>
  <dcterms:modified xsi:type="dcterms:W3CDTF">2024-09-04T19:57:00Z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2021-08-31T21:10:47Z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fd074c21-1f6d-4231-89f1-1e4cc631a28f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