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5CF28" w14:textId="08D81F8B" w:rsidR="00255C6B" w:rsidRPr="003D05C4" w:rsidRDefault="5E7FDF36" w:rsidP="003D05C4">
      <w:pPr>
        <w:pStyle w:val="Heading1"/>
      </w:pPr>
      <w:bookmarkStart w:id="0" w:name="_top"/>
      <w:bookmarkStart w:id="1" w:name="OLE_LINK8"/>
      <w:bookmarkStart w:id="2" w:name="OLE_LINK7"/>
      <w:bookmarkEnd w:id="0"/>
      <w:r>
        <w:t xml:space="preserve">Compass </w:t>
      </w:r>
      <w:r w:rsidR="76EEDD70">
        <w:t xml:space="preserve">- </w:t>
      </w:r>
      <w:r>
        <w:t>Third Party Processor Indicator</w:t>
      </w:r>
      <w:r w:rsidR="12F16937">
        <w:t xml:space="preserve"> for </w:t>
      </w:r>
      <w:r w:rsidR="002E7268">
        <w:t xml:space="preserve">the </w:t>
      </w:r>
      <w:r w:rsidR="009B7C85">
        <w:t>Cost</w:t>
      </w:r>
      <w:r w:rsidR="009D6E36">
        <w:t xml:space="preserve"> </w:t>
      </w:r>
      <w:r w:rsidR="009B7C85">
        <w:t xml:space="preserve">Saver </w:t>
      </w:r>
      <w:r w:rsidR="12F16937">
        <w:t>Drug Pricing Comparison Program</w:t>
      </w:r>
      <w:bookmarkEnd w:id="1"/>
      <w:r w:rsidR="00DA0707">
        <w:t xml:space="preserve">  </w:t>
      </w:r>
    </w:p>
    <w:bookmarkEnd w:id="2"/>
    <w:p w14:paraId="270BB378" w14:textId="77777777" w:rsidR="001F3E96" w:rsidRDefault="001F3E96">
      <w:pPr>
        <w:pStyle w:val="TOC2"/>
      </w:pPr>
    </w:p>
    <w:p w14:paraId="3239557B" w14:textId="795B789F" w:rsidR="002315C1" w:rsidRDefault="00B13B31">
      <w:pPr>
        <w:pStyle w:val="TOC2"/>
        <w:rPr>
          <w:rFonts w:asciiTheme="minorHAnsi" w:eastAsiaTheme="minorEastAsia" w:hAnsiTheme="minorHAnsi" w:cstheme="minorBidi"/>
          <w:noProof/>
          <w:kern w:val="2"/>
          <w14:ligatures w14:val="standardContextual"/>
        </w:rPr>
      </w:pPr>
      <w:r w:rsidRPr="0014193C">
        <w:fldChar w:fldCharType="begin"/>
      </w:r>
      <w:r w:rsidRPr="0014193C">
        <w:instrText xml:space="preserve"> TOC \o "2-3" \n \h \z \u </w:instrText>
      </w:r>
      <w:r w:rsidRPr="0014193C">
        <w:fldChar w:fldCharType="separate"/>
      </w:r>
      <w:hyperlink w:anchor="_Toc201848569" w:history="1">
        <w:r w:rsidR="002315C1" w:rsidRPr="004D0860">
          <w:rPr>
            <w:rStyle w:val="Hyperlink"/>
            <w:noProof/>
          </w:rPr>
          <w:t>Program Information</w:t>
        </w:r>
      </w:hyperlink>
    </w:p>
    <w:p w14:paraId="5C911DC2" w14:textId="47FFEC75" w:rsidR="002315C1" w:rsidRDefault="002315C1">
      <w:pPr>
        <w:pStyle w:val="TOC2"/>
        <w:rPr>
          <w:rFonts w:asciiTheme="minorHAnsi" w:eastAsiaTheme="minorEastAsia" w:hAnsiTheme="minorHAnsi" w:cstheme="minorBidi"/>
          <w:noProof/>
          <w:kern w:val="2"/>
          <w14:ligatures w14:val="standardContextual"/>
        </w:rPr>
      </w:pPr>
      <w:hyperlink w:anchor="_Toc201848570" w:history="1">
        <w:r w:rsidRPr="004D0860">
          <w:rPr>
            <w:rStyle w:val="Hyperlink"/>
            <w:noProof/>
          </w:rPr>
          <w:t>Identify via Test Claim</w:t>
        </w:r>
      </w:hyperlink>
    </w:p>
    <w:p w14:paraId="462F7FA8" w14:textId="07CA25E4" w:rsidR="002315C1" w:rsidRDefault="002315C1">
      <w:pPr>
        <w:pStyle w:val="TOC2"/>
        <w:rPr>
          <w:rFonts w:asciiTheme="minorHAnsi" w:eastAsiaTheme="minorEastAsia" w:hAnsiTheme="minorHAnsi" w:cstheme="minorBidi"/>
          <w:noProof/>
          <w:kern w:val="2"/>
          <w14:ligatures w14:val="standardContextual"/>
        </w:rPr>
      </w:pPr>
      <w:hyperlink w:anchor="_Toc201848571" w:history="1">
        <w:r w:rsidRPr="004D0860">
          <w:rPr>
            <w:rStyle w:val="Hyperlink"/>
            <w:noProof/>
          </w:rPr>
          <w:t>Identify via Paid Claim</w:t>
        </w:r>
      </w:hyperlink>
    </w:p>
    <w:p w14:paraId="27412441" w14:textId="65D3583D" w:rsidR="002315C1" w:rsidRDefault="002315C1">
      <w:pPr>
        <w:pStyle w:val="TOC2"/>
        <w:rPr>
          <w:rFonts w:asciiTheme="minorHAnsi" w:eastAsiaTheme="minorEastAsia" w:hAnsiTheme="minorHAnsi" w:cstheme="minorBidi"/>
          <w:noProof/>
          <w:kern w:val="2"/>
          <w14:ligatures w14:val="standardContextual"/>
        </w:rPr>
      </w:pPr>
      <w:hyperlink w:anchor="_Toc201848572" w:history="1">
        <w:r w:rsidRPr="004D0860">
          <w:rPr>
            <w:rStyle w:val="Hyperlink"/>
            <w:noProof/>
          </w:rPr>
          <w:t>Member Opt In/Out of the Cost Saver Program</w:t>
        </w:r>
      </w:hyperlink>
    </w:p>
    <w:p w14:paraId="09188B63" w14:textId="5C88C2EC" w:rsidR="002315C1" w:rsidRDefault="002315C1">
      <w:pPr>
        <w:pStyle w:val="TOC2"/>
        <w:rPr>
          <w:rFonts w:asciiTheme="minorHAnsi" w:eastAsiaTheme="minorEastAsia" w:hAnsiTheme="minorHAnsi" w:cstheme="minorBidi"/>
          <w:noProof/>
          <w:kern w:val="2"/>
          <w14:ligatures w14:val="standardContextual"/>
        </w:rPr>
      </w:pPr>
      <w:hyperlink w:anchor="_Toc201848573" w:history="1">
        <w:r w:rsidRPr="004D0860">
          <w:rPr>
            <w:rStyle w:val="Hyperlink"/>
            <w:noProof/>
          </w:rPr>
          <w:t>Related Documents</w:t>
        </w:r>
      </w:hyperlink>
    </w:p>
    <w:p w14:paraId="761122C0" w14:textId="0DA80A2B" w:rsidR="005A64DA" w:rsidRDefault="00B13B31" w:rsidP="00FD407F">
      <w:pPr>
        <w:pStyle w:val="TOC2"/>
      </w:pPr>
      <w:r w:rsidRPr="0014193C">
        <w:fldChar w:fldCharType="end"/>
      </w:r>
    </w:p>
    <w:p w14:paraId="39B37BB9" w14:textId="77777777" w:rsidR="00550290" w:rsidRDefault="00550290" w:rsidP="00E81E4E"/>
    <w:p w14:paraId="7472BDE9" w14:textId="53F7A1AB" w:rsidR="00E81E4E" w:rsidRDefault="00E81E4E" w:rsidP="003763DB">
      <w:pPr>
        <w:spacing w:before="120" w:after="120"/>
      </w:pPr>
      <w:r>
        <w:rPr>
          <w:b/>
          <w:bCs/>
        </w:rPr>
        <w:t>Description</w:t>
      </w:r>
      <w:r w:rsidR="008872EF">
        <w:rPr>
          <w:b/>
          <w:bCs/>
        </w:rPr>
        <w:t xml:space="preserve">: </w:t>
      </w:r>
      <w:bookmarkStart w:id="3" w:name="OLE_LINK14"/>
      <w:bookmarkStart w:id="4" w:name="OLE_LINK64"/>
      <w:r w:rsidR="00556FF0">
        <w:t>P</w:t>
      </w:r>
      <w:r>
        <w:t xml:space="preserve">rocess for identifying when a claim </w:t>
      </w:r>
      <w:r w:rsidR="00DF02D7">
        <w:t>has processed through</w:t>
      </w:r>
      <w:r>
        <w:t xml:space="preserve"> </w:t>
      </w:r>
      <w:r w:rsidR="00550290">
        <w:t>the Cost</w:t>
      </w:r>
      <w:r w:rsidR="009D6E36">
        <w:t xml:space="preserve"> </w:t>
      </w:r>
      <w:r w:rsidR="00550290">
        <w:t>Saver</w:t>
      </w:r>
      <w:r w:rsidR="00A757F0">
        <w:t xml:space="preserve"> pricing</w:t>
      </w:r>
      <w:r w:rsidR="00EE6B54">
        <w:t xml:space="preserve">, identifying </w:t>
      </w:r>
      <w:r w:rsidR="007E6E21">
        <w:t>the</w:t>
      </w:r>
      <w:r w:rsidR="00EE6B54">
        <w:t xml:space="preserve"> specific vendor for a claim</w:t>
      </w:r>
      <w:r w:rsidR="004735EC">
        <w:t xml:space="preserve"> </w:t>
      </w:r>
      <w:r w:rsidR="00882230">
        <w:t>comparison</w:t>
      </w:r>
      <w:r w:rsidR="00A757F0">
        <w:t xml:space="preserve"> program</w:t>
      </w:r>
      <w:r w:rsidR="004735EC">
        <w:t xml:space="preserve">, </w:t>
      </w:r>
      <w:r>
        <w:t xml:space="preserve"> </w:t>
      </w:r>
      <w:r w:rsidR="000E6393">
        <w:t xml:space="preserve">and how to opt in/out </w:t>
      </w:r>
      <w:r w:rsidR="004735EC">
        <w:t xml:space="preserve">members </w:t>
      </w:r>
      <w:r w:rsidR="000E6393">
        <w:t>of the program</w:t>
      </w:r>
      <w:bookmarkEnd w:id="3"/>
      <w:r w:rsidR="000E6393">
        <w:t>.</w:t>
      </w:r>
      <w:r w:rsidR="004F4CFB">
        <w:t xml:space="preserve"> </w:t>
      </w:r>
      <w:bookmarkEnd w:id="4"/>
    </w:p>
    <w:p w14:paraId="5F3ED633" w14:textId="77777777" w:rsidR="000C3FDD" w:rsidRPr="00E81E4E" w:rsidRDefault="000C3FDD" w:rsidP="00D73493"/>
    <w:p w14:paraId="1E61A927" w14:textId="2349BF3D" w:rsidR="001B6A61" w:rsidRPr="001B6A61" w:rsidRDefault="001B6A61" w:rsidP="00A03BB7">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4193C" w14:paraId="3DEDFBFE" w14:textId="77777777" w:rsidTr="0064267B">
        <w:tc>
          <w:tcPr>
            <w:tcW w:w="5000" w:type="pct"/>
            <w:shd w:val="clear" w:color="auto" w:fill="C0C0C0"/>
          </w:tcPr>
          <w:p w14:paraId="23A2F717" w14:textId="5F3A4A85" w:rsidR="005A64DA" w:rsidRPr="0014193C" w:rsidRDefault="001F3990" w:rsidP="003763DB">
            <w:pPr>
              <w:pStyle w:val="Heading2"/>
              <w:spacing w:before="120" w:after="120"/>
            </w:pPr>
            <w:bookmarkStart w:id="5" w:name="_Overview"/>
            <w:bookmarkStart w:id="6" w:name="_Toc201848569"/>
            <w:bookmarkEnd w:id="5"/>
            <w:r>
              <w:t>Program</w:t>
            </w:r>
            <w:r w:rsidR="00D73493">
              <w:t xml:space="preserve"> Information</w:t>
            </w:r>
            <w:bookmarkEnd w:id="6"/>
          </w:p>
        </w:tc>
      </w:tr>
    </w:tbl>
    <w:p w14:paraId="6DE91E2B" w14:textId="77777777" w:rsidR="00846373" w:rsidRPr="0014193C" w:rsidRDefault="00846373" w:rsidP="00176400">
      <w:pPr>
        <w:pStyle w:val="BodyTextIndent2"/>
        <w:spacing w:after="0" w:line="240" w:lineRule="auto"/>
        <w:ind w:left="0"/>
      </w:pPr>
    </w:p>
    <w:p w14:paraId="0DBFEB16" w14:textId="62C6C800" w:rsidR="00423D8D" w:rsidRDefault="00423D8D" w:rsidP="00A1687A">
      <w:pPr>
        <w:rPr>
          <w:rFonts w:cs="Segoe UI"/>
        </w:rPr>
      </w:pPr>
    </w:p>
    <w:p w14:paraId="3B15541D" w14:textId="618EFF7C" w:rsidR="00A1687A" w:rsidRDefault="00A1687A" w:rsidP="003763DB">
      <w:pPr>
        <w:spacing w:before="120" w:after="120"/>
        <w:rPr>
          <w:rFonts w:cs="Segoe UI"/>
        </w:rPr>
      </w:pPr>
      <w:r w:rsidRPr="00A1687A">
        <w:rPr>
          <w:rFonts w:cs="Segoe UI"/>
        </w:rPr>
        <w:t>Cost Saver is a program that addresses the concern clients have over members who go ‘off benefit’ and use third party discount pricing to receive a lower price. This program is intended to make lower prices available to members on certain covered products. This solution leverages a partnership with discount vendor</w:t>
      </w:r>
      <w:r w:rsidR="008124A4">
        <w:rPr>
          <w:rFonts w:cs="Segoe UI"/>
        </w:rPr>
        <w:t>s</w:t>
      </w:r>
      <w:r w:rsidRPr="00A1687A">
        <w:rPr>
          <w:rFonts w:cs="Segoe UI"/>
        </w:rPr>
        <w:t xml:space="preserve"> while applying spend to the member’s accumulators and retaining visibility of the claim for clinical management programs. Cost Saver pricing is applied systematically at the point of sale when the claim is processed. Members receive the lower price automatically while still using their Caremark benefit</w:t>
      </w:r>
      <w:r>
        <w:rPr>
          <w:rFonts w:cs="Segoe UI"/>
        </w:rPr>
        <w:t>.</w:t>
      </w:r>
    </w:p>
    <w:p w14:paraId="1576747E" w14:textId="77777777" w:rsidR="0041107B" w:rsidRDefault="0041107B" w:rsidP="003763DB">
      <w:pPr>
        <w:spacing w:before="120" w:after="120"/>
        <w:rPr>
          <w:rFonts w:cs="Segoe UI"/>
        </w:rPr>
      </w:pPr>
    </w:p>
    <w:p w14:paraId="47129F47" w14:textId="71ABEA7B" w:rsidR="000A745F" w:rsidRDefault="000A745F" w:rsidP="003763DB">
      <w:pPr>
        <w:spacing w:before="120" w:after="120"/>
        <w:rPr>
          <w:rFonts w:cs="Segoe UI"/>
        </w:rPr>
      </w:pPr>
    </w:p>
    <w:p w14:paraId="0974ECB3" w14:textId="70792E5B" w:rsidR="0041107B" w:rsidRPr="00356121" w:rsidRDefault="00E91C2E" w:rsidP="003763DB">
      <w:pPr>
        <w:spacing w:before="120" w:after="120"/>
        <w:rPr>
          <w:rFonts w:cs="Segoe UI"/>
          <w:sz w:val="22"/>
          <w:szCs w:val="22"/>
        </w:rPr>
      </w:pPr>
      <w:r>
        <w:pict w14:anchorId="40318590">
          <v:shape id="_x0000_i1025" type="#_x0000_t75" style="width:19.5pt;height:16.5pt;visibility:visible" o:bullet="t">
            <v:imagedata r:id="rId11" o:title=""/>
          </v:shape>
        </w:pict>
      </w:r>
      <w:r w:rsidR="00A72634">
        <w:t xml:space="preserve"> </w:t>
      </w:r>
      <w:bookmarkStart w:id="7" w:name="OLE_LINK17"/>
      <w:r w:rsidR="00C62478" w:rsidRPr="00356121">
        <w:rPr>
          <w:rFonts w:cs="Segoe UI"/>
        </w:rPr>
        <w:t>GoodRx</w:t>
      </w:r>
      <w:r w:rsidR="008E3A95" w:rsidRPr="00356121">
        <w:rPr>
          <w:rFonts w:cs="Segoe UI"/>
        </w:rPr>
        <w:t xml:space="preserve">, RxPartner and RxSense are the </w:t>
      </w:r>
      <w:r w:rsidR="00750335" w:rsidRPr="00356121">
        <w:rPr>
          <w:rFonts w:cs="Segoe UI"/>
        </w:rPr>
        <w:t>vendor</w:t>
      </w:r>
      <w:r w:rsidR="00BA6FBB" w:rsidRPr="00356121">
        <w:rPr>
          <w:rFonts w:cs="Segoe UI"/>
        </w:rPr>
        <w:t>s</w:t>
      </w:r>
      <w:r w:rsidR="00750335" w:rsidRPr="00356121">
        <w:rPr>
          <w:rFonts w:cs="Segoe UI"/>
        </w:rPr>
        <w:t xml:space="preserve"> for the program as of 1/1/2025 (previously GoodRx only). </w:t>
      </w:r>
      <w:r w:rsidR="00C62478" w:rsidRPr="00356121">
        <w:rPr>
          <w:rFonts w:cs="Segoe UI"/>
        </w:rPr>
        <w:t xml:space="preserve"> </w:t>
      </w:r>
      <w:bookmarkEnd w:id="7"/>
      <w:r w:rsidR="00A12AA4" w:rsidRPr="00356121">
        <w:rPr>
          <w:rFonts w:cs="Segoe UI"/>
        </w:rPr>
        <w:t xml:space="preserve"> Members will </w:t>
      </w:r>
      <w:r w:rsidR="00C1001F" w:rsidRPr="00356121">
        <w:rPr>
          <w:rFonts w:cs="Segoe UI"/>
        </w:rPr>
        <w:t xml:space="preserve">generally </w:t>
      </w:r>
      <w:r w:rsidR="00A12AA4" w:rsidRPr="00356121">
        <w:rPr>
          <w:rFonts w:cs="Segoe UI"/>
        </w:rPr>
        <w:t>not be aware of the vendor used to process their claim.</w:t>
      </w:r>
      <w:r w:rsidR="00C1001F" w:rsidRPr="00356121">
        <w:rPr>
          <w:rFonts w:cs="Segoe UI"/>
        </w:rPr>
        <w:t xml:space="preserve">  Communication of the program is at the discretion of the client.</w:t>
      </w:r>
    </w:p>
    <w:p w14:paraId="5D68145F" w14:textId="77777777" w:rsidR="00A1687A" w:rsidRPr="00356121" w:rsidRDefault="00A1687A" w:rsidP="003763DB">
      <w:pPr>
        <w:pStyle w:val="NormalWeb"/>
        <w:shd w:val="clear" w:color="auto" w:fill="FFFFFF"/>
        <w:spacing w:before="120" w:beforeAutospacing="0" w:after="120" w:afterAutospacing="0"/>
        <w:rPr>
          <w:rFonts w:cs="Calibri"/>
          <w:color w:val="333333"/>
        </w:rPr>
      </w:pPr>
    </w:p>
    <w:p w14:paraId="559690CC" w14:textId="6B90EAA5" w:rsidR="00C055EE" w:rsidRPr="00356121" w:rsidRDefault="00C055EE" w:rsidP="003763DB">
      <w:pPr>
        <w:pStyle w:val="NormalWeb"/>
        <w:shd w:val="clear" w:color="auto" w:fill="FFFFFF"/>
        <w:spacing w:before="120" w:beforeAutospacing="0" w:after="120" w:afterAutospacing="0"/>
        <w:rPr>
          <w:rFonts w:cs="Calibri"/>
          <w:color w:val="333333"/>
        </w:rPr>
      </w:pPr>
      <w:r w:rsidRPr="00356121">
        <w:rPr>
          <w:rFonts w:cs="Calibri"/>
          <w:color w:val="333333"/>
        </w:rPr>
        <w:t xml:space="preserve">Through the drug pricing comparison program, some claims will be processed </w:t>
      </w:r>
      <w:r w:rsidR="005459BE" w:rsidRPr="00356121">
        <w:rPr>
          <w:rFonts w:cs="Calibri"/>
          <w:color w:val="333333"/>
        </w:rPr>
        <w:t xml:space="preserve">through our </w:t>
      </w:r>
      <w:r w:rsidR="00B71DFA" w:rsidRPr="00356121">
        <w:rPr>
          <w:rFonts w:cs="Calibri"/>
          <w:color w:val="333333"/>
        </w:rPr>
        <w:t xml:space="preserve">lowest priced </w:t>
      </w:r>
      <w:r w:rsidR="005459BE" w:rsidRPr="00356121">
        <w:rPr>
          <w:rFonts w:cs="Calibri"/>
          <w:color w:val="333333"/>
        </w:rPr>
        <w:t xml:space="preserve">vendor </w:t>
      </w:r>
      <w:r w:rsidRPr="00356121">
        <w:rPr>
          <w:rFonts w:cs="Calibri"/>
          <w:color w:val="333333"/>
        </w:rPr>
        <w:t xml:space="preserve">to provide </w:t>
      </w:r>
      <w:r w:rsidR="00B71DFA" w:rsidRPr="00356121">
        <w:rPr>
          <w:rFonts w:cs="Calibri"/>
          <w:color w:val="333333"/>
        </w:rPr>
        <w:t>the best</w:t>
      </w:r>
      <w:r w:rsidRPr="00356121">
        <w:rPr>
          <w:rFonts w:cs="Calibri"/>
          <w:color w:val="333333"/>
        </w:rPr>
        <w:t xml:space="preserve"> price to members</w:t>
      </w:r>
      <w:r w:rsidR="00604931" w:rsidRPr="00356121">
        <w:rPr>
          <w:rFonts w:cs="Calibri"/>
          <w:color w:val="333333"/>
        </w:rPr>
        <w:t xml:space="preserve"> if their claim meets certain criteria</w:t>
      </w:r>
      <w:r w:rsidRPr="00356121">
        <w:rPr>
          <w:rFonts w:cs="Calibri"/>
          <w:color w:val="333333"/>
        </w:rPr>
        <w:t xml:space="preserve">. This process </w:t>
      </w:r>
      <w:r w:rsidR="00CD70BB" w:rsidRPr="00356121">
        <w:rPr>
          <w:rFonts w:cs="Calibri"/>
          <w:color w:val="333333"/>
        </w:rPr>
        <w:t>occurs</w:t>
      </w:r>
      <w:r w:rsidRPr="00356121">
        <w:rPr>
          <w:rFonts w:cs="Calibri"/>
          <w:color w:val="333333"/>
        </w:rPr>
        <w:t xml:space="preserve"> automatically at the point-of-sale</w:t>
      </w:r>
      <w:r w:rsidR="00473557" w:rsidRPr="00356121">
        <w:rPr>
          <w:rFonts w:cs="Calibri"/>
          <w:color w:val="333333"/>
        </w:rPr>
        <w:t xml:space="preserve"> (</w:t>
      </w:r>
      <w:r w:rsidR="00CD70BB" w:rsidRPr="00356121">
        <w:rPr>
          <w:rFonts w:cs="Calibri"/>
          <w:b/>
          <w:bCs/>
          <w:color w:val="333333"/>
        </w:rPr>
        <w:t>Example</w:t>
      </w:r>
      <w:r w:rsidR="008872EF">
        <w:rPr>
          <w:rFonts w:cs="Calibri"/>
          <w:b/>
          <w:bCs/>
          <w:color w:val="333333"/>
        </w:rPr>
        <w:t xml:space="preserve">: </w:t>
      </w:r>
      <w:r w:rsidR="00473557" w:rsidRPr="00356121">
        <w:rPr>
          <w:rFonts w:cs="Calibri"/>
          <w:color w:val="333333"/>
        </w:rPr>
        <w:t>Retail pharmacy)</w:t>
      </w:r>
      <w:r w:rsidRPr="00356121">
        <w:rPr>
          <w:rFonts w:cs="Calibri"/>
          <w:color w:val="333333"/>
        </w:rPr>
        <w:t xml:space="preserve"> without the member’s knowledge.</w:t>
      </w:r>
    </w:p>
    <w:p w14:paraId="0FCA3DF7" w14:textId="7B70CFD0" w:rsidR="002C2BA5" w:rsidRPr="00356121" w:rsidRDefault="002C2BA5" w:rsidP="002C2BA5">
      <w:pPr>
        <w:pStyle w:val="NoSpacing"/>
        <w:rPr>
          <w:rFonts w:ascii="Verdana" w:hAnsi="Verdana"/>
        </w:rPr>
      </w:pPr>
      <w:r w:rsidRPr="00356121">
        <w:rPr>
          <w:rFonts w:ascii="Verdana" w:hAnsi="Verdana"/>
          <w:noProof/>
          <w:sz w:val="24"/>
          <w:szCs w:val="24"/>
        </w:rPr>
        <w:drawing>
          <wp:inline distT="0" distB="0" distL="0" distR="0" wp14:anchorId="7CF9A209" wp14:editId="06001B59">
            <wp:extent cx="238760" cy="2070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FE1132">
        <w:rPr>
          <w:rFonts w:ascii="Verdana" w:hAnsi="Verdana"/>
          <w:sz w:val="24"/>
          <w:szCs w:val="24"/>
        </w:rPr>
        <w:t xml:space="preserve"> </w:t>
      </w:r>
      <w:r w:rsidRPr="00356121">
        <w:rPr>
          <w:rFonts w:ascii="Verdana" w:hAnsi="Verdana"/>
          <w:sz w:val="24"/>
          <w:szCs w:val="24"/>
        </w:rPr>
        <w:t>The Cost Saver program is client specific and most commonly implemented at Carrier Level for all members but can also be implemented at the Account and/or Group level.</w:t>
      </w:r>
    </w:p>
    <w:p w14:paraId="7D7E095B" w14:textId="77777777" w:rsidR="006D7876" w:rsidRPr="00356121" w:rsidRDefault="006D7876" w:rsidP="00A67F20">
      <w:pPr>
        <w:rPr>
          <w:rFonts w:cs="Helvetica"/>
          <w:b/>
          <w:bCs/>
        </w:rPr>
      </w:pPr>
    </w:p>
    <w:p w14:paraId="01C8489D" w14:textId="5FA6778A" w:rsidR="00473557" w:rsidRPr="00356121" w:rsidRDefault="00A759CA" w:rsidP="003763DB">
      <w:pPr>
        <w:pStyle w:val="NormalWeb"/>
        <w:shd w:val="clear" w:color="auto" w:fill="FFFFFF"/>
        <w:spacing w:before="120" w:beforeAutospacing="0" w:after="120" w:afterAutospacing="0"/>
        <w:rPr>
          <w:rFonts w:cs="Calibri"/>
          <w:b/>
          <w:bCs/>
          <w:color w:val="333333"/>
        </w:rPr>
      </w:pPr>
      <w:r w:rsidRPr="00356121">
        <w:rPr>
          <w:rFonts w:cs="Calibri"/>
          <w:b/>
          <w:bCs/>
          <w:color w:val="333333"/>
        </w:rPr>
        <w:t xml:space="preserve">Member </w:t>
      </w:r>
      <w:r w:rsidR="00036FD9" w:rsidRPr="00356121">
        <w:rPr>
          <w:rFonts w:cs="Calibri"/>
          <w:b/>
          <w:bCs/>
          <w:color w:val="333333"/>
        </w:rPr>
        <w:t>Customer Care</w:t>
      </w:r>
    </w:p>
    <w:p w14:paraId="7C4EF7D2" w14:textId="77777777" w:rsidR="00FB55D7" w:rsidRPr="00356121" w:rsidRDefault="00FB55D7" w:rsidP="00FB55D7">
      <w:pPr>
        <w:pStyle w:val="ListParagraph"/>
        <w:numPr>
          <w:ilvl w:val="0"/>
          <w:numId w:val="19"/>
        </w:numPr>
        <w:spacing w:after="160" w:line="259" w:lineRule="auto"/>
        <w:rPr>
          <w:rFonts w:cs="Helvetica"/>
          <w:b/>
          <w:bCs/>
        </w:rPr>
      </w:pPr>
      <w:r w:rsidRPr="00356121">
        <w:rPr>
          <w:rFonts w:cs="Helvetica"/>
        </w:rPr>
        <w:t>Member inquiries should be handled business-as-usual for Cost Saver claims</w:t>
      </w:r>
    </w:p>
    <w:p w14:paraId="7C863FB4" w14:textId="7EB0AFF4" w:rsidR="00FB55D7" w:rsidRPr="00356121" w:rsidRDefault="00FB55D7" w:rsidP="00FB55D7">
      <w:pPr>
        <w:pStyle w:val="ListParagraph"/>
        <w:numPr>
          <w:ilvl w:val="0"/>
          <w:numId w:val="19"/>
        </w:numPr>
        <w:spacing w:after="160" w:line="259" w:lineRule="auto"/>
        <w:rPr>
          <w:rFonts w:cs="Helvetica"/>
        </w:rPr>
      </w:pPr>
      <w:r w:rsidRPr="00356121">
        <w:rPr>
          <w:rFonts w:cs="Helvetica"/>
        </w:rPr>
        <w:t>Members may or may not be aware of this program, as communication is at the discretion of each client</w:t>
      </w:r>
    </w:p>
    <w:p w14:paraId="2E7456E8" w14:textId="77777777" w:rsidR="00D54763" w:rsidRPr="00D54763" w:rsidRDefault="00D54763" w:rsidP="00D54763">
      <w:pPr>
        <w:pStyle w:val="ListParagraph"/>
        <w:numPr>
          <w:ilvl w:val="0"/>
          <w:numId w:val="19"/>
        </w:numPr>
        <w:spacing w:after="160" w:line="259" w:lineRule="auto"/>
        <w:rPr>
          <w:rFonts w:cs="Helvetica"/>
        </w:rPr>
      </w:pPr>
      <w:hyperlink r:id="rId13" w:anchor="!/view?docid=f389b4bb-3337-4b32-af6f-556d7fa03a78" w:history="1">
        <w:r w:rsidRPr="00D54763">
          <w:rPr>
            <w:rStyle w:val="Hyperlink"/>
            <w:rFonts w:cs="Helvetica"/>
            <w:shd w:val="clear" w:color="auto" w:fill="FFFFFF"/>
          </w:rPr>
          <w:t>Caremark Cost Saver Pro</w:t>
        </w:r>
        <w:r w:rsidRPr="00D54763">
          <w:rPr>
            <w:rStyle w:val="Hyperlink"/>
            <w:rFonts w:cs="Helvetica"/>
            <w:shd w:val="clear" w:color="auto" w:fill="FFFFFF"/>
          </w:rPr>
          <w:t>g</w:t>
        </w:r>
        <w:r w:rsidRPr="00D54763">
          <w:rPr>
            <w:rStyle w:val="Hyperlink"/>
            <w:rFonts w:cs="Helvetica"/>
            <w:shd w:val="clear" w:color="auto" w:fill="FFFFFF"/>
          </w:rPr>
          <w:t>ram (060360)</w:t>
        </w:r>
      </w:hyperlink>
      <w:r w:rsidRPr="00D54763">
        <w:rPr>
          <w:rFonts w:cs="Helvetica"/>
        </w:rPr>
        <w:t xml:space="preserve"> </w:t>
      </w:r>
    </w:p>
    <w:p w14:paraId="080DE1C8" w14:textId="77777777" w:rsidR="007D7BF8" w:rsidRDefault="007D7BF8" w:rsidP="003763DB">
      <w:pPr>
        <w:pStyle w:val="NormalWeb"/>
        <w:shd w:val="clear" w:color="auto" w:fill="FFFFFF"/>
        <w:spacing w:before="120" w:beforeAutospacing="0" w:after="120" w:afterAutospacing="0"/>
        <w:rPr>
          <w:rFonts w:cs="Calibri"/>
          <w:b/>
          <w:bCs/>
          <w:color w:val="333333"/>
        </w:rPr>
      </w:pPr>
    </w:p>
    <w:p w14:paraId="29D4AFA0" w14:textId="1FDD4E34" w:rsidR="009E77C4" w:rsidRPr="00356121" w:rsidRDefault="0037460D" w:rsidP="003763DB">
      <w:pPr>
        <w:pStyle w:val="NormalWeb"/>
        <w:shd w:val="clear" w:color="auto" w:fill="FFFFFF"/>
        <w:spacing w:before="120" w:beforeAutospacing="0" w:after="120" w:afterAutospacing="0"/>
        <w:rPr>
          <w:rFonts w:cs="Calibri"/>
          <w:b/>
          <w:bCs/>
          <w:color w:val="333333"/>
        </w:rPr>
      </w:pPr>
      <w:r w:rsidRPr="00356121">
        <w:rPr>
          <w:rFonts w:cs="Calibri"/>
          <w:b/>
          <w:bCs/>
          <w:color w:val="333333"/>
        </w:rPr>
        <w:t>Pharmacy Help Desk Support</w:t>
      </w:r>
      <w:r w:rsidR="00D56CBE" w:rsidRPr="00356121">
        <w:rPr>
          <w:rFonts w:cs="Calibri"/>
          <w:b/>
          <w:bCs/>
          <w:color w:val="333333"/>
        </w:rPr>
        <w:t xml:space="preserve"> (PHD)</w:t>
      </w:r>
    </w:p>
    <w:p w14:paraId="72403A72" w14:textId="00988508" w:rsidR="005C2D8C" w:rsidRPr="00356121" w:rsidRDefault="005C2D8C" w:rsidP="007D7BF8">
      <w:pPr>
        <w:pStyle w:val="NormalWeb"/>
        <w:numPr>
          <w:ilvl w:val="0"/>
          <w:numId w:val="24"/>
        </w:numPr>
        <w:shd w:val="clear" w:color="auto" w:fill="FFFFFF"/>
        <w:spacing w:before="120" w:beforeAutospacing="0" w:after="120" w:afterAutospacing="0"/>
        <w:rPr>
          <w:rFonts w:cs="Calibri"/>
          <w:b/>
          <w:bCs/>
          <w:color w:val="333333"/>
        </w:rPr>
      </w:pPr>
      <w:r w:rsidRPr="00356121">
        <w:rPr>
          <w:rFonts w:cs="Calibri"/>
          <w:color w:val="333333"/>
        </w:rPr>
        <w:t xml:space="preserve">For claims processed through this program, most inquiries are handled </w:t>
      </w:r>
      <w:r w:rsidR="00E91C2E" w:rsidRPr="00356121">
        <w:rPr>
          <w:rFonts w:cs="Calibri"/>
          <w:color w:val="333333"/>
        </w:rPr>
        <w:t>business as usual</w:t>
      </w:r>
      <w:r w:rsidR="00FE1132">
        <w:rPr>
          <w:rFonts w:cs="Calibri"/>
          <w:color w:val="333333"/>
        </w:rPr>
        <w:t>.</w:t>
      </w:r>
    </w:p>
    <w:p w14:paraId="7EF6799D" w14:textId="703311D6" w:rsidR="0037460D" w:rsidRPr="00356121" w:rsidRDefault="00755322" w:rsidP="007D7BF8">
      <w:pPr>
        <w:pStyle w:val="NormalWeb"/>
        <w:numPr>
          <w:ilvl w:val="0"/>
          <w:numId w:val="24"/>
        </w:numPr>
        <w:shd w:val="clear" w:color="auto" w:fill="FFFFFF"/>
        <w:spacing w:before="120" w:beforeAutospacing="0" w:after="120" w:afterAutospacing="0"/>
        <w:rPr>
          <w:rFonts w:cs="Calibri"/>
          <w:b/>
          <w:bCs/>
          <w:color w:val="333333"/>
        </w:rPr>
      </w:pPr>
      <w:r w:rsidRPr="00356121">
        <w:rPr>
          <w:rFonts w:cs="Calibri"/>
          <w:color w:val="333333"/>
        </w:rPr>
        <w:t xml:space="preserve">Pharmacies identify Cost Saver claims based on their agreement with the drug discount vendor.  Common fields include 2F (Network Reimbursement ID), F4 (Message), J8 (Payer ID), or FO (Plan ID).  </w:t>
      </w:r>
      <w:r w:rsidR="0034410C" w:rsidRPr="00356121">
        <w:rPr>
          <w:rFonts w:cs="Calibri"/>
          <w:color w:val="333333"/>
        </w:rPr>
        <w:t xml:space="preserve">The 2F (Network Reimbursement ID) field should consistently be populated to allow for Cost Saver program </w:t>
      </w:r>
      <w:r w:rsidR="008962E3" w:rsidRPr="00356121">
        <w:rPr>
          <w:rFonts w:cs="Calibri"/>
          <w:color w:val="333333"/>
        </w:rPr>
        <w:t xml:space="preserve">claim </w:t>
      </w:r>
      <w:r w:rsidR="0034410C" w:rsidRPr="00356121">
        <w:rPr>
          <w:rFonts w:cs="Calibri"/>
          <w:color w:val="333333"/>
        </w:rPr>
        <w:t>identification</w:t>
      </w:r>
    </w:p>
    <w:p w14:paraId="777D7672" w14:textId="77777777" w:rsidR="00FE1132" w:rsidRDefault="00FE1132" w:rsidP="00665172">
      <w:pPr>
        <w:rPr>
          <w:rFonts w:cs="Helvetica"/>
          <w:noProof/>
        </w:rPr>
      </w:pPr>
    </w:p>
    <w:p w14:paraId="70D9EB9E" w14:textId="1976A2FC" w:rsidR="00665172" w:rsidRPr="00356121" w:rsidRDefault="00665172" w:rsidP="00665172">
      <w:pPr>
        <w:rPr>
          <w:rFonts w:cs="Helvetica"/>
        </w:rPr>
      </w:pPr>
      <w:r w:rsidRPr="00356121">
        <w:rPr>
          <w:rFonts w:cs="Helvetica"/>
        </w:rPr>
        <w:t xml:space="preserve">For instances where </w:t>
      </w:r>
      <w:r w:rsidR="00D56CBE" w:rsidRPr="00356121">
        <w:rPr>
          <w:rFonts w:cs="Helvetica"/>
        </w:rPr>
        <w:t>pharmacies require outreach</w:t>
      </w:r>
      <w:r w:rsidRPr="00356121">
        <w:rPr>
          <w:rFonts w:cs="Helvetica"/>
        </w:rPr>
        <w:t xml:space="preserve"> to the drug discount vendor</w:t>
      </w:r>
      <w:r w:rsidR="00D56CBE" w:rsidRPr="00356121">
        <w:rPr>
          <w:rFonts w:cs="Helvetica"/>
        </w:rPr>
        <w:t xml:space="preserve"> directly</w:t>
      </w:r>
      <w:r w:rsidRPr="00356121">
        <w:rPr>
          <w:rFonts w:cs="Helvetica"/>
        </w:rPr>
        <w:t>, the PHD representative will direct the pharmacy to</w:t>
      </w:r>
      <w:r w:rsidR="008872EF">
        <w:rPr>
          <w:rFonts w:cs="Helvetica"/>
        </w:rPr>
        <w:t xml:space="preserve">: </w:t>
      </w:r>
    </w:p>
    <w:p w14:paraId="3AF7E97A" w14:textId="0A77F98D" w:rsidR="00DD6C55" w:rsidRPr="00356121" w:rsidRDefault="00665172" w:rsidP="007D7BF8">
      <w:pPr>
        <w:pStyle w:val="ListParagraph"/>
        <w:numPr>
          <w:ilvl w:val="2"/>
          <w:numId w:val="23"/>
        </w:numPr>
        <w:ind w:left="720"/>
        <w:rPr>
          <w:rFonts w:cs="Helvetica"/>
        </w:rPr>
      </w:pPr>
      <w:r w:rsidRPr="00356121">
        <w:rPr>
          <w:rFonts w:cs="Helvetica"/>
        </w:rPr>
        <w:t xml:space="preserve">GoodRx </w:t>
      </w:r>
    </w:p>
    <w:p w14:paraId="39CAE581" w14:textId="37AD3C36" w:rsidR="00DD6C55" w:rsidRPr="00356121" w:rsidRDefault="00DD6C55" w:rsidP="007D7BF8">
      <w:pPr>
        <w:pStyle w:val="ListParagraph"/>
        <w:numPr>
          <w:ilvl w:val="2"/>
          <w:numId w:val="23"/>
        </w:numPr>
        <w:ind w:left="720"/>
        <w:rPr>
          <w:rFonts w:cs="Helvetica"/>
        </w:rPr>
      </w:pPr>
      <w:r w:rsidRPr="00356121">
        <w:rPr>
          <w:rFonts w:cs="Helvetica"/>
        </w:rPr>
        <w:t xml:space="preserve">RxPartner  </w:t>
      </w:r>
    </w:p>
    <w:p w14:paraId="7330F020" w14:textId="0BEBC0FB" w:rsidR="00665172" w:rsidRPr="00356121" w:rsidRDefault="00DD6C55" w:rsidP="007D7BF8">
      <w:pPr>
        <w:pStyle w:val="ListParagraph"/>
        <w:numPr>
          <w:ilvl w:val="2"/>
          <w:numId w:val="23"/>
        </w:numPr>
        <w:ind w:left="720"/>
        <w:rPr>
          <w:rFonts w:cs="Helvetica"/>
        </w:rPr>
      </w:pPr>
      <w:r w:rsidRPr="00356121">
        <w:rPr>
          <w:rFonts w:cs="Helvetica"/>
        </w:rPr>
        <w:t xml:space="preserve">RxSense </w:t>
      </w:r>
      <w:r w:rsidR="00665172" w:rsidRPr="00356121">
        <w:rPr>
          <w:rFonts w:cs="Helvetica"/>
        </w:rPr>
        <w:t xml:space="preserve">  </w:t>
      </w:r>
    </w:p>
    <w:p w14:paraId="23BEDF25" w14:textId="77777777" w:rsidR="00356121" w:rsidRPr="00356121" w:rsidRDefault="00356121" w:rsidP="00665172">
      <w:pPr>
        <w:rPr>
          <w:rFonts w:cs="Helvetica"/>
        </w:rPr>
      </w:pPr>
    </w:p>
    <w:p w14:paraId="3778F2D6" w14:textId="613CEA1B" w:rsidR="00665172" w:rsidRPr="00356121" w:rsidRDefault="00665172" w:rsidP="00665172">
      <w:pPr>
        <w:rPr>
          <w:rFonts w:cs="Helvetica"/>
        </w:rPr>
      </w:pPr>
      <w:r w:rsidRPr="00356121">
        <w:rPr>
          <w:rFonts w:cs="Helvetica"/>
        </w:rPr>
        <w:t>The instances include:</w:t>
      </w:r>
    </w:p>
    <w:p w14:paraId="3608D548" w14:textId="77777777" w:rsidR="00665172" w:rsidRPr="00356121" w:rsidRDefault="00665172" w:rsidP="00665172">
      <w:pPr>
        <w:pStyle w:val="ListParagraph"/>
        <w:numPr>
          <w:ilvl w:val="0"/>
          <w:numId w:val="21"/>
        </w:numPr>
        <w:spacing w:after="160" w:line="259" w:lineRule="auto"/>
        <w:rPr>
          <w:rFonts w:cs="Helvetica"/>
        </w:rPr>
      </w:pPr>
      <w:r w:rsidRPr="00356121">
        <w:rPr>
          <w:rFonts w:cs="Helvetica"/>
        </w:rPr>
        <w:t xml:space="preserve">Pharmacy contract questions </w:t>
      </w:r>
    </w:p>
    <w:p w14:paraId="0BEB0752" w14:textId="77777777" w:rsidR="00665172" w:rsidRPr="00356121" w:rsidRDefault="00665172" w:rsidP="00665172">
      <w:pPr>
        <w:pStyle w:val="ListParagraph"/>
        <w:numPr>
          <w:ilvl w:val="0"/>
          <w:numId w:val="21"/>
        </w:numPr>
        <w:spacing w:after="160" w:line="259" w:lineRule="auto"/>
        <w:rPr>
          <w:rFonts w:cs="Helvetica"/>
        </w:rPr>
      </w:pPr>
      <w:r w:rsidRPr="00356121">
        <w:rPr>
          <w:rFonts w:cs="Helvetica"/>
        </w:rPr>
        <w:t xml:space="preserve">Reconciliation and reimbursement </w:t>
      </w:r>
    </w:p>
    <w:p w14:paraId="5284984C" w14:textId="77777777" w:rsidR="00665172" w:rsidRPr="00356121" w:rsidRDefault="00665172" w:rsidP="00665172">
      <w:pPr>
        <w:pStyle w:val="ListParagraph"/>
        <w:numPr>
          <w:ilvl w:val="0"/>
          <w:numId w:val="21"/>
        </w:numPr>
        <w:spacing w:after="160" w:line="259" w:lineRule="auto"/>
        <w:rPr>
          <w:rFonts w:cs="Helvetica"/>
        </w:rPr>
      </w:pPr>
      <w:r w:rsidRPr="00356121">
        <w:rPr>
          <w:rFonts w:cs="Helvetica"/>
        </w:rPr>
        <w:t>MAC / pricing appeals</w:t>
      </w:r>
    </w:p>
    <w:p w14:paraId="0306C1EF" w14:textId="77777777" w:rsidR="00FE1132" w:rsidRDefault="00FE1132" w:rsidP="00D56CBE">
      <w:pPr>
        <w:spacing w:after="160" w:line="259" w:lineRule="auto"/>
        <w:rPr>
          <w:rFonts w:cs="Helvetica"/>
        </w:rPr>
      </w:pPr>
    </w:p>
    <w:p w14:paraId="6849C312" w14:textId="2CACFA30" w:rsidR="00D56CBE" w:rsidRPr="00356121" w:rsidRDefault="00D56CBE" w:rsidP="00D56CBE">
      <w:pPr>
        <w:spacing w:after="160" w:line="259" w:lineRule="auto"/>
        <w:rPr>
          <w:rFonts w:cs="Helvetica"/>
        </w:rPr>
      </w:pPr>
      <w:r w:rsidRPr="00356121">
        <w:rPr>
          <w:rFonts w:cs="Helvetica"/>
        </w:rPr>
        <w:t xml:space="preserve">See below for how to identify the </w:t>
      </w:r>
      <w:r w:rsidR="00AF609C" w:rsidRPr="00356121">
        <w:rPr>
          <w:rFonts w:cs="Helvetica"/>
        </w:rPr>
        <w:t>drug discount vendor for a specific claim</w:t>
      </w:r>
    </w:p>
    <w:p w14:paraId="7DE457FA" w14:textId="77777777" w:rsidR="00846373" w:rsidRPr="0014193C" w:rsidRDefault="00846373" w:rsidP="00473557">
      <w:pPr>
        <w:pStyle w:val="BodyTextIndent2"/>
        <w:spacing w:after="0" w:line="240" w:lineRule="auto"/>
        <w:ind w:left="0"/>
        <w:jc w:val="right"/>
      </w:pPr>
    </w:p>
    <w:p w14:paraId="3C101818" w14:textId="40D2E418" w:rsidR="00176400" w:rsidRPr="0014193C" w:rsidRDefault="005A64DA" w:rsidP="00473557">
      <w:pPr>
        <w:jc w:val="right"/>
      </w:pPr>
      <w:hyperlink w:anchor="_top" w:history="1">
        <w:r w:rsidRPr="00905AF8">
          <w:rPr>
            <w:rStyle w:val="Hyperlink"/>
          </w:rPr>
          <w:t>Top of the Document</w:t>
        </w:r>
      </w:hyperlink>
      <w:r w:rsidRPr="0014193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14193C" w14:paraId="5082A2BA" w14:textId="77777777" w:rsidTr="004D6CD0">
        <w:tc>
          <w:tcPr>
            <w:tcW w:w="5000" w:type="pct"/>
            <w:shd w:val="clear" w:color="auto" w:fill="C0C0C0"/>
          </w:tcPr>
          <w:p w14:paraId="50791760" w14:textId="53CE4FD9" w:rsidR="005A64DA" w:rsidRPr="0014193C" w:rsidRDefault="005E1BDC" w:rsidP="003763DB">
            <w:pPr>
              <w:pStyle w:val="Heading2"/>
              <w:spacing w:before="120" w:after="120"/>
            </w:pPr>
            <w:bookmarkStart w:id="8" w:name="_Rationale"/>
            <w:bookmarkStart w:id="9" w:name="_Definitions"/>
            <w:bookmarkStart w:id="10" w:name="_Definitions/Abbreviations"/>
            <w:bookmarkStart w:id="11" w:name="_Various_Work_Instructions"/>
            <w:bookmarkStart w:id="12" w:name="_PAR_Process_after_a_FRX_/_FRC_confl"/>
            <w:bookmarkStart w:id="13" w:name="_Next_Day_and"/>
            <w:bookmarkStart w:id="14" w:name="_Scanning_the_Targets"/>
            <w:bookmarkStart w:id="15" w:name="_LAN_Log_In"/>
            <w:bookmarkStart w:id="16" w:name="_AMOS_Log_In"/>
            <w:bookmarkStart w:id="17" w:name="_Search_by_Order#"/>
            <w:bookmarkStart w:id="18" w:name="_Check_Look_Up"/>
            <w:bookmarkStart w:id="19" w:name="_Process_for_Handling"/>
            <w:bookmarkStart w:id="20" w:name="_Toc201848570"/>
            <w:bookmarkEnd w:id="8"/>
            <w:bookmarkEnd w:id="9"/>
            <w:bookmarkEnd w:id="10"/>
            <w:bookmarkEnd w:id="11"/>
            <w:bookmarkEnd w:id="12"/>
            <w:bookmarkEnd w:id="13"/>
            <w:bookmarkEnd w:id="14"/>
            <w:bookmarkEnd w:id="15"/>
            <w:bookmarkEnd w:id="16"/>
            <w:bookmarkEnd w:id="17"/>
            <w:bookmarkEnd w:id="18"/>
            <w:bookmarkEnd w:id="19"/>
            <w:r>
              <w:t>Identify via Test Claim</w:t>
            </w:r>
            <w:bookmarkEnd w:id="20"/>
          </w:p>
        </w:tc>
      </w:tr>
    </w:tbl>
    <w:p w14:paraId="3645FBB5" w14:textId="1C6C77B6" w:rsidR="00B515A4" w:rsidRPr="0075759C" w:rsidRDefault="0064428A" w:rsidP="003763DB">
      <w:pPr>
        <w:spacing w:before="120" w:after="120"/>
      </w:pPr>
      <w:r>
        <w:rPr>
          <w:rFonts w:cs="Helvetica"/>
        </w:rPr>
        <w:t>Used w</w:t>
      </w:r>
      <w:r w:rsidR="00B515A4" w:rsidRPr="0075759C">
        <w:rPr>
          <w:rFonts w:cs="Helvetica"/>
        </w:rPr>
        <w:t xml:space="preserve">hen quoting a price for a member utilizing </w:t>
      </w:r>
      <w:r>
        <w:rPr>
          <w:rFonts w:cs="Helvetica"/>
        </w:rPr>
        <w:t xml:space="preserve">the </w:t>
      </w:r>
      <w:r w:rsidR="00B515A4" w:rsidRPr="0075759C">
        <w:rPr>
          <w:rFonts w:cs="Helvetica"/>
        </w:rPr>
        <w:t>Test Claim functionality in Compass</w:t>
      </w:r>
      <w:r w:rsidR="009C4688" w:rsidRPr="0075759C">
        <w:rPr>
          <w:rFonts w:cs="Helvetica"/>
        </w:rPr>
        <w:t xml:space="preserve"> </w:t>
      </w:r>
      <w:r w:rsidR="00B515A4" w:rsidRPr="0075759C">
        <w:rPr>
          <w:rFonts w:cs="Helvetica"/>
        </w:rPr>
        <w:t xml:space="preserve">Cost Saver pricing if applicable for the claim.  </w:t>
      </w:r>
    </w:p>
    <w:p w14:paraId="0D57947D" w14:textId="73B9B447" w:rsidR="00B13B31" w:rsidRPr="0014193C" w:rsidRDefault="00423D8D" w:rsidP="003763DB">
      <w:pPr>
        <w:spacing w:before="120" w:after="120"/>
      </w:pPr>
      <w:r>
        <w:t xml:space="preserve">Complete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F90B40" w:rsidRPr="0014193C" w14:paraId="75C738D1" w14:textId="77777777" w:rsidTr="00617851">
        <w:tc>
          <w:tcPr>
            <w:tcW w:w="176" w:type="pct"/>
            <w:shd w:val="clear" w:color="auto" w:fill="E6E6E6"/>
          </w:tcPr>
          <w:p w14:paraId="73E837FA" w14:textId="77777777" w:rsidR="005A64DA" w:rsidRPr="0014193C" w:rsidRDefault="005A64DA" w:rsidP="003763DB">
            <w:pPr>
              <w:spacing w:before="120" w:after="120"/>
              <w:jc w:val="center"/>
              <w:rPr>
                <w:b/>
              </w:rPr>
            </w:pPr>
            <w:r w:rsidRPr="0014193C">
              <w:rPr>
                <w:b/>
              </w:rPr>
              <w:t>Step</w:t>
            </w:r>
          </w:p>
        </w:tc>
        <w:tc>
          <w:tcPr>
            <w:tcW w:w="4824" w:type="pct"/>
            <w:shd w:val="clear" w:color="auto" w:fill="E7E6E6"/>
          </w:tcPr>
          <w:p w14:paraId="2EB87758" w14:textId="77777777" w:rsidR="005A64DA" w:rsidRPr="0014193C" w:rsidRDefault="005A64DA" w:rsidP="003763DB">
            <w:pPr>
              <w:spacing w:before="120" w:after="120"/>
              <w:jc w:val="center"/>
              <w:rPr>
                <w:b/>
              </w:rPr>
            </w:pPr>
            <w:r w:rsidRPr="0014193C">
              <w:rPr>
                <w:b/>
              </w:rPr>
              <w:t xml:space="preserve">Action </w:t>
            </w:r>
          </w:p>
        </w:tc>
      </w:tr>
      <w:tr w:rsidR="0028215B" w:rsidRPr="0014193C" w14:paraId="6B51D6B0" w14:textId="77777777" w:rsidTr="00617851">
        <w:tc>
          <w:tcPr>
            <w:tcW w:w="176" w:type="pct"/>
          </w:tcPr>
          <w:p w14:paraId="76DB9F8F" w14:textId="77777777" w:rsidR="0028215B" w:rsidRPr="0014193C" w:rsidRDefault="00B13B31" w:rsidP="003763DB">
            <w:pPr>
              <w:spacing w:before="120" w:after="120"/>
              <w:jc w:val="center"/>
              <w:rPr>
                <w:b/>
              </w:rPr>
            </w:pPr>
            <w:r w:rsidRPr="0014193C">
              <w:rPr>
                <w:b/>
              </w:rPr>
              <w:t>1</w:t>
            </w:r>
          </w:p>
        </w:tc>
        <w:tc>
          <w:tcPr>
            <w:tcW w:w="4824" w:type="pct"/>
          </w:tcPr>
          <w:p w14:paraId="6285380B" w14:textId="056EB10C" w:rsidR="0028215B" w:rsidRDefault="00FF133E" w:rsidP="003763DB">
            <w:pPr>
              <w:spacing w:before="120" w:after="120"/>
              <w:rPr>
                <w:color w:val="000000"/>
              </w:rPr>
            </w:pPr>
            <w:r>
              <w:rPr>
                <w:color w:val="000000"/>
              </w:rPr>
              <w:t xml:space="preserve">Follow </w:t>
            </w:r>
            <w:r w:rsidR="0041475B">
              <w:rPr>
                <w:color w:val="000000"/>
              </w:rPr>
              <w:t xml:space="preserve">the </w:t>
            </w:r>
            <w:r>
              <w:rPr>
                <w:color w:val="000000"/>
              </w:rPr>
              <w:t xml:space="preserve">process to run a </w:t>
            </w:r>
            <w:r w:rsidR="008872EF">
              <w:rPr>
                <w:color w:val="000000"/>
              </w:rPr>
              <w:t>T</w:t>
            </w:r>
            <w:r>
              <w:rPr>
                <w:color w:val="000000"/>
              </w:rPr>
              <w:t xml:space="preserve">est </w:t>
            </w:r>
            <w:r w:rsidR="008872EF">
              <w:rPr>
                <w:color w:val="000000"/>
              </w:rPr>
              <w:t>C</w:t>
            </w:r>
            <w:r>
              <w:rPr>
                <w:color w:val="000000"/>
              </w:rPr>
              <w:t xml:space="preserve">laim </w:t>
            </w:r>
            <w:r w:rsidR="008872EF">
              <w:rPr>
                <w:color w:val="000000"/>
              </w:rPr>
              <w:t>then</w:t>
            </w:r>
            <w:r>
              <w:rPr>
                <w:color w:val="000000"/>
              </w:rPr>
              <w:t xml:space="preserve"> proceed to the </w:t>
            </w:r>
            <w:r w:rsidRPr="0041475B">
              <w:rPr>
                <w:color w:val="000000"/>
              </w:rPr>
              <w:t>View Test Claims Results</w:t>
            </w:r>
            <w:r>
              <w:rPr>
                <w:color w:val="000000"/>
              </w:rPr>
              <w:t xml:space="preserve"> screen. Refer to </w:t>
            </w:r>
            <w:hyperlink r:id="rId14" w:anchor="!/view?docid=60c20ea0-1d07-46e3-809a-b54734b80fbe" w:history="1">
              <w:r w:rsidR="00644E81">
                <w:rPr>
                  <w:rStyle w:val="Hyperlink"/>
                </w:rPr>
                <w:t>Compass - Test Claims (050041)</w:t>
              </w:r>
            </w:hyperlink>
            <w:r>
              <w:rPr>
                <w:rFonts w:ascii="Helvetica" w:hAnsi="Helvetica"/>
                <w:b/>
                <w:bCs/>
                <w:color w:val="000000"/>
              </w:rPr>
              <w:t xml:space="preserve"> </w:t>
            </w:r>
            <w:r>
              <w:rPr>
                <w:color w:val="000000"/>
              </w:rPr>
              <w:t>as needed.</w:t>
            </w:r>
          </w:p>
          <w:p w14:paraId="2BC3EB05" w14:textId="77777777" w:rsidR="00FF133E" w:rsidRDefault="00FF133E" w:rsidP="003763DB">
            <w:pPr>
              <w:spacing w:before="120" w:after="120"/>
              <w:rPr>
                <w:color w:val="000000"/>
              </w:rPr>
            </w:pPr>
          </w:p>
          <w:p w14:paraId="161BDD4F" w14:textId="4E7C5A4E" w:rsidR="00FF133E" w:rsidRDefault="00EF7F05" w:rsidP="003763DB">
            <w:pPr>
              <w:spacing w:before="120" w:after="120"/>
              <w:jc w:val="center"/>
              <w:rPr>
                <w:color w:val="000000"/>
              </w:rPr>
            </w:pPr>
            <w:r>
              <w:rPr>
                <w:noProof/>
              </w:rPr>
              <w:drawing>
                <wp:inline distT="0" distB="0" distL="0" distR="0" wp14:anchorId="13A14C83" wp14:editId="2E00FFD4">
                  <wp:extent cx="7247619" cy="21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47619" cy="2161905"/>
                          </a:xfrm>
                          <a:prstGeom prst="rect">
                            <a:avLst/>
                          </a:prstGeom>
                        </pic:spPr>
                      </pic:pic>
                    </a:graphicData>
                  </a:graphic>
                </wp:inline>
              </w:drawing>
            </w:r>
          </w:p>
          <w:p w14:paraId="4605E5E8" w14:textId="77777777" w:rsidR="00FF133E" w:rsidRPr="0014193C" w:rsidRDefault="00FF133E" w:rsidP="003763DB">
            <w:pPr>
              <w:spacing w:before="120" w:after="120"/>
            </w:pPr>
          </w:p>
        </w:tc>
      </w:tr>
      <w:tr w:rsidR="00617851" w:rsidRPr="0014193C" w14:paraId="69F70F3A" w14:textId="77777777" w:rsidTr="00617851">
        <w:tc>
          <w:tcPr>
            <w:tcW w:w="176" w:type="pct"/>
          </w:tcPr>
          <w:p w14:paraId="419D676F" w14:textId="46100FF8" w:rsidR="00617851" w:rsidRPr="0014193C" w:rsidRDefault="00617851" w:rsidP="003763DB">
            <w:pPr>
              <w:spacing w:before="120" w:after="120"/>
              <w:jc w:val="center"/>
              <w:rPr>
                <w:b/>
              </w:rPr>
            </w:pPr>
            <w:r>
              <w:rPr>
                <w:b/>
              </w:rPr>
              <w:t>2</w:t>
            </w:r>
          </w:p>
        </w:tc>
        <w:tc>
          <w:tcPr>
            <w:tcW w:w="4824" w:type="pct"/>
          </w:tcPr>
          <w:p w14:paraId="334C0B9D" w14:textId="35640985" w:rsidR="00617851" w:rsidRDefault="00617851" w:rsidP="00617851">
            <w:pPr>
              <w:pStyle w:val="ListParagraph"/>
              <w:numPr>
                <w:ilvl w:val="0"/>
                <w:numId w:val="22"/>
              </w:numPr>
              <w:spacing w:before="120" w:after="120"/>
            </w:pPr>
            <w:r w:rsidRPr="00617851">
              <w:t xml:space="preserve">From within the View Test Claim Results screen, click the </w:t>
            </w:r>
            <w:r w:rsidRPr="00617851">
              <w:rPr>
                <w:b/>
                <w:bCs/>
              </w:rPr>
              <w:t>dollar ($) amount</w:t>
            </w:r>
            <w:r w:rsidRPr="00617851">
              <w:t xml:space="preserve"> hyperlink in the </w:t>
            </w:r>
            <w:bookmarkStart w:id="21" w:name="OLE_LINK6"/>
            <w:r w:rsidRPr="00617851">
              <w:rPr>
                <w:b/>
                <w:bCs/>
              </w:rPr>
              <w:t>Mail/Retail Mbr. Pay</w:t>
            </w:r>
            <w:r w:rsidRPr="00617851">
              <w:t xml:space="preserve"> columns</w:t>
            </w:r>
            <w:bookmarkEnd w:id="21"/>
            <w:r>
              <w:t>.</w:t>
            </w:r>
          </w:p>
          <w:p w14:paraId="30A6B4A0" w14:textId="77777777" w:rsidR="00617851" w:rsidRDefault="00617851" w:rsidP="00617851">
            <w:pPr>
              <w:spacing w:before="120" w:after="120"/>
              <w:jc w:val="center"/>
              <w:rPr>
                <w:color w:val="000000"/>
              </w:rPr>
            </w:pPr>
            <w:r w:rsidRPr="00617851">
              <w:rPr>
                <w:noProof/>
              </w:rPr>
              <w:drawing>
                <wp:inline distT="0" distB="0" distL="0" distR="0" wp14:anchorId="008189D1" wp14:editId="0490BE31">
                  <wp:extent cx="7431102" cy="1680845"/>
                  <wp:effectExtent l="0" t="0" r="0" b="0"/>
                  <wp:docPr id="1812994219" name="Picture 181299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85626" cy="1693178"/>
                          </a:xfrm>
                          <a:prstGeom prst="rect">
                            <a:avLst/>
                          </a:prstGeom>
                        </pic:spPr>
                      </pic:pic>
                    </a:graphicData>
                  </a:graphic>
                </wp:inline>
              </w:drawing>
            </w:r>
          </w:p>
          <w:p w14:paraId="195EFA97" w14:textId="77777777" w:rsidR="00617851" w:rsidRDefault="00617851" w:rsidP="00617851">
            <w:pPr>
              <w:spacing w:before="120" w:after="120"/>
              <w:jc w:val="center"/>
              <w:rPr>
                <w:color w:val="000000"/>
              </w:rPr>
            </w:pPr>
            <w:r w:rsidRPr="00617851">
              <w:rPr>
                <w:noProof/>
              </w:rPr>
              <w:drawing>
                <wp:inline distT="0" distB="0" distL="0" distR="0" wp14:anchorId="0EDF04BB" wp14:editId="1CC53E58">
                  <wp:extent cx="7430439" cy="1094740"/>
                  <wp:effectExtent l="0" t="0" r="0" b="0"/>
                  <wp:docPr id="172795650" name="Picture 17279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40437" cy="1096213"/>
                          </a:xfrm>
                          <a:prstGeom prst="rect">
                            <a:avLst/>
                          </a:prstGeom>
                        </pic:spPr>
                      </pic:pic>
                    </a:graphicData>
                  </a:graphic>
                </wp:inline>
              </w:drawing>
            </w:r>
          </w:p>
          <w:p w14:paraId="3844731E" w14:textId="123DE8DE" w:rsidR="00617851" w:rsidRPr="00617851" w:rsidRDefault="00617851" w:rsidP="00617851">
            <w:pPr>
              <w:spacing w:before="120" w:after="120"/>
              <w:ind w:left="720"/>
            </w:pPr>
            <w:r w:rsidRPr="00617851">
              <w:rPr>
                <w:b/>
                <w:bCs/>
                <w:noProof/>
              </w:rPr>
              <w:t>Result</w:t>
            </w:r>
            <w:r w:rsidR="008872EF">
              <w:rPr>
                <w:b/>
                <w:bCs/>
                <w:noProof/>
              </w:rPr>
              <w:t xml:space="preserve">: </w:t>
            </w:r>
            <w:r w:rsidRPr="00617851">
              <w:rPr>
                <w:noProof/>
              </w:rPr>
              <w:t>W</w:t>
            </w:r>
            <w:r w:rsidRPr="00617851">
              <w:t>hen paid pricing reflects that of a Third-Party Processor (</w:t>
            </w:r>
            <w:r w:rsidRPr="00617851">
              <w:rPr>
                <w:b/>
                <w:bCs/>
              </w:rPr>
              <w:t>Example</w:t>
            </w:r>
            <w:r w:rsidR="008872EF">
              <w:rPr>
                <w:b/>
                <w:bCs/>
              </w:rPr>
              <w:t xml:space="preserve">: </w:t>
            </w:r>
            <w:r w:rsidRPr="00617851">
              <w:t>GoodRx), a</w:t>
            </w:r>
            <w:r w:rsidRPr="00617851">
              <w:rPr>
                <w:noProof/>
              </w:rPr>
              <w:t xml:space="preserve"> popup displays the following message: </w:t>
            </w:r>
            <w:r w:rsidRPr="00617851">
              <w:t>“3rd Party Pricing from GoodRx applied at a lower cost to the member.”</w:t>
            </w:r>
          </w:p>
          <w:p w14:paraId="4E95F579" w14:textId="30F4A603" w:rsidR="00617851" w:rsidRPr="00617851" w:rsidRDefault="00617851" w:rsidP="00617851">
            <w:pPr>
              <w:pStyle w:val="ListParagraph"/>
              <w:numPr>
                <w:ilvl w:val="0"/>
                <w:numId w:val="22"/>
              </w:numPr>
              <w:spacing w:before="120" w:after="120"/>
              <w:rPr>
                <w:color w:val="000000"/>
              </w:rPr>
            </w:pPr>
            <w:r w:rsidRPr="00617851">
              <w:t>Click the</w:t>
            </w:r>
            <w:r w:rsidRPr="00617851">
              <w:rPr>
                <w:b/>
                <w:bCs/>
              </w:rPr>
              <w:t xml:space="preserve"> X</w:t>
            </w:r>
            <w:r w:rsidRPr="00617851">
              <w:t xml:space="preserve"> on the popup to close the Third-Party Processor message and proceed to the Financial Details screen</w:t>
            </w:r>
            <w:r>
              <w:t>.</w:t>
            </w:r>
          </w:p>
        </w:tc>
      </w:tr>
    </w:tbl>
    <w:p w14:paraId="3ECAEAB1" w14:textId="77777777" w:rsidR="00312690" w:rsidRPr="0014193C" w:rsidRDefault="00312690" w:rsidP="005A64DA">
      <w:pPr>
        <w:jc w:val="right"/>
      </w:pPr>
    </w:p>
    <w:bookmarkStart w:id="22" w:name="OLE_LINK3"/>
    <w:p w14:paraId="099A6FB5" w14:textId="6E2B4992" w:rsidR="00176400" w:rsidRPr="0014193C" w:rsidRDefault="00CE1FA8" w:rsidP="005A64DA">
      <w:pPr>
        <w:jc w:val="right"/>
      </w:pPr>
      <w:r>
        <w:fldChar w:fldCharType="begin"/>
      </w:r>
      <w:r>
        <w:instrText xml:space="preserve"> HYPERLINK \l "_top" </w:instrText>
      </w:r>
      <w:r>
        <w:fldChar w:fldCharType="separate"/>
      </w:r>
      <w:r w:rsidR="005A64DA" w:rsidRPr="00905AF8">
        <w:rPr>
          <w:rStyle w:val="Hyperlink"/>
        </w:rPr>
        <w:t>Top of the Document</w:t>
      </w:r>
      <w:bookmarkStart w:id="23" w:name="_Log_Activity"/>
      <w:bookmarkEnd w:id="23"/>
      <w:r>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D6CD0" w:rsidRPr="0014193C" w14:paraId="3F250D5A" w14:textId="77777777" w:rsidTr="00670056">
        <w:tc>
          <w:tcPr>
            <w:tcW w:w="5000" w:type="pct"/>
            <w:shd w:val="clear" w:color="auto" w:fill="C0C0C0"/>
          </w:tcPr>
          <w:p w14:paraId="04BC1959" w14:textId="2A14B4DC" w:rsidR="004D6CD0" w:rsidRPr="0014193C" w:rsidRDefault="005E1BDC" w:rsidP="00D35765">
            <w:pPr>
              <w:pStyle w:val="Heading2"/>
              <w:spacing w:before="120" w:after="120"/>
            </w:pPr>
            <w:bookmarkStart w:id="24" w:name="_Parent_SOP"/>
            <w:bookmarkStart w:id="25" w:name="_Toc201848571"/>
            <w:bookmarkEnd w:id="24"/>
            <w:r>
              <w:t>Identify via Paid Claim</w:t>
            </w:r>
            <w:bookmarkEnd w:id="25"/>
          </w:p>
        </w:tc>
      </w:tr>
    </w:tbl>
    <w:p w14:paraId="73D6D3C8" w14:textId="4A3AEFC3" w:rsidR="004E705B" w:rsidRDefault="003F425E" w:rsidP="00D35765">
      <w:pPr>
        <w:spacing w:before="120" w:after="120"/>
      </w:pPr>
      <w:r>
        <w:t>Cost Saver program claims are identified in Compass</w:t>
      </w:r>
      <w:r w:rsidR="00E30AEA">
        <w:t xml:space="preserve"> through the Third-Party Indicator field</w:t>
      </w:r>
      <w:r w:rsidR="0075759C">
        <w:t>.</w:t>
      </w:r>
    </w:p>
    <w:p w14:paraId="64AEEA85" w14:textId="5682D29E" w:rsidR="00F1095E" w:rsidRDefault="00240EEB" w:rsidP="00D35765">
      <w:pPr>
        <w:spacing w:before="120" w:after="120"/>
      </w:pPr>
      <w:r>
        <w:t xml:space="preserve">Perform the steps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
        <w:gridCol w:w="5305"/>
        <w:gridCol w:w="6827"/>
      </w:tblGrid>
      <w:tr w:rsidR="00F1095E" w14:paraId="385D3F09" w14:textId="77777777" w:rsidTr="00511E4B">
        <w:tc>
          <w:tcPr>
            <w:tcW w:w="1006" w:type="dxa"/>
            <w:tcBorders>
              <w:top w:val="single" w:sz="4" w:space="0" w:color="auto"/>
              <w:left w:val="single" w:sz="4" w:space="0" w:color="auto"/>
              <w:bottom w:val="single" w:sz="4" w:space="0" w:color="auto"/>
              <w:right w:val="single" w:sz="4" w:space="0" w:color="auto"/>
            </w:tcBorders>
            <w:shd w:val="clear" w:color="auto" w:fill="D9D9D9"/>
            <w:hideMark/>
          </w:tcPr>
          <w:p w14:paraId="2567EEA6" w14:textId="77777777" w:rsidR="00F1095E" w:rsidRDefault="00F1095E" w:rsidP="00D35765">
            <w:pPr>
              <w:spacing w:before="120" w:after="120"/>
              <w:jc w:val="center"/>
              <w:rPr>
                <w:b/>
              </w:rPr>
            </w:pPr>
            <w:r>
              <w:rPr>
                <w:b/>
              </w:rPr>
              <w:t>Step</w:t>
            </w:r>
          </w:p>
        </w:tc>
        <w:tc>
          <w:tcPr>
            <w:tcW w:w="2662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F3B1339" w14:textId="77777777" w:rsidR="00F1095E" w:rsidRDefault="00F1095E" w:rsidP="00D35765">
            <w:pPr>
              <w:autoSpaceDE w:val="0"/>
              <w:autoSpaceDN w:val="0"/>
              <w:adjustRightInd w:val="0"/>
              <w:spacing w:before="120" w:after="120"/>
              <w:jc w:val="center"/>
              <w:rPr>
                <w:b/>
              </w:rPr>
            </w:pPr>
            <w:r>
              <w:rPr>
                <w:b/>
              </w:rPr>
              <w:t>Action</w:t>
            </w:r>
          </w:p>
        </w:tc>
      </w:tr>
      <w:tr w:rsidR="00F1095E" w14:paraId="00A0C3A0" w14:textId="77777777" w:rsidTr="00511E4B">
        <w:tc>
          <w:tcPr>
            <w:tcW w:w="1006" w:type="dxa"/>
            <w:tcBorders>
              <w:top w:val="single" w:sz="4" w:space="0" w:color="auto"/>
              <w:left w:val="single" w:sz="4" w:space="0" w:color="auto"/>
              <w:bottom w:val="single" w:sz="4" w:space="0" w:color="auto"/>
              <w:right w:val="single" w:sz="4" w:space="0" w:color="auto"/>
            </w:tcBorders>
            <w:hideMark/>
          </w:tcPr>
          <w:p w14:paraId="6C480120" w14:textId="08624908" w:rsidR="00F1095E" w:rsidRDefault="00F1095E" w:rsidP="00D35765">
            <w:pPr>
              <w:spacing w:before="120" w:after="120"/>
              <w:jc w:val="center"/>
              <w:rPr>
                <w:b/>
              </w:rPr>
            </w:pPr>
            <w:r>
              <w:rPr>
                <w:b/>
              </w:rPr>
              <w:t>1</w:t>
            </w:r>
          </w:p>
        </w:tc>
        <w:tc>
          <w:tcPr>
            <w:tcW w:w="26623" w:type="dxa"/>
            <w:gridSpan w:val="2"/>
            <w:tcBorders>
              <w:top w:val="single" w:sz="4" w:space="0" w:color="auto"/>
              <w:left w:val="single" w:sz="4" w:space="0" w:color="auto"/>
              <w:bottom w:val="single" w:sz="4" w:space="0" w:color="auto"/>
              <w:right w:val="single" w:sz="4" w:space="0" w:color="auto"/>
            </w:tcBorders>
          </w:tcPr>
          <w:p w14:paraId="184C61C7" w14:textId="77777777" w:rsidR="00F1095E" w:rsidRDefault="00F1095E" w:rsidP="00D35765">
            <w:pPr>
              <w:spacing w:before="120" w:after="120"/>
            </w:pPr>
            <w:r>
              <w:t xml:space="preserve">From the Claims Landing Page, navigate to the </w:t>
            </w:r>
            <w:r w:rsidRPr="001A6983">
              <w:rPr>
                <w:b/>
              </w:rPr>
              <w:t>Claims</w:t>
            </w:r>
            <w:r>
              <w:t xml:space="preserve"> tab and click the</w:t>
            </w:r>
            <w:r>
              <w:rPr>
                <w:b/>
                <w:bCs/>
              </w:rPr>
              <w:t xml:space="preserve"> RX #</w:t>
            </w:r>
            <w:r>
              <w:t xml:space="preserve"> hyperlink for the paid claim in question.</w:t>
            </w:r>
          </w:p>
          <w:p w14:paraId="454FD6B3" w14:textId="77777777" w:rsidR="00F1095E" w:rsidRDefault="00F1095E" w:rsidP="00D35765">
            <w:pPr>
              <w:spacing w:before="120" w:after="120"/>
            </w:pPr>
          </w:p>
          <w:p w14:paraId="22EC6ED7" w14:textId="0AF47F93" w:rsidR="00F1095E" w:rsidRDefault="00511E4B" w:rsidP="00D35765">
            <w:pPr>
              <w:spacing w:before="120" w:after="120"/>
              <w:jc w:val="center"/>
            </w:pPr>
            <w:r>
              <w:rPr>
                <w:noProof/>
              </w:rPr>
              <w:drawing>
                <wp:inline distT="0" distB="0" distL="0" distR="0" wp14:anchorId="60CED8C8" wp14:editId="7A5F5B33">
                  <wp:extent cx="7266667" cy="2895238"/>
                  <wp:effectExtent l="0" t="0" r="0" b="635"/>
                  <wp:docPr id="147776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63258" name=""/>
                          <pic:cNvPicPr/>
                        </pic:nvPicPr>
                        <pic:blipFill>
                          <a:blip r:embed="rId18"/>
                          <a:stretch>
                            <a:fillRect/>
                          </a:stretch>
                        </pic:blipFill>
                        <pic:spPr>
                          <a:xfrm>
                            <a:off x="0" y="0"/>
                            <a:ext cx="7266667" cy="2895238"/>
                          </a:xfrm>
                          <a:prstGeom prst="rect">
                            <a:avLst/>
                          </a:prstGeom>
                        </pic:spPr>
                      </pic:pic>
                    </a:graphicData>
                  </a:graphic>
                </wp:inline>
              </w:drawing>
            </w:r>
          </w:p>
          <w:p w14:paraId="5B76D8A1" w14:textId="77777777" w:rsidR="00F1095E" w:rsidRDefault="00F1095E" w:rsidP="00D35765">
            <w:pPr>
              <w:spacing w:before="120" w:after="120"/>
              <w:rPr>
                <w:b/>
                <w:bCs/>
              </w:rPr>
            </w:pPr>
          </w:p>
          <w:p w14:paraId="2160260F" w14:textId="702992BF" w:rsidR="00F1095E" w:rsidRDefault="00F1095E" w:rsidP="00D35765">
            <w:pPr>
              <w:spacing w:before="120" w:after="120"/>
            </w:pPr>
            <w:r>
              <w:rPr>
                <w:b/>
                <w:bCs/>
              </w:rPr>
              <w:t>Result</w:t>
            </w:r>
            <w:r w:rsidR="008872EF">
              <w:rPr>
                <w:b/>
                <w:bCs/>
              </w:rPr>
              <w:t xml:space="preserve">: </w:t>
            </w:r>
            <w:r>
              <w:t>The Prescription Details screen displays.</w:t>
            </w:r>
          </w:p>
        </w:tc>
      </w:tr>
      <w:tr w:rsidR="00F1095E" w14:paraId="061C7B09" w14:textId="77777777" w:rsidTr="00511E4B">
        <w:tc>
          <w:tcPr>
            <w:tcW w:w="1006" w:type="dxa"/>
            <w:vMerge w:val="restart"/>
            <w:tcBorders>
              <w:top w:val="single" w:sz="4" w:space="0" w:color="auto"/>
              <w:left w:val="single" w:sz="4" w:space="0" w:color="auto"/>
              <w:right w:val="single" w:sz="4" w:space="0" w:color="auto"/>
            </w:tcBorders>
            <w:hideMark/>
          </w:tcPr>
          <w:p w14:paraId="327D911D" w14:textId="3D9861CB" w:rsidR="00F1095E" w:rsidRPr="00551A38" w:rsidRDefault="00F1095E" w:rsidP="00D35765">
            <w:pPr>
              <w:spacing w:before="120" w:after="120"/>
              <w:jc w:val="center"/>
              <w:rPr>
                <w:b/>
                <w:highlight w:val="yellow"/>
              </w:rPr>
            </w:pPr>
            <w:r w:rsidRPr="00A510FF">
              <w:rPr>
                <w:b/>
              </w:rPr>
              <w:t>2</w:t>
            </w:r>
          </w:p>
        </w:tc>
        <w:tc>
          <w:tcPr>
            <w:tcW w:w="26623" w:type="dxa"/>
            <w:gridSpan w:val="2"/>
            <w:tcBorders>
              <w:top w:val="single" w:sz="4" w:space="0" w:color="auto"/>
              <w:left w:val="single" w:sz="4" w:space="0" w:color="auto"/>
              <w:bottom w:val="single" w:sz="4" w:space="0" w:color="auto"/>
              <w:right w:val="single" w:sz="4" w:space="0" w:color="auto"/>
            </w:tcBorders>
          </w:tcPr>
          <w:p w14:paraId="65EE42F8" w14:textId="56A6479D" w:rsidR="00F1095E" w:rsidRPr="00945D88" w:rsidRDefault="00F1095E" w:rsidP="00D35765">
            <w:pPr>
              <w:spacing w:before="120" w:after="120"/>
            </w:pPr>
            <w:r w:rsidRPr="00945D88">
              <w:t xml:space="preserve">Review the information in the </w:t>
            </w:r>
            <w:r w:rsidR="001F3E96" w:rsidRPr="00945D88">
              <w:rPr>
                <w:b/>
                <w:bCs/>
              </w:rPr>
              <w:t>Third-Party</w:t>
            </w:r>
            <w:r w:rsidRPr="00945D88">
              <w:rPr>
                <w:b/>
                <w:bCs/>
              </w:rPr>
              <w:t xml:space="preserve"> Indicator</w:t>
            </w:r>
            <w:r w:rsidRPr="00945D88">
              <w:t xml:space="preserve"> field.</w:t>
            </w:r>
          </w:p>
          <w:p w14:paraId="008C1DC8" w14:textId="77777777" w:rsidR="00F1095E" w:rsidRPr="00945D88" w:rsidRDefault="00F1095E" w:rsidP="00D35765">
            <w:pPr>
              <w:spacing w:before="120" w:after="120"/>
            </w:pPr>
          </w:p>
          <w:p w14:paraId="1A5F3489" w14:textId="116B7712" w:rsidR="00F1095E" w:rsidRPr="00945D88" w:rsidRDefault="00E04E3C" w:rsidP="00D35765">
            <w:pPr>
              <w:spacing w:before="120" w:after="120"/>
              <w:jc w:val="center"/>
              <w:rPr>
                <w:noProof/>
              </w:rPr>
            </w:pPr>
            <w:r w:rsidRPr="00945D88">
              <w:rPr>
                <w:noProof/>
              </w:rPr>
              <w:drawing>
                <wp:inline distT="0" distB="0" distL="0" distR="0" wp14:anchorId="08935F63" wp14:editId="18BF1193">
                  <wp:extent cx="7800000" cy="2885714"/>
                  <wp:effectExtent l="0" t="0" r="0" b="0"/>
                  <wp:docPr id="158044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46173" name=""/>
                          <pic:cNvPicPr/>
                        </pic:nvPicPr>
                        <pic:blipFill>
                          <a:blip r:embed="rId19"/>
                          <a:stretch>
                            <a:fillRect/>
                          </a:stretch>
                        </pic:blipFill>
                        <pic:spPr>
                          <a:xfrm>
                            <a:off x="0" y="0"/>
                            <a:ext cx="7800000" cy="2885714"/>
                          </a:xfrm>
                          <a:prstGeom prst="rect">
                            <a:avLst/>
                          </a:prstGeom>
                        </pic:spPr>
                      </pic:pic>
                    </a:graphicData>
                  </a:graphic>
                </wp:inline>
              </w:drawing>
            </w:r>
          </w:p>
          <w:p w14:paraId="516F2C0F" w14:textId="77777777" w:rsidR="00F1095E" w:rsidRPr="00945D88" w:rsidRDefault="00F1095E" w:rsidP="00D35765">
            <w:pPr>
              <w:spacing w:before="120" w:after="120"/>
              <w:rPr>
                <w:b/>
                <w:bCs/>
              </w:rPr>
            </w:pPr>
          </w:p>
          <w:p w14:paraId="1634E406" w14:textId="54446EE1" w:rsidR="00F1095E" w:rsidRPr="00945D88" w:rsidRDefault="00F1095E" w:rsidP="009A191A">
            <w:pPr>
              <w:spacing w:before="120" w:after="120"/>
            </w:pPr>
            <w:r w:rsidRPr="00945D88">
              <w:rPr>
                <w:b/>
                <w:bCs/>
              </w:rPr>
              <w:t>Note</w:t>
            </w:r>
            <w:r w:rsidR="008872EF">
              <w:rPr>
                <w:b/>
                <w:bCs/>
              </w:rPr>
              <w:t xml:space="preserve">: </w:t>
            </w:r>
            <w:r w:rsidRPr="00945D88">
              <w:t xml:space="preserve">Hovering your cursor over the </w:t>
            </w:r>
            <w:r w:rsidRPr="00945D88">
              <w:rPr>
                <w:b/>
                <w:bCs/>
              </w:rPr>
              <w:t>Tool Tip</w:t>
            </w:r>
            <w:r w:rsidRPr="00945D88">
              <w:t xml:space="preserve"> icon next to Third Party Indicator will display the following message: “Pricing is adjudicated from a third party. Questions refer the pharmacy to GoodRx 1-855-514-2856”.  </w:t>
            </w:r>
          </w:p>
        </w:tc>
      </w:tr>
      <w:tr w:rsidR="001E57D6" w14:paraId="33776A40" w14:textId="77777777" w:rsidTr="00511E4B">
        <w:tc>
          <w:tcPr>
            <w:tcW w:w="1006" w:type="dxa"/>
            <w:vMerge/>
            <w:tcBorders>
              <w:left w:val="single" w:sz="4" w:space="0" w:color="auto"/>
              <w:right w:val="single" w:sz="4" w:space="0" w:color="auto"/>
            </w:tcBorders>
          </w:tcPr>
          <w:p w14:paraId="7D16FB97" w14:textId="77777777" w:rsidR="00F1095E" w:rsidRDefault="00F1095E" w:rsidP="00D35765">
            <w:pPr>
              <w:spacing w:before="120" w:after="120"/>
              <w:jc w:val="center"/>
              <w:rPr>
                <w:b/>
              </w:rPr>
            </w:pPr>
          </w:p>
        </w:tc>
        <w:tc>
          <w:tcPr>
            <w:tcW w:w="789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C4041E" w14:textId="06B06720" w:rsidR="00F1095E" w:rsidRPr="00945D88" w:rsidRDefault="00F1095E" w:rsidP="00D35765">
            <w:pPr>
              <w:spacing w:before="120" w:after="120"/>
              <w:jc w:val="center"/>
              <w:rPr>
                <w:b/>
              </w:rPr>
            </w:pPr>
            <w:r w:rsidRPr="00945D88">
              <w:rPr>
                <w:b/>
                <w:bCs/>
              </w:rPr>
              <w:t xml:space="preserve">If the </w:t>
            </w:r>
            <w:r w:rsidR="001F3E96" w:rsidRPr="00945D88">
              <w:rPr>
                <w:b/>
                <w:bCs/>
              </w:rPr>
              <w:t>Third-Party</w:t>
            </w:r>
            <w:r w:rsidRPr="00945D88">
              <w:rPr>
                <w:b/>
                <w:bCs/>
              </w:rPr>
              <w:t xml:space="preserve"> Indicator field…</w:t>
            </w:r>
          </w:p>
        </w:tc>
        <w:tc>
          <w:tcPr>
            <w:tcW w:w="187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5BECACF" w14:textId="4DA6D764" w:rsidR="00F1095E" w:rsidRPr="008871B6" w:rsidRDefault="00F1095E" w:rsidP="00D35765">
            <w:pPr>
              <w:spacing w:before="120" w:after="120"/>
              <w:jc w:val="center"/>
              <w:rPr>
                <w:b/>
              </w:rPr>
            </w:pPr>
            <w:r w:rsidRPr="008871B6">
              <w:rPr>
                <w:b/>
                <w:bCs/>
              </w:rPr>
              <w:t>Then the claim was…</w:t>
            </w:r>
          </w:p>
        </w:tc>
      </w:tr>
      <w:tr w:rsidR="001E57D6" w14:paraId="62243BFF" w14:textId="77777777" w:rsidTr="00511E4B">
        <w:tc>
          <w:tcPr>
            <w:tcW w:w="1006" w:type="dxa"/>
            <w:vMerge/>
            <w:tcBorders>
              <w:left w:val="single" w:sz="4" w:space="0" w:color="auto"/>
              <w:right w:val="single" w:sz="4" w:space="0" w:color="auto"/>
            </w:tcBorders>
          </w:tcPr>
          <w:p w14:paraId="20DC9F65" w14:textId="77777777" w:rsidR="00F1095E" w:rsidRDefault="00F1095E" w:rsidP="00D35765">
            <w:pPr>
              <w:spacing w:before="120" w:after="120"/>
              <w:jc w:val="center"/>
              <w:rPr>
                <w:b/>
              </w:rPr>
            </w:pPr>
          </w:p>
        </w:tc>
        <w:tc>
          <w:tcPr>
            <w:tcW w:w="7896" w:type="dxa"/>
            <w:tcBorders>
              <w:top w:val="single" w:sz="4" w:space="0" w:color="auto"/>
              <w:left w:val="single" w:sz="4" w:space="0" w:color="auto"/>
              <w:bottom w:val="single" w:sz="4" w:space="0" w:color="auto"/>
              <w:right w:val="single" w:sz="4" w:space="0" w:color="auto"/>
            </w:tcBorders>
          </w:tcPr>
          <w:p w14:paraId="4ADB9F16" w14:textId="6196B772" w:rsidR="00F1095E" w:rsidRPr="00945D88" w:rsidRDefault="00F1095E" w:rsidP="005F34AE">
            <w:pPr>
              <w:spacing w:before="120" w:after="120"/>
            </w:pPr>
            <w:r w:rsidRPr="00945D88">
              <w:t>Displays “GoodRx” or “Cost Saver”</w:t>
            </w:r>
          </w:p>
        </w:tc>
        <w:tc>
          <w:tcPr>
            <w:tcW w:w="18727" w:type="dxa"/>
            <w:tcBorders>
              <w:top w:val="single" w:sz="4" w:space="0" w:color="auto"/>
              <w:left w:val="single" w:sz="4" w:space="0" w:color="auto"/>
              <w:bottom w:val="single" w:sz="4" w:space="0" w:color="auto"/>
              <w:right w:val="single" w:sz="4" w:space="0" w:color="auto"/>
            </w:tcBorders>
          </w:tcPr>
          <w:p w14:paraId="6672EE13" w14:textId="674DA042" w:rsidR="00F1095E" w:rsidRPr="008871B6" w:rsidRDefault="00F1095E" w:rsidP="009A191A">
            <w:pPr>
              <w:spacing w:before="120" w:after="120"/>
            </w:pPr>
            <w:r w:rsidRPr="008871B6">
              <w:t xml:space="preserve">Adjudicated through a </w:t>
            </w:r>
            <w:r w:rsidR="001F3E96" w:rsidRPr="008871B6">
              <w:t>Third-Party</w:t>
            </w:r>
            <w:r w:rsidRPr="008871B6">
              <w:t xml:space="preserve"> </w:t>
            </w:r>
            <w:r w:rsidR="008871B6" w:rsidRPr="008871B6">
              <w:t>vendor</w:t>
            </w:r>
          </w:p>
        </w:tc>
      </w:tr>
      <w:tr w:rsidR="001E57D6" w14:paraId="3736C03B" w14:textId="77777777" w:rsidTr="00511E4B">
        <w:tc>
          <w:tcPr>
            <w:tcW w:w="1006" w:type="dxa"/>
            <w:vMerge/>
            <w:tcBorders>
              <w:left w:val="single" w:sz="4" w:space="0" w:color="auto"/>
              <w:bottom w:val="single" w:sz="4" w:space="0" w:color="auto"/>
              <w:right w:val="single" w:sz="4" w:space="0" w:color="auto"/>
            </w:tcBorders>
          </w:tcPr>
          <w:p w14:paraId="3A7639A6" w14:textId="77777777" w:rsidR="00F1095E" w:rsidRDefault="00F1095E" w:rsidP="00D35765">
            <w:pPr>
              <w:spacing w:before="120" w:after="120"/>
              <w:jc w:val="center"/>
              <w:rPr>
                <w:b/>
              </w:rPr>
            </w:pPr>
          </w:p>
        </w:tc>
        <w:tc>
          <w:tcPr>
            <w:tcW w:w="7896" w:type="dxa"/>
            <w:tcBorders>
              <w:top w:val="single" w:sz="4" w:space="0" w:color="auto"/>
              <w:left w:val="single" w:sz="4" w:space="0" w:color="auto"/>
              <w:bottom w:val="single" w:sz="4" w:space="0" w:color="auto"/>
              <w:right w:val="single" w:sz="4" w:space="0" w:color="auto"/>
            </w:tcBorders>
          </w:tcPr>
          <w:p w14:paraId="648E5FDB" w14:textId="3655A520" w:rsidR="00F1095E" w:rsidRDefault="00F1095E" w:rsidP="009A191A">
            <w:pPr>
              <w:spacing w:before="120" w:after="120"/>
            </w:pPr>
            <w:r>
              <w:t>Is blank</w:t>
            </w:r>
          </w:p>
        </w:tc>
        <w:tc>
          <w:tcPr>
            <w:tcW w:w="18727" w:type="dxa"/>
            <w:tcBorders>
              <w:top w:val="single" w:sz="4" w:space="0" w:color="auto"/>
              <w:left w:val="single" w:sz="4" w:space="0" w:color="auto"/>
              <w:bottom w:val="single" w:sz="4" w:space="0" w:color="auto"/>
              <w:right w:val="single" w:sz="4" w:space="0" w:color="auto"/>
            </w:tcBorders>
          </w:tcPr>
          <w:p w14:paraId="45004A7F" w14:textId="52C06DCC" w:rsidR="00F1095E" w:rsidRDefault="00F1095E" w:rsidP="00D35765">
            <w:pPr>
              <w:spacing w:before="120" w:after="120"/>
            </w:pPr>
            <w:r>
              <w:t xml:space="preserve">Not adjudicated through a </w:t>
            </w:r>
            <w:r w:rsidR="001F3E96">
              <w:t>Third-Party</w:t>
            </w:r>
            <w:r>
              <w:t xml:space="preserve"> </w:t>
            </w:r>
            <w:r w:rsidR="008871B6">
              <w:t>vendor</w:t>
            </w:r>
            <w:r>
              <w:t>.</w:t>
            </w:r>
          </w:p>
        </w:tc>
      </w:tr>
      <w:bookmarkEnd w:id="22"/>
    </w:tbl>
    <w:p w14:paraId="2A1D0988" w14:textId="77777777" w:rsidR="00F1095E" w:rsidRDefault="00F1095E" w:rsidP="009E3421">
      <w:pPr>
        <w:jc w:val="right"/>
      </w:pPr>
    </w:p>
    <w:p w14:paraId="1C02B8FF" w14:textId="75A36237" w:rsidR="004911AD" w:rsidRDefault="004911AD" w:rsidP="009E3421">
      <w:pPr>
        <w:jc w:val="right"/>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911AD" w14:paraId="5451F82E" w14:textId="77777777" w:rsidTr="00556FF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F7FC915" w14:textId="0FE4DE1C" w:rsidR="004911AD" w:rsidRDefault="002C2BA5" w:rsidP="009A191A">
            <w:pPr>
              <w:pStyle w:val="Heading2"/>
              <w:spacing w:before="120" w:after="120"/>
            </w:pPr>
            <w:bookmarkStart w:id="26" w:name="OLE_LINK15"/>
            <w:bookmarkStart w:id="27" w:name="_Toc201848572"/>
            <w:r>
              <w:t xml:space="preserve">Member </w:t>
            </w:r>
            <w:r w:rsidR="00C00D75">
              <w:t xml:space="preserve">Opt </w:t>
            </w:r>
            <w:r w:rsidR="00FA4699">
              <w:t>In/Out</w:t>
            </w:r>
            <w:r w:rsidR="004911AD">
              <w:t xml:space="preserve"> of </w:t>
            </w:r>
            <w:r w:rsidR="002E7268">
              <w:t xml:space="preserve">the </w:t>
            </w:r>
            <w:r w:rsidR="009D6E36">
              <w:t>Cost Saver</w:t>
            </w:r>
            <w:r w:rsidR="004911AD">
              <w:t xml:space="preserve"> Program</w:t>
            </w:r>
            <w:bookmarkEnd w:id="27"/>
            <w:r w:rsidR="00474B2F">
              <w:t xml:space="preserve"> </w:t>
            </w:r>
            <w:bookmarkEnd w:id="26"/>
          </w:p>
        </w:tc>
      </w:tr>
    </w:tbl>
    <w:p w14:paraId="578048B7" w14:textId="4B3723F5" w:rsidR="00D90800" w:rsidRDefault="00D90800" w:rsidP="00511E4B">
      <w:pPr>
        <w:spacing w:before="120" w:after="120" w:line="259" w:lineRule="auto"/>
        <w:rPr>
          <w:rFonts w:cs="Helvetica"/>
          <w:iCs/>
        </w:rPr>
      </w:pPr>
      <w:r w:rsidRPr="00511E4B">
        <w:rPr>
          <w:rFonts w:cs="Helvetica"/>
        </w:rPr>
        <w:t xml:space="preserve">Members can be opted out of participation in the Cost Saver program through Compass.  This opt out will ensure Cost Saver pricing is not applied to </w:t>
      </w:r>
      <w:r w:rsidRPr="00453F56">
        <w:rPr>
          <w:rFonts w:cs="Helvetica"/>
        </w:rPr>
        <w:t>any</w:t>
      </w:r>
      <w:r w:rsidRPr="00511E4B">
        <w:rPr>
          <w:rFonts w:cs="Helvetica"/>
        </w:rPr>
        <w:t xml:space="preserve"> </w:t>
      </w:r>
      <w:r w:rsidRPr="00511E4B">
        <w:rPr>
          <w:rFonts w:cs="Helvetica"/>
          <w:iCs/>
        </w:rPr>
        <w:t xml:space="preserve">claim processed for the member as long as the opt out option is active.  Member opt outs are normally applied when </w:t>
      </w:r>
      <w:r w:rsidR="00A93AEB" w:rsidRPr="00511E4B">
        <w:rPr>
          <w:rFonts w:cs="Helvetica"/>
          <w:iCs/>
        </w:rPr>
        <w:t xml:space="preserve">the member requests </w:t>
      </w:r>
      <w:r w:rsidR="00A93AEB">
        <w:rPr>
          <w:rFonts w:cs="Helvetica"/>
          <w:iCs/>
        </w:rPr>
        <w:t>C</w:t>
      </w:r>
      <w:r w:rsidR="00A93AEB" w:rsidRPr="00511E4B">
        <w:rPr>
          <w:rFonts w:cs="Helvetica"/>
          <w:iCs/>
        </w:rPr>
        <w:t xml:space="preserve">oordination of </w:t>
      </w:r>
      <w:r w:rsidR="00A93AEB">
        <w:rPr>
          <w:rFonts w:cs="Helvetica"/>
          <w:iCs/>
        </w:rPr>
        <w:t>B</w:t>
      </w:r>
      <w:r w:rsidR="00A93AEB" w:rsidRPr="00511E4B">
        <w:rPr>
          <w:rFonts w:cs="Helvetica"/>
          <w:iCs/>
        </w:rPr>
        <w:t>enefits (COB)</w:t>
      </w:r>
      <w:r w:rsidRPr="00511E4B">
        <w:rPr>
          <w:rFonts w:cs="Helvetica"/>
          <w:iCs/>
        </w:rPr>
        <w:t>.</w:t>
      </w:r>
    </w:p>
    <w:p w14:paraId="080C5473" w14:textId="27476F19" w:rsidR="00FD58EF" w:rsidRPr="00511E4B" w:rsidRDefault="00DD4964" w:rsidP="00511E4B">
      <w:pPr>
        <w:spacing w:before="120" w:after="120" w:line="259" w:lineRule="auto"/>
        <w:rPr>
          <w:rFonts w:cs="Helvetica"/>
          <w:iCs/>
        </w:rPr>
      </w:pPr>
      <w:r w:rsidRPr="00356121">
        <w:rPr>
          <w:rFonts w:cs="Helvetica"/>
          <w:noProof/>
        </w:rPr>
        <w:drawing>
          <wp:inline distT="0" distB="0" distL="0" distR="0" wp14:anchorId="30DE3789" wp14:editId="58055244">
            <wp:extent cx="304762" cy="304762"/>
            <wp:effectExtent l="0" t="0" r="635" b="635"/>
            <wp:docPr id="146163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7955" name="Picture 1874177955"/>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947E3" w:rsidRPr="004947E3">
        <w:rPr>
          <w:rFonts w:cs="Helvetica"/>
          <w:b/>
          <w:bCs/>
          <w:iCs/>
        </w:rPr>
        <w:t>Note</w:t>
      </w:r>
      <w:r w:rsidR="008872EF">
        <w:rPr>
          <w:rFonts w:cs="Helvetica"/>
          <w:b/>
          <w:bCs/>
          <w:iCs/>
        </w:rPr>
        <w:t xml:space="preserve">: </w:t>
      </w:r>
      <w:r w:rsidR="004947E3" w:rsidRPr="004947E3">
        <w:rPr>
          <w:rFonts w:cs="Helvetica"/>
          <w:iCs/>
        </w:rPr>
        <w:t>Only the member, the parent of a minor child, or a documented POA can request an opt out. </w:t>
      </w:r>
    </w:p>
    <w:p w14:paraId="0AB230DE" w14:textId="43BF2280" w:rsidR="00474B2F" w:rsidRPr="00511E4B" w:rsidRDefault="005F34AE" w:rsidP="00511E4B">
      <w:pPr>
        <w:spacing w:before="120" w:after="120"/>
      </w:pPr>
      <w:r>
        <w:t>F</w:t>
      </w:r>
      <w:r w:rsidR="00CF02A1" w:rsidRPr="00511E4B">
        <w:t>ollow these steps</w:t>
      </w:r>
      <w:r w:rsidR="009E3421" w:rsidRPr="00511E4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1298"/>
        <w:gridCol w:w="10874"/>
      </w:tblGrid>
      <w:tr w:rsidR="00426837" w14:paraId="10D372AE" w14:textId="77777777" w:rsidTr="00B97C1E">
        <w:tc>
          <w:tcPr>
            <w:tcW w:w="206" w:type="pct"/>
            <w:tcBorders>
              <w:top w:val="single" w:sz="4" w:space="0" w:color="auto"/>
              <w:left w:val="single" w:sz="4" w:space="0" w:color="auto"/>
              <w:bottom w:val="single" w:sz="4" w:space="0" w:color="auto"/>
              <w:right w:val="single" w:sz="4" w:space="0" w:color="auto"/>
            </w:tcBorders>
            <w:shd w:val="clear" w:color="auto" w:fill="E6E6E6"/>
            <w:hideMark/>
          </w:tcPr>
          <w:p w14:paraId="1FF2D107" w14:textId="77777777" w:rsidR="004911AD" w:rsidRDefault="004911AD" w:rsidP="009A191A">
            <w:pPr>
              <w:spacing w:before="120" w:after="120"/>
              <w:jc w:val="center"/>
              <w:rPr>
                <w:b/>
              </w:rPr>
            </w:pPr>
            <w:r>
              <w:rPr>
                <w:b/>
              </w:rPr>
              <w:t>Step</w:t>
            </w:r>
          </w:p>
        </w:tc>
        <w:tc>
          <w:tcPr>
            <w:tcW w:w="4794" w:type="pct"/>
            <w:gridSpan w:val="2"/>
            <w:tcBorders>
              <w:top w:val="single" w:sz="4" w:space="0" w:color="auto"/>
              <w:left w:val="single" w:sz="4" w:space="0" w:color="auto"/>
              <w:bottom w:val="single" w:sz="4" w:space="0" w:color="auto"/>
              <w:right w:val="single" w:sz="4" w:space="0" w:color="auto"/>
            </w:tcBorders>
            <w:shd w:val="clear" w:color="auto" w:fill="E7E6E6"/>
            <w:hideMark/>
          </w:tcPr>
          <w:p w14:paraId="4149B0B1" w14:textId="77777777" w:rsidR="004911AD" w:rsidRDefault="004911AD" w:rsidP="009A191A">
            <w:pPr>
              <w:spacing w:before="120" w:after="120"/>
              <w:jc w:val="center"/>
              <w:rPr>
                <w:b/>
              </w:rPr>
            </w:pPr>
            <w:r>
              <w:rPr>
                <w:b/>
              </w:rPr>
              <w:t xml:space="preserve">Action </w:t>
            </w:r>
          </w:p>
        </w:tc>
      </w:tr>
      <w:tr w:rsidR="002E509C" w14:paraId="476A0834" w14:textId="77777777" w:rsidTr="00B97C1E">
        <w:trPr>
          <w:trHeight w:val="34"/>
        </w:trPr>
        <w:tc>
          <w:tcPr>
            <w:tcW w:w="0" w:type="auto"/>
            <w:vMerge w:val="restart"/>
            <w:tcBorders>
              <w:top w:val="single" w:sz="4" w:space="0" w:color="auto"/>
              <w:left w:val="single" w:sz="4" w:space="0" w:color="auto"/>
              <w:right w:val="single" w:sz="4" w:space="0" w:color="auto"/>
            </w:tcBorders>
          </w:tcPr>
          <w:p w14:paraId="44499F3B" w14:textId="50C678CA" w:rsidR="002E509C" w:rsidRDefault="002E509C" w:rsidP="009A191A">
            <w:pPr>
              <w:spacing w:before="120" w:after="120"/>
              <w:jc w:val="center"/>
              <w:rPr>
                <w:b/>
              </w:rPr>
            </w:pPr>
            <w:r>
              <w:rPr>
                <w:b/>
              </w:rPr>
              <w:t>1</w:t>
            </w:r>
          </w:p>
        </w:tc>
        <w:tc>
          <w:tcPr>
            <w:tcW w:w="4794"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8C88D4" w14:textId="2F441F87" w:rsidR="002E509C" w:rsidRDefault="002E509C" w:rsidP="009A191A">
            <w:pPr>
              <w:spacing w:before="120" w:after="120"/>
              <w:rPr>
                <w:b/>
                <w:bCs/>
              </w:rPr>
            </w:pPr>
            <w:r>
              <w:t xml:space="preserve">Navigate to the </w:t>
            </w:r>
            <w:r>
              <w:rPr>
                <w:b/>
              </w:rPr>
              <w:t>Manage Client Program Enrollment</w:t>
            </w:r>
            <w:r w:rsidRPr="002E509C">
              <w:t xml:space="preserve"> </w:t>
            </w:r>
            <w:r>
              <w:t xml:space="preserve">tab </w:t>
            </w:r>
            <w:r w:rsidRPr="002E509C">
              <w:t>from either the Member Snapshot Landing Page or the Claims Landing Page.</w:t>
            </w:r>
          </w:p>
        </w:tc>
      </w:tr>
      <w:tr w:rsidR="002E509C" w14:paraId="3E39D9DD" w14:textId="77777777" w:rsidTr="00B97C1E">
        <w:trPr>
          <w:trHeight w:val="34"/>
        </w:trPr>
        <w:tc>
          <w:tcPr>
            <w:tcW w:w="0" w:type="auto"/>
            <w:vMerge/>
            <w:tcBorders>
              <w:left w:val="single" w:sz="4" w:space="0" w:color="auto"/>
              <w:right w:val="single" w:sz="4" w:space="0" w:color="auto"/>
            </w:tcBorders>
            <w:hideMark/>
          </w:tcPr>
          <w:p w14:paraId="33EFAC13" w14:textId="5AD663E5" w:rsidR="002E509C" w:rsidRDefault="002E509C" w:rsidP="009A191A">
            <w:pPr>
              <w:spacing w:before="120" w:after="120"/>
              <w:jc w:val="center"/>
              <w:rPr>
                <w:b/>
              </w:rPr>
            </w:pPr>
          </w:p>
        </w:tc>
        <w:tc>
          <w:tcPr>
            <w:tcW w:w="9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A926A7" w14:textId="7D9CE92B" w:rsidR="002E509C" w:rsidRDefault="002E509C" w:rsidP="009A191A">
            <w:pPr>
              <w:spacing w:before="120" w:after="120"/>
              <w:jc w:val="center"/>
            </w:pPr>
            <w:r>
              <w:rPr>
                <w:b/>
                <w:bCs/>
              </w:rPr>
              <w:t>If starting from the…</w:t>
            </w:r>
          </w:p>
        </w:tc>
        <w:tc>
          <w:tcPr>
            <w:tcW w:w="3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C8EA9" w14:textId="2E6203B0" w:rsidR="002E509C" w:rsidRDefault="002E509C" w:rsidP="009A191A">
            <w:pPr>
              <w:spacing w:before="120" w:after="120"/>
              <w:jc w:val="center"/>
            </w:pPr>
            <w:r>
              <w:rPr>
                <w:b/>
                <w:bCs/>
              </w:rPr>
              <w:t>Then…</w:t>
            </w:r>
          </w:p>
        </w:tc>
      </w:tr>
      <w:tr w:rsidR="002E509C" w14:paraId="1EBE87C1" w14:textId="77777777" w:rsidTr="00B97C1E">
        <w:trPr>
          <w:trHeight w:val="33"/>
        </w:trPr>
        <w:tc>
          <w:tcPr>
            <w:tcW w:w="0" w:type="auto"/>
            <w:vMerge/>
            <w:tcBorders>
              <w:left w:val="single" w:sz="4" w:space="0" w:color="auto"/>
              <w:right w:val="single" w:sz="4" w:space="0" w:color="auto"/>
            </w:tcBorders>
            <w:vAlign w:val="center"/>
            <w:hideMark/>
          </w:tcPr>
          <w:p w14:paraId="4C67BF69" w14:textId="77777777" w:rsidR="002E509C" w:rsidRDefault="002E509C" w:rsidP="009A191A">
            <w:pPr>
              <w:spacing w:before="120" w:after="120"/>
              <w:rPr>
                <w:b/>
              </w:rPr>
            </w:pPr>
          </w:p>
        </w:tc>
        <w:tc>
          <w:tcPr>
            <w:tcW w:w="989" w:type="pct"/>
            <w:tcBorders>
              <w:top w:val="single" w:sz="4" w:space="0" w:color="auto"/>
              <w:left w:val="single" w:sz="4" w:space="0" w:color="auto"/>
              <w:bottom w:val="single" w:sz="4" w:space="0" w:color="auto"/>
              <w:right w:val="single" w:sz="4" w:space="0" w:color="auto"/>
            </w:tcBorders>
          </w:tcPr>
          <w:p w14:paraId="4C4F8902" w14:textId="0D160822" w:rsidR="002E509C" w:rsidRDefault="002E509C" w:rsidP="009A191A">
            <w:pPr>
              <w:spacing w:before="120" w:after="120"/>
            </w:pPr>
            <w:r>
              <w:t>Member Snapshot Landing Page</w:t>
            </w:r>
          </w:p>
        </w:tc>
        <w:tc>
          <w:tcPr>
            <w:tcW w:w="3805" w:type="pct"/>
            <w:tcBorders>
              <w:top w:val="single" w:sz="4" w:space="0" w:color="auto"/>
              <w:left w:val="single" w:sz="4" w:space="0" w:color="auto"/>
              <w:bottom w:val="single" w:sz="4" w:space="0" w:color="auto"/>
              <w:right w:val="single" w:sz="4" w:space="0" w:color="auto"/>
            </w:tcBorders>
          </w:tcPr>
          <w:p w14:paraId="6CE4F73B" w14:textId="588C1720" w:rsidR="002E509C" w:rsidRDefault="002E509C" w:rsidP="009A191A">
            <w:pPr>
              <w:pStyle w:val="ListParagraph"/>
              <w:numPr>
                <w:ilvl w:val="0"/>
                <w:numId w:val="17"/>
              </w:numPr>
              <w:spacing w:before="120" w:after="120"/>
            </w:pPr>
            <w:r>
              <w:t xml:space="preserve">Click the </w:t>
            </w:r>
            <w:r w:rsidRPr="00B97C1E">
              <w:rPr>
                <w:b/>
                <w:bCs/>
              </w:rPr>
              <w:t>Manage Client Program Enrollment</w:t>
            </w:r>
            <w:r>
              <w:t xml:space="preserve"> hyperlink from the Quick Actions Panel.</w:t>
            </w:r>
          </w:p>
          <w:p w14:paraId="72BCA91C" w14:textId="77777777" w:rsidR="002E509C" w:rsidRDefault="002E509C" w:rsidP="009A191A">
            <w:pPr>
              <w:spacing w:before="120" w:after="120"/>
              <w:rPr>
                <w:b/>
                <w:bCs/>
              </w:rPr>
            </w:pPr>
            <w:bookmarkStart w:id="28" w:name="OLE_LINK4"/>
          </w:p>
          <w:p w14:paraId="0B1DC19A" w14:textId="4918EDB4" w:rsidR="002E509C" w:rsidRDefault="002E509C" w:rsidP="009A191A">
            <w:pPr>
              <w:spacing w:before="120" w:after="120"/>
              <w:ind w:left="360"/>
            </w:pPr>
            <w:r w:rsidRPr="00702065">
              <w:rPr>
                <w:b/>
                <w:bCs/>
              </w:rPr>
              <w:t>Result</w:t>
            </w:r>
            <w:r w:rsidR="008872EF">
              <w:rPr>
                <w:b/>
                <w:bCs/>
              </w:rPr>
              <w:t xml:space="preserve">: </w:t>
            </w:r>
            <w:r>
              <w:t xml:space="preserve">The </w:t>
            </w:r>
            <w:r w:rsidRPr="009A191A">
              <w:rPr>
                <w:bCs/>
              </w:rPr>
              <w:t>Manage Client Program Enrollment</w:t>
            </w:r>
            <w:r>
              <w:t xml:space="preserve"> tab </w:t>
            </w:r>
            <w:r w:rsidR="009A191A">
              <w:t>displays.</w:t>
            </w:r>
          </w:p>
          <w:bookmarkEnd w:id="28"/>
          <w:p w14:paraId="34714BE1" w14:textId="5989725A" w:rsidR="002E509C" w:rsidRDefault="002E509C" w:rsidP="009A191A">
            <w:pPr>
              <w:spacing w:before="120" w:after="120"/>
            </w:pPr>
          </w:p>
          <w:p w14:paraId="08F4D272" w14:textId="3A9EBB86" w:rsidR="002E509C" w:rsidRDefault="002E509C" w:rsidP="009A191A">
            <w:pPr>
              <w:spacing w:before="120" w:after="120"/>
              <w:jc w:val="center"/>
            </w:pPr>
            <w:r>
              <w:rPr>
                <w:noProof/>
              </w:rPr>
              <w:drawing>
                <wp:inline distT="0" distB="0" distL="0" distR="0" wp14:anchorId="1362D1EE" wp14:editId="45BD8408">
                  <wp:extent cx="2800350" cy="225937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6504" cy="2272406"/>
                          </a:xfrm>
                          <a:prstGeom prst="rect">
                            <a:avLst/>
                          </a:prstGeom>
                        </pic:spPr>
                      </pic:pic>
                    </a:graphicData>
                  </a:graphic>
                </wp:inline>
              </w:drawing>
            </w:r>
          </w:p>
          <w:p w14:paraId="5C3D1702" w14:textId="77777777" w:rsidR="002E509C" w:rsidRDefault="002E509C" w:rsidP="009A191A">
            <w:pPr>
              <w:spacing w:before="120" w:after="120"/>
            </w:pPr>
          </w:p>
          <w:p w14:paraId="6D03298A" w14:textId="1FDD715F" w:rsidR="002E509C" w:rsidRDefault="002E509C" w:rsidP="009A191A">
            <w:pPr>
              <w:pStyle w:val="ListParagraph"/>
              <w:numPr>
                <w:ilvl w:val="0"/>
                <w:numId w:val="17"/>
              </w:numPr>
              <w:spacing w:before="120" w:after="120"/>
            </w:pPr>
            <w:r>
              <w:t>Proceed to the next Step.</w:t>
            </w:r>
          </w:p>
          <w:p w14:paraId="3BA0B14C" w14:textId="67ACD8B9" w:rsidR="002E509C" w:rsidRDefault="002E509C" w:rsidP="009A191A">
            <w:pPr>
              <w:spacing w:before="120" w:after="120"/>
            </w:pPr>
          </w:p>
        </w:tc>
      </w:tr>
      <w:tr w:rsidR="002E509C" w14:paraId="60372CD6" w14:textId="77777777" w:rsidTr="00B97C1E">
        <w:trPr>
          <w:trHeight w:val="33"/>
        </w:trPr>
        <w:tc>
          <w:tcPr>
            <w:tcW w:w="0" w:type="auto"/>
            <w:vMerge/>
            <w:tcBorders>
              <w:left w:val="single" w:sz="4" w:space="0" w:color="auto"/>
              <w:bottom w:val="single" w:sz="4" w:space="0" w:color="auto"/>
              <w:right w:val="single" w:sz="4" w:space="0" w:color="auto"/>
            </w:tcBorders>
            <w:vAlign w:val="center"/>
            <w:hideMark/>
          </w:tcPr>
          <w:p w14:paraId="0E6AB41C" w14:textId="77777777" w:rsidR="002E509C" w:rsidRDefault="002E509C">
            <w:pPr>
              <w:rPr>
                <w:b/>
              </w:rPr>
            </w:pPr>
          </w:p>
        </w:tc>
        <w:tc>
          <w:tcPr>
            <w:tcW w:w="989" w:type="pct"/>
            <w:tcBorders>
              <w:top w:val="single" w:sz="4" w:space="0" w:color="auto"/>
              <w:left w:val="single" w:sz="4" w:space="0" w:color="auto"/>
              <w:bottom w:val="single" w:sz="4" w:space="0" w:color="auto"/>
              <w:right w:val="single" w:sz="4" w:space="0" w:color="auto"/>
            </w:tcBorders>
          </w:tcPr>
          <w:p w14:paraId="561D808C" w14:textId="2AEDA4D8" w:rsidR="002E509C" w:rsidRDefault="002E509C" w:rsidP="006424CA">
            <w:pPr>
              <w:spacing w:before="120" w:after="120"/>
            </w:pPr>
            <w:r>
              <w:t>Claims Landing Page</w:t>
            </w:r>
          </w:p>
        </w:tc>
        <w:tc>
          <w:tcPr>
            <w:tcW w:w="3805" w:type="pct"/>
            <w:tcBorders>
              <w:top w:val="single" w:sz="4" w:space="0" w:color="auto"/>
              <w:left w:val="single" w:sz="4" w:space="0" w:color="auto"/>
              <w:bottom w:val="single" w:sz="4" w:space="0" w:color="auto"/>
              <w:right w:val="single" w:sz="4" w:space="0" w:color="auto"/>
            </w:tcBorders>
          </w:tcPr>
          <w:p w14:paraId="5F0E94FF" w14:textId="18383CF2" w:rsidR="002E509C" w:rsidRDefault="002E509C" w:rsidP="006424CA">
            <w:pPr>
              <w:pStyle w:val="ListParagraph"/>
              <w:numPr>
                <w:ilvl w:val="0"/>
                <w:numId w:val="14"/>
              </w:numPr>
              <w:spacing w:before="120" w:after="120"/>
            </w:pPr>
            <w:r>
              <w:t xml:space="preserve">Click the </w:t>
            </w:r>
            <w:r w:rsidRPr="00680000">
              <w:rPr>
                <w:b/>
                <w:bCs/>
              </w:rPr>
              <w:t>Client program offerings</w:t>
            </w:r>
            <w:r>
              <w:t xml:space="preserve"> hyperlink from the Quick Actions Panel. </w:t>
            </w:r>
          </w:p>
          <w:p w14:paraId="4086C09E" w14:textId="1BB56A3E" w:rsidR="002E509C" w:rsidRDefault="002E509C" w:rsidP="006424CA">
            <w:pPr>
              <w:pStyle w:val="ListParagraph"/>
              <w:numPr>
                <w:ilvl w:val="0"/>
                <w:numId w:val="14"/>
              </w:numPr>
              <w:spacing w:before="120" w:after="120"/>
            </w:pPr>
            <w:r>
              <w:t xml:space="preserve">Click the </w:t>
            </w:r>
            <w:r w:rsidRPr="00680000">
              <w:rPr>
                <w:b/>
                <w:bCs/>
              </w:rPr>
              <w:t xml:space="preserve">Manage Enrollment </w:t>
            </w:r>
            <w:r w:rsidRPr="00474B2F">
              <w:t>button</w:t>
            </w:r>
            <w:r>
              <w:t xml:space="preserve"> from the Available Client Programs Offerings popup.</w:t>
            </w:r>
          </w:p>
          <w:p w14:paraId="49652DEB" w14:textId="77777777" w:rsidR="002E509C" w:rsidRDefault="002E509C" w:rsidP="006424CA">
            <w:pPr>
              <w:spacing w:before="120" w:after="120"/>
              <w:rPr>
                <w:b/>
                <w:bCs/>
              </w:rPr>
            </w:pPr>
          </w:p>
          <w:p w14:paraId="0484120A" w14:textId="39CD3B48" w:rsidR="002E509C" w:rsidRDefault="002E509C" w:rsidP="006424CA">
            <w:pPr>
              <w:spacing w:before="120" w:after="120"/>
              <w:ind w:left="360"/>
            </w:pPr>
            <w:r>
              <w:rPr>
                <w:b/>
                <w:bCs/>
              </w:rPr>
              <w:t>Result</w:t>
            </w:r>
            <w:r w:rsidR="008872EF">
              <w:rPr>
                <w:b/>
                <w:bCs/>
              </w:rPr>
              <w:t xml:space="preserve">: </w:t>
            </w:r>
            <w:r>
              <w:t xml:space="preserve">The </w:t>
            </w:r>
            <w:bookmarkStart w:id="29" w:name="OLE_LINK13"/>
            <w:r w:rsidRPr="009A191A">
              <w:rPr>
                <w:bCs/>
              </w:rPr>
              <w:t>Manage Client Program Enrollment</w:t>
            </w:r>
            <w:r>
              <w:t xml:space="preserve"> </w:t>
            </w:r>
            <w:bookmarkEnd w:id="29"/>
            <w:r>
              <w:t xml:space="preserve">tab </w:t>
            </w:r>
            <w:r w:rsidR="009A191A">
              <w:t>displays</w:t>
            </w:r>
            <w:r>
              <w:t>.</w:t>
            </w:r>
          </w:p>
          <w:p w14:paraId="25176BF7" w14:textId="77777777" w:rsidR="002E509C" w:rsidRDefault="002E509C" w:rsidP="006424CA">
            <w:pPr>
              <w:spacing w:before="120" w:after="120"/>
            </w:pPr>
          </w:p>
          <w:p w14:paraId="5C28E072" w14:textId="7583ECB7" w:rsidR="002E509C" w:rsidRDefault="002E509C" w:rsidP="006424CA">
            <w:pPr>
              <w:spacing w:before="120" w:after="120"/>
              <w:jc w:val="center"/>
            </w:pPr>
            <w:r>
              <w:rPr>
                <w:noProof/>
              </w:rPr>
              <w:drawing>
                <wp:inline distT="0" distB="0" distL="0" distR="0" wp14:anchorId="611D0E3B" wp14:editId="7FC4C5F5">
                  <wp:extent cx="7315200" cy="6868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315200" cy="686812"/>
                          </a:xfrm>
                          <a:prstGeom prst="rect">
                            <a:avLst/>
                          </a:prstGeom>
                        </pic:spPr>
                      </pic:pic>
                    </a:graphicData>
                  </a:graphic>
                </wp:inline>
              </w:drawing>
            </w:r>
          </w:p>
          <w:p w14:paraId="7883C5CD" w14:textId="77777777" w:rsidR="002E509C" w:rsidRDefault="002E509C" w:rsidP="006424CA">
            <w:pPr>
              <w:spacing w:before="120" w:after="120"/>
            </w:pPr>
          </w:p>
          <w:p w14:paraId="75EB966E" w14:textId="2517DF95" w:rsidR="002E509C" w:rsidRDefault="002E509C" w:rsidP="006424CA">
            <w:pPr>
              <w:spacing w:before="120" w:after="120"/>
              <w:jc w:val="center"/>
            </w:pPr>
            <w:r>
              <w:rPr>
                <w:noProof/>
              </w:rPr>
              <w:drawing>
                <wp:inline distT="0" distB="0" distL="0" distR="0" wp14:anchorId="1FE90F67" wp14:editId="543D17A1">
                  <wp:extent cx="7315200" cy="14767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315200" cy="1476748"/>
                          </a:xfrm>
                          <a:prstGeom prst="rect">
                            <a:avLst/>
                          </a:prstGeom>
                        </pic:spPr>
                      </pic:pic>
                    </a:graphicData>
                  </a:graphic>
                </wp:inline>
              </w:drawing>
            </w:r>
          </w:p>
          <w:p w14:paraId="205B7507" w14:textId="77777777" w:rsidR="002E509C" w:rsidRDefault="002E509C" w:rsidP="006424CA">
            <w:pPr>
              <w:spacing w:before="120" w:after="120"/>
            </w:pPr>
          </w:p>
          <w:p w14:paraId="5C64D6CD" w14:textId="5B3A4D53" w:rsidR="002E509C" w:rsidRDefault="002E509C" w:rsidP="006424CA">
            <w:pPr>
              <w:pStyle w:val="ListParagraph"/>
              <w:numPr>
                <w:ilvl w:val="0"/>
                <w:numId w:val="14"/>
              </w:numPr>
              <w:spacing w:before="120" w:after="120"/>
            </w:pPr>
            <w:r>
              <w:t xml:space="preserve">Proceed to the next </w:t>
            </w:r>
            <w:r w:rsidR="00F073DA">
              <w:t>s</w:t>
            </w:r>
            <w:r>
              <w:t>tep.</w:t>
            </w:r>
          </w:p>
          <w:p w14:paraId="44D9524D" w14:textId="7144184B" w:rsidR="002E509C" w:rsidRDefault="002E509C" w:rsidP="006424CA">
            <w:pPr>
              <w:spacing w:before="120" w:after="120"/>
            </w:pPr>
          </w:p>
        </w:tc>
      </w:tr>
      <w:tr w:rsidR="002E509C" w14:paraId="73D6808B" w14:textId="77777777" w:rsidTr="00B97C1E">
        <w:trPr>
          <w:trHeight w:val="33"/>
        </w:trPr>
        <w:tc>
          <w:tcPr>
            <w:tcW w:w="0" w:type="auto"/>
            <w:vMerge w:val="restart"/>
            <w:tcBorders>
              <w:top w:val="single" w:sz="4" w:space="0" w:color="auto"/>
              <w:left w:val="single" w:sz="4" w:space="0" w:color="auto"/>
              <w:right w:val="single" w:sz="4" w:space="0" w:color="auto"/>
            </w:tcBorders>
          </w:tcPr>
          <w:p w14:paraId="502F93EE" w14:textId="2BF0EA9C" w:rsidR="002E509C" w:rsidRDefault="002E509C" w:rsidP="00F073DA">
            <w:pPr>
              <w:spacing w:before="120" w:after="120"/>
              <w:jc w:val="center"/>
              <w:rPr>
                <w:b/>
              </w:rPr>
            </w:pPr>
            <w:r>
              <w:rPr>
                <w:b/>
              </w:rPr>
              <w:t>2</w:t>
            </w:r>
          </w:p>
        </w:tc>
        <w:tc>
          <w:tcPr>
            <w:tcW w:w="4794" w:type="pct"/>
            <w:gridSpan w:val="2"/>
            <w:tcBorders>
              <w:top w:val="single" w:sz="4" w:space="0" w:color="auto"/>
              <w:left w:val="single" w:sz="4" w:space="0" w:color="auto"/>
              <w:bottom w:val="single" w:sz="4" w:space="0" w:color="auto"/>
              <w:right w:val="single" w:sz="4" w:space="0" w:color="auto"/>
            </w:tcBorders>
          </w:tcPr>
          <w:p w14:paraId="730EE52C" w14:textId="2613D878" w:rsidR="002E509C" w:rsidRDefault="002E509C" w:rsidP="00F073DA">
            <w:pPr>
              <w:spacing w:before="120" w:after="120"/>
            </w:pPr>
            <w:r>
              <w:t>Determine if the member would like to opt in/out of the Cost Saver program.</w:t>
            </w:r>
          </w:p>
        </w:tc>
      </w:tr>
      <w:tr w:rsidR="002E509C" w14:paraId="3901E544" w14:textId="77777777" w:rsidTr="00B97C1E">
        <w:trPr>
          <w:trHeight w:val="33"/>
        </w:trPr>
        <w:tc>
          <w:tcPr>
            <w:tcW w:w="0" w:type="auto"/>
            <w:vMerge/>
            <w:tcBorders>
              <w:left w:val="single" w:sz="4" w:space="0" w:color="auto"/>
              <w:right w:val="single" w:sz="4" w:space="0" w:color="auto"/>
            </w:tcBorders>
          </w:tcPr>
          <w:p w14:paraId="3B042406" w14:textId="77777777" w:rsidR="002E509C" w:rsidRDefault="002E509C" w:rsidP="00F073DA">
            <w:pPr>
              <w:spacing w:before="120" w:after="120"/>
              <w:jc w:val="center"/>
              <w:rPr>
                <w:b/>
              </w:rPr>
            </w:pPr>
          </w:p>
        </w:tc>
        <w:tc>
          <w:tcPr>
            <w:tcW w:w="98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9CE2C9" w14:textId="440EA269" w:rsidR="002E509C" w:rsidRPr="00702065" w:rsidRDefault="002E509C" w:rsidP="00F073DA">
            <w:pPr>
              <w:spacing w:before="120" w:after="120"/>
              <w:jc w:val="center"/>
              <w:rPr>
                <w:b/>
                <w:bCs/>
              </w:rPr>
            </w:pPr>
            <w:r w:rsidRPr="00702065">
              <w:rPr>
                <w:b/>
                <w:bCs/>
              </w:rPr>
              <w:t>Scenario</w:t>
            </w:r>
          </w:p>
        </w:tc>
        <w:tc>
          <w:tcPr>
            <w:tcW w:w="3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8E6CAE1" w14:textId="00796D4A" w:rsidR="002E509C" w:rsidRPr="00702065" w:rsidRDefault="002E509C" w:rsidP="00F073DA">
            <w:pPr>
              <w:spacing w:before="120" w:after="120"/>
              <w:jc w:val="center"/>
              <w:rPr>
                <w:b/>
                <w:bCs/>
              </w:rPr>
            </w:pPr>
            <w:r w:rsidRPr="00702065">
              <w:rPr>
                <w:b/>
                <w:bCs/>
              </w:rPr>
              <w:t>Action</w:t>
            </w:r>
          </w:p>
        </w:tc>
      </w:tr>
      <w:tr w:rsidR="002E509C" w14:paraId="797E6DE8" w14:textId="77777777" w:rsidTr="00B97C1E">
        <w:trPr>
          <w:trHeight w:val="33"/>
        </w:trPr>
        <w:tc>
          <w:tcPr>
            <w:tcW w:w="0" w:type="auto"/>
            <w:vMerge/>
            <w:tcBorders>
              <w:left w:val="single" w:sz="4" w:space="0" w:color="auto"/>
              <w:right w:val="single" w:sz="4" w:space="0" w:color="auto"/>
            </w:tcBorders>
          </w:tcPr>
          <w:p w14:paraId="178BF8E9" w14:textId="77777777" w:rsidR="002E509C" w:rsidRDefault="002E509C" w:rsidP="00F073DA">
            <w:pPr>
              <w:spacing w:before="120" w:after="120"/>
              <w:jc w:val="center"/>
              <w:rPr>
                <w:b/>
              </w:rPr>
            </w:pPr>
          </w:p>
        </w:tc>
        <w:tc>
          <w:tcPr>
            <w:tcW w:w="989" w:type="pct"/>
            <w:tcBorders>
              <w:top w:val="single" w:sz="4" w:space="0" w:color="auto"/>
              <w:left w:val="single" w:sz="4" w:space="0" w:color="auto"/>
              <w:bottom w:val="single" w:sz="4" w:space="0" w:color="auto"/>
              <w:right w:val="single" w:sz="4" w:space="0" w:color="auto"/>
            </w:tcBorders>
          </w:tcPr>
          <w:p w14:paraId="6FD8C674" w14:textId="462CC229" w:rsidR="002E509C" w:rsidRDefault="002E509C" w:rsidP="00F073DA">
            <w:pPr>
              <w:spacing w:before="120" w:after="120"/>
            </w:pPr>
            <w:bookmarkStart w:id="30" w:name="OLE_LINK9"/>
            <w:r>
              <w:t>Opt Out of the Cost Saver program</w:t>
            </w:r>
            <w:bookmarkEnd w:id="30"/>
          </w:p>
        </w:tc>
        <w:tc>
          <w:tcPr>
            <w:tcW w:w="3805" w:type="pct"/>
            <w:tcBorders>
              <w:top w:val="single" w:sz="4" w:space="0" w:color="auto"/>
              <w:left w:val="single" w:sz="4" w:space="0" w:color="auto"/>
              <w:bottom w:val="single" w:sz="4" w:space="0" w:color="auto"/>
              <w:right w:val="single" w:sz="4" w:space="0" w:color="auto"/>
            </w:tcBorders>
          </w:tcPr>
          <w:p w14:paraId="6AF15E2E" w14:textId="3114EF5E" w:rsidR="002E509C" w:rsidRDefault="002E509C" w:rsidP="00F073DA">
            <w:pPr>
              <w:spacing w:before="120" w:after="120"/>
            </w:pPr>
            <w:bookmarkStart w:id="31" w:name="OLE_LINK10"/>
            <w:bookmarkStart w:id="32" w:name="OLE_LINK11"/>
            <w:r>
              <w:t xml:space="preserve">Click the </w:t>
            </w:r>
            <w:r w:rsidRPr="00D12B26">
              <w:rPr>
                <w:b/>
                <w:bCs/>
              </w:rPr>
              <w:t>Opt Out</w:t>
            </w:r>
            <w:r>
              <w:t xml:space="preserve"> button.</w:t>
            </w:r>
          </w:p>
          <w:p w14:paraId="73FD73D9" w14:textId="31533F47" w:rsidR="002E509C" w:rsidRDefault="002E509C" w:rsidP="00F073DA">
            <w:pPr>
              <w:spacing w:before="120" w:after="120"/>
            </w:pPr>
          </w:p>
          <w:p w14:paraId="61AF4787" w14:textId="6BD0A42F" w:rsidR="002E509C" w:rsidRDefault="002E509C" w:rsidP="00F073DA">
            <w:pPr>
              <w:spacing w:before="120" w:after="120"/>
              <w:jc w:val="center"/>
            </w:pPr>
            <w:r>
              <w:rPr>
                <w:noProof/>
              </w:rPr>
              <w:drawing>
                <wp:inline distT="0" distB="0" distL="0" distR="0" wp14:anchorId="3E378E7E" wp14:editId="3BFB9882">
                  <wp:extent cx="7315200" cy="11682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15200" cy="1168206"/>
                          </a:xfrm>
                          <a:prstGeom prst="rect">
                            <a:avLst/>
                          </a:prstGeom>
                        </pic:spPr>
                      </pic:pic>
                    </a:graphicData>
                  </a:graphic>
                </wp:inline>
              </w:drawing>
            </w:r>
          </w:p>
          <w:p w14:paraId="2D2F6F4A" w14:textId="59B3C47A" w:rsidR="002E509C" w:rsidRDefault="002E509C" w:rsidP="00F073DA">
            <w:pPr>
              <w:spacing w:before="120" w:after="120"/>
              <w:jc w:val="center"/>
            </w:pPr>
          </w:p>
          <w:p w14:paraId="60857122" w14:textId="0AAC2F0C" w:rsidR="002E509C" w:rsidRPr="008D4C26" w:rsidRDefault="002E509C" w:rsidP="00F073DA">
            <w:pPr>
              <w:spacing w:before="120" w:after="120"/>
              <w:rPr>
                <w:b/>
                <w:bCs/>
              </w:rPr>
            </w:pPr>
            <w:r w:rsidRPr="008D4C26">
              <w:rPr>
                <w:b/>
                <w:bCs/>
              </w:rPr>
              <w:t>Result:</w:t>
            </w:r>
          </w:p>
          <w:p w14:paraId="5E9ACD69" w14:textId="60C3D953" w:rsidR="002E509C" w:rsidRDefault="002E509C" w:rsidP="00F073DA">
            <w:pPr>
              <w:pStyle w:val="ListParagraph"/>
              <w:numPr>
                <w:ilvl w:val="0"/>
                <w:numId w:val="8"/>
              </w:numPr>
              <w:spacing w:before="120" w:after="120"/>
            </w:pPr>
            <w:r>
              <w:t>A confirmation pop-up message displays</w:t>
            </w:r>
            <w:r w:rsidR="008872EF">
              <w:t xml:space="preserve">: </w:t>
            </w:r>
            <w:r>
              <w:t>“Are you sure you want to opt the member out of the Cost Saver Program?”</w:t>
            </w:r>
          </w:p>
          <w:p w14:paraId="6A4238BD" w14:textId="3D97BF4E" w:rsidR="002E509C" w:rsidRDefault="002E509C" w:rsidP="00F073DA">
            <w:pPr>
              <w:pStyle w:val="ListParagraph"/>
              <w:numPr>
                <w:ilvl w:val="0"/>
                <w:numId w:val="8"/>
              </w:numPr>
              <w:spacing w:before="120" w:after="120"/>
            </w:pPr>
            <w:r>
              <w:t xml:space="preserve">Click </w:t>
            </w:r>
            <w:r w:rsidRPr="00850188">
              <w:rPr>
                <w:b/>
                <w:bCs/>
              </w:rPr>
              <w:t>Yes</w:t>
            </w:r>
            <w:r>
              <w:t xml:space="preserve"> to continue</w:t>
            </w:r>
            <w:bookmarkEnd w:id="31"/>
            <w:r>
              <w:t xml:space="preserve"> or </w:t>
            </w:r>
            <w:r w:rsidRPr="00850188">
              <w:rPr>
                <w:b/>
                <w:bCs/>
              </w:rPr>
              <w:t>Cancel</w:t>
            </w:r>
            <w:r>
              <w:t xml:space="preserve"> to return back to the Manage Client Program screen.</w:t>
            </w:r>
            <w:bookmarkEnd w:id="32"/>
          </w:p>
        </w:tc>
      </w:tr>
      <w:tr w:rsidR="002E509C" w14:paraId="69122264" w14:textId="77777777" w:rsidTr="00B97C1E">
        <w:trPr>
          <w:trHeight w:val="33"/>
        </w:trPr>
        <w:tc>
          <w:tcPr>
            <w:tcW w:w="0" w:type="auto"/>
            <w:vMerge/>
            <w:tcBorders>
              <w:left w:val="single" w:sz="4" w:space="0" w:color="auto"/>
              <w:bottom w:val="single" w:sz="4" w:space="0" w:color="auto"/>
              <w:right w:val="single" w:sz="4" w:space="0" w:color="auto"/>
            </w:tcBorders>
          </w:tcPr>
          <w:p w14:paraId="46684A96" w14:textId="77777777" w:rsidR="002E509C" w:rsidRDefault="002E509C" w:rsidP="00F073DA">
            <w:pPr>
              <w:spacing w:before="120" w:after="120"/>
              <w:jc w:val="center"/>
              <w:rPr>
                <w:b/>
              </w:rPr>
            </w:pPr>
          </w:p>
        </w:tc>
        <w:tc>
          <w:tcPr>
            <w:tcW w:w="989" w:type="pct"/>
            <w:tcBorders>
              <w:top w:val="single" w:sz="4" w:space="0" w:color="auto"/>
              <w:left w:val="single" w:sz="4" w:space="0" w:color="auto"/>
              <w:bottom w:val="single" w:sz="4" w:space="0" w:color="auto"/>
              <w:right w:val="single" w:sz="4" w:space="0" w:color="auto"/>
            </w:tcBorders>
          </w:tcPr>
          <w:p w14:paraId="4D55E1D2" w14:textId="714C7279" w:rsidR="002E509C" w:rsidRDefault="002E509C" w:rsidP="00F073DA">
            <w:pPr>
              <w:spacing w:before="120" w:after="120"/>
            </w:pPr>
            <w:r>
              <w:t>Opt back into the Cost Saver program</w:t>
            </w:r>
          </w:p>
          <w:p w14:paraId="2A022553" w14:textId="0234B1B8" w:rsidR="002E509C" w:rsidRDefault="002E509C" w:rsidP="00F073DA">
            <w:pPr>
              <w:spacing w:before="120" w:after="120"/>
            </w:pPr>
          </w:p>
        </w:tc>
        <w:tc>
          <w:tcPr>
            <w:tcW w:w="3805" w:type="pct"/>
            <w:tcBorders>
              <w:top w:val="single" w:sz="4" w:space="0" w:color="auto"/>
              <w:left w:val="single" w:sz="4" w:space="0" w:color="auto"/>
              <w:bottom w:val="single" w:sz="4" w:space="0" w:color="auto"/>
              <w:right w:val="single" w:sz="4" w:space="0" w:color="auto"/>
            </w:tcBorders>
          </w:tcPr>
          <w:p w14:paraId="181683A6" w14:textId="5664AC91" w:rsidR="002E509C" w:rsidRDefault="002E509C" w:rsidP="00F073DA">
            <w:pPr>
              <w:spacing w:before="120" w:after="120"/>
            </w:pPr>
            <w:r>
              <w:t xml:space="preserve">Click the </w:t>
            </w:r>
            <w:r w:rsidRPr="00D12B26">
              <w:rPr>
                <w:b/>
                <w:bCs/>
              </w:rPr>
              <w:t>Opt In</w:t>
            </w:r>
            <w:r>
              <w:t xml:space="preserve"> button.</w:t>
            </w:r>
          </w:p>
          <w:p w14:paraId="0788DE73" w14:textId="7B495828" w:rsidR="002E509C" w:rsidRDefault="002E509C" w:rsidP="00F073DA">
            <w:pPr>
              <w:spacing w:before="120" w:after="120"/>
            </w:pPr>
          </w:p>
          <w:p w14:paraId="47C7E26E" w14:textId="05ACF53C" w:rsidR="002E509C" w:rsidRDefault="002E509C" w:rsidP="00F073DA">
            <w:pPr>
              <w:spacing w:before="120" w:after="120"/>
              <w:jc w:val="center"/>
            </w:pPr>
            <w:r>
              <w:rPr>
                <w:noProof/>
              </w:rPr>
              <w:drawing>
                <wp:inline distT="0" distB="0" distL="0" distR="0" wp14:anchorId="769811E3" wp14:editId="2798FC03">
                  <wp:extent cx="7086600" cy="12179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7086600" cy="1217989"/>
                          </a:xfrm>
                          <a:prstGeom prst="rect">
                            <a:avLst/>
                          </a:prstGeom>
                        </pic:spPr>
                      </pic:pic>
                    </a:graphicData>
                  </a:graphic>
                </wp:inline>
              </w:drawing>
            </w:r>
          </w:p>
          <w:p w14:paraId="23FC69AB" w14:textId="67D0C859" w:rsidR="002E509C" w:rsidRPr="008D4C26" w:rsidRDefault="002E509C" w:rsidP="00F073DA">
            <w:pPr>
              <w:spacing w:before="120" w:after="120"/>
              <w:rPr>
                <w:b/>
                <w:bCs/>
              </w:rPr>
            </w:pPr>
            <w:r w:rsidRPr="008D4C26">
              <w:rPr>
                <w:b/>
                <w:bCs/>
              </w:rPr>
              <w:t>Result:</w:t>
            </w:r>
          </w:p>
          <w:p w14:paraId="32C5375F" w14:textId="0CE17513" w:rsidR="002E509C" w:rsidRDefault="002E509C" w:rsidP="00F073DA">
            <w:pPr>
              <w:pStyle w:val="ListParagraph"/>
              <w:numPr>
                <w:ilvl w:val="0"/>
                <w:numId w:val="13"/>
              </w:numPr>
              <w:spacing w:before="120" w:after="120"/>
            </w:pPr>
            <w:r>
              <w:t>A confirmation pop-up message displays</w:t>
            </w:r>
            <w:r w:rsidR="008872EF">
              <w:t xml:space="preserve">: </w:t>
            </w:r>
            <w:r>
              <w:t>“Are you sure you want to opt the member back into the Cost Saver Program?”</w:t>
            </w:r>
          </w:p>
          <w:p w14:paraId="2F5EA9E9" w14:textId="782D2366" w:rsidR="002E509C" w:rsidRDefault="002E509C" w:rsidP="00F073DA">
            <w:pPr>
              <w:pStyle w:val="ListParagraph"/>
              <w:numPr>
                <w:ilvl w:val="0"/>
                <w:numId w:val="13"/>
              </w:numPr>
              <w:spacing w:before="120" w:after="120"/>
            </w:pPr>
            <w:r>
              <w:t xml:space="preserve">Click </w:t>
            </w:r>
            <w:r>
              <w:rPr>
                <w:b/>
                <w:bCs/>
              </w:rPr>
              <w:t>Yes</w:t>
            </w:r>
            <w:r>
              <w:t xml:space="preserve"> to continue or </w:t>
            </w:r>
            <w:r>
              <w:rPr>
                <w:b/>
                <w:bCs/>
              </w:rPr>
              <w:t>Cancel</w:t>
            </w:r>
            <w:r>
              <w:t xml:space="preserve"> to return back to the Manage Client Program screen.</w:t>
            </w:r>
          </w:p>
        </w:tc>
      </w:tr>
    </w:tbl>
    <w:p w14:paraId="31BF43C9" w14:textId="77777777" w:rsidR="004911AD" w:rsidRPr="0014193C" w:rsidRDefault="004911AD" w:rsidP="004911AD"/>
    <w:p w14:paraId="025162A8" w14:textId="27DB72EE" w:rsidR="004D6CD0" w:rsidRPr="0014193C" w:rsidRDefault="004D6CD0" w:rsidP="004D6CD0">
      <w:pPr>
        <w:jc w:val="right"/>
      </w:pPr>
      <w:hyperlink w:anchor="_top" w:history="1">
        <w:r w:rsidRPr="00905AF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D6CD0" w:rsidRPr="0014193C" w14:paraId="1B404BF7" w14:textId="77777777" w:rsidTr="005567C6">
        <w:tc>
          <w:tcPr>
            <w:tcW w:w="5000" w:type="pct"/>
            <w:shd w:val="clear" w:color="auto" w:fill="C0C0C0"/>
          </w:tcPr>
          <w:p w14:paraId="074272F1" w14:textId="4CCCDD03" w:rsidR="004D6CD0" w:rsidRPr="0014193C" w:rsidRDefault="007B226A" w:rsidP="001F3E96">
            <w:pPr>
              <w:pStyle w:val="Heading2"/>
              <w:spacing w:before="120" w:after="120"/>
            </w:pPr>
            <w:bookmarkStart w:id="33" w:name="_Toc201848573"/>
            <w:r>
              <w:t>Related Documents</w:t>
            </w:r>
            <w:bookmarkEnd w:id="33"/>
          </w:p>
        </w:tc>
      </w:tr>
    </w:tbl>
    <w:p w14:paraId="17C33080" w14:textId="4A22F6CE" w:rsidR="005567C6" w:rsidRDefault="00B55110" w:rsidP="001F3E96">
      <w:pPr>
        <w:spacing w:before="120" w:after="120"/>
        <w:rPr>
          <w:color w:val="0000FF"/>
          <w:u w:val="single"/>
        </w:rPr>
      </w:pPr>
      <w:hyperlink r:id="rId26" w:anchor="!/view?docid=c1f1028b-e42c-4b4f-a4cf-cc0b42c91606" w:history="1">
        <w:r>
          <w:rPr>
            <w:color w:val="0000FF"/>
            <w:u w:val="single"/>
          </w:rPr>
          <w:t>Customer Care Abbreviations, Definitions, and Terms Index (017428)</w:t>
        </w:r>
      </w:hyperlink>
    </w:p>
    <w:p w14:paraId="2DC26990" w14:textId="3A6AC2DC" w:rsidR="00963900" w:rsidRPr="005567C6" w:rsidRDefault="00963900" w:rsidP="00963900">
      <w:pPr>
        <w:spacing w:before="120" w:after="120"/>
      </w:pPr>
    </w:p>
    <w:p w14:paraId="31ABA7FC" w14:textId="1BC0BEF6" w:rsidR="004D6CD0" w:rsidRDefault="007B226A" w:rsidP="001F3E96">
      <w:pPr>
        <w:spacing w:before="120" w:after="120"/>
        <w:rPr>
          <w:color w:val="0000FF"/>
          <w:u w:val="single"/>
        </w:rPr>
      </w:pPr>
      <w:r w:rsidRPr="007B226A">
        <w:rPr>
          <w:b/>
          <w:bCs/>
        </w:rPr>
        <w:t>Parent Document</w:t>
      </w:r>
      <w:r w:rsidR="008872EF">
        <w:rPr>
          <w:b/>
          <w:bCs/>
        </w:rPr>
        <w:t xml:space="preserve">: </w:t>
      </w:r>
      <w:hyperlink r:id="rId27" w:history="1">
        <w:r w:rsidR="005567C6" w:rsidRPr="005567C6">
          <w:rPr>
            <w:color w:val="0000FF"/>
            <w:u w:val="single"/>
          </w:rPr>
          <w:t>CALL-0049 Customer Care Internal and External Call Handling</w:t>
        </w:r>
      </w:hyperlink>
    </w:p>
    <w:p w14:paraId="6049502A" w14:textId="01F96AA0" w:rsidR="00216649" w:rsidRPr="0014193C" w:rsidRDefault="00216649" w:rsidP="001F3E96">
      <w:pPr>
        <w:spacing w:before="120" w:after="120"/>
      </w:pPr>
    </w:p>
    <w:p w14:paraId="52C536E4" w14:textId="77777777" w:rsidR="004D6CD0" w:rsidRPr="0014193C" w:rsidRDefault="004D6CD0" w:rsidP="004D6CD0">
      <w:pPr>
        <w:jc w:val="right"/>
      </w:pPr>
    </w:p>
    <w:p w14:paraId="1E833893" w14:textId="0E4CD1D7" w:rsidR="00B13B31" w:rsidRPr="0014193C" w:rsidRDefault="004D6CD0" w:rsidP="004574F6">
      <w:pPr>
        <w:jc w:val="right"/>
        <w:rPr>
          <w:sz w:val="16"/>
          <w:szCs w:val="16"/>
        </w:rPr>
      </w:pPr>
      <w:hyperlink w:anchor="_top" w:history="1">
        <w:r w:rsidRPr="00905AF8">
          <w:rPr>
            <w:rStyle w:val="Hyperlink"/>
          </w:rPr>
          <w:t>Top of the Document</w:t>
        </w:r>
      </w:hyperlink>
    </w:p>
    <w:p w14:paraId="2B1E1654" w14:textId="77777777" w:rsidR="00B13B31" w:rsidRPr="0014193C" w:rsidRDefault="00B13B31" w:rsidP="00C247CB">
      <w:pPr>
        <w:jc w:val="center"/>
        <w:rPr>
          <w:sz w:val="16"/>
          <w:szCs w:val="16"/>
        </w:rPr>
      </w:pPr>
    </w:p>
    <w:p w14:paraId="3C4B4D76" w14:textId="77777777" w:rsidR="00710E68" w:rsidRPr="0014193C" w:rsidRDefault="00710E68" w:rsidP="00C247CB">
      <w:pPr>
        <w:jc w:val="center"/>
        <w:rPr>
          <w:sz w:val="16"/>
          <w:szCs w:val="16"/>
        </w:rPr>
      </w:pPr>
      <w:r w:rsidRPr="0014193C">
        <w:rPr>
          <w:sz w:val="16"/>
          <w:szCs w:val="16"/>
        </w:rPr>
        <w:t xml:space="preserve">Not </w:t>
      </w:r>
      <w:r w:rsidR="00A03BB7" w:rsidRPr="0014193C">
        <w:rPr>
          <w:sz w:val="16"/>
          <w:szCs w:val="16"/>
        </w:rPr>
        <w:t>to Be Reproduced o</w:t>
      </w:r>
      <w:r w:rsidRPr="0014193C">
        <w:rPr>
          <w:sz w:val="16"/>
          <w:szCs w:val="16"/>
        </w:rPr>
        <w:t>r Disclosed to Others Without Prior Written Approval</w:t>
      </w:r>
    </w:p>
    <w:p w14:paraId="2FE78381" w14:textId="77777777" w:rsidR="00710E68" w:rsidRPr="0014193C" w:rsidRDefault="00710E68" w:rsidP="00C247CB">
      <w:pPr>
        <w:jc w:val="center"/>
        <w:rPr>
          <w:b/>
          <w:color w:val="000000"/>
          <w:sz w:val="16"/>
          <w:szCs w:val="16"/>
        </w:rPr>
      </w:pPr>
      <w:r w:rsidRPr="0014193C">
        <w:rPr>
          <w:b/>
          <w:color w:val="000000"/>
          <w:sz w:val="16"/>
          <w:szCs w:val="16"/>
        </w:rPr>
        <w:t xml:space="preserve">ELECTRONIC DATA = OFFICIAL VERSION </w:t>
      </w:r>
      <w:r w:rsidR="00B13B31" w:rsidRPr="0014193C">
        <w:rPr>
          <w:b/>
          <w:color w:val="000000"/>
          <w:sz w:val="16"/>
          <w:szCs w:val="16"/>
        </w:rPr>
        <w:t>/</w:t>
      </w:r>
      <w:r w:rsidRPr="0014193C">
        <w:rPr>
          <w:b/>
          <w:color w:val="000000"/>
          <w:sz w:val="16"/>
          <w:szCs w:val="16"/>
        </w:rPr>
        <w:t xml:space="preserve"> PAPER COPY </w:t>
      </w:r>
      <w:r w:rsidR="00B13B31" w:rsidRPr="0014193C">
        <w:rPr>
          <w:b/>
          <w:color w:val="000000"/>
          <w:sz w:val="16"/>
          <w:szCs w:val="16"/>
        </w:rPr>
        <w:t>=</w:t>
      </w:r>
      <w:r w:rsidRPr="0014193C">
        <w:rPr>
          <w:b/>
          <w:color w:val="000000"/>
          <w:sz w:val="16"/>
          <w:szCs w:val="16"/>
        </w:rPr>
        <w:t xml:space="preserve"> INFORMATIONAL ONLY</w:t>
      </w:r>
    </w:p>
    <w:p w14:paraId="5FACCB52" w14:textId="77777777" w:rsidR="005A64DA" w:rsidRPr="0014193C" w:rsidRDefault="005A64DA" w:rsidP="00C247CB">
      <w:pPr>
        <w:jc w:val="center"/>
        <w:rPr>
          <w:sz w:val="16"/>
          <w:szCs w:val="16"/>
        </w:rPr>
      </w:pPr>
    </w:p>
    <w:sectPr w:rsidR="005A64DA" w:rsidRPr="0014193C" w:rsidSect="00310677">
      <w:footerReference w:type="even" r:id="rId28"/>
      <w:footerReference w:type="default" r:id="rId29"/>
      <w:headerReference w:type="first" r:id="rId30"/>
      <w:footerReference w:type="first" r:id="rId3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93C74" w14:textId="77777777" w:rsidR="008937F3" w:rsidRDefault="008937F3">
      <w:r>
        <w:separator/>
      </w:r>
    </w:p>
  </w:endnote>
  <w:endnote w:type="continuationSeparator" w:id="0">
    <w:p w14:paraId="6CDF733F" w14:textId="77777777" w:rsidR="008937F3" w:rsidRDefault="008937F3">
      <w:r>
        <w:continuationSeparator/>
      </w:r>
    </w:p>
  </w:endnote>
  <w:endnote w:type="continuationNotice" w:id="1">
    <w:p w14:paraId="06ECB0DD" w14:textId="77777777" w:rsidR="008937F3" w:rsidRDefault="00893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E18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F7C08B"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E402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F82">
      <w:rPr>
        <w:rStyle w:val="PageNumber"/>
        <w:noProof/>
      </w:rPr>
      <w:t>1</w:t>
    </w:r>
    <w:r>
      <w:rPr>
        <w:rStyle w:val="PageNumber"/>
      </w:rPr>
      <w:fldChar w:fldCharType="end"/>
    </w:r>
  </w:p>
  <w:p w14:paraId="0AD10153"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FB77"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989CA" w14:textId="77777777" w:rsidR="008937F3" w:rsidRDefault="008937F3">
      <w:r>
        <w:separator/>
      </w:r>
    </w:p>
  </w:footnote>
  <w:footnote w:type="continuationSeparator" w:id="0">
    <w:p w14:paraId="2E0E71AC" w14:textId="77777777" w:rsidR="008937F3" w:rsidRDefault="008937F3">
      <w:r>
        <w:continuationSeparator/>
      </w:r>
    </w:p>
  </w:footnote>
  <w:footnote w:type="continuationNotice" w:id="1">
    <w:p w14:paraId="560116AF" w14:textId="77777777" w:rsidR="008937F3" w:rsidRDefault="008937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AD089"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6366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496178" o:spid="_x0000_i1025" type="#_x0000_t75" style="width:19.5pt;height:16.5pt;visibility:visible;mso-wrap-style:square">
            <v:imagedata r:id="rId1" o:title=""/>
          </v:shape>
        </w:pict>
      </mc:Choice>
      <mc:Fallback>
        <w:drawing>
          <wp:inline distT="0" distB="0" distL="0" distR="0" wp14:anchorId="580233C4" wp14:editId="580233C5">
            <wp:extent cx="247650" cy="209550"/>
            <wp:effectExtent l="0" t="0" r="0" b="0"/>
            <wp:docPr id="345496178" name="Picture 34549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mc:Fallback>
    </mc:AlternateContent>
  </w:numPicBullet>
  <w:abstractNum w:abstractNumId="0" w15:restartNumberingAfterBreak="0">
    <w:nsid w:val="0047579A"/>
    <w:multiLevelType w:val="hybridMultilevel"/>
    <w:tmpl w:val="047E9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727F"/>
    <w:multiLevelType w:val="hybridMultilevel"/>
    <w:tmpl w:val="6BB4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23A3D"/>
    <w:multiLevelType w:val="multilevel"/>
    <w:tmpl w:val="0E1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5F56"/>
    <w:multiLevelType w:val="hybridMultilevel"/>
    <w:tmpl w:val="2D660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23A51"/>
    <w:multiLevelType w:val="hybridMultilevel"/>
    <w:tmpl w:val="F2FC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66007B"/>
    <w:multiLevelType w:val="hybridMultilevel"/>
    <w:tmpl w:val="5AA61146"/>
    <w:lvl w:ilvl="0" w:tplc="7572247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667E7"/>
    <w:multiLevelType w:val="hybridMultilevel"/>
    <w:tmpl w:val="5C22F2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5722476">
      <w:start w:val="1"/>
      <w:numFmt w:val="bullet"/>
      <w:lvlText w:val=""/>
      <w:lvlJc w:val="left"/>
      <w:pPr>
        <w:ind w:left="2160" w:hanging="360"/>
      </w:pPr>
      <w:rPr>
        <w:rFonts w:ascii="Symbol" w:hAnsi="Symbol" w:hint="default"/>
        <w:b/>
        <w:i w:val="0"/>
        <w:sz w:val="24"/>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C616F0"/>
    <w:multiLevelType w:val="hybridMultilevel"/>
    <w:tmpl w:val="6D4C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67C39"/>
    <w:multiLevelType w:val="hybridMultilevel"/>
    <w:tmpl w:val="1D14E8C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9543759"/>
    <w:multiLevelType w:val="hybridMultilevel"/>
    <w:tmpl w:val="FBEE8C2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9B75FC2"/>
    <w:multiLevelType w:val="hybridMultilevel"/>
    <w:tmpl w:val="DD56D894"/>
    <w:lvl w:ilvl="0" w:tplc="3782ECA6">
      <w:start w:val="1"/>
      <w:numFmt w:val="bullet"/>
      <w:lvlText w:val=""/>
      <w:lvlPicBulletId w:val="0"/>
      <w:lvlJc w:val="left"/>
      <w:pPr>
        <w:tabs>
          <w:tab w:val="num" w:pos="720"/>
        </w:tabs>
        <w:ind w:left="720" w:hanging="360"/>
      </w:pPr>
      <w:rPr>
        <w:rFonts w:ascii="Symbol" w:hAnsi="Symbol" w:hint="default"/>
      </w:rPr>
    </w:lvl>
    <w:lvl w:ilvl="1" w:tplc="319EF1D2" w:tentative="1">
      <w:start w:val="1"/>
      <w:numFmt w:val="bullet"/>
      <w:lvlText w:val=""/>
      <w:lvlJc w:val="left"/>
      <w:pPr>
        <w:tabs>
          <w:tab w:val="num" w:pos="1440"/>
        </w:tabs>
        <w:ind w:left="1440" w:hanging="360"/>
      </w:pPr>
      <w:rPr>
        <w:rFonts w:ascii="Symbol" w:hAnsi="Symbol" w:hint="default"/>
      </w:rPr>
    </w:lvl>
    <w:lvl w:ilvl="2" w:tplc="B360E27A" w:tentative="1">
      <w:start w:val="1"/>
      <w:numFmt w:val="bullet"/>
      <w:lvlText w:val=""/>
      <w:lvlJc w:val="left"/>
      <w:pPr>
        <w:tabs>
          <w:tab w:val="num" w:pos="2160"/>
        </w:tabs>
        <w:ind w:left="2160" w:hanging="360"/>
      </w:pPr>
      <w:rPr>
        <w:rFonts w:ascii="Symbol" w:hAnsi="Symbol" w:hint="default"/>
      </w:rPr>
    </w:lvl>
    <w:lvl w:ilvl="3" w:tplc="DDF452FC" w:tentative="1">
      <w:start w:val="1"/>
      <w:numFmt w:val="bullet"/>
      <w:lvlText w:val=""/>
      <w:lvlJc w:val="left"/>
      <w:pPr>
        <w:tabs>
          <w:tab w:val="num" w:pos="2880"/>
        </w:tabs>
        <w:ind w:left="2880" w:hanging="360"/>
      </w:pPr>
      <w:rPr>
        <w:rFonts w:ascii="Symbol" w:hAnsi="Symbol" w:hint="default"/>
      </w:rPr>
    </w:lvl>
    <w:lvl w:ilvl="4" w:tplc="063206AA" w:tentative="1">
      <w:start w:val="1"/>
      <w:numFmt w:val="bullet"/>
      <w:lvlText w:val=""/>
      <w:lvlJc w:val="left"/>
      <w:pPr>
        <w:tabs>
          <w:tab w:val="num" w:pos="3600"/>
        </w:tabs>
        <w:ind w:left="3600" w:hanging="360"/>
      </w:pPr>
      <w:rPr>
        <w:rFonts w:ascii="Symbol" w:hAnsi="Symbol" w:hint="default"/>
      </w:rPr>
    </w:lvl>
    <w:lvl w:ilvl="5" w:tplc="F2404692" w:tentative="1">
      <w:start w:val="1"/>
      <w:numFmt w:val="bullet"/>
      <w:lvlText w:val=""/>
      <w:lvlJc w:val="left"/>
      <w:pPr>
        <w:tabs>
          <w:tab w:val="num" w:pos="4320"/>
        </w:tabs>
        <w:ind w:left="4320" w:hanging="360"/>
      </w:pPr>
      <w:rPr>
        <w:rFonts w:ascii="Symbol" w:hAnsi="Symbol" w:hint="default"/>
      </w:rPr>
    </w:lvl>
    <w:lvl w:ilvl="6" w:tplc="C8E22C76" w:tentative="1">
      <w:start w:val="1"/>
      <w:numFmt w:val="bullet"/>
      <w:lvlText w:val=""/>
      <w:lvlJc w:val="left"/>
      <w:pPr>
        <w:tabs>
          <w:tab w:val="num" w:pos="5040"/>
        </w:tabs>
        <w:ind w:left="5040" w:hanging="360"/>
      </w:pPr>
      <w:rPr>
        <w:rFonts w:ascii="Symbol" w:hAnsi="Symbol" w:hint="default"/>
      </w:rPr>
    </w:lvl>
    <w:lvl w:ilvl="7" w:tplc="1922A850" w:tentative="1">
      <w:start w:val="1"/>
      <w:numFmt w:val="bullet"/>
      <w:lvlText w:val=""/>
      <w:lvlJc w:val="left"/>
      <w:pPr>
        <w:tabs>
          <w:tab w:val="num" w:pos="5760"/>
        </w:tabs>
        <w:ind w:left="5760" w:hanging="360"/>
      </w:pPr>
      <w:rPr>
        <w:rFonts w:ascii="Symbol" w:hAnsi="Symbol" w:hint="default"/>
      </w:rPr>
    </w:lvl>
    <w:lvl w:ilvl="8" w:tplc="A54AAB8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0D607BF"/>
    <w:multiLevelType w:val="multilevel"/>
    <w:tmpl w:val="CEAC1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B4431"/>
    <w:multiLevelType w:val="hybridMultilevel"/>
    <w:tmpl w:val="9CC85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B7922"/>
    <w:multiLevelType w:val="hybridMultilevel"/>
    <w:tmpl w:val="392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D7A70"/>
    <w:multiLevelType w:val="multilevel"/>
    <w:tmpl w:val="B74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14012"/>
    <w:multiLevelType w:val="multilevel"/>
    <w:tmpl w:val="6F3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9" w15:restartNumberingAfterBreak="0">
    <w:nsid w:val="76DE6F67"/>
    <w:multiLevelType w:val="hybridMultilevel"/>
    <w:tmpl w:val="3056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129FC"/>
    <w:multiLevelType w:val="hybridMultilevel"/>
    <w:tmpl w:val="5EDA2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715642"/>
    <w:multiLevelType w:val="hybridMultilevel"/>
    <w:tmpl w:val="C9B8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15189">
    <w:abstractNumId w:val="5"/>
  </w:num>
  <w:num w:numId="2" w16cid:durableId="603732539">
    <w:abstractNumId w:val="9"/>
  </w:num>
  <w:num w:numId="3" w16cid:durableId="2100175178">
    <w:abstractNumId w:val="18"/>
  </w:num>
  <w:num w:numId="4" w16cid:durableId="875897190">
    <w:abstractNumId w:val="17"/>
  </w:num>
  <w:num w:numId="5" w16cid:durableId="2004892527">
    <w:abstractNumId w:val="13"/>
  </w:num>
  <w:num w:numId="6" w16cid:durableId="1454128775">
    <w:abstractNumId w:val="2"/>
  </w:num>
  <w:num w:numId="7" w16cid:durableId="1275870768">
    <w:abstractNumId w:val="16"/>
  </w:num>
  <w:num w:numId="8" w16cid:durableId="785076240">
    <w:abstractNumId w:val="1"/>
  </w:num>
  <w:num w:numId="9" w16cid:durableId="1837190050">
    <w:abstractNumId w:val="4"/>
  </w:num>
  <w:num w:numId="10" w16cid:durableId="566301481">
    <w:abstractNumId w:val="3"/>
  </w:num>
  <w:num w:numId="11" w16cid:durableId="1662585996">
    <w:abstractNumId w:val="11"/>
  </w:num>
  <w:num w:numId="12" w16cid:durableId="283539555">
    <w:abstractNumId w:val="1"/>
  </w:num>
  <w:num w:numId="13" w16cid:durableId="2114132313">
    <w:abstractNumId w:val="1"/>
  </w:num>
  <w:num w:numId="14" w16cid:durableId="53358452">
    <w:abstractNumId w:val="10"/>
  </w:num>
  <w:num w:numId="15" w16cid:durableId="1081411880">
    <w:abstractNumId w:val="12"/>
  </w:num>
  <w:num w:numId="16" w16cid:durableId="1965966931">
    <w:abstractNumId w:val="0"/>
  </w:num>
  <w:num w:numId="17" w16cid:durableId="1400591932">
    <w:abstractNumId w:val="20"/>
  </w:num>
  <w:num w:numId="18" w16cid:durableId="2137213802">
    <w:abstractNumId w:val="8"/>
  </w:num>
  <w:num w:numId="19" w16cid:durableId="1588616547">
    <w:abstractNumId w:val="15"/>
  </w:num>
  <w:num w:numId="20" w16cid:durableId="1176766250">
    <w:abstractNumId w:val="21"/>
  </w:num>
  <w:num w:numId="21" w16cid:durableId="1189484615">
    <w:abstractNumId w:val="19"/>
  </w:num>
  <w:num w:numId="22" w16cid:durableId="1626160620">
    <w:abstractNumId w:val="14"/>
  </w:num>
  <w:num w:numId="23" w16cid:durableId="1328165525">
    <w:abstractNumId w:val="7"/>
  </w:num>
  <w:num w:numId="24" w16cid:durableId="1275407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D0"/>
    <w:rsid w:val="000050D2"/>
    <w:rsid w:val="00015A2E"/>
    <w:rsid w:val="00035BED"/>
    <w:rsid w:val="00036FD9"/>
    <w:rsid w:val="00037AC8"/>
    <w:rsid w:val="00061AD2"/>
    <w:rsid w:val="00070AD5"/>
    <w:rsid w:val="00080191"/>
    <w:rsid w:val="00081CD8"/>
    <w:rsid w:val="0008665F"/>
    <w:rsid w:val="00093643"/>
    <w:rsid w:val="00095AB5"/>
    <w:rsid w:val="0009686B"/>
    <w:rsid w:val="0009729B"/>
    <w:rsid w:val="000A1611"/>
    <w:rsid w:val="000A332E"/>
    <w:rsid w:val="000A6B88"/>
    <w:rsid w:val="000A745F"/>
    <w:rsid w:val="000B3C4C"/>
    <w:rsid w:val="000B656F"/>
    <w:rsid w:val="000B727E"/>
    <w:rsid w:val="000B72DF"/>
    <w:rsid w:val="000C3FDD"/>
    <w:rsid w:val="000D1870"/>
    <w:rsid w:val="000D6714"/>
    <w:rsid w:val="000E6393"/>
    <w:rsid w:val="000F0D1B"/>
    <w:rsid w:val="000F4459"/>
    <w:rsid w:val="00103EFD"/>
    <w:rsid w:val="001070BB"/>
    <w:rsid w:val="00115011"/>
    <w:rsid w:val="00115944"/>
    <w:rsid w:val="0012373E"/>
    <w:rsid w:val="001303B3"/>
    <w:rsid w:val="00131DEE"/>
    <w:rsid w:val="001339A0"/>
    <w:rsid w:val="001349C7"/>
    <w:rsid w:val="001360A5"/>
    <w:rsid w:val="0014193C"/>
    <w:rsid w:val="00144F2F"/>
    <w:rsid w:val="00145702"/>
    <w:rsid w:val="001511B1"/>
    <w:rsid w:val="0015291C"/>
    <w:rsid w:val="0015590B"/>
    <w:rsid w:val="001560C4"/>
    <w:rsid w:val="0016273A"/>
    <w:rsid w:val="00170971"/>
    <w:rsid w:val="00176400"/>
    <w:rsid w:val="001A1B87"/>
    <w:rsid w:val="001A6983"/>
    <w:rsid w:val="001B13A8"/>
    <w:rsid w:val="001B3879"/>
    <w:rsid w:val="001B6A61"/>
    <w:rsid w:val="001D0C57"/>
    <w:rsid w:val="001E4FE3"/>
    <w:rsid w:val="001E57D6"/>
    <w:rsid w:val="001E6078"/>
    <w:rsid w:val="001F1218"/>
    <w:rsid w:val="001F2591"/>
    <w:rsid w:val="001F3990"/>
    <w:rsid w:val="001F3E96"/>
    <w:rsid w:val="002016B4"/>
    <w:rsid w:val="002055CF"/>
    <w:rsid w:val="002100C8"/>
    <w:rsid w:val="00216649"/>
    <w:rsid w:val="00223B78"/>
    <w:rsid w:val="002315C1"/>
    <w:rsid w:val="00240A61"/>
    <w:rsid w:val="00240EEB"/>
    <w:rsid w:val="00243EBB"/>
    <w:rsid w:val="00245D49"/>
    <w:rsid w:val="002460AD"/>
    <w:rsid w:val="00255C6B"/>
    <w:rsid w:val="00256B94"/>
    <w:rsid w:val="00265D86"/>
    <w:rsid w:val="00271333"/>
    <w:rsid w:val="00271CAA"/>
    <w:rsid w:val="00280741"/>
    <w:rsid w:val="0028215B"/>
    <w:rsid w:val="00291CE8"/>
    <w:rsid w:val="00292A43"/>
    <w:rsid w:val="00296127"/>
    <w:rsid w:val="00296765"/>
    <w:rsid w:val="002A14B0"/>
    <w:rsid w:val="002B02A3"/>
    <w:rsid w:val="002B211E"/>
    <w:rsid w:val="002B593E"/>
    <w:rsid w:val="002C2BA5"/>
    <w:rsid w:val="002D4D8C"/>
    <w:rsid w:val="002E2EB0"/>
    <w:rsid w:val="002E509C"/>
    <w:rsid w:val="002E58AD"/>
    <w:rsid w:val="002E7268"/>
    <w:rsid w:val="002F1F92"/>
    <w:rsid w:val="002F25D6"/>
    <w:rsid w:val="0030097B"/>
    <w:rsid w:val="00300E7B"/>
    <w:rsid w:val="00310677"/>
    <w:rsid w:val="00312690"/>
    <w:rsid w:val="00313B63"/>
    <w:rsid w:val="0033143E"/>
    <w:rsid w:val="0034410C"/>
    <w:rsid w:val="00351EF7"/>
    <w:rsid w:val="00356121"/>
    <w:rsid w:val="003612DB"/>
    <w:rsid w:val="003725A1"/>
    <w:rsid w:val="0037280C"/>
    <w:rsid w:val="0037460D"/>
    <w:rsid w:val="003763DB"/>
    <w:rsid w:val="00384D25"/>
    <w:rsid w:val="003868A2"/>
    <w:rsid w:val="00391682"/>
    <w:rsid w:val="00392A5B"/>
    <w:rsid w:val="003A6D70"/>
    <w:rsid w:val="003B1F86"/>
    <w:rsid w:val="003B37BD"/>
    <w:rsid w:val="003B59DA"/>
    <w:rsid w:val="003C2B16"/>
    <w:rsid w:val="003C4627"/>
    <w:rsid w:val="003C7FE2"/>
    <w:rsid w:val="003D05C4"/>
    <w:rsid w:val="003D6A37"/>
    <w:rsid w:val="003E03C0"/>
    <w:rsid w:val="003E0E26"/>
    <w:rsid w:val="003E6C1A"/>
    <w:rsid w:val="003F425E"/>
    <w:rsid w:val="00400EBD"/>
    <w:rsid w:val="0040590F"/>
    <w:rsid w:val="0040640A"/>
    <w:rsid w:val="00406DB5"/>
    <w:rsid w:val="0041107B"/>
    <w:rsid w:val="0041475B"/>
    <w:rsid w:val="0042336D"/>
    <w:rsid w:val="00423D8D"/>
    <w:rsid w:val="00426837"/>
    <w:rsid w:val="00430E7B"/>
    <w:rsid w:val="00443F8C"/>
    <w:rsid w:val="00452E72"/>
    <w:rsid w:val="00453F56"/>
    <w:rsid w:val="004574F6"/>
    <w:rsid w:val="00457EAE"/>
    <w:rsid w:val="0047246D"/>
    <w:rsid w:val="00473557"/>
    <w:rsid w:val="004735EC"/>
    <w:rsid w:val="00474B2F"/>
    <w:rsid w:val="004768BE"/>
    <w:rsid w:val="00477F73"/>
    <w:rsid w:val="0048355A"/>
    <w:rsid w:val="00486B9A"/>
    <w:rsid w:val="004878CF"/>
    <w:rsid w:val="004911AD"/>
    <w:rsid w:val="00492308"/>
    <w:rsid w:val="00492B99"/>
    <w:rsid w:val="004947E3"/>
    <w:rsid w:val="00496694"/>
    <w:rsid w:val="004978F5"/>
    <w:rsid w:val="004B17E4"/>
    <w:rsid w:val="004D001A"/>
    <w:rsid w:val="004D3C53"/>
    <w:rsid w:val="004D6CD0"/>
    <w:rsid w:val="004E0987"/>
    <w:rsid w:val="004E705B"/>
    <w:rsid w:val="004E70D6"/>
    <w:rsid w:val="004F3B2E"/>
    <w:rsid w:val="004F4CFB"/>
    <w:rsid w:val="004F79F6"/>
    <w:rsid w:val="00511E4B"/>
    <w:rsid w:val="00512486"/>
    <w:rsid w:val="00513E7E"/>
    <w:rsid w:val="0052465B"/>
    <w:rsid w:val="00524CDD"/>
    <w:rsid w:val="00541860"/>
    <w:rsid w:val="005459BE"/>
    <w:rsid w:val="00547570"/>
    <w:rsid w:val="00550290"/>
    <w:rsid w:val="00551A38"/>
    <w:rsid w:val="0055589B"/>
    <w:rsid w:val="005567C6"/>
    <w:rsid w:val="00556FF0"/>
    <w:rsid w:val="00557D67"/>
    <w:rsid w:val="00560738"/>
    <w:rsid w:val="00570DC6"/>
    <w:rsid w:val="00572588"/>
    <w:rsid w:val="00575255"/>
    <w:rsid w:val="00582E85"/>
    <w:rsid w:val="005910B5"/>
    <w:rsid w:val="00591EF8"/>
    <w:rsid w:val="00595DEE"/>
    <w:rsid w:val="005A0685"/>
    <w:rsid w:val="005A31E1"/>
    <w:rsid w:val="005A48BB"/>
    <w:rsid w:val="005A6002"/>
    <w:rsid w:val="005A6118"/>
    <w:rsid w:val="005A64DA"/>
    <w:rsid w:val="005B3E0C"/>
    <w:rsid w:val="005B45E8"/>
    <w:rsid w:val="005C1D83"/>
    <w:rsid w:val="005C2D8C"/>
    <w:rsid w:val="005E08F3"/>
    <w:rsid w:val="005E1BDC"/>
    <w:rsid w:val="005E2003"/>
    <w:rsid w:val="005E6483"/>
    <w:rsid w:val="005E650E"/>
    <w:rsid w:val="005F01DA"/>
    <w:rsid w:val="005F34AE"/>
    <w:rsid w:val="00600DD2"/>
    <w:rsid w:val="00604931"/>
    <w:rsid w:val="00617851"/>
    <w:rsid w:val="00620C2D"/>
    <w:rsid w:val="00622D77"/>
    <w:rsid w:val="00627216"/>
    <w:rsid w:val="00627F34"/>
    <w:rsid w:val="00633F81"/>
    <w:rsid w:val="00636B18"/>
    <w:rsid w:val="00637CA1"/>
    <w:rsid w:val="006414C8"/>
    <w:rsid w:val="006414F6"/>
    <w:rsid w:val="006424CA"/>
    <w:rsid w:val="0064267B"/>
    <w:rsid w:val="006437A5"/>
    <w:rsid w:val="0064428A"/>
    <w:rsid w:val="00644E81"/>
    <w:rsid w:val="00647A14"/>
    <w:rsid w:val="00665172"/>
    <w:rsid w:val="00670056"/>
    <w:rsid w:val="00674A16"/>
    <w:rsid w:val="00680000"/>
    <w:rsid w:val="00691E10"/>
    <w:rsid w:val="006A0481"/>
    <w:rsid w:val="006A07DC"/>
    <w:rsid w:val="006C5467"/>
    <w:rsid w:val="006C653F"/>
    <w:rsid w:val="006D0A7B"/>
    <w:rsid w:val="006D7876"/>
    <w:rsid w:val="006F347E"/>
    <w:rsid w:val="006F3846"/>
    <w:rsid w:val="006F565C"/>
    <w:rsid w:val="006F7DFC"/>
    <w:rsid w:val="00702065"/>
    <w:rsid w:val="00704690"/>
    <w:rsid w:val="00704AF2"/>
    <w:rsid w:val="00710E68"/>
    <w:rsid w:val="00714BA0"/>
    <w:rsid w:val="00714BBB"/>
    <w:rsid w:val="00720821"/>
    <w:rsid w:val="00720CC2"/>
    <w:rsid w:val="007269B6"/>
    <w:rsid w:val="00726E7A"/>
    <w:rsid w:val="0073294A"/>
    <w:rsid w:val="00732E52"/>
    <w:rsid w:val="00735BBE"/>
    <w:rsid w:val="00750335"/>
    <w:rsid w:val="00750685"/>
    <w:rsid w:val="00752801"/>
    <w:rsid w:val="00755322"/>
    <w:rsid w:val="0075759C"/>
    <w:rsid w:val="007632E9"/>
    <w:rsid w:val="00764ECF"/>
    <w:rsid w:val="00765F12"/>
    <w:rsid w:val="00785118"/>
    <w:rsid w:val="00786BEB"/>
    <w:rsid w:val="00796CB0"/>
    <w:rsid w:val="007972CB"/>
    <w:rsid w:val="007A0FAB"/>
    <w:rsid w:val="007B0C98"/>
    <w:rsid w:val="007B226A"/>
    <w:rsid w:val="007B622D"/>
    <w:rsid w:val="007C1BCD"/>
    <w:rsid w:val="007C3C70"/>
    <w:rsid w:val="007C77DD"/>
    <w:rsid w:val="007D7BF8"/>
    <w:rsid w:val="007E33E2"/>
    <w:rsid w:val="007E3EA6"/>
    <w:rsid w:val="007E6499"/>
    <w:rsid w:val="007E6E21"/>
    <w:rsid w:val="007F6247"/>
    <w:rsid w:val="008042E1"/>
    <w:rsid w:val="00804D63"/>
    <w:rsid w:val="00806B9D"/>
    <w:rsid w:val="00810C83"/>
    <w:rsid w:val="008124A4"/>
    <w:rsid w:val="00812777"/>
    <w:rsid w:val="00817F82"/>
    <w:rsid w:val="0084129E"/>
    <w:rsid w:val="00843390"/>
    <w:rsid w:val="0084556C"/>
    <w:rsid w:val="00846373"/>
    <w:rsid w:val="00850188"/>
    <w:rsid w:val="00852E66"/>
    <w:rsid w:val="008566B5"/>
    <w:rsid w:val="008568AE"/>
    <w:rsid w:val="00860590"/>
    <w:rsid w:val="008614E8"/>
    <w:rsid w:val="00867EDF"/>
    <w:rsid w:val="00875F0D"/>
    <w:rsid w:val="00877414"/>
    <w:rsid w:val="00882230"/>
    <w:rsid w:val="00886ACF"/>
    <w:rsid w:val="008871B6"/>
    <w:rsid w:val="008872EF"/>
    <w:rsid w:val="00891FE7"/>
    <w:rsid w:val="008937F3"/>
    <w:rsid w:val="008962E3"/>
    <w:rsid w:val="008968EF"/>
    <w:rsid w:val="008A03B7"/>
    <w:rsid w:val="008A3B29"/>
    <w:rsid w:val="008A44B3"/>
    <w:rsid w:val="008A7C40"/>
    <w:rsid w:val="008A7E80"/>
    <w:rsid w:val="008C0C0B"/>
    <w:rsid w:val="008C2197"/>
    <w:rsid w:val="008C3493"/>
    <w:rsid w:val="008C37AA"/>
    <w:rsid w:val="008C6A30"/>
    <w:rsid w:val="008D11A6"/>
    <w:rsid w:val="008D1F7B"/>
    <w:rsid w:val="008D2D64"/>
    <w:rsid w:val="008D4C26"/>
    <w:rsid w:val="008D5D15"/>
    <w:rsid w:val="008E0D55"/>
    <w:rsid w:val="008E3A95"/>
    <w:rsid w:val="008F1137"/>
    <w:rsid w:val="00902E07"/>
    <w:rsid w:val="00905AF8"/>
    <w:rsid w:val="00915690"/>
    <w:rsid w:val="00917540"/>
    <w:rsid w:val="00934F26"/>
    <w:rsid w:val="00941F4C"/>
    <w:rsid w:val="00945D88"/>
    <w:rsid w:val="00947783"/>
    <w:rsid w:val="00954FE8"/>
    <w:rsid w:val="00956C27"/>
    <w:rsid w:val="00963900"/>
    <w:rsid w:val="00963DD2"/>
    <w:rsid w:val="0096641F"/>
    <w:rsid w:val="00970C32"/>
    <w:rsid w:val="009726E0"/>
    <w:rsid w:val="00972898"/>
    <w:rsid w:val="00975003"/>
    <w:rsid w:val="009772CB"/>
    <w:rsid w:val="009836CE"/>
    <w:rsid w:val="009848E3"/>
    <w:rsid w:val="00990822"/>
    <w:rsid w:val="009908F7"/>
    <w:rsid w:val="0099461A"/>
    <w:rsid w:val="009953D2"/>
    <w:rsid w:val="00995F2D"/>
    <w:rsid w:val="009A191A"/>
    <w:rsid w:val="009B1EE6"/>
    <w:rsid w:val="009B2A74"/>
    <w:rsid w:val="009B5890"/>
    <w:rsid w:val="009B7C85"/>
    <w:rsid w:val="009C4688"/>
    <w:rsid w:val="009C4A31"/>
    <w:rsid w:val="009D0805"/>
    <w:rsid w:val="009D6E36"/>
    <w:rsid w:val="009E276D"/>
    <w:rsid w:val="009E3421"/>
    <w:rsid w:val="009E56EF"/>
    <w:rsid w:val="009E6B3C"/>
    <w:rsid w:val="009E74F2"/>
    <w:rsid w:val="009E76C5"/>
    <w:rsid w:val="009E77C4"/>
    <w:rsid w:val="009F1A97"/>
    <w:rsid w:val="009F42AE"/>
    <w:rsid w:val="009F4D14"/>
    <w:rsid w:val="009F6FD2"/>
    <w:rsid w:val="009F78D3"/>
    <w:rsid w:val="00A000F2"/>
    <w:rsid w:val="00A03BB7"/>
    <w:rsid w:val="00A12176"/>
    <w:rsid w:val="00A12AA4"/>
    <w:rsid w:val="00A1687A"/>
    <w:rsid w:val="00A175AA"/>
    <w:rsid w:val="00A27BF8"/>
    <w:rsid w:val="00A3131E"/>
    <w:rsid w:val="00A34A3C"/>
    <w:rsid w:val="00A3662E"/>
    <w:rsid w:val="00A41FAC"/>
    <w:rsid w:val="00A4732A"/>
    <w:rsid w:val="00A510FF"/>
    <w:rsid w:val="00A539C5"/>
    <w:rsid w:val="00A56393"/>
    <w:rsid w:val="00A62303"/>
    <w:rsid w:val="00A65D8B"/>
    <w:rsid w:val="00A67F20"/>
    <w:rsid w:val="00A7166B"/>
    <w:rsid w:val="00A72121"/>
    <w:rsid w:val="00A72634"/>
    <w:rsid w:val="00A757F0"/>
    <w:rsid w:val="00A759CA"/>
    <w:rsid w:val="00A82001"/>
    <w:rsid w:val="00A83BA0"/>
    <w:rsid w:val="00A84F18"/>
    <w:rsid w:val="00A85045"/>
    <w:rsid w:val="00A93392"/>
    <w:rsid w:val="00A93AEB"/>
    <w:rsid w:val="00A95738"/>
    <w:rsid w:val="00A97B7D"/>
    <w:rsid w:val="00AA0DBB"/>
    <w:rsid w:val="00AA4825"/>
    <w:rsid w:val="00AB0933"/>
    <w:rsid w:val="00AB33E1"/>
    <w:rsid w:val="00AC1D8C"/>
    <w:rsid w:val="00AD07F0"/>
    <w:rsid w:val="00AD08EF"/>
    <w:rsid w:val="00AD1646"/>
    <w:rsid w:val="00AD7238"/>
    <w:rsid w:val="00AF038B"/>
    <w:rsid w:val="00AF2755"/>
    <w:rsid w:val="00AF3DBB"/>
    <w:rsid w:val="00AF609C"/>
    <w:rsid w:val="00B05AB4"/>
    <w:rsid w:val="00B13B31"/>
    <w:rsid w:val="00B13C62"/>
    <w:rsid w:val="00B1738D"/>
    <w:rsid w:val="00B26045"/>
    <w:rsid w:val="00B302F5"/>
    <w:rsid w:val="00B31F99"/>
    <w:rsid w:val="00B3419A"/>
    <w:rsid w:val="00B3701F"/>
    <w:rsid w:val="00B40E73"/>
    <w:rsid w:val="00B44C55"/>
    <w:rsid w:val="00B46A95"/>
    <w:rsid w:val="00B51071"/>
    <w:rsid w:val="00B515A4"/>
    <w:rsid w:val="00B544C2"/>
    <w:rsid w:val="00B55110"/>
    <w:rsid w:val="00B5566F"/>
    <w:rsid w:val="00B70CC4"/>
    <w:rsid w:val="00B71DFA"/>
    <w:rsid w:val="00B73B96"/>
    <w:rsid w:val="00B80F5F"/>
    <w:rsid w:val="00B86809"/>
    <w:rsid w:val="00B878BA"/>
    <w:rsid w:val="00B97C1E"/>
    <w:rsid w:val="00BA6FBB"/>
    <w:rsid w:val="00BB02DE"/>
    <w:rsid w:val="00BB17D0"/>
    <w:rsid w:val="00BB371A"/>
    <w:rsid w:val="00BC2891"/>
    <w:rsid w:val="00BC6E2B"/>
    <w:rsid w:val="00BD0D39"/>
    <w:rsid w:val="00BD7B25"/>
    <w:rsid w:val="00BE1AFF"/>
    <w:rsid w:val="00BE2DF9"/>
    <w:rsid w:val="00BE5DF0"/>
    <w:rsid w:val="00BF58F6"/>
    <w:rsid w:val="00BF74E9"/>
    <w:rsid w:val="00C00217"/>
    <w:rsid w:val="00C00D75"/>
    <w:rsid w:val="00C04308"/>
    <w:rsid w:val="00C055EE"/>
    <w:rsid w:val="00C1001F"/>
    <w:rsid w:val="00C1254C"/>
    <w:rsid w:val="00C147FD"/>
    <w:rsid w:val="00C20472"/>
    <w:rsid w:val="00C2108F"/>
    <w:rsid w:val="00C247CB"/>
    <w:rsid w:val="00C25830"/>
    <w:rsid w:val="00C360BD"/>
    <w:rsid w:val="00C476E1"/>
    <w:rsid w:val="00C510B9"/>
    <w:rsid w:val="00C51400"/>
    <w:rsid w:val="00C52E77"/>
    <w:rsid w:val="00C566B3"/>
    <w:rsid w:val="00C62478"/>
    <w:rsid w:val="00C65249"/>
    <w:rsid w:val="00C67B32"/>
    <w:rsid w:val="00C729E0"/>
    <w:rsid w:val="00C75C83"/>
    <w:rsid w:val="00CA689D"/>
    <w:rsid w:val="00CA7568"/>
    <w:rsid w:val="00CB0C1D"/>
    <w:rsid w:val="00CC5AA2"/>
    <w:rsid w:val="00CC721A"/>
    <w:rsid w:val="00CD0963"/>
    <w:rsid w:val="00CD4D03"/>
    <w:rsid w:val="00CD70BB"/>
    <w:rsid w:val="00CE1FA8"/>
    <w:rsid w:val="00CE37FA"/>
    <w:rsid w:val="00CE3D42"/>
    <w:rsid w:val="00CE53E6"/>
    <w:rsid w:val="00CF02A1"/>
    <w:rsid w:val="00CF0C7F"/>
    <w:rsid w:val="00CF6131"/>
    <w:rsid w:val="00D002E1"/>
    <w:rsid w:val="00D0109F"/>
    <w:rsid w:val="00D0203C"/>
    <w:rsid w:val="00D06EAA"/>
    <w:rsid w:val="00D1270F"/>
    <w:rsid w:val="00D12B26"/>
    <w:rsid w:val="00D35765"/>
    <w:rsid w:val="00D36733"/>
    <w:rsid w:val="00D471B5"/>
    <w:rsid w:val="00D54763"/>
    <w:rsid w:val="00D56CBE"/>
    <w:rsid w:val="00D571DB"/>
    <w:rsid w:val="00D65C98"/>
    <w:rsid w:val="00D6774D"/>
    <w:rsid w:val="00D73493"/>
    <w:rsid w:val="00D75191"/>
    <w:rsid w:val="00D80929"/>
    <w:rsid w:val="00D84EB2"/>
    <w:rsid w:val="00D85254"/>
    <w:rsid w:val="00D90800"/>
    <w:rsid w:val="00D96275"/>
    <w:rsid w:val="00DA0707"/>
    <w:rsid w:val="00DA58FA"/>
    <w:rsid w:val="00DC3878"/>
    <w:rsid w:val="00DC4FFC"/>
    <w:rsid w:val="00DD4964"/>
    <w:rsid w:val="00DD6C55"/>
    <w:rsid w:val="00DD7D98"/>
    <w:rsid w:val="00DE76AE"/>
    <w:rsid w:val="00DF02D7"/>
    <w:rsid w:val="00DF5FC2"/>
    <w:rsid w:val="00DF6BE4"/>
    <w:rsid w:val="00E0149E"/>
    <w:rsid w:val="00E04E3C"/>
    <w:rsid w:val="00E157BC"/>
    <w:rsid w:val="00E26289"/>
    <w:rsid w:val="00E27959"/>
    <w:rsid w:val="00E30AEA"/>
    <w:rsid w:val="00E33567"/>
    <w:rsid w:val="00E37174"/>
    <w:rsid w:val="00E50E4A"/>
    <w:rsid w:val="00E66C83"/>
    <w:rsid w:val="00E7508A"/>
    <w:rsid w:val="00E81E4E"/>
    <w:rsid w:val="00E91C2E"/>
    <w:rsid w:val="00E91F5F"/>
    <w:rsid w:val="00EA55BE"/>
    <w:rsid w:val="00EA6F59"/>
    <w:rsid w:val="00EA7B30"/>
    <w:rsid w:val="00EB12DD"/>
    <w:rsid w:val="00EB153E"/>
    <w:rsid w:val="00EB57EB"/>
    <w:rsid w:val="00EB5E3F"/>
    <w:rsid w:val="00ED49A8"/>
    <w:rsid w:val="00ED50CF"/>
    <w:rsid w:val="00ED5502"/>
    <w:rsid w:val="00EE1FAE"/>
    <w:rsid w:val="00EE6B54"/>
    <w:rsid w:val="00EF7F05"/>
    <w:rsid w:val="00F073DA"/>
    <w:rsid w:val="00F1095E"/>
    <w:rsid w:val="00F1152F"/>
    <w:rsid w:val="00F11D42"/>
    <w:rsid w:val="00F207B3"/>
    <w:rsid w:val="00F24F75"/>
    <w:rsid w:val="00F316D3"/>
    <w:rsid w:val="00F31A11"/>
    <w:rsid w:val="00F36DA6"/>
    <w:rsid w:val="00F44D7B"/>
    <w:rsid w:val="00F51920"/>
    <w:rsid w:val="00F53C4A"/>
    <w:rsid w:val="00F5486B"/>
    <w:rsid w:val="00F5530C"/>
    <w:rsid w:val="00F554B4"/>
    <w:rsid w:val="00F640B0"/>
    <w:rsid w:val="00F658E0"/>
    <w:rsid w:val="00F6743D"/>
    <w:rsid w:val="00F67C0A"/>
    <w:rsid w:val="00F859B7"/>
    <w:rsid w:val="00F90068"/>
    <w:rsid w:val="00F90B40"/>
    <w:rsid w:val="00F9329D"/>
    <w:rsid w:val="00F95C44"/>
    <w:rsid w:val="00FA2DBA"/>
    <w:rsid w:val="00FA4699"/>
    <w:rsid w:val="00FA7465"/>
    <w:rsid w:val="00FB081B"/>
    <w:rsid w:val="00FB26E2"/>
    <w:rsid w:val="00FB55D7"/>
    <w:rsid w:val="00FB5B9D"/>
    <w:rsid w:val="00FB7CC0"/>
    <w:rsid w:val="00FC1C44"/>
    <w:rsid w:val="00FD407F"/>
    <w:rsid w:val="00FD58EF"/>
    <w:rsid w:val="00FE1132"/>
    <w:rsid w:val="00FF133E"/>
    <w:rsid w:val="06CE7571"/>
    <w:rsid w:val="12F16937"/>
    <w:rsid w:val="1CB39C83"/>
    <w:rsid w:val="1D1B7F00"/>
    <w:rsid w:val="4110B54D"/>
    <w:rsid w:val="5E7FDF36"/>
    <w:rsid w:val="655E1490"/>
    <w:rsid w:val="76EEDD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9B409B2"/>
  <w15:chartTrackingRefBased/>
  <w15:docId w15:val="{D9A90E56-A002-451D-AD13-044FA4D0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4763"/>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link w:val="Heading2Char"/>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FD407F"/>
    <w:pPr>
      <w:tabs>
        <w:tab w:val="right" w:leader="dot" w:pos="12950"/>
      </w:tabs>
    </w:pPr>
  </w:style>
  <w:style w:type="paragraph" w:styleId="TOC1">
    <w:name w:val="toc 1"/>
    <w:basedOn w:val="Normal"/>
    <w:next w:val="Normal"/>
    <w:autoRedefine/>
    <w:rsid w:val="00B13B31"/>
  </w:style>
  <w:style w:type="character" w:styleId="UnresolvedMention">
    <w:name w:val="Unresolved Mention"/>
    <w:uiPriority w:val="99"/>
    <w:unhideWhenUsed/>
    <w:rsid w:val="00C055EE"/>
    <w:rPr>
      <w:color w:val="605E5C"/>
      <w:shd w:val="clear" w:color="auto" w:fill="E1DFDD"/>
    </w:rPr>
  </w:style>
  <w:style w:type="paragraph" w:customStyle="1" w:styleId="style-scope">
    <w:name w:val="style-scope"/>
    <w:basedOn w:val="Normal"/>
    <w:rsid w:val="00FF133E"/>
    <w:pPr>
      <w:spacing w:before="100" w:beforeAutospacing="1" w:after="100" w:afterAutospacing="1"/>
    </w:pPr>
    <w:rPr>
      <w:rFonts w:ascii="Times New Roman" w:hAnsi="Times New Roman"/>
    </w:rPr>
  </w:style>
  <w:style w:type="paragraph" w:styleId="Revision">
    <w:name w:val="Revision"/>
    <w:hidden/>
    <w:uiPriority w:val="99"/>
    <w:semiHidden/>
    <w:rsid w:val="001E6078"/>
    <w:rPr>
      <w:rFonts w:ascii="Verdana" w:hAnsi="Verdana"/>
      <w:sz w:val="24"/>
      <w:szCs w:val="24"/>
    </w:rPr>
  </w:style>
  <w:style w:type="paragraph" w:styleId="ListParagraph">
    <w:name w:val="List Paragraph"/>
    <w:basedOn w:val="Normal"/>
    <w:link w:val="ListParagraphChar"/>
    <w:uiPriority w:val="34"/>
    <w:qFormat/>
    <w:rsid w:val="009E74F2"/>
    <w:pPr>
      <w:ind w:left="720"/>
      <w:contextualSpacing/>
    </w:pPr>
  </w:style>
  <w:style w:type="character" w:styleId="CommentReference">
    <w:name w:val="annotation reference"/>
    <w:basedOn w:val="DefaultParagraphFont"/>
    <w:rsid w:val="001F3990"/>
    <w:rPr>
      <w:sz w:val="16"/>
      <w:szCs w:val="16"/>
    </w:rPr>
  </w:style>
  <w:style w:type="paragraph" w:styleId="CommentText">
    <w:name w:val="annotation text"/>
    <w:basedOn w:val="Normal"/>
    <w:link w:val="CommentTextChar"/>
    <w:rsid w:val="001F3990"/>
    <w:rPr>
      <w:sz w:val="20"/>
      <w:szCs w:val="20"/>
    </w:rPr>
  </w:style>
  <w:style w:type="character" w:customStyle="1" w:styleId="CommentTextChar">
    <w:name w:val="Comment Text Char"/>
    <w:basedOn w:val="DefaultParagraphFont"/>
    <w:link w:val="CommentText"/>
    <w:rsid w:val="001F3990"/>
    <w:rPr>
      <w:rFonts w:ascii="Verdana" w:hAnsi="Verdana"/>
    </w:rPr>
  </w:style>
  <w:style w:type="paragraph" w:styleId="CommentSubject">
    <w:name w:val="annotation subject"/>
    <w:basedOn w:val="CommentText"/>
    <w:next w:val="CommentText"/>
    <w:link w:val="CommentSubjectChar"/>
    <w:rsid w:val="001F3990"/>
    <w:rPr>
      <w:b/>
      <w:bCs/>
    </w:rPr>
  </w:style>
  <w:style w:type="character" w:customStyle="1" w:styleId="CommentSubjectChar">
    <w:name w:val="Comment Subject Char"/>
    <w:basedOn w:val="CommentTextChar"/>
    <w:link w:val="CommentSubject"/>
    <w:rsid w:val="001F3990"/>
    <w:rPr>
      <w:rFonts w:ascii="Verdana" w:hAnsi="Verdana"/>
      <w:b/>
      <w:bCs/>
    </w:rPr>
  </w:style>
  <w:style w:type="character" w:styleId="Mention">
    <w:name w:val="Mention"/>
    <w:basedOn w:val="DefaultParagraphFont"/>
    <w:uiPriority w:val="99"/>
    <w:unhideWhenUsed/>
    <w:rsid w:val="00F554B4"/>
    <w:rPr>
      <w:color w:val="2B579A"/>
      <w:shd w:val="clear" w:color="auto" w:fill="E1DFDD"/>
    </w:rPr>
  </w:style>
  <w:style w:type="character" w:customStyle="1" w:styleId="Heading2Char">
    <w:name w:val="Heading 2 Char"/>
    <w:basedOn w:val="DefaultParagraphFont"/>
    <w:link w:val="Heading2"/>
    <w:rsid w:val="004911AD"/>
    <w:rPr>
      <w:rFonts w:ascii="Verdana" w:hAnsi="Verdana" w:cs="Arial"/>
      <w:b/>
      <w:bCs/>
      <w:iCs/>
      <w:sz w:val="28"/>
      <w:szCs w:val="28"/>
    </w:rPr>
  </w:style>
  <w:style w:type="paragraph" w:styleId="NoSpacing">
    <w:name w:val="No Spacing"/>
    <w:uiPriority w:val="1"/>
    <w:qFormat/>
    <w:rsid w:val="002A14B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locked/>
    <w:rsid w:val="00A67F20"/>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2335970">
      <w:bodyDiv w:val="1"/>
      <w:marLeft w:val="0"/>
      <w:marRight w:val="0"/>
      <w:marTop w:val="0"/>
      <w:marBottom w:val="0"/>
      <w:divBdr>
        <w:top w:val="none" w:sz="0" w:space="0" w:color="auto"/>
        <w:left w:val="none" w:sz="0" w:space="0" w:color="auto"/>
        <w:bottom w:val="none" w:sz="0" w:space="0" w:color="auto"/>
        <w:right w:val="none" w:sz="0" w:space="0" w:color="auto"/>
      </w:divBdr>
    </w:div>
    <w:div w:id="100151259">
      <w:bodyDiv w:val="1"/>
      <w:marLeft w:val="0"/>
      <w:marRight w:val="0"/>
      <w:marTop w:val="0"/>
      <w:marBottom w:val="0"/>
      <w:divBdr>
        <w:top w:val="none" w:sz="0" w:space="0" w:color="auto"/>
        <w:left w:val="none" w:sz="0" w:space="0" w:color="auto"/>
        <w:bottom w:val="none" w:sz="0" w:space="0" w:color="auto"/>
        <w:right w:val="none" w:sz="0" w:space="0" w:color="auto"/>
      </w:divBdr>
    </w:div>
    <w:div w:id="421416729">
      <w:bodyDiv w:val="1"/>
      <w:marLeft w:val="0"/>
      <w:marRight w:val="0"/>
      <w:marTop w:val="0"/>
      <w:marBottom w:val="0"/>
      <w:divBdr>
        <w:top w:val="none" w:sz="0" w:space="0" w:color="auto"/>
        <w:left w:val="none" w:sz="0" w:space="0" w:color="auto"/>
        <w:bottom w:val="none" w:sz="0" w:space="0" w:color="auto"/>
        <w:right w:val="none" w:sz="0" w:space="0" w:color="auto"/>
      </w:divBdr>
    </w:div>
    <w:div w:id="46550988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970406226">
      <w:bodyDiv w:val="1"/>
      <w:marLeft w:val="0"/>
      <w:marRight w:val="0"/>
      <w:marTop w:val="0"/>
      <w:marBottom w:val="0"/>
      <w:divBdr>
        <w:top w:val="none" w:sz="0" w:space="0" w:color="auto"/>
        <w:left w:val="none" w:sz="0" w:space="0" w:color="auto"/>
        <w:bottom w:val="none" w:sz="0" w:space="0" w:color="auto"/>
        <w:right w:val="none" w:sz="0" w:space="0" w:color="auto"/>
      </w:divBdr>
    </w:div>
    <w:div w:id="1139878587">
      <w:bodyDiv w:val="1"/>
      <w:marLeft w:val="0"/>
      <w:marRight w:val="0"/>
      <w:marTop w:val="0"/>
      <w:marBottom w:val="0"/>
      <w:divBdr>
        <w:top w:val="none" w:sz="0" w:space="0" w:color="auto"/>
        <w:left w:val="none" w:sz="0" w:space="0" w:color="auto"/>
        <w:bottom w:val="none" w:sz="0" w:space="0" w:color="auto"/>
        <w:right w:val="none" w:sz="0" w:space="0" w:color="auto"/>
      </w:divBdr>
    </w:div>
    <w:div w:id="1189948434">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82415612">
      <w:bodyDiv w:val="1"/>
      <w:marLeft w:val="0"/>
      <w:marRight w:val="0"/>
      <w:marTop w:val="0"/>
      <w:marBottom w:val="0"/>
      <w:divBdr>
        <w:top w:val="none" w:sz="0" w:space="0" w:color="auto"/>
        <w:left w:val="none" w:sz="0" w:space="0" w:color="auto"/>
        <w:bottom w:val="none" w:sz="0" w:space="0" w:color="auto"/>
        <w:right w:val="none" w:sz="0" w:space="0" w:color="auto"/>
      </w:divBdr>
    </w:div>
    <w:div w:id="1343239315">
      <w:bodyDiv w:val="1"/>
      <w:marLeft w:val="0"/>
      <w:marRight w:val="0"/>
      <w:marTop w:val="0"/>
      <w:marBottom w:val="0"/>
      <w:divBdr>
        <w:top w:val="none" w:sz="0" w:space="0" w:color="auto"/>
        <w:left w:val="none" w:sz="0" w:space="0" w:color="auto"/>
        <w:bottom w:val="none" w:sz="0" w:space="0" w:color="auto"/>
        <w:right w:val="none" w:sz="0" w:space="0" w:color="auto"/>
      </w:divBdr>
    </w:div>
    <w:div w:id="1451438883">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94049430">
      <w:bodyDiv w:val="1"/>
      <w:marLeft w:val="0"/>
      <w:marRight w:val="0"/>
      <w:marTop w:val="0"/>
      <w:marBottom w:val="0"/>
      <w:divBdr>
        <w:top w:val="none" w:sz="0" w:space="0" w:color="auto"/>
        <w:left w:val="none" w:sz="0" w:space="0" w:color="auto"/>
        <w:bottom w:val="none" w:sz="0" w:space="0" w:color="auto"/>
        <w:right w:val="none" w:sz="0" w:space="0" w:color="auto"/>
      </w:divBdr>
    </w:div>
    <w:div w:id="1700158753">
      <w:bodyDiv w:val="1"/>
      <w:marLeft w:val="0"/>
      <w:marRight w:val="0"/>
      <w:marTop w:val="0"/>
      <w:marBottom w:val="0"/>
      <w:divBdr>
        <w:top w:val="none" w:sz="0" w:space="0" w:color="auto"/>
        <w:left w:val="none" w:sz="0" w:space="0" w:color="auto"/>
        <w:bottom w:val="none" w:sz="0" w:space="0" w:color="auto"/>
        <w:right w:val="none" w:sz="0" w:space="0" w:color="auto"/>
      </w:divBdr>
    </w:div>
    <w:div w:id="1808012747">
      <w:bodyDiv w:val="1"/>
      <w:marLeft w:val="0"/>
      <w:marRight w:val="0"/>
      <w:marTop w:val="0"/>
      <w:marBottom w:val="0"/>
      <w:divBdr>
        <w:top w:val="none" w:sz="0" w:space="0" w:color="auto"/>
        <w:left w:val="none" w:sz="0" w:space="0" w:color="auto"/>
        <w:bottom w:val="none" w:sz="0" w:space="0" w:color="auto"/>
        <w:right w:val="none" w:sz="0" w:space="0" w:color="auto"/>
      </w:divBdr>
      <w:divsChild>
        <w:div w:id="1163395315">
          <w:marLeft w:val="0"/>
          <w:marRight w:val="0"/>
          <w:marTop w:val="0"/>
          <w:marBottom w:val="0"/>
          <w:divBdr>
            <w:top w:val="none" w:sz="0" w:space="0" w:color="auto"/>
            <w:left w:val="none" w:sz="0" w:space="0" w:color="auto"/>
            <w:bottom w:val="none" w:sz="0" w:space="0" w:color="auto"/>
            <w:right w:val="none" w:sz="0" w:space="0" w:color="auto"/>
          </w:divBdr>
          <w:divsChild>
            <w:div w:id="872304340">
              <w:marLeft w:val="330"/>
              <w:marRight w:val="0"/>
              <w:marTop w:val="0"/>
              <w:marBottom w:val="0"/>
              <w:divBdr>
                <w:top w:val="none" w:sz="0" w:space="0" w:color="auto"/>
                <w:left w:val="none" w:sz="0" w:space="0" w:color="auto"/>
                <w:bottom w:val="none" w:sz="0" w:space="0" w:color="auto"/>
                <w:right w:val="none" w:sz="0" w:space="0" w:color="auto"/>
              </w:divBdr>
            </w:div>
          </w:divsChild>
        </w:div>
        <w:div w:id="1792821671">
          <w:marLeft w:val="0"/>
          <w:marRight w:val="0"/>
          <w:marTop w:val="0"/>
          <w:marBottom w:val="0"/>
          <w:divBdr>
            <w:top w:val="none" w:sz="0" w:space="0" w:color="auto"/>
            <w:left w:val="none" w:sz="0" w:space="0" w:color="auto"/>
            <w:bottom w:val="none" w:sz="0" w:space="0" w:color="auto"/>
            <w:right w:val="none" w:sz="0" w:space="0" w:color="auto"/>
          </w:divBdr>
          <w:divsChild>
            <w:div w:id="365639653">
              <w:marLeft w:val="0"/>
              <w:marRight w:val="0"/>
              <w:marTop w:val="0"/>
              <w:marBottom w:val="0"/>
              <w:divBdr>
                <w:top w:val="none" w:sz="0" w:space="0" w:color="auto"/>
                <w:left w:val="none" w:sz="0" w:space="0" w:color="auto"/>
                <w:bottom w:val="none" w:sz="0" w:space="0" w:color="auto"/>
                <w:right w:val="none" w:sz="0" w:space="0" w:color="auto"/>
              </w:divBdr>
              <w:divsChild>
                <w:div w:id="75493556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4500">
      <w:bodyDiv w:val="1"/>
      <w:marLeft w:val="0"/>
      <w:marRight w:val="0"/>
      <w:marTop w:val="0"/>
      <w:marBottom w:val="0"/>
      <w:divBdr>
        <w:top w:val="none" w:sz="0" w:space="0" w:color="auto"/>
        <w:left w:val="none" w:sz="0" w:space="0" w:color="auto"/>
        <w:bottom w:val="none" w:sz="0" w:space="0" w:color="auto"/>
        <w:right w:val="none" w:sz="0" w:space="0" w:color="auto"/>
      </w:divBdr>
    </w:div>
    <w:div w:id="1868174315">
      <w:bodyDiv w:val="1"/>
      <w:marLeft w:val="0"/>
      <w:marRight w:val="0"/>
      <w:marTop w:val="0"/>
      <w:marBottom w:val="0"/>
      <w:divBdr>
        <w:top w:val="none" w:sz="0" w:space="0" w:color="auto"/>
        <w:left w:val="none" w:sz="0" w:space="0" w:color="auto"/>
        <w:bottom w:val="none" w:sz="0" w:space="0" w:color="auto"/>
        <w:right w:val="none" w:sz="0" w:space="0" w:color="auto"/>
      </w:divBdr>
      <w:divsChild>
        <w:div w:id="319160587">
          <w:marLeft w:val="0"/>
          <w:marRight w:val="0"/>
          <w:marTop w:val="0"/>
          <w:marBottom w:val="0"/>
          <w:divBdr>
            <w:top w:val="none" w:sz="0" w:space="0" w:color="auto"/>
            <w:left w:val="none" w:sz="0" w:space="0" w:color="auto"/>
            <w:bottom w:val="none" w:sz="0" w:space="0" w:color="auto"/>
            <w:right w:val="none" w:sz="0" w:space="0" w:color="auto"/>
          </w:divBdr>
          <w:divsChild>
            <w:div w:id="877664195">
              <w:marLeft w:val="0"/>
              <w:marRight w:val="0"/>
              <w:marTop w:val="0"/>
              <w:marBottom w:val="0"/>
              <w:divBdr>
                <w:top w:val="none" w:sz="0" w:space="0" w:color="auto"/>
                <w:left w:val="none" w:sz="0" w:space="0" w:color="auto"/>
                <w:bottom w:val="none" w:sz="0" w:space="0" w:color="auto"/>
                <w:right w:val="none" w:sz="0" w:space="0" w:color="auto"/>
              </w:divBdr>
              <w:divsChild>
                <w:div w:id="18005433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26180904">
          <w:marLeft w:val="0"/>
          <w:marRight w:val="0"/>
          <w:marTop w:val="0"/>
          <w:marBottom w:val="0"/>
          <w:divBdr>
            <w:top w:val="none" w:sz="0" w:space="0" w:color="auto"/>
            <w:left w:val="none" w:sz="0" w:space="0" w:color="auto"/>
            <w:bottom w:val="none" w:sz="0" w:space="0" w:color="auto"/>
            <w:right w:val="none" w:sz="0" w:space="0" w:color="auto"/>
          </w:divBdr>
          <w:divsChild>
            <w:div w:id="1962737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217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10.png"/><Relationship Id="rId27" Type="http://schemas.openxmlformats.org/officeDocument/2006/relationships/hyperlink" Target="https://policy.corp.cvscaremark.com/pnp/faces/DocRenderer?documentId=CALL-0049"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Props1.xml><?xml version="1.0" encoding="utf-8"?>
<ds:datastoreItem xmlns:ds="http://schemas.openxmlformats.org/officeDocument/2006/customXml" ds:itemID="{67A92688-00CE-4B7B-8241-B12E52DF8927}">
  <ds:schemaRefs>
    <ds:schemaRef ds:uri="http://schemas.microsoft.com/sharepoint/v3/contenttype/forms"/>
  </ds:schemaRefs>
</ds:datastoreItem>
</file>

<file path=customXml/itemProps2.xml><?xml version="1.0" encoding="utf-8"?>
<ds:datastoreItem xmlns:ds="http://schemas.openxmlformats.org/officeDocument/2006/customXml" ds:itemID="{DF9DFAC6-AC37-4F2B-906A-FA8C4DD90E63}">
  <ds:schemaRefs>
    <ds:schemaRef ds:uri="http://schemas.openxmlformats.org/officeDocument/2006/bibliography"/>
  </ds:schemaRefs>
</ds:datastoreItem>
</file>

<file path=customXml/itemProps3.xml><?xml version="1.0" encoding="utf-8"?>
<ds:datastoreItem xmlns:ds="http://schemas.openxmlformats.org/officeDocument/2006/customXml" ds:itemID="{02BA76A9-7B60-442C-984A-D7628329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ED938C-018C-4AF9-BC3B-BCAFF7F203D7}">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1045</Words>
  <Characters>6370</Characters>
  <Application>Microsoft Office Word</Application>
  <DocSecurity>0</DocSecurity>
  <Lines>53</Lines>
  <Paragraphs>14</Paragraphs>
  <ScaleCrop>false</ScaleCrop>
  <Company>Caremark RX</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Davis, David P.</cp:lastModifiedBy>
  <cp:revision>11</cp:revision>
  <cp:lastPrinted>2007-01-03T19:56:00Z</cp:lastPrinted>
  <dcterms:created xsi:type="dcterms:W3CDTF">2025-06-26T21:39:00Z</dcterms:created>
  <dcterms:modified xsi:type="dcterms:W3CDTF">2025-06-26T21:48:00Z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2023-03-20T17:43:00Z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c5aac360-1afb-4480-b2c2-238f10375e08</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0x010100ACB49505AAF66544B3991E59A726D05A</vt:lpwstr>
  </property>
  <property fmtid="{D5CDD505-2E9C-101B-9397-08002B2CF9AE}" pid="11" name="GrammarlyDocumentId">
    <vt:lpwstr>4fdc37e129d09de542575ba6a8d64b9cf1afcce89728bd44f553e4000801dc5d</vt:lpwstr>
  </property>
  <property fmtid="{D5CDD505-2E9C-101B-9397-08002B2CF9AE}" pid="12" name="TechnicalWriter">
    <vt:lpwstr/>
  </property>
</Properties>
</file>