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D9C9" w14:textId="3178DFB4" w:rsidR="00255C6B" w:rsidRPr="00812777" w:rsidRDefault="00850274" w:rsidP="00C969F3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9C13BF">
        <w:rPr>
          <w:rFonts w:ascii="Verdana" w:hAnsi="Verdana"/>
          <w:color w:val="000000"/>
          <w:sz w:val="36"/>
          <w:szCs w:val="36"/>
        </w:rPr>
        <w:t>Branded Generic</w:t>
      </w:r>
      <w:r w:rsidR="00DD2A16">
        <w:rPr>
          <w:rFonts w:ascii="Verdana" w:hAnsi="Verdana"/>
          <w:color w:val="000000"/>
          <w:sz w:val="36"/>
          <w:szCs w:val="36"/>
        </w:rPr>
        <w:t>s</w:t>
      </w:r>
    </w:p>
    <w:p w14:paraId="4BB2BCB9" w14:textId="77777777" w:rsidR="002D126F" w:rsidRDefault="002D126F" w:rsidP="00C969F3">
      <w:pPr>
        <w:pStyle w:val="TOC2"/>
        <w:spacing w:before="120" w:after="120"/>
      </w:pPr>
    </w:p>
    <w:p w14:paraId="3B0683E1" w14:textId="6AECDB17" w:rsidR="00C969F3" w:rsidRDefault="00E111FC" w:rsidP="00C969F3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E111FC">
        <w:rPr>
          <w:rFonts w:ascii="Verdana" w:hAnsi="Verdana"/>
        </w:rPr>
        <w:fldChar w:fldCharType="begin"/>
      </w:r>
      <w:r w:rsidRPr="00E111FC">
        <w:rPr>
          <w:rFonts w:ascii="Verdana" w:hAnsi="Verdana"/>
        </w:rPr>
        <w:instrText xml:space="preserve"> TOC \o "2-2" \n \p " " \h \z \u </w:instrText>
      </w:r>
      <w:r w:rsidRPr="00E111FC">
        <w:rPr>
          <w:rFonts w:ascii="Verdana" w:hAnsi="Verdana"/>
        </w:rPr>
        <w:fldChar w:fldCharType="separate"/>
      </w:r>
      <w:hyperlink w:anchor="_Toc195694949" w:history="1">
        <w:r w:rsidR="00C969F3" w:rsidRPr="006E44DA">
          <w:rPr>
            <w:rStyle w:val="Hyperlink"/>
            <w:rFonts w:ascii="Verdana" w:hAnsi="Verdana"/>
            <w:noProof/>
          </w:rPr>
          <w:t>What are Branded Generics?</w:t>
        </w:r>
      </w:hyperlink>
    </w:p>
    <w:p w14:paraId="03FE1E3E" w14:textId="13870C8D" w:rsidR="00C969F3" w:rsidRDefault="00C969F3" w:rsidP="00C969F3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694950" w:history="1">
        <w:r w:rsidRPr="006E44DA">
          <w:rPr>
            <w:rStyle w:val="Hyperlink"/>
            <w:rFonts w:ascii="Verdana" w:hAnsi="Verdana"/>
            <w:noProof/>
          </w:rPr>
          <w:t>DAW 5 (Branded Generic) Medications</w:t>
        </w:r>
      </w:hyperlink>
    </w:p>
    <w:p w14:paraId="46DAD949" w14:textId="78527A42" w:rsidR="00C969F3" w:rsidRDefault="00C969F3" w:rsidP="00C969F3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694951" w:history="1">
        <w:r w:rsidRPr="006E44DA">
          <w:rPr>
            <w:rStyle w:val="Hyperlink"/>
            <w:rFonts w:ascii="Verdana" w:hAnsi="Verdana"/>
            <w:noProof/>
          </w:rPr>
          <w:t>Test Claims for Branded Generics</w:t>
        </w:r>
      </w:hyperlink>
    </w:p>
    <w:p w14:paraId="54CE982A" w14:textId="38CE8E87" w:rsidR="00C969F3" w:rsidRDefault="00C969F3" w:rsidP="00C969F3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694952" w:history="1">
        <w:r w:rsidRPr="006E44DA">
          <w:rPr>
            <w:rStyle w:val="Hyperlink"/>
            <w:rFonts w:ascii="Verdana" w:hAnsi="Verdana"/>
            <w:noProof/>
          </w:rPr>
          <w:t>Member Received a Branded Generic</w:t>
        </w:r>
      </w:hyperlink>
    </w:p>
    <w:p w14:paraId="14B06A83" w14:textId="69DB1586" w:rsidR="00C969F3" w:rsidRDefault="00C969F3" w:rsidP="00C969F3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694953" w:history="1">
        <w:r w:rsidRPr="006E44DA">
          <w:rPr>
            <w:rStyle w:val="Hyperlink"/>
            <w:rFonts w:ascii="Verdana" w:hAnsi="Verdana"/>
            <w:noProof/>
          </w:rPr>
          <w:t>Member Received a Brand but Wanted a Branded Generic</w:t>
        </w:r>
      </w:hyperlink>
    </w:p>
    <w:p w14:paraId="4EF2E29B" w14:textId="60880C22" w:rsidR="00C969F3" w:rsidRDefault="00C969F3" w:rsidP="00C969F3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694954" w:history="1">
        <w:r w:rsidRPr="006E44DA">
          <w:rPr>
            <w:rStyle w:val="Hyperlink"/>
            <w:rFonts w:ascii="Verdana" w:hAnsi="Verdana"/>
            <w:noProof/>
          </w:rPr>
          <w:t>Scenario Guide</w:t>
        </w:r>
      </w:hyperlink>
    </w:p>
    <w:p w14:paraId="56EC24EE" w14:textId="4BE48BF2" w:rsidR="00C969F3" w:rsidRDefault="00C969F3" w:rsidP="00C969F3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694955" w:history="1">
        <w:r w:rsidRPr="006E44DA">
          <w:rPr>
            <w:rStyle w:val="Hyperlink"/>
            <w:rFonts w:ascii="Verdana" w:hAnsi="Verdana"/>
            <w:noProof/>
          </w:rPr>
          <w:t>Related Documents</w:t>
        </w:r>
      </w:hyperlink>
    </w:p>
    <w:p w14:paraId="2D658DD7" w14:textId="3C51A962" w:rsidR="00771AC6" w:rsidRDefault="00E111FC" w:rsidP="00C969F3">
      <w:pPr>
        <w:spacing w:before="120" w:after="120"/>
      </w:pPr>
      <w:r w:rsidRPr="00E111FC">
        <w:rPr>
          <w:rFonts w:ascii="Verdana" w:hAnsi="Verdana"/>
        </w:rPr>
        <w:fldChar w:fldCharType="end"/>
      </w:r>
    </w:p>
    <w:p w14:paraId="57B5BF97" w14:textId="15BA0DD4" w:rsidR="00886877" w:rsidRDefault="00C307C6" w:rsidP="00C969F3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120D3F">
        <w:rPr>
          <w:rFonts w:ascii="Verdana" w:hAnsi="Verdana"/>
          <w:b/>
          <w:bCs/>
          <w:noProof/>
        </w:rPr>
        <w:t>Description:</w:t>
      </w:r>
      <w:r>
        <w:rPr>
          <w:rFonts w:ascii="Verdana" w:hAnsi="Verdana"/>
          <w:noProof/>
        </w:rPr>
        <w:t xml:space="preserve"> </w:t>
      </w:r>
      <w:bookmarkStart w:id="2" w:name="OLE_LINK22"/>
      <w:r w:rsidR="00560CA1">
        <w:rPr>
          <w:rFonts w:ascii="Verdana" w:hAnsi="Verdana"/>
          <w:noProof/>
        </w:rPr>
        <w:t>Describes</w:t>
      </w:r>
      <w:r w:rsidR="00F50FC2">
        <w:rPr>
          <w:rFonts w:ascii="Verdana" w:hAnsi="Verdana"/>
        </w:rPr>
        <w:t xml:space="preserve"> </w:t>
      </w:r>
      <w:r w:rsidR="007D27A4">
        <w:rPr>
          <w:rFonts w:ascii="Verdana" w:hAnsi="Verdana"/>
        </w:rPr>
        <w:t>Dispense as Written (</w:t>
      </w:r>
      <w:r w:rsidR="00F50FC2">
        <w:rPr>
          <w:rFonts w:ascii="Verdana" w:hAnsi="Verdana"/>
        </w:rPr>
        <w:t>DAW</w:t>
      </w:r>
      <w:r w:rsidR="007D27A4">
        <w:rPr>
          <w:rFonts w:ascii="Verdana" w:hAnsi="Verdana"/>
        </w:rPr>
        <w:t>)</w:t>
      </w:r>
      <w:r w:rsidR="00F50FC2">
        <w:rPr>
          <w:rFonts w:ascii="Verdana" w:hAnsi="Verdana"/>
        </w:rPr>
        <w:t xml:space="preserve"> 5 (Brand as Generic) Drugs, and </w:t>
      </w:r>
      <w:r w:rsidR="00AC0BEF">
        <w:rPr>
          <w:rFonts w:ascii="Verdana" w:hAnsi="Verdana"/>
          <w:noProof/>
        </w:rPr>
        <w:t xml:space="preserve">instructions </w:t>
      </w:r>
      <w:r w:rsidR="00F50FC2">
        <w:rPr>
          <w:rFonts w:ascii="Verdana" w:hAnsi="Verdana"/>
          <w:noProof/>
        </w:rPr>
        <w:t xml:space="preserve">for </w:t>
      </w:r>
      <w:r w:rsidR="00AC0BEF">
        <w:rPr>
          <w:rFonts w:ascii="Verdana" w:hAnsi="Verdana"/>
          <w:noProof/>
        </w:rPr>
        <w:t xml:space="preserve">when </w:t>
      </w:r>
      <w:r w:rsidR="00AC0BEF">
        <w:rPr>
          <w:rFonts w:ascii="Verdana" w:hAnsi="Verdana"/>
        </w:rPr>
        <w:t xml:space="preserve">a </w:t>
      </w:r>
      <w:r w:rsidR="00B11A18">
        <w:rPr>
          <w:rFonts w:ascii="Verdana" w:hAnsi="Verdana"/>
        </w:rPr>
        <w:t>member</w:t>
      </w:r>
      <w:r w:rsidR="00AC0BEF">
        <w:rPr>
          <w:rFonts w:ascii="Verdana" w:hAnsi="Verdana"/>
        </w:rPr>
        <w:t xml:space="preserve"> calls with questions about receiving a </w:t>
      </w:r>
      <w:r w:rsidR="00F50FC2">
        <w:rPr>
          <w:rFonts w:ascii="Verdana" w:hAnsi="Verdana"/>
        </w:rPr>
        <w:t>b</w:t>
      </w:r>
      <w:r w:rsidR="00AC0BEF">
        <w:rPr>
          <w:rFonts w:ascii="Verdana" w:hAnsi="Verdana"/>
        </w:rPr>
        <w:t xml:space="preserve">randed </w:t>
      </w:r>
      <w:r w:rsidR="00F50FC2">
        <w:rPr>
          <w:rFonts w:ascii="Verdana" w:hAnsi="Verdana"/>
        </w:rPr>
        <w:t>g</w:t>
      </w:r>
      <w:r w:rsidR="00AC0BEF">
        <w:rPr>
          <w:rFonts w:ascii="Verdana" w:hAnsi="Verdana"/>
        </w:rPr>
        <w:t>eneric</w:t>
      </w:r>
      <w:r w:rsidR="00F50FC2">
        <w:rPr>
          <w:rFonts w:ascii="Verdana" w:hAnsi="Verdana"/>
        </w:rPr>
        <w:t xml:space="preserve"> or about </w:t>
      </w:r>
      <w:r w:rsidR="00AC0BEF">
        <w:rPr>
          <w:rFonts w:ascii="Verdana" w:hAnsi="Verdana"/>
        </w:rPr>
        <w:t xml:space="preserve">receiving </w:t>
      </w:r>
      <w:r w:rsidR="00F50FC2">
        <w:rPr>
          <w:rFonts w:ascii="Verdana" w:hAnsi="Verdana"/>
        </w:rPr>
        <w:t>the</w:t>
      </w:r>
      <w:r w:rsidR="00AC0BEF">
        <w:rPr>
          <w:rFonts w:ascii="Verdana" w:hAnsi="Verdana"/>
        </w:rPr>
        <w:t xml:space="preserve"> brand </w:t>
      </w:r>
      <w:r w:rsidR="00F50FC2">
        <w:rPr>
          <w:rFonts w:ascii="Verdana" w:hAnsi="Verdana"/>
        </w:rPr>
        <w:t xml:space="preserve">name version </w:t>
      </w:r>
      <w:r w:rsidR="00AC0BEF">
        <w:rPr>
          <w:rFonts w:ascii="Verdana" w:hAnsi="Verdana"/>
        </w:rPr>
        <w:t>instead of a branded generic</w:t>
      </w:r>
      <w:r w:rsidR="00F50FC2">
        <w:rPr>
          <w:rFonts w:ascii="Verdana" w:hAnsi="Verdana"/>
        </w:rPr>
        <w:t xml:space="preserve"> medication</w:t>
      </w:r>
      <w:bookmarkStart w:id="3" w:name="OLE_LINK11"/>
      <w:bookmarkEnd w:id="2"/>
      <w:r w:rsidR="0006778F">
        <w:rPr>
          <w:rFonts w:ascii="Verdana" w:hAnsi="Verdana"/>
        </w:rPr>
        <w:t xml:space="preserve">. </w:t>
      </w:r>
    </w:p>
    <w:p w14:paraId="59D525F3" w14:textId="77777777" w:rsidR="00E7767B" w:rsidRDefault="00E7767B" w:rsidP="00C969F3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D2A16" w14:paraId="01D6AF58" w14:textId="77777777" w:rsidTr="00E111F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B9E016" w14:textId="05988CCA" w:rsidR="00DD2A16" w:rsidRDefault="00DD2A16" w:rsidP="00C969F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195687290"/>
            <w:bookmarkStart w:id="5" w:name="_Toc195694949"/>
            <w:r>
              <w:rPr>
                <w:rFonts w:ascii="Verdana" w:hAnsi="Verdana"/>
                <w:i w:val="0"/>
                <w:iCs w:val="0"/>
              </w:rPr>
              <w:t xml:space="preserve">What </w:t>
            </w:r>
            <w:r w:rsidR="00886877">
              <w:rPr>
                <w:rFonts w:ascii="Verdana" w:hAnsi="Verdana"/>
                <w:i w:val="0"/>
                <w:iCs w:val="0"/>
              </w:rPr>
              <w:t>are</w:t>
            </w:r>
            <w:r>
              <w:rPr>
                <w:rFonts w:ascii="Verdana" w:hAnsi="Verdana"/>
                <w:i w:val="0"/>
                <w:iCs w:val="0"/>
              </w:rPr>
              <w:t xml:space="preserve"> Branded Generics?</w:t>
            </w:r>
            <w:bookmarkEnd w:id="4"/>
            <w:bookmarkEnd w:id="5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FB17680" w14:textId="77777777" w:rsidR="00886877" w:rsidRDefault="00886877" w:rsidP="00C969F3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</w:p>
    <w:p w14:paraId="48992213" w14:textId="7ACCEA4F" w:rsidR="00B2020B" w:rsidRDefault="00B2020B" w:rsidP="00C969F3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Branded </w:t>
      </w:r>
      <w:r w:rsidR="00DF7C85">
        <w:rPr>
          <w:rFonts w:ascii="Verdana" w:hAnsi="Verdana"/>
          <w:color w:val="000000"/>
        </w:rPr>
        <w:t>g</w:t>
      </w:r>
      <w:r>
        <w:rPr>
          <w:rFonts w:ascii="Verdana" w:hAnsi="Verdana"/>
          <w:color w:val="000000"/>
        </w:rPr>
        <w:t xml:space="preserve">enerics are generic medications which are sold under a trademarked name. This name is different from the original </w:t>
      </w:r>
      <w:r w:rsidR="00DF7C85">
        <w:rPr>
          <w:rFonts w:ascii="Verdana" w:hAnsi="Verdana"/>
          <w:color w:val="000000"/>
        </w:rPr>
        <w:t>b</w:t>
      </w:r>
      <w:r>
        <w:rPr>
          <w:rFonts w:ascii="Verdana" w:hAnsi="Verdana"/>
          <w:color w:val="000000"/>
        </w:rPr>
        <w:t xml:space="preserve">rand </w:t>
      </w:r>
      <w:r w:rsidR="00DF7C85"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 xml:space="preserve">ame and the </w:t>
      </w:r>
      <w:r w:rsidR="00DF7C85">
        <w:rPr>
          <w:rFonts w:ascii="Verdana" w:hAnsi="Verdana"/>
          <w:color w:val="000000"/>
        </w:rPr>
        <w:t>c</w:t>
      </w:r>
      <w:r>
        <w:rPr>
          <w:rFonts w:ascii="Verdana" w:hAnsi="Verdana"/>
          <w:color w:val="000000"/>
        </w:rPr>
        <w:t xml:space="preserve">hemical </w:t>
      </w:r>
      <w:r w:rsidR="00DF7C85">
        <w:rPr>
          <w:rFonts w:ascii="Verdana" w:hAnsi="Verdana"/>
          <w:color w:val="000000"/>
        </w:rPr>
        <w:t>d</w:t>
      </w:r>
      <w:r>
        <w:rPr>
          <w:rFonts w:ascii="Verdana" w:hAnsi="Verdana"/>
          <w:color w:val="000000"/>
        </w:rPr>
        <w:t xml:space="preserve">rug </w:t>
      </w:r>
      <w:r w:rsidR="00DF7C85"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 xml:space="preserve">ame. They are considered therapeutically </w:t>
      </w:r>
      <w:r w:rsidR="00DB2D74">
        <w:rPr>
          <w:rFonts w:ascii="Verdana" w:hAnsi="Verdana"/>
          <w:color w:val="000000"/>
        </w:rPr>
        <w:t xml:space="preserve">and chemically </w:t>
      </w:r>
      <w:r>
        <w:rPr>
          <w:rFonts w:ascii="Verdana" w:hAnsi="Verdana"/>
          <w:color w:val="000000"/>
        </w:rPr>
        <w:t>identical to both the brand and generic forms and can be substituted at the pharmacy’s discretion</w:t>
      </w:r>
      <w:r w:rsidR="00824FCA">
        <w:rPr>
          <w:rFonts w:ascii="Verdana" w:hAnsi="Verdana"/>
          <w:color w:val="000000"/>
        </w:rPr>
        <w:t>;</w:t>
      </w:r>
      <w:r>
        <w:rPr>
          <w:rFonts w:ascii="Verdana" w:hAnsi="Verdana"/>
          <w:color w:val="000000"/>
        </w:rPr>
        <w:t xml:space="preserve"> </w:t>
      </w:r>
      <w:r w:rsidR="00A45C36">
        <w:rPr>
          <w:rFonts w:ascii="Verdana" w:hAnsi="Verdana"/>
          <w:color w:val="000000"/>
        </w:rPr>
        <w:t>if</w:t>
      </w:r>
      <w:r>
        <w:rPr>
          <w:rFonts w:ascii="Verdana" w:hAnsi="Verdana"/>
          <w:color w:val="000000"/>
        </w:rPr>
        <w:t xml:space="preserve"> the prescriber has indicated </w:t>
      </w:r>
      <w:r w:rsidR="007D27A4">
        <w:rPr>
          <w:rFonts w:ascii="Verdana" w:hAnsi="Verdana"/>
          <w:color w:val="000000"/>
        </w:rPr>
        <w:t xml:space="preserve">Dispense as Written </w:t>
      </w:r>
      <w:r>
        <w:rPr>
          <w:rFonts w:ascii="Verdana" w:hAnsi="Verdana"/>
          <w:color w:val="000000"/>
        </w:rPr>
        <w:t>(</w:t>
      </w:r>
      <w:r w:rsidR="00015C27"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 xml:space="preserve">ubstitution </w:t>
      </w:r>
      <w:r w:rsidR="00015C27">
        <w:rPr>
          <w:rFonts w:ascii="Verdana" w:hAnsi="Verdana"/>
          <w:color w:val="000000"/>
        </w:rPr>
        <w:t>A</w:t>
      </w:r>
      <w:r>
        <w:rPr>
          <w:rFonts w:ascii="Verdana" w:hAnsi="Verdana"/>
          <w:color w:val="000000"/>
        </w:rPr>
        <w:t>llowed).</w:t>
      </w:r>
      <w:r w:rsidR="00B038DD">
        <w:rPr>
          <w:rFonts w:ascii="Verdana" w:hAnsi="Verdana"/>
          <w:color w:val="000000"/>
        </w:rPr>
        <w:t xml:space="preserve"> </w:t>
      </w:r>
      <w:r w:rsidR="00DF7C85">
        <w:rPr>
          <w:rFonts w:ascii="Verdana" w:hAnsi="Verdana"/>
          <w:color w:val="000000"/>
        </w:rPr>
        <w:t>This is often done for cost savings or because the original Rx medication is temporarily out of stock.</w:t>
      </w:r>
      <w:r w:rsidR="00B038DD">
        <w:rPr>
          <w:rFonts w:ascii="Verdana" w:hAnsi="Verdana"/>
          <w:color w:val="000000"/>
        </w:rPr>
        <w:t xml:space="preserve"> </w:t>
      </w:r>
      <w:r w:rsidR="00DF7C85">
        <w:rPr>
          <w:rFonts w:ascii="Verdana" w:hAnsi="Verdana"/>
          <w:color w:val="000000"/>
        </w:rPr>
        <w:t>Branded generics are often termed formulary brands.</w:t>
      </w:r>
    </w:p>
    <w:p w14:paraId="6A5174F7" w14:textId="7AB272B3" w:rsidR="00DF7C85" w:rsidRDefault="00DF7C85" w:rsidP="00C969F3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 w:rsidRPr="00E658F8">
        <w:rPr>
          <w:rFonts w:ascii="Verdana" w:hAnsi="Verdana"/>
          <w:b/>
          <w:bCs/>
          <w:color w:val="000000"/>
        </w:rPr>
        <w:t>Note:</w:t>
      </w:r>
      <w:r w:rsidR="00E658F8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Authorized generics are </w:t>
      </w:r>
      <w:r w:rsidR="0006778F">
        <w:rPr>
          <w:rFonts w:ascii="Verdana" w:hAnsi="Verdana"/>
          <w:color w:val="000000"/>
        </w:rPr>
        <w:t>like</w:t>
      </w:r>
      <w:r>
        <w:rPr>
          <w:rFonts w:ascii="Verdana" w:hAnsi="Verdana"/>
          <w:color w:val="000000"/>
        </w:rPr>
        <w:t xml:space="preserve"> branded </w:t>
      </w:r>
      <w:r w:rsidR="00A45C36">
        <w:rPr>
          <w:rFonts w:ascii="Verdana" w:hAnsi="Verdana"/>
          <w:color w:val="000000"/>
        </w:rPr>
        <w:t>generics but</w:t>
      </w:r>
      <w:r>
        <w:rPr>
          <w:rFonts w:ascii="Verdana" w:hAnsi="Verdana"/>
          <w:color w:val="000000"/>
        </w:rPr>
        <w:t xml:space="preserve"> are produced by the same manufacturer as the original brand. No distinction is made for the purposes of this document.</w:t>
      </w:r>
    </w:p>
    <w:p w14:paraId="719BEF4B" w14:textId="2FAB888D" w:rsidR="00C70440" w:rsidRPr="00E658F8" w:rsidRDefault="00C70440" w:rsidP="00C969F3">
      <w:pPr>
        <w:pStyle w:val="NormalWeb"/>
        <w:spacing w:before="120" w:beforeAutospacing="0" w:after="120" w:afterAutospacing="0"/>
        <w:rPr>
          <w:rFonts w:ascii="Verdana" w:hAnsi="Verdana"/>
        </w:rPr>
      </w:pPr>
    </w:p>
    <w:p w14:paraId="5AFC30C3" w14:textId="7DD49AB8" w:rsidR="00DF7C85" w:rsidRDefault="00DF7C85" w:rsidP="00C969F3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Examples</w:t>
      </w:r>
      <w:r w:rsidR="00DD2A16">
        <w:rPr>
          <w:rFonts w:ascii="Verdana" w:hAnsi="Verdana"/>
          <w:b/>
          <w:bCs/>
          <w:color w:val="000000"/>
        </w:rPr>
        <w:t>:</w:t>
      </w:r>
      <w:r w:rsidR="00E658F8">
        <w:rPr>
          <w:rFonts w:ascii="Verdana" w:hAnsi="Verdana"/>
          <w:b/>
          <w:bCs/>
          <w:color w:val="000000"/>
        </w:rPr>
        <w:t xml:space="preserve"> </w:t>
      </w:r>
      <w:r w:rsidRPr="00E658F8">
        <w:rPr>
          <w:rFonts w:ascii="Verdana" w:hAnsi="Verdana"/>
          <w:color w:val="000000"/>
        </w:rPr>
        <w:t>Generic medications</w:t>
      </w:r>
      <w:r w:rsidR="00824FCA">
        <w:rPr>
          <w:rFonts w:ascii="Verdana" w:hAnsi="Verdana"/>
          <w:color w:val="000000"/>
        </w:rPr>
        <w:t>,</w:t>
      </w:r>
      <w:r w:rsidR="005A1533">
        <w:rPr>
          <w:rFonts w:ascii="Verdana" w:hAnsi="Verdana"/>
          <w:color w:val="000000"/>
        </w:rPr>
        <w:t xml:space="preserve"> select </w:t>
      </w:r>
      <w:r w:rsidRPr="00E658F8">
        <w:rPr>
          <w:rFonts w:ascii="Verdana" w:hAnsi="Verdana"/>
          <w:color w:val="000000"/>
        </w:rPr>
        <w:t>branded generic versions and their manufacturers.</w:t>
      </w:r>
    </w:p>
    <w:p w14:paraId="050DBFA4" w14:textId="77777777" w:rsidR="00DF7C85" w:rsidRDefault="00DF7C85" w:rsidP="00C969F3">
      <w:pPr>
        <w:tabs>
          <w:tab w:val="left" w:pos="3060"/>
        </w:tabs>
        <w:spacing w:before="120" w:after="120"/>
        <w:ind w:left="1080"/>
        <w:rPr>
          <w:color w:val="000000"/>
        </w:rPr>
      </w:pPr>
      <w:bookmarkStart w:id="6" w:name="OLE_LINK29"/>
    </w:p>
    <w:bookmarkEnd w:id="6"/>
    <w:p w14:paraId="0972EFB3" w14:textId="270BE5CC" w:rsidR="00DF7C85" w:rsidRDefault="00DF7C85" w:rsidP="00C969F3">
      <w:pPr>
        <w:numPr>
          <w:ilvl w:val="0"/>
          <w:numId w:val="27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Levothyroxine</w:t>
      </w:r>
      <w:r>
        <w:rPr>
          <w:rFonts w:ascii="Verdana" w:hAnsi="Verdana"/>
          <w:color w:val="000000"/>
        </w:rPr>
        <w:t>:</w:t>
      </w:r>
      <w:r w:rsidR="002325C2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(Mylan)</w:t>
      </w:r>
    </w:p>
    <w:p w14:paraId="3BB5F4DC" w14:textId="27EC6444" w:rsidR="00DF7C85" w:rsidRDefault="00DF7C85" w:rsidP="00C969F3">
      <w:pPr>
        <w:numPr>
          <w:ilvl w:val="1"/>
          <w:numId w:val="27"/>
        </w:numPr>
        <w:tabs>
          <w:tab w:val="clear" w:pos="1440"/>
          <w:tab w:val="num" w:pos="1170"/>
        </w:tabs>
        <w:spacing w:before="120" w:after="120"/>
        <w:ind w:left="108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Euthrox (Provell)</w:t>
      </w:r>
    </w:p>
    <w:p w14:paraId="19626ABD" w14:textId="0B461D37" w:rsidR="00DF7C85" w:rsidRDefault="00DF7C85" w:rsidP="00C969F3">
      <w:pPr>
        <w:numPr>
          <w:ilvl w:val="1"/>
          <w:numId w:val="27"/>
        </w:numPr>
        <w:tabs>
          <w:tab w:val="clear" w:pos="1440"/>
          <w:tab w:val="num" w:pos="1170"/>
        </w:tabs>
        <w:spacing w:before="120" w:after="120"/>
        <w:ind w:left="108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Synthroid (AbbVie)</w:t>
      </w:r>
    </w:p>
    <w:p w14:paraId="34393D94" w14:textId="02E4DDD5" w:rsidR="00DF7C85" w:rsidRDefault="00DF7C85" w:rsidP="00C969F3">
      <w:pPr>
        <w:numPr>
          <w:ilvl w:val="1"/>
          <w:numId w:val="27"/>
        </w:numPr>
        <w:tabs>
          <w:tab w:val="clear" w:pos="1440"/>
          <w:tab w:val="num" w:pos="1170"/>
        </w:tabs>
        <w:spacing w:before="120" w:after="120"/>
        <w:ind w:left="1080"/>
        <w:rPr>
          <w:rFonts w:ascii="Verdana" w:hAnsi="Verdana"/>
          <w:color w:val="000000"/>
        </w:rPr>
      </w:pPr>
      <w:bookmarkStart w:id="7" w:name="OLE_LINK41"/>
      <w:r>
        <w:rPr>
          <w:rFonts w:ascii="Verdana" w:hAnsi="Verdana"/>
          <w:color w:val="000000"/>
        </w:rPr>
        <w:t>Levoxyl (Amneal)</w:t>
      </w:r>
    </w:p>
    <w:bookmarkEnd w:id="7"/>
    <w:p w14:paraId="3D0CAA70" w14:textId="77777777" w:rsidR="00974C99" w:rsidRDefault="00DF7C85" w:rsidP="00C969F3">
      <w:pPr>
        <w:numPr>
          <w:ilvl w:val="2"/>
          <w:numId w:val="35"/>
        </w:numPr>
        <w:tabs>
          <w:tab w:val="clear" w:pos="2160"/>
        </w:tabs>
        <w:spacing w:before="120" w:after="120"/>
        <w:ind w:left="1080"/>
        <w:rPr>
          <w:rFonts w:ascii="Verdana" w:hAnsi="Verdana"/>
          <w:color w:val="000000"/>
        </w:rPr>
      </w:pPr>
      <w:r w:rsidRPr="00974C99">
        <w:rPr>
          <w:rFonts w:ascii="Verdana" w:hAnsi="Verdana"/>
          <w:color w:val="000000"/>
        </w:rPr>
        <w:t>Unithroid (Amneal)</w:t>
      </w:r>
    </w:p>
    <w:p w14:paraId="4C231147" w14:textId="77777777" w:rsidR="00DD2A16" w:rsidRDefault="00DD2A16" w:rsidP="00C969F3">
      <w:pPr>
        <w:spacing w:before="120" w:after="120"/>
      </w:pPr>
    </w:p>
    <w:p w14:paraId="2CD68C38" w14:textId="5489FD78" w:rsidR="00DD2A16" w:rsidRDefault="00000000" w:rsidP="00C969F3">
      <w:pPr>
        <w:spacing w:before="120" w:after="120"/>
        <w:jc w:val="right"/>
        <w:rPr>
          <w:rFonts w:ascii="Verdana" w:hAnsi="Verdana"/>
        </w:rPr>
      </w:pPr>
      <w:hyperlink w:anchor="_top" w:history="1">
        <w:r w:rsidR="00222FA9" w:rsidRPr="00222FA9">
          <w:rPr>
            <w:rStyle w:val="Hyperlink"/>
            <w:rFonts w:ascii="Verdana" w:hAnsi="Verdana"/>
          </w:rPr>
          <w:t>Top of</w:t>
        </w:r>
        <w:r w:rsidR="00222FA9" w:rsidRPr="00222FA9">
          <w:rPr>
            <w:rStyle w:val="Hyperlink"/>
            <w:rFonts w:ascii="Verdana" w:hAnsi="Verdana"/>
          </w:rPr>
          <w:t xml:space="preserve"> </w:t>
        </w:r>
        <w:r w:rsidR="00222FA9" w:rsidRPr="00222FA9">
          <w:rPr>
            <w:rStyle w:val="Hyperlink"/>
            <w:rFonts w:ascii="Verdana" w:hAnsi="Verdana"/>
          </w:rPr>
          <w:t xml:space="preserve">the </w:t>
        </w:r>
        <w:r w:rsidR="00222FA9" w:rsidRPr="00222FA9">
          <w:rPr>
            <w:rStyle w:val="Hyperlink"/>
            <w:rFonts w:ascii="Verdana" w:hAnsi="Verdana"/>
          </w:rPr>
          <w:t>D</w:t>
        </w:r>
        <w:r w:rsidR="00222FA9" w:rsidRPr="00222FA9">
          <w:rPr>
            <w:rStyle w:val="Hyperlink"/>
            <w:rFonts w:ascii="Verdana" w:hAnsi="Verdana"/>
          </w:rPr>
          <w:t>o</w:t>
        </w:r>
        <w:r w:rsidR="00222FA9" w:rsidRPr="00222FA9">
          <w:rPr>
            <w:rStyle w:val="Hyperlink"/>
            <w:rFonts w:ascii="Verdana" w:hAnsi="Verdana"/>
          </w:rPr>
          <w:t>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C0BEF" w:rsidRPr="00384851" w14:paraId="00363F4A" w14:textId="77777777" w:rsidTr="00E111FC">
        <w:tc>
          <w:tcPr>
            <w:tcW w:w="5000" w:type="pct"/>
            <w:shd w:val="clear" w:color="auto" w:fill="BFBFBF" w:themeFill="background1" w:themeFillShade="BF"/>
          </w:tcPr>
          <w:p w14:paraId="5C3534C5" w14:textId="6EE025E0" w:rsidR="00AC0BEF" w:rsidRPr="005D7430" w:rsidRDefault="00521C7A" w:rsidP="00C969F3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8" w:name="_Toc195687291"/>
            <w:bookmarkStart w:id="9" w:name="_Toc195694950"/>
            <w:bookmarkEnd w:id="3"/>
            <w:r w:rsidRPr="00E658F8">
              <w:rPr>
                <w:rFonts w:ascii="Verdana" w:hAnsi="Verdana"/>
                <w:i w:val="0"/>
                <w:iCs w:val="0"/>
              </w:rPr>
              <w:t>DAW 5 (Brand</w:t>
            </w:r>
            <w:r w:rsidR="009D27AF">
              <w:rPr>
                <w:rFonts w:ascii="Verdana" w:hAnsi="Verdana"/>
                <w:i w:val="0"/>
                <w:iCs w:val="0"/>
              </w:rPr>
              <w:t>ed</w:t>
            </w:r>
            <w:r w:rsidRPr="00E658F8">
              <w:rPr>
                <w:rFonts w:ascii="Verdana" w:hAnsi="Verdana"/>
                <w:i w:val="0"/>
                <w:iCs w:val="0"/>
              </w:rPr>
              <w:t xml:space="preserve"> Generic) </w:t>
            </w:r>
            <w:r w:rsidR="005D7430">
              <w:rPr>
                <w:rFonts w:ascii="Verdana" w:hAnsi="Verdana"/>
                <w:i w:val="0"/>
                <w:iCs w:val="0"/>
              </w:rPr>
              <w:t>Medications</w:t>
            </w:r>
            <w:bookmarkEnd w:id="8"/>
            <w:bookmarkEnd w:id="9"/>
            <w:r w:rsidRPr="00E658F8">
              <w:rPr>
                <w:rFonts w:ascii="Verdana" w:hAnsi="Verdana"/>
                <w:i w:val="0"/>
                <w:iCs w:val="0"/>
              </w:rPr>
              <w:t xml:space="preserve">  </w:t>
            </w:r>
            <w:r w:rsidRPr="00E658F8">
              <w:rPr>
                <w:i w:val="0"/>
                <w:iCs w:val="0"/>
                <w:noProof/>
              </w:rPr>
              <w:t xml:space="preserve"> </w:t>
            </w:r>
          </w:p>
        </w:tc>
      </w:tr>
    </w:tbl>
    <w:p w14:paraId="19FB0AC2" w14:textId="3D682018" w:rsidR="00E356DF" w:rsidRDefault="00A140CB" w:rsidP="00C969F3">
      <w:pPr>
        <w:pStyle w:val="ListParagraph"/>
        <w:spacing w:before="120" w:after="120"/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628CE08D" wp14:editId="518F797B">
            <wp:extent cx="238125" cy="2095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</w:rPr>
        <w:t xml:space="preserve"> </w:t>
      </w:r>
      <w:r w:rsidR="00E356DF">
        <w:rPr>
          <w:rFonts w:ascii="Verdana" w:hAnsi="Verdana"/>
          <w:noProof/>
        </w:rPr>
        <w:t>Review the CIF. For clients that do not allow branded generic DAW 5; the generic medication is dispensed.</w:t>
      </w:r>
    </w:p>
    <w:p w14:paraId="107B0878" w14:textId="6FFCFBE1" w:rsidR="00FD6D89" w:rsidRPr="00171AED" w:rsidRDefault="00FD6D89" w:rsidP="00C969F3">
      <w:pPr>
        <w:spacing w:before="120" w:after="120"/>
        <w:rPr>
          <w:rFonts w:ascii="Verdana" w:hAnsi="Verdana"/>
          <w:noProof/>
        </w:rPr>
      </w:pPr>
    </w:p>
    <w:p w14:paraId="76EC0115" w14:textId="691E1003" w:rsidR="005A1533" w:rsidRPr="00E658F8" w:rsidRDefault="00E0483F" w:rsidP="00C969F3">
      <w:pPr>
        <w:pStyle w:val="ListParagraph"/>
        <w:numPr>
          <w:ilvl w:val="0"/>
          <w:numId w:val="19"/>
        </w:numPr>
        <w:spacing w:before="120" w:after="120"/>
        <w:ind w:left="540"/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In certain cases, </w:t>
      </w:r>
      <w:r w:rsidR="009C13BF" w:rsidRPr="00171AED">
        <w:rPr>
          <w:rFonts w:ascii="Verdana" w:hAnsi="Verdana"/>
          <w:noProof/>
        </w:rPr>
        <w:t>the brand medication is available at a lower price than the generic</w:t>
      </w:r>
      <w:r w:rsidR="00824FCA">
        <w:rPr>
          <w:rFonts w:ascii="Verdana" w:hAnsi="Verdana"/>
          <w:noProof/>
        </w:rPr>
        <w:t>;</w:t>
      </w:r>
      <w:r w:rsidR="00521C7A">
        <w:rPr>
          <w:rFonts w:ascii="Verdana" w:hAnsi="Verdana"/>
          <w:noProof/>
        </w:rPr>
        <w:t xml:space="preserve"> which allows </w:t>
      </w:r>
      <w:r w:rsidR="00B44F4C">
        <w:rPr>
          <w:rFonts w:ascii="Verdana" w:hAnsi="Verdana"/>
          <w:noProof/>
        </w:rPr>
        <w:t xml:space="preserve">CVS </w:t>
      </w:r>
      <w:r w:rsidR="00521C7A">
        <w:rPr>
          <w:rFonts w:ascii="Verdana" w:hAnsi="Verdana"/>
          <w:noProof/>
        </w:rPr>
        <w:t xml:space="preserve">Caremark </w:t>
      </w:r>
      <w:r w:rsidR="00B7474E">
        <w:rPr>
          <w:rFonts w:ascii="Verdana" w:hAnsi="Verdana"/>
          <w:noProof/>
        </w:rPr>
        <w:t xml:space="preserve">Mail Order </w:t>
      </w:r>
      <w:r w:rsidR="00521C7A">
        <w:rPr>
          <w:rFonts w:ascii="Verdana" w:hAnsi="Verdana"/>
          <w:noProof/>
        </w:rPr>
        <w:t>to</w:t>
      </w:r>
      <w:r w:rsidR="00ED647A" w:rsidRPr="00171AED">
        <w:rPr>
          <w:rFonts w:ascii="Verdana" w:hAnsi="Verdana"/>
          <w:noProof/>
        </w:rPr>
        <w:t xml:space="preserve"> </w:t>
      </w:r>
      <w:r w:rsidR="009C13BF" w:rsidRPr="00171AED">
        <w:rPr>
          <w:rFonts w:ascii="Verdana" w:hAnsi="Verdana"/>
          <w:noProof/>
        </w:rPr>
        <w:t>dispense</w:t>
      </w:r>
      <w:r>
        <w:rPr>
          <w:rFonts w:ascii="Verdana" w:hAnsi="Verdana"/>
          <w:noProof/>
        </w:rPr>
        <w:t xml:space="preserve"> </w:t>
      </w:r>
      <w:r w:rsidR="00521C7A">
        <w:rPr>
          <w:rFonts w:ascii="Verdana" w:hAnsi="Verdana"/>
          <w:noProof/>
        </w:rPr>
        <w:t xml:space="preserve">the </w:t>
      </w:r>
      <w:r>
        <w:rPr>
          <w:rFonts w:ascii="Verdana" w:hAnsi="Verdana"/>
          <w:noProof/>
        </w:rPr>
        <w:t>brand</w:t>
      </w:r>
      <w:r w:rsidR="009C13BF" w:rsidRPr="00171AED">
        <w:rPr>
          <w:rFonts w:ascii="Verdana" w:hAnsi="Verdana"/>
          <w:noProof/>
        </w:rPr>
        <w:t xml:space="preserve"> </w:t>
      </w:r>
      <w:r w:rsidR="00521C7A">
        <w:rPr>
          <w:rFonts w:ascii="Verdana" w:hAnsi="Verdana"/>
          <w:noProof/>
        </w:rPr>
        <w:t>at the generic price</w:t>
      </w:r>
      <w:r w:rsidR="009C13BF" w:rsidRPr="00171AED">
        <w:rPr>
          <w:rFonts w:ascii="Verdana" w:hAnsi="Verdana"/>
          <w:noProof/>
        </w:rPr>
        <w:t xml:space="preserve">. Branded generics are typically dispensed </w:t>
      </w:r>
      <w:r w:rsidR="00521C7A">
        <w:rPr>
          <w:rFonts w:ascii="Verdana" w:hAnsi="Verdana"/>
          <w:noProof/>
        </w:rPr>
        <w:t>with</w:t>
      </w:r>
      <w:r w:rsidR="009C13BF" w:rsidRPr="00171AED">
        <w:rPr>
          <w:rFonts w:ascii="Verdana" w:hAnsi="Verdana"/>
          <w:noProof/>
        </w:rPr>
        <w:t xml:space="preserve"> DAW 5 which </w:t>
      </w:r>
      <w:r w:rsidR="00521C7A">
        <w:rPr>
          <w:rFonts w:ascii="Verdana" w:hAnsi="Verdana"/>
          <w:noProof/>
        </w:rPr>
        <w:t>indicates a</w:t>
      </w:r>
      <w:r w:rsidR="009C13BF" w:rsidRPr="00171AED">
        <w:rPr>
          <w:rFonts w:ascii="Verdana" w:hAnsi="Verdana"/>
          <w:noProof/>
        </w:rPr>
        <w:t xml:space="preserve"> generic copay.</w:t>
      </w:r>
      <w:r>
        <w:rPr>
          <w:rFonts w:ascii="Verdana" w:hAnsi="Verdana"/>
          <w:noProof/>
        </w:rPr>
        <w:t xml:space="preserve"> </w:t>
      </w:r>
    </w:p>
    <w:p w14:paraId="3254B68D" w14:textId="77777777" w:rsidR="005A1533" w:rsidRDefault="005A1533" w:rsidP="00C969F3">
      <w:pPr>
        <w:pStyle w:val="ListParagraph"/>
        <w:spacing w:before="120" w:after="120"/>
        <w:ind w:left="540"/>
        <w:rPr>
          <w:rFonts w:ascii="Verdana" w:hAnsi="Verdana"/>
          <w:noProof/>
        </w:rPr>
      </w:pPr>
    </w:p>
    <w:p w14:paraId="6768B949" w14:textId="4159373B" w:rsidR="00B7474E" w:rsidRDefault="00212D4D" w:rsidP="00C969F3">
      <w:pPr>
        <w:pStyle w:val="ListParagraph"/>
        <w:numPr>
          <w:ilvl w:val="0"/>
          <w:numId w:val="19"/>
        </w:numPr>
        <w:spacing w:before="120" w:after="120"/>
        <w:ind w:left="540"/>
        <w:rPr>
          <w:rFonts w:ascii="Verdana" w:hAnsi="Verdana"/>
          <w:noProof/>
        </w:rPr>
      </w:pPr>
      <w:r>
        <w:rPr>
          <w:rFonts w:ascii="Verdana" w:hAnsi="Verdana"/>
          <w:noProof/>
        </w:rPr>
        <w:t>Aside from cost savings t</w:t>
      </w:r>
      <w:r w:rsidR="00521C7A">
        <w:rPr>
          <w:rFonts w:ascii="Verdana" w:hAnsi="Verdana"/>
          <w:noProof/>
        </w:rPr>
        <w:t xml:space="preserve">his practice helps ensure </w:t>
      </w:r>
      <w:r w:rsidR="00521C7A">
        <w:rPr>
          <w:rFonts w:ascii="Verdana" w:hAnsi="Verdana"/>
        </w:rPr>
        <w:t>continuity of available product and consistency of supply</w:t>
      </w:r>
      <w:r w:rsidR="007D27A4">
        <w:rPr>
          <w:rFonts w:ascii="Verdana" w:hAnsi="Verdana"/>
        </w:rPr>
        <w:t>. I</w:t>
      </w:r>
      <w:r w:rsidR="00521C7A">
        <w:rPr>
          <w:rFonts w:ascii="Verdana" w:hAnsi="Verdana"/>
        </w:rPr>
        <w:t>f one is out of stock the other can be used</w:t>
      </w:r>
      <w:r w:rsidR="00824FCA">
        <w:rPr>
          <w:rFonts w:ascii="Verdana" w:hAnsi="Verdana"/>
        </w:rPr>
        <w:t xml:space="preserve"> and </w:t>
      </w:r>
      <w:r w:rsidR="00521C7A">
        <w:rPr>
          <w:rFonts w:ascii="Verdana" w:hAnsi="Verdana"/>
        </w:rPr>
        <w:t>sometimes a generic is available in certain strengths but not others, etc</w:t>
      </w:r>
      <w:r w:rsidR="004B6302">
        <w:rPr>
          <w:rFonts w:ascii="Verdana" w:hAnsi="Verdana"/>
        </w:rPr>
        <w:t>etera</w:t>
      </w:r>
      <w:r w:rsidR="00521C7A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14:paraId="685B49E1" w14:textId="77777777" w:rsidR="005A1533" w:rsidRPr="00E658F8" w:rsidRDefault="005A1533" w:rsidP="00C969F3">
      <w:pPr>
        <w:pStyle w:val="ListParagraph"/>
        <w:spacing w:before="120" w:after="120"/>
        <w:ind w:left="540"/>
        <w:rPr>
          <w:rFonts w:ascii="Verdana" w:hAnsi="Verdana"/>
          <w:noProof/>
        </w:rPr>
      </w:pPr>
    </w:p>
    <w:p w14:paraId="7DD2F7E3" w14:textId="51EAC984" w:rsidR="00190E4A" w:rsidRDefault="00DB586E" w:rsidP="00C969F3">
      <w:pPr>
        <w:pStyle w:val="ListParagraph"/>
        <w:numPr>
          <w:ilvl w:val="0"/>
          <w:numId w:val="19"/>
        </w:numPr>
        <w:spacing w:before="120" w:after="120"/>
        <w:ind w:left="540"/>
        <w:rPr>
          <w:rFonts w:ascii="Verdana" w:hAnsi="Verdana"/>
          <w:noProof/>
        </w:rPr>
      </w:pPr>
      <w:r>
        <w:rPr>
          <w:rFonts w:ascii="Verdana" w:hAnsi="Verdana"/>
          <w:b/>
          <w:bCs/>
          <w:noProof/>
        </w:rPr>
        <w:t>DAW 5 brand generics are ONLY available at Caremark Mail Order.</w:t>
      </w:r>
      <w:r w:rsidR="005A1533">
        <w:rPr>
          <w:rFonts w:ascii="Verdana" w:hAnsi="Verdana"/>
          <w:noProof/>
        </w:rPr>
        <w:t xml:space="preserve"> </w:t>
      </w:r>
      <w:r w:rsidR="008D11D1">
        <w:rPr>
          <w:rFonts w:ascii="Verdana" w:hAnsi="Verdana"/>
          <w:b/>
          <w:bCs/>
          <w:noProof/>
        </w:rPr>
        <w:t>DAW</w:t>
      </w:r>
      <w:r w:rsidR="002745AA">
        <w:rPr>
          <w:rFonts w:ascii="Verdana" w:hAnsi="Verdana"/>
          <w:b/>
          <w:bCs/>
          <w:noProof/>
        </w:rPr>
        <w:t xml:space="preserve"> </w:t>
      </w:r>
      <w:r w:rsidR="008D11D1">
        <w:rPr>
          <w:rFonts w:ascii="Verdana" w:hAnsi="Verdana"/>
          <w:b/>
          <w:bCs/>
          <w:noProof/>
        </w:rPr>
        <w:t>5 is not available at retail including CVS pharmacies</w:t>
      </w:r>
      <w:r w:rsidR="002745AA">
        <w:rPr>
          <w:rFonts w:ascii="Verdana" w:hAnsi="Verdana"/>
          <w:b/>
          <w:bCs/>
          <w:noProof/>
        </w:rPr>
        <w:t>.</w:t>
      </w:r>
    </w:p>
    <w:p w14:paraId="217CB494" w14:textId="77777777" w:rsidR="00190E4A" w:rsidRPr="00560CA1" w:rsidRDefault="00190E4A" w:rsidP="00C969F3">
      <w:pPr>
        <w:pStyle w:val="ListParagraph"/>
        <w:spacing w:before="120" w:after="120"/>
        <w:rPr>
          <w:rFonts w:ascii="Verdana" w:hAnsi="Verdana"/>
          <w:noProof/>
        </w:rPr>
      </w:pPr>
    </w:p>
    <w:p w14:paraId="06AE50B8" w14:textId="682E32AF" w:rsidR="005A1533" w:rsidRPr="00E658F8" w:rsidRDefault="00190E4A" w:rsidP="00C969F3">
      <w:pPr>
        <w:pStyle w:val="ListParagraph"/>
        <w:numPr>
          <w:ilvl w:val="0"/>
          <w:numId w:val="19"/>
        </w:numPr>
        <w:spacing w:before="120" w:after="120"/>
        <w:ind w:left="540"/>
        <w:rPr>
          <w:rFonts w:ascii="Verdana" w:hAnsi="Verdana"/>
          <w:noProof/>
        </w:rPr>
      </w:pPr>
      <w:r>
        <w:rPr>
          <w:rFonts w:ascii="Verdana" w:hAnsi="Verdana"/>
          <w:noProof/>
        </w:rPr>
        <w:t>Does</w:t>
      </w:r>
      <w:r w:rsidR="005A1533">
        <w:rPr>
          <w:rFonts w:ascii="Verdana" w:hAnsi="Verdana"/>
          <w:noProof/>
        </w:rPr>
        <w:t xml:space="preserve"> </w:t>
      </w:r>
      <w:r w:rsidR="005A1533">
        <w:rPr>
          <w:rFonts w:ascii="Verdana" w:hAnsi="Verdana"/>
          <w:b/>
          <w:bCs/>
          <w:noProof/>
        </w:rPr>
        <w:t>not</w:t>
      </w:r>
      <w:r w:rsidR="005A1533">
        <w:rPr>
          <w:rFonts w:ascii="Verdana" w:hAnsi="Verdana"/>
          <w:noProof/>
        </w:rPr>
        <w:t xml:space="preserve"> </w:t>
      </w:r>
      <w:r>
        <w:rPr>
          <w:rFonts w:ascii="Verdana" w:hAnsi="Verdana"/>
          <w:noProof/>
        </w:rPr>
        <w:t xml:space="preserve">apply to </w:t>
      </w:r>
      <w:r w:rsidR="005A1533">
        <w:rPr>
          <w:rFonts w:ascii="Verdana" w:hAnsi="Verdana"/>
          <w:noProof/>
        </w:rPr>
        <w:t>Specialty</w:t>
      </w:r>
      <w:r w:rsidR="00015C27">
        <w:rPr>
          <w:rFonts w:ascii="Verdana" w:hAnsi="Verdana"/>
          <w:noProof/>
        </w:rPr>
        <w:t xml:space="preserve"> medications</w:t>
      </w:r>
      <w:r w:rsidR="005A1533">
        <w:rPr>
          <w:rFonts w:ascii="Verdana" w:hAnsi="Verdana"/>
          <w:noProof/>
        </w:rPr>
        <w:t xml:space="preserve">. </w:t>
      </w:r>
      <w:r w:rsidR="007D27A4">
        <w:rPr>
          <w:rFonts w:ascii="Verdana" w:hAnsi="Verdana"/>
          <w:noProof/>
        </w:rPr>
        <w:t xml:space="preserve"> </w:t>
      </w:r>
      <w:r w:rsidR="00DB586E">
        <w:rPr>
          <w:rFonts w:ascii="Verdana" w:hAnsi="Verdana"/>
          <w:noProof/>
        </w:rPr>
        <w:t xml:space="preserve"> </w:t>
      </w:r>
    </w:p>
    <w:p w14:paraId="3521D079" w14:textId="77777777" w:rsidR="005A1533" w:rsidRDefault="005A1533" w:rsidP="00C969F3">
      <w:pPr>
        <w:pStyle w:val="ListParagraph"/>
        <w:spacing w:before="120" w:after="120"/>
        <w:ind w:left="630"/>
        <w:rPr>
          <w:rFonts w:ascii="Verdana" w:hAnsi="Verdana"/>
          <w:noProof/>
        </w:rPr>
      </w:pPr>
    </w:p>
    <w:p w14:paraId="2E5018FA" w14:textId="0E7B874C" w:rsidR="00212D4D" w:rsidRPr="002325C2" w:rsidRDefault="005A1533" w:rsidP="00C969F3">
      <w:pPr>
        <w:pStyle w:val="ListParagraph"/>
        <w:spacing w:before="120" w:after="120"/>
        <w:rPr>
          <w:rFonts w:ascii="Verdana" w:hAnsi="Verdana"/>
          <w:noProof/>
        </w:rPr>
      </w:pPr>
      <w:r w:rsidRPr="005A1533">
        <w:rPr>
          <w:rFonts w:ascii="Verdana" w:hAnsi="Verdana"/>
          <w:noProof/>
        </w:rPr>
        <w:t xml:space="preserve"> </w:t>
      </w:r>
    </w:p>
    <w:p w14:paraId="4962E4A5" w14:textId="16A89ABE" w:rsidR="00DD2A16" w:rsidRDefault="00212D4D" w:rsidP="00C969F3">
      <w:pPr>
        <w:spacing w:before="120" w:after="120"/>
        <w:rPr>
          <w:rFonts w:ascii="Verdana" w:hAnsi="Verdana"/>
        </w:rPr>
      </w:pPr>
      <w:r w:rsidRPr="00E658F8">
        <w:rPr>
          <w:rFonts w:ascii="Verdana" w:hAnsi="Verdana"/>
          <w:b/>
          <w:bCs/>
        </w:rPr>
        <w:t>Example</w:t>
      </w:r>
      <w:r w:rsidR="00E73834">
        <w:rPr>
          <w:rFonts w:ascii="Verdana" w:hAnsi="Verdana"/>
          <w:b/>
          <w:bCs/>
        </w:rPr>
        <w:t>:</w:t>
      </w:r>
      <w:r w:rsidRPr="00E658F8">
        <w:rPr>
          <w:rFonts w:ascii="Verdana" w:hAnsi="Verdana"/>
          <w:b/>
          <w:bCs/>
        </w:rPr>
        <w:t xml:space="preserve"> SYNTHROID </w:t>
      </w:r>
      <w:r w:rsidR="005A1533">
        <w:rPr>
          <w:rFonts w:ascii="Verdana" w:hAnsi="Verdana"/>
          <w:b/>
          <w:bCs/>
        </w:rPr>
        <w:t>vs</w:t>
      </w:r>
      <w:r w:rsidRPr="00E658F8">
        <w:rPr>
          <w:rFonts w:ascii="Verdana" w:hAnsi="Verdana"/>
          <w:b/>
          <w:bCs/>
        </w:rPr>
        <w:t xml:space="preserve"> LEVOTHYROXINE</w:t>
      </w:r>
      <w:r w:rsidRPr="00E658F8">
        <w:rPr>
          <w:rFonts w:ascii="Verdana" w:hAnsi="Verdana"/>
        </w:rPr>
        <w:t xml:space="preserve"> </w:t>
      </w:r>
      <w:r w:rsidR="00E73834">
        <w:rPr>
          <w:rFonts w:ascii="Verdana" w:hAnsi="Verdana"/>
        </w:rPr>
        <w:t>-</w:t>
      </w:r>
      <w:r w:rsidR="00DD2A16">
        <w:rPr>
          <w:rFonts w:ascii="Verdana" w:hAnsi="Verdana"/>
        </w:rPr>
        <w:t xml:space="preserve"> </w:t>
      </w:r>
      <w:r w:rsidRPr="00E658F8">
        <w:rPr>
          <w:rFonts w:ascii="Verdana" w:hAnsi="Verdana"/>
        </w:rPr>
        <w:t>CVS Caremark Mail Pharmacy opts to dispense Synthroid (brand) as if it were the generic product (Levothyroxine).</w:t>
      </w:r>
      <w:r w:rsidR="00E658F8">
        <w:rPr>
          <w:rFonts w:ascii="Verdana" w:hAnsi="Verdana"/>
        </w:rPr>
        <w:t xml:space="preserve"> </w:t>
      </w:r>
      <w:r w:rsidRPr="00E658F8">
        <w:rPr>
          <w:rFonts w:ascii="Verdana" w:hAnsi="Verdana"/>
        </w:rPr>
        <w:t xml:space="preserve">Prescriptions are processed as follows, based on </w:t>
      </w:r>
      <w:r w:rsidR="00DD2A16">
        <w:rPr>
          <w:rFonts w:ascii="Verdana" w:hAnsi="Verdana"/>
        </w:rPr>
        <w:t>the Dispense as Written (</w:t>
      </w:r>
      <w:r w:rsidRPr="00E658F8">
        <w:rPr>
          <w:rFonts w:ascii="Verdana" w:hAnsi="Verdana"/>
        </w:rPr>
        <w:t>DAW</w:t>
      </w:r>
      <w:r w:rsidR="00DD2A16">
        <w:rPr>
          <w:rFonts w:ascii="Verdana" w:hAnsi="Verdana"/>
        </w:rPr>
        <w:t>)</w:t>
      </w:r>
      <w:r w:rsidRPr="00E658F8">
        <w:rPr>
          <w:rFonts w:ascii="Verdana" w:hAnsi="Verdana"/>
        </w:rPr>
        <w:t xml:space="preserve"> code:  </w:t>
      </w:r>
    </w:p>
    <w:p w14:paraId="7DC589E1" w14:textId="77777777" w:rsidR="005A1533" w:rsidRDefault="005A1533" w:rsidP="00C969F3">
      <w:pPr>
        <w:spacing w:before="120" w:after="120"/>
        <w:rPr>
          <w:rFonts w:ascii="Verdana" w:hAnsi="Verdana"/>
        </w:rPr>
      </w:pPr>
    </w:p>
    <w:p w14:paraId="19D3D65C" w14:textId="5D45295D" w:rsidR="00A7721C" w:rsidRDefault="00A7721C" w:rsidP="00C969F3">
      <w:pPr>
        <w:numPr>
          <w:ilvl w:val="0"/>
          <w:numId w:val="34"/>
        </w:numPr>
        <w:spacing w:before="120" w:after="120"/>
        <w:ind w:left="540"/>
        <w:rPr>
          <w:rFonts w:ascii="Verdana" w:hAnsi="Verdana"/>
          <w:noProof/>
        </w:rPr>
      </w:pPr>
      <w:r w:rsidRPr="00E658F8">
        <w:rPr>
          <w:rFonts w:ascii="Verdana" w:hAnsi="Verdana"/>
          <w:b/>
          <w:bCs/>
          <w:noProof/>
        </w:rPr>
        <w:t>DAW 0</w:t>
      </w:r>
      <w:r>
        <w:rPr>
          <w:rFonts w:ascii="Verdana" w:hAnsi="Verdana"/>
          <w:noProof/>
        </w:rPr>
        <w:t xml:space="preserve"> (Substitution Allowed): Prescriptions written for any version of Levothyroxine are dispensed as brand name Synthroid, with the lower generic pricing.</w:t>
      </w:r>
    </w:p>
    <w:p w14:paraId="44AEC9E1" w14:textId="77777777" w:rsidR="00A7721C" w:rsidRPr="00E658F8" w:rsidRDefault="00A7721C" w:rsidP="00C969F3">
      <w:pPr>
        <w:spacing w:before="120" w:after="120"/>
        <w:ind w:left="540"/>
        <w:rPr>
          <w:rFonts w:ascii="Verdana" w:hAnsi="Verdana"/>
          <w:noProof/>
        </w:rPr>
      </w:pPr>
    </w:p>
    <w:p w14:paraId="466EABD5" w14:textId="4150B36B" w:rsidR="005A1533" w:rsidRDefault="006C3D7C" w:rsidP="00C969F3">
      <w:pPr>
        <w:numPr>
          <w:ilvl w:val="0"/>
          <w:numId w:val="34"/>
        </w:numPr>
        <w:spacing w:before="120" w:after="120"/>
        <w:ind w:left="540"/>
        <w:rPr>
          <w:rFonts w:ascii="Verdana" w:hAnsi="Verdana"/>
          <w:noProof/>
        </w:rPr>
      </w:pPr>
      <w:r w:rsidRPr="00E658F8">
        <w:rPr>
          <w:rFonts w:ascii="Verdana" w:hAnsi="Verdana"/>
          <w:b/>
          <w:bCs/>
          <w:noProof/>
        </w:rPr>
        <w:t xml:space="preserve">DAW </w:t>
      </w:r>
      <w:r w:rsidR="005A1533" w:rsidRPr="00E658F8">
        <w:rPr>
          <w:rFonts w:ascii="Verdana" w:hAnsi="Verdana"/>
          <w:b/>
          <w:bCs/>
          <w:noProof/>
        </w:rPr>
        <w:t>1</w:t>
      </w:r>
      <w:r>
        <w:rPr>
          <w:rFonts w:ascii="Verdana" w:hAnsi="Verdana"/>
          <w:noProof/>
        </w:rPr>
        <w:t xml:space="preserve"> (Prescriber Requires Brand): </w:t>
      </w:r>
      <w:r w:rsidR="00A7721C">
        <w:rPr>
          <w:rFonts w:ascii="Verdana" w:hAnsi="Verdana"/>
          <w:noProof/>
        </w:rPr>
        <w:t>The specified medication</w:t>
      </w:r>
      <w:r>
        <w:rPr>
          <w:rFonts w:ascii="Verdana" w:hAnsi="Verdana"/>
          <w:noProof/>
        </w:rPr>
        <w:t xml:space="preserve"> is dispensed</w:t>
      </w:r>
      <w:r w:rsidR="00824FCA">
        <w:rPr>
          <w:rFonts w:ascii="Verdana" w:hAnsi="Verdana"/>
          <w:noProof/>
        </w:rPr>
        <w:t xml:space="preserve"> and</w:t>
      </w:r>
      <w:r>
        <w:rPr>
          <w:rFonts w:ascii="Verdana" w:hAnsi="Verdana"/>
          <w:noProof/>
        </w:rPr>
        <w:t xml:space="preserve"> the </w:t>
      </w:r>
      <w:r w:rsidR="007D27A4">
        <w:rPr>
          <w:rFonts w:ascii="Verdana" w:hAnsi="Verdana"/>
          <w:noProof/>
        </w:rPr>
        <w:t xml:space="preserve">member </w:t>
      </w:r>
      <w:r w:rsidR="005A1533">
        <w:rPr>
          <w:rFonts w:ascii="Verdana" w:hAnsi="Verdana"/>
          <w:noProof/>
        </w:rPr>
        <w:t xml:space="preserve">may be charged the brand copay and any applicable </w:t>
      </w:r>
      <w:r w:rsidR="00A7721C">
        <w:rPr>
          <w:rFonts w:ascii="Verdana" w:hAnsi="Verdana"/>
          <w:noProof/>
        </w:rPr>
        <w:t xml:space="preserve">MAC/DAW </w:t>
      </w:r>
      <w:r w:rsidR="00015AB9">
        <w:rPr>
          <w:rFonts w:ascii="Verdana" w:hAnsi="Verdana"/>
          <w:noProof/>
        </w:rPr>
        <w:t xml:space="preserve">Cost Difference </w:t>
      </w:r>
      <w:r w:rsidR="005A1533">
        <w:rPr>
          <w:rFonts w:ascii="Verdana" w:hAnsi="Verdana"/>
          <w:noProof/>
        </w:rPr>
        <w:t xml:space="preserve">charges.  </w:t>
      </w:r>
    </w:p>
    <w:p w14:paraId="640259DA" w14:textId="77777777" w:rsidR="006C3D7C" w:rsidRDefault="006C3D7C" w:rsidP="00C969F3">
      <w:pPr>
        <w:spacing w:before="120" w:after="120"/>
        <w:ind w:left="540"/>
        <w:rPr>
          <w:rFonts w:ascii="Verdana" w:hAnsi="Verdana"/>
          <w:noProof/>
        </w:rPr>
      </w:pPr>
    </w:p>
    <w:p w14:paraId="0C69C3C8" w14:textId="4FFFF985" w:rsidR="005A1533" w:rsidRPr="00E658F8" w:rsidRDefault="005A1533" w:rsidP="00C969F3">
      <w:pPr>
        <w:numPr>
          <w:ilvl w:val="0"/>
          <w:numId w:val="34"/>
        </w:numPr>
        <w:spacing w:before="120" w:after="120"/>
        <w:ind w:left="540"/>
        <w:rPr>
          <w:rFonts w:ascii="Verdana" w:hAnsi="Verdana"/>
          <w:noProof/>
        </w:rPr>
      </w:pPr>
      <w:r w:rsidRPr="00E658F8">
        <w:rPr>
          <w:rFonts w:ascii="Verdana" w:hAnsi="Verdana"/>
          <w:b/>
          <w:bCs/>
          <w:noProof/>
        </w:rPr>
        <w:t>DAW 2</w:t>
      </w:r>
      <w:r w:rsidR="006C3D7C">
        <w:rPr>
          <w:rFonts w:ascii="Verdana" w:hAnsi="Verdana"/>
          <w:noProof/>
        </w:rPr>
        <w:t xml:space="preserve"> (Member Requests Brand): </w:t>
      </w:r>
      <w:r w:rsidR="00A7721C">
        <w:rPr>
          <w:rFonts w:ascii="Verdana" w:hAnsi="Verdana"/>
          <w:noProof/>
        </w:rPr>
        <w:t>The specified medication</w:t>
      </w:r>
      <w:r w:rsidR="006C3D7C">
        <w:rPr>
          <w:rFonts w:ascii="Verdana" w:hAnsi="Verdana"/>
          <w:noProof/>
        </w:rPr>
        <w:t xml:space="preserve"> is dispensed</w:t>
      </w:r>
      <w:r w:rsidR="00824FCA">
        <w:rPr>
          <w:rFonts w:ascii="Verdana" w:hAnsi="Verdana"/>
          <w:noProof/>
        </w:rPr>
        <w:t xml:space="preserve"> and</w:t>
      </w:r>
      <w:r w:rsidR="006C3D7C">
        <w:rPr>
          <w:rFonts w:ascii="Verdana" w:hAnsi="Verdana"/>
          <w:noProof/>
        </w:rPr>
        <w:t xml:space="preserve"> </w:t>
      </w:r>
      <w:r w:rsidRPr="005A1533">
        <w:rPr>
          <w:rFonts w:ascii="Verdana" w:hAnsi="Verdana"/>
          <w:noProof/>
        </w:rPr>
        <w:t xml:space="preserve">the brand copay and </w:t>
      </w:r>
      <w:r w:rsidR="00015AB9">
        <w:rPr>
          <w:rFonts w:ascii="Verdana" w:hAnsi="Verdana"/>
          <w:noProof/>
        </w:rPr>
        <w:t>cost difference</w:t>
      </w:r>
      <w:r w:rsidR="00015AB9" w:rsidRPr="005A1533">
        <w:rPr>
          <w:rFonts w:ascii="Verdana" w:hAnsi="Verdana"/>
          <w:noProof/>
        </w:rPr>
        <w:t xml:space="preserve"> </w:t>
      </w:r>
      <w:r w:rsidRPr="005A1533">
        <w:rPr>
          <w:rFonts w:ascii="Verdana" w:hAnsi="Verdana"/>
          <w:noProof/>
        </w:rPr>
        <w:t xml:space="preserve">charges may still apply.  </w:t>
      </w:r>
      <w:r>
        <w:t xml:space="preserve"> </w:t>
      </w:r>
    </w:p>
    <w:p w14:paraId="3401C45F" w14:textId="77777777" w:rsidR="005A1533" w:rsidRPr="00E658F8" w:rsidRDefault="005A1533" w:rsidP="00C969F3">
      <w:pPr>
        <w:pStyle w:val="ListParagraph"/>
        <w:spacing w:before="120" w:after="120"/>
        <w:ind w:left="540"/>
        <w:rPr>
          <w:rFonts w:ascii="Verdana" w:hAnsi="Verdana"/>
        </w:rPr>
      </w:pPr>
      <w:bookmarkStart w:id="10" w:name="OLE_LINK49"/>
    </w:p>
    <w:p w14:paraId="38868FD0" w14:textId="4F5D1BAF" w:rsidR="005A1533" w:rsidRDefault="00212D4D" w:rsidP="00C969F3">
      <w:pPr>
        <w:pStyle w:val="ListParagraph"/>
        <w:numPr>
          <w:ilvl w:val="0"/>
          <w:numId w:val="19"/>
        </w:numPr>
        <w:spacing w:before="120" w:after="120"/>
        <w:ind w:left="540"/>
        <w:rPr>
          <w:rFonts w:ascii="Verdana" w:hAnsi="Verdana"/>
          <w:noProof/>
        </w:rPr>
      </w:pPr>
      <w:bookmarkStart w:id="11" w:name="OLE_LINK53"/>
      <w:bookmarkStart w:id="12" w:name="OLE_LINK30"/>
      <w:bookmarkEnd w:id="10"/>
      <w:r w:rsidRPr="00E658F8">
        <w:rPr>
          <w:rFonts w:ascii="Verdana" w:hAnsi="Verdana"/>
          <w:b/>
          <w:bCs/>
        </w:rPr>
        <w:t>DAW 5</w:t>
      </w:r>
      <w:r w:rsidRPr="00E658F8">
        <w:rPr>
          <w:rFonts w:ascii="Verdana" w:hAnsi="Verdana"/>
        </w:rPr>
        <w:t xml:space="preserve"> (</w:t>
      </w:r>
      <w:bookmarkEnd w:id="11"/>
      <w:r w:rsidR="006C3D7C">
        <w:rPr>
          <w:rFonts w:ascii="Verdana" w:hAnsi="Verdana"/>
        </w:rPr>
        <w:t xml:space="preserve">Brand Drug Dispensed </w:t>
      </w:r>
      <w:r w:rsidR="00015C27">
        <w:rPr>
          <w:rFonts w:ascii="Verdana" w:hAnsi="Verdana"/>
        </w:rPr>
        <w:t>charged a</w:t>
      </w:r>
      <w:r w:rsidR="006C3D7C">
        <w:rPr>
          <w:rFonts w:ascii="Verdana" w:hAnsi="Verdana"/>
        </w:rPr>
        <w:t xml:space="preserve">s </w:t>
      </w:r>
      <w:r w:rsidR="00015C27">
        <w:rPr>
          <w:rFonts w:ascii="Verdana" w:hAnsi="Verdana"/>
        </w:rPr>
        <w:t>generic</w:t>
      </w:r>
      <w:r w:rsidRPr="00E658F8">
        <w:rPr>
          <w:rFonts w:ascii="Verdana" w:hAnsi="Verdana"/>
        </w:rPr>
        <w:t>)</w:t>
      </w:r>
      <w:r w:rsidR="00E658F8">
        <w:rPr>
          <w:rFonts w:ascii="Verdana" w:hAnsi="Verdana"/>
        </w:rPr>
        <w:t>: T</w:t>
      </w:r>
      <w:r w:rsidRPr="00E658F8">
        <w:rPr>
          <w:rFonts w:ascii="Verdana" w:hAnsi="Verdana"/>
        </w:rPr>
        <w:t>he prescription will auto</w:t>
      </w:r>
      <w:r w:rsidR="00A7721C">
        <w:rPr>
          <w:rFonts w:ascii="Verdana" w:hAnsi="Verdana"/>
        </w:rPr>
        <w:t xml:space="preserve">matically </w:t>
      </w:r>
      <w:r w:rsidRPr="00E658F8">
        <w:rPr>
          <w:rFonts w:ascii="Verdana" w:hAnsi="Verdana"/>
        </w:rPr>
        <w:t xml:space="preserve">substitute the </w:t>
      </w:r>
      <w:r w:rsidR="00326C69">
        <w:rPr>
          <w:rFonts w:ascii="Verdana" w:hAnsi="Verdana"/>
        </w:rPr>
        <w:t>b</w:t>
      </w:r>
      <w:r w:rsidRPr="00E658F8">
        <w:rPr>
          <w:rFonts w:ascii="Verdana" w:hAnsi="Verdana"/>
        </w:rPr>
        <w:t xml:space="preserve">rand </w:t>
      </w:r>
      <w:r w:rsidR="001D5F78" w:rsidRPr="00E658F8">
        <w:rPr>
          <w:rFonts w:ascii="Verdana" w:hAnsi="Verdana"/>
        </w:rPr>
        <w:t>Synthroid,</w:t>
      </w:r>
      <w:r w:rsidRPr="00E658F8">
        <w:rPr>
          <w:rFonts w:ascii="Verdana" w:hAnsi="Verdana"/>
        </w:rPr>
        <w:t xml:space="preserve"> and the generic copayment </w:t>
      </w:r>
      <w:r w:rsidR="007D27A4">
        <w:rPr>
          <w:rFonts w:ascii="Verdana" w:hAnsi="Verdana"/>
        </w:rPr>
        <w:t>applies</w:t>
      </w:r>
      <w:r w:rsidRPr="00E658F8">
        <w:rPr>
          <w:rFonts w:ascii="Verdana" w:hAnsi="Verdana"/>
        </w:rPr>
        <w:t>.</w:t>
      </w:r>
      <w:r w:rsidR="00772893">
        <w:rPr>
          <w:rFonts w:ascii="Verdana" w:hAnsi="Verdana"/>
        </w:rPr>
        <w:t xml:space="preserve"> This applies to </w:t>
      </w:r>
      <w:r w:rsidR="00E73834">
        <w:rPr>
          <w:rFonts w:ascii="Verdana" w:hAnsi="Verdana"/>
          <w:b/>
          <w:bCs/>
        </w:rPr>
        <w:t>M</w:t>
      </w:r>
      <w:r w:rsidR="00772893" w:rsidRPr="00E73834">
        <w:rPr>
          <w:rFonts w:ascii="Verdana" w:hAnsi="Verdana"/>
          <w:b/>
          <w:bCs/>
        </w:rPr>
        <w:t xml:space="preserve">ail </w:t>
      </w:r>
      <w:r w:rsidR="00E73834">
        <w:rPr>
          <w:rFonts w:ascii="Verdana" w:hAnsi="Verdana"/>
          <w:b/>
          <w:bCs/>
        </w:rPr>
        <w:t>O</w:t>
      </w:r>
      <w:r w:rsidR="00772893" w:rsidRPr="00E73834">
        <w:rPr>
          <w:rFonts w:ascii="Verdana" w:hAnsi="Verdana"/>
          <w:b/>
          <w:bCs/>
        </w:rPr>
        <w:t>rder only</w:t>
      </w:r>
      <w:r w:rsidR="00772893">
        <w:rPr>
          <w:rFonts w:ascii="Verdana" w:hAnsi="Verdana"/>
        </w:rPr>
        <w:t>.</w:t>
      </w:r>
    </w:p>
    <w:p w14:paraId="0917ACD9" w14:textId="77777777" w:rsidR="00A7721C" w:rsidRDefault="00A7721C" w:rsidP="00C969F3">
      <w:pPr>
        <w:pStyle w:val="ListParagraph"/>
        <w:spacing w:before="120" w:after="120"/>
        <w:ind w:left="540"/>
        <w:rPr>
          <w:rFonts w:ascii="Verdana" w:hAnsi="Verdana"/>
          <w:noProof/>
        </w:rPr>
      </w:pPr>
    </w:p>
    <w:p w14:paraId="47F672A9" w14:textId="784C211D" w:rsidR="006C3D7C" w:rsidRPr="00E658F8" w:rsidRDefault="00000000" w:rsidP="00C969F3">
      <w:pPr>
        <w:pStyle w:val="ListParagraph"/>
        <w:spacing w:before="120" w:after="120"/>
        <w:ind w:left="540"/>
        <w:rPr>
          <w:color w:val="000000"/>
        </w:rPr>
      </w:pPr>
      <w:r>
        <w:pict w14:anchorId="3AE28F7F">
          <v:shape id="Picture 17" o:spid="_x0000_i1059" type="#_x0000_t75" style="width:18.75pt;height:16.5pt;visibility:visible;mso-wrap-style:square" o:bullet="t">
            <v:imagedata r:id="rId12" o:title=""/>
          </v:shape>
        </w:pict>
      </w:r>
      <w:r w:rsidR="006C3D7C">
        <w:t xml:space="preserve"> </w:t>
      </w:r>
      <w:bookmarkStart w:id="13" w:name="OLE_LINK56"/>
      <w:r w:rsidR="007D27A4" w:rsidRPr="00974C99">
        <w:rPr>
          <w:rFonts w:ascii="Verdana" w:hAnsi="Verdana"/>
        </w:rPr>
        <w:t>D</w:t>
      </w:r>
      <w:r w:rsidR="005A1533" w:rsidRPr="00974C99">
        <w:rPr>
          <w:rFonts w:ascii="Verdana" w:hAnsi="Verdana"/>
        </w:rPr>
        <w:t xml:space="preserve">o </w:t>
      </w:r>
      <w:r w:rsidR="005A1533" w:rsidRPr="00974C99">
        <w:rPr>
          <w:rFonts w:ascii="Verdana" w:hAnsi="Verdana"/>
          <w:b/>
          <w:bCs/>
        </w:rPr>
        <w:t>not</w:t>
      </w:r>
      <w:r w:rsidR="005A1533">
        <w:rPr>
          <w:rFonts w:ascii="Verdana" w:hAnsi="Verdana"/>
        </w:rPr>
        <w:t xml:space="preserve"> </w:t>
      </w:r>
      <w:r w:rsidR="007D27A4">
        <w:rPr>
          <w:rFonts w:ascii="Verdana" w:hAnsi="Verdana"/>
        </w:rPr>
        <w:t xml:space="preserve">instruct members </w:t>
      </w:r>
      <w:r w:rsidR="005A1533">
        <w:rPr>
          <w:rFonts w:ascii="Verdana" w:hAnsi="Verdana"/>
        </w:rPr>
        <w:t xml:space="preserve">to have </w:t>
      </w:r>
      <w:r w:rsidR="00A7721C">
        <w:rPr>
          <w:rFonts w:ascii="Verdana" w:hAnsi="Verdana"/>
        </w:rPr>
        <w:t>their prescriber</w:t>
      </w:r>
      <w:r w:rsidR="005A1533">
        <w:rPr>
          <w:rFonts w:ascii="Verdana" w:hAnsi="Verdana"/>
        </w:rPr>
        <w:t xml:space="preserve"> write </w:t>
      </w:r>
      <w:r w:rsidR="007D27A4">
        <w:rPr>
          <w:rFonts w:ascii="Verdana" w:hAnsi="Verdana"/>
        </w:rPr>
        <w:t xml:space="preserve">a </w:t>
      </w:r>
      <w:r w:rsidR="005A1533">
        <w:rPr>
          <w:rFonts w:ascii="Verdana" w:hAnsi="Verdana"/>
        </w:rPr>
        <w:t xml:space="preserve">DAW 5 as this </w:t>
      </w:r>
      <w:r w:rsidR="006C3D7C">
        <w:rPr>
          <w:rFonts w:ascii="Verdana" w:hAnsi="Verdana"/>
        </w:rPr>
        <w:t>may cause a</w:t>
      </w:r>
      <w:r w:rsidR="005A1533">
        <w:rPr>
          <w:rFonts w:ascii="Verdana" w:hAnsi="Verdana"/>
        </w:rPr>
        <w:t xml:space="preserve"> delay</w:t>
      </w:r>
      <w:r w:rsidR="006C3D7C">
        <w:rPr>
          <w:rFonts w:ascii="Verdana" w:hAnsi="Verdana"/>
        </w:rPr>
        <w:t xml:space="preserve"> in dispensing</w:t>
      </w:r>
      <w:r w:rsidR="005A1533">
        <w:rPr>
          <w:rFonts w:ascii="Verdana" w:hAnsi="Verdana"/>
        </w:rPr>
        <w:t>.</w:t>
      </w:r>
      <w:r w:rsidR="006C3D7C">
        <w:rPr>
          <w:rFonts w:ascii="Verdana" w:hAnsi="Verdana"/>
        </w:rPr>
        <w:t xml:space="preserve"> </w:t>
      </w:r>
      <w:bookmarkEnd w:id="12"/>
      <w:bookmarkEnd w:id="13"/>
      <w:r w:rsidR="007D27A4">
        <w:rPr>
          <w:rFonts w:ascii="Verdana" w:hAnsi="Verdana"/>
          <w:color w:val="000000"/>
        </w:rPr>
        <w:t>F</w:t>
      </w:r>
      <w:r w:rsidR="006C3D7C" w:rsidRPr="006C3D7C">
        <w:rPr>
          <w:rFonts w:ascii="Verdana" w:hAnsi="Verdana"/>
          <w:color w:val="000000"/>
        </w:rPr>
        <w:t xml:space="preserve">or more information, refer to </w:t>
      </w:r>
      <w:hyperlink r:id="rId13" w:anchor="!/view?docid=7e5c2587-d679-4b42-b9b1-e98b754c6bff" w:history="1">
        <w:r w:rsidR="006955B6">
          <w:rPr>
            <w:rStyle w:val="Hyperlink"/>
            <w:rFonts w:ascii="Verdana" w:hAnsi="Verdana"/>
          </w:rPr>
          <w:t>Dispense as Written (DAW) Codes (040459)</w:t>
        </w:r>
      </w:hyperlink>
      <w:r w:rsidR="006C3D7C" w:rsidRPr="006C3D7C">
        <w:rPr>
          <w:rFonts w:ascii="Verdana" w:hAnsi="Verdana"/>
          <w:color w:val="000000"/>
        </w:rPr>
        <w:t xml:space="preserve"> and </w:t>
      </w:r>
      <w:hyperlink r:id="rId14" w:anchor="!/view?docid=4c9d2243-5841-45c0-b2ec-805023c6cbcf" w:history="1">
        <w:r w:rsidR="00E504E0">
          <w:rPr>
            <w:rStyle w:val="Hyperlink"/>
            <w:rFonts w:ascii="Verdana" w:hAnsi="Verdana"/>
          </w:rPr>
          <w:t>DAW (Dispense as Written) and RBP (Reference Based Pricing) Cost Difference (078542)</w:t>
        </w:r>
      </w:hyperlink>
      <w:r w:rsidR="006C3D7C" w:rsidRPr="006C3D7C">
        <w:rPr>
          <w:rFonts w:ascii="Verdana" w:hAnsi="Verdana"/>
          <w:color w:val="000000"/>
        </w:rPr>
        <w:t>.</w:t>
      </w:r>
    </w:p>
    <w:p w14:paraId="1EB402CC" w14:textId="77777777" w:rsidR="006C3D7C" w:rsidRPr="00E658F8" w:rsidRDefault="006C3D7C" w:rsidP="00C969F3">
      <w:pPr>
        <w:spacing w:before="120" w:after="120"/>
        <w:rPr>
          <w:rFonts w:ascii="Verdana" w:hAnsi="Verdana"/>
          <w:noProof/>
        </w:rPr>
      </w:pPr>
    </w:p>
    <w:p w14:paraId="1EEA7D07" w14:textId="06F0EA55" w:rsidR="006C3D7C" w:rsidRPr="006C3D7C" w:rsidRDefault="00521C7A" w:rsidP="00C969F3">
      <w:pPr>
        <w:pStyle w:val="ListParagraph"/>
        <w:numPr>
          <w:ilvl w:val="0"/>
          <w:numId w:val="15"/>
        </w:numPr>
        <w:spacing w:before="120" w:after="120"/>
        <w:ind w:left="540"/>
        <w:rPr>
          <w:rFonts w:ascii="Verdana" w:hAnsi="Verdana"/>
          <w:noProof/>
        </w:rPr>
      </w:pPr>
      <w:bookmarkStart w:id="14" w:name="OLE_LINK21"/>
      <w:r w:rsidRPr="00E658F8">
        <w:rPr>
          <w:rFonts w:ascii="Verdana" w:hAnsi="Verdana"/>
          <w:noProof/>
        </w:rPr>
        <w:t xml:space="preserve">The </w:t>
      </w:r>
      <w:hyperlink r:id="rId15" w:anchor="!/view?docid=ddabad50-490b-4a3c-86a7-6dc8502ebaed" w:history="1">
        <w:r w:rsidR="00AA19D2" w:rsidRPr="00C143AF">
          <w:rPr>
            <w:rStyle w:val="Hyperlink"/>
            <w:rFonts w:ascii="Verdana" w:hAnsi="Verdana" w:cs="Helvetica"/>
            <w:shd w:val="clear" w:color="auto" w:fill="FFFFFF"/>
          </w:rPr>
          <w:t>DAW</w:t>
        </w:r>
        <w:r w:rsidR="008107E8">
          <w:rPr>
            <w:rStyle w:val="Hyperlink"/>
            <w:rFonts w:ascii="Verdana" w:hAnsi="Verdana" w:cs="Helvetica"/>
            <w:shd w:val="clear" w:color="auto" w:fill="FFFFFF"/>
          </w:rPr>
          <w:t xml:space="preserve"> </w:t>
        </w:r>
        <w:r w:rsidR="00AA19D2" w:rsidRPr="00C143AF">
          <w:rPr>
            <w:rStyle w:val="Hyperlink"/>
            <w:rFonts w:ascii="Verdana" w:hAnsi="Verdana" w:cs="Helvetica"/>
            <w:shd w:val="clear" w:color="auto" w:fill="FFFFFF"/>
          </w:rPr>
          <w:t>5 NDC List (</w:t>
        </w:r>
        <w:r w:rsidR="00AA19D2" w:rsidRPr="00C143AF">
          <w:rPr>
            <w:rStyle w:val="Hyperlink"/>
            <w:rFonts w:ascii="Verdana" w:hAnsi="Verdana"/>
            <w:noProof/>
          </w:rPr>
          <w:t xml:space="preserve">Brand as Generic List) </w:t>
        </w:r>
        <w:r w:rsidR="00FE4368">
          <w:rPr>
            <w:rStyle w:val="Hyperlink"/>
            <w:rFonts w:ascii="Verdana" w:hAnsi="Verdana"/>
            <w:noProof/>
          </w:rPr>
          <w:t>(</w:t>
        </w:r>
        <w:r w:rsidR="00AA19D2" w:rsidRPr="00C143AF">
          <w:rPr>
            <w:rStyle w:val="Hyperlink"/>
            <w:rFonts w:ascii="Verdana" w:hAnsi="Verdana"/>
            <w:noProof/>
          </w:rPr>
          <w:t>018804)</w:t>
        </w:r>
      </w:hyperlink>
      <w:r w:rsidRPr="00E658F8">
        <w:rPr>
          <w:rFonts w:ascii="Verdana" w:hAnsi="Verdana"/>
          <w:noProof/>
        </w:rPr>
        <w:t xml:space="preserve"> includes all the generic medications </w:t>
      </w:r>
      <w:r w:rsidR="00B44F4C" w:rsidRPr="00E658F8">
        <w:rPr>
          <w:rFonts w:ascii="Verdana" w:hAnsi="Verdana"/>
          <w:noProof/>
        </w:rPr>
        <w:t xml:space="preserve">CVS </w:t>
      </w:r>
      <w:r w:rsidR="00212D4D" w:rsidRPr="00E658F8">
        <w:rPr>
          <w:rFonts w:ascii="Verdana" w:hAnsi="Verdana"/>
          <w:noProof/>
        </w:rPr>
        <w:t>Caremark Mail Order</w:t>
      </w:r>
      <w:r w:rsidRPr="00E658F8">
        <w:rPr>
          <w:rFonts w:ascii="Verdana" w:hAnsi="Verdana"/>
          <w:noProof/>
        </w:rPr>
        <w:t xml:space="preserve"> currently fill</w:t>
      </w:r>
      <w:r w:rsidR="00212D4D" w:rsidRPr="00E658F8">
        <w:rPr>
          <w:rFonts w:ascii="Verdana" w:hAnsi="Verdana"/>
          <w:noProof/>
        </w:rPr>
        <w:t>s</w:t>
      </w:r>
      <w:r w:rsidRPr="00E658F8">
        <w:rPr>
          <w:rFonts w:ascii="Verdana" w:hAnsi="Verdana"/>
          <w:noProof/>
        </w:rPr>
        <w:t xml:space="preserve"> using the brand name version.</w:t>
      </w:r>
      <w:r w:rsidR="00B7474E" w:rsidRPr="00E658F8">
        <w:rPr>
          <w:rFonts w:ascii="Verdana" w:hAnsi="Verdana"/>
          <w:noProof/>
        </w:rPr>
        <w:t xml:space="preserve"> Clicking this link will download an Excel spreadsheet containing all</w:t>
      </w:r>
      <w:r w:rsidR="006C3D7C">
        <w:rPr>
          <w:rFonts w:ascii="Verdana" w:hAnsi="Verdana"/>
          <w:noProof/>
        </w:rPr>
        <w:t xml:space="preserve"> </w:t>
      </w:r>
      <w:r w:rsidR="00B7474E" w:rsidRPr="00E658F8">
        <w:rPr>
          <w:rFonts w:ascii="Verdana" w:hAnsi="Verdana"/>
          <w:noProof/>
        </w:rPr>
        <w:t xml:space="preserve">applicable names and NDC numbers. </w:t>
      </w:r>
      <w:bookmarkStart w:id="15" w:name="OLE_LINK26"/>
    </w:p>
    <w:p w14:paraId="2ED3DB2D" w14:textId="77777777" w:rsidR="006C3D7C" w:rsidRPr="00E658F8" w:rsidRDefault="006C3D7C" w:rsidP="00C969F3">
      <w:pPr>
        <w:pStyle w:val="ListParagraph"/>
        <w:spacing w:before="120" w:after="120"/>
        <w:ind w:left="540"/>
        <w:rPr>
          <w:rFonts w:ascii="Verdana" w:hAnsi="Verdana"/>
          <w:noProof/>
        </w:rPr>
      </w:pPr>
    </w:p>
    <w:p w14:paraId="51FE0D79" w14:textId="66CB853F" w:rsidR="00DD2A16" w:rsidRPr="00E658F8" w:rsidRDefault="00AC3585" w:rsidP="00C969F3">
      <w:pPr>
        <w:pStyle w:val="ListParagraph"/>
        <w:numPr>
          <w:ilvl w:val="0"/>
          <w:numId w:val="15"/>
        </w:numPr>
        <w:spacing w:before="120" w:after="120"/>
        <w:ind w:left="540"/>
        <w:rPr>
          <w:rFonts w:ascii="Verdana" w:hAnsi="Verdana"/>
          <w:noProof/>
        </w:rPr>
      </w:pPr>
      <w:bookmarkStart w:id="16" w:name="OLE_LINK54"/>
      <w:bookmarkEnd w:id="14"/>
      <w:bookmarkEnd w:id="15"/>
      <w:r w:rsidRPr="006C3D7C">
        <w:rPr>
          <w:rFonts w:ascii="Verdana" w:hAnsi="Verdana"/>
          <w:noProof/>
        </w:rPr>
        <w:t>Member</w:t>
      </w:r>
      <w:r w:rsidR="009C13BF" w:rsidRPr="006C3D7C">
        <w:rPr>
          <w:rFonts w:ascii="Verdana" w:hAnsi="Verdana"/>
          <w:noProof/>
        </w:rPr>
        <w:t xml:space="preserve"> cost for branded generics can vary depending on the plan design. </w:t>
      </w:r>
      <w:bookmarkEnd w:id="16"/>
      <w:r w:rsidR="009C13BF" w:rsidRPr="00E658F8">
        <w:rPr>
          <w:rFonts w:ascii="Verdana" w:hAnsi="Verdana"/>
          <w:noProof/>
        </w:rPr>
        <w:t>Some clients may not accept a DAW</w:t>
      </w:r>
      <w:r w:rsidR="00B03D56" w:rsidRPr="00E658F8">
        <w:rPr>
          <w:rFonts w:ascii="Verdana" w:hAnsi="Verdana"/>
          <w:noProof/>
        </w:rPr>
        <w:t xml:space="preserve"> </w:t>
      </w:r>
      <w:r w:rsidR="009C13BF" w:rsidRPr="00E658F8">
        <w:rPr>
          <w:rFonts w:ascii="Verdana" w:hAnsi="Verdana"/>
          <w:noProof/>
        </w:rPr>
        <w:t>5 or may have special pricing</w:t>
      </w:r>
      <w:r w:rsidR="006C3D7C">
        <w:rPr>
          <w:rFonts w:ascii="Verdana" w:hAnsi="Verdana"/>
          <w:noProof/>
        </w:rPr>
        <w:t xml:space="preserve"> which</w:t>
      </w:r>
      <w:r w:rsidR="009C13BF" w:rsidRPr="00E658F8">
        <w:rPr>
          <w:rFonts w:ascii="Verdana" w:hAnsi="Verdana"/>
          <w:noProof/>
        </w:rPr>
        <w:t xml:space="preserve"> could result in the </w:t>
      </w:r>
      <w:r w:rsidR="007D27A4">
        <w:rPr>
          <w:rFonts w:ascii="Verdana" w:hAnsi="Verdana"/>
          <w:noProof/>
        </w:rPr>
        <w:t>m</w:t>
      </w:r>
      <w:r w:rsidR="007D27A4" w:rsidRPr="00E658F8">
        <w:rPr>
          <w:rFonts w:ascii="Verdana" w:hAnsi="Verdana"/>
          <w:noProof/>
        </w:rPr>
        <w:t xml:space="preserve">ember </w:t>
      </w:r>
      <w:r w:rsidR="009C13BF" w:rsidRPr="00E658F8">
        <w:rPr>
          <w:rFonts w:ascii="Verdana" w:hAnsi="Verdana"/>
          <w:noProof/>
        </w:rPr>
        <w:t>being charged the brand copay or higher than what they would expect for the generic.</w:t>
      </w:r>
      <w:r w:rsidR="00E0483F" w:rsidRPr="00E658F8">
        <w:rPr>
          <w:rFonts w:ascii="Verdana" w:hAnsi="Verdana"/>
          <w:noProof/>
        </w:rPr>
        <w:t xml:space="preserve"> </w:t>
      </w:r>
      <w:r w:rsidR="0038169B">
        <w:rPr>
          <w:rFonts w:ascii="Verdana" w:hAnsi="Verdana"/>
          <w:noProof/>
        </w:rPr>
        <w:t>R</w:t>
      </w:r>
      <w:r w:rsidR="006C3D7C" w:rsidRPr="00E658F8">
        <w:rPr>
          <w:rFonts w:ascii="Verdana" w:hAnsi="Verdana"/>
          <w:noProof/>
        </w:rPr>
        <w:t>efer to CIF.</w:t>
      </w:r>
    </w:p>
    <w:p w14:paraId="183C99D0" w14:textId="55E98CA3" w:rsidR="00E922B7" w:rsidRPr="00E922B7" w:rsidRDefault="00E922B7" w:rsidP="00C969F3">
      <w:pPr>
        <w:pStyle w:val="ListParagraph"/>
        <w:spacing w:before="120" w:after="120"/>
        <w:ind w:left="540"/>
        <w:rPr>
          <w:rFonts w:ascii="Verdana" w:hAnsi="Verdana"/>
        </w:rPr>
      </w:pPr>
    </w:p>
    <w:p w14:paraId="67E58485" w14:textId="77777777" w:rsidR="00E922B7" w:rsidRDefault="00E922B7" w:rsidP="00C969F3">
      <w:pPr>
        <w:pStyle w:val="ListParagraph"/>
        <w:spacing w:before="120" w:after="120"/>
      </w:pPr>
    </w:p>
    <w:p w14:paraId="4A68A6FF" w14:textId="35083C87" w:rsidR="00A247F5" w:rsidRDefault="00000000" w:rsidP="00C969F3">
      <w:pPr>
        <w:pStyle w:val="ListParagraph"/>
        <w:spacing w:before="120" w:after="120"/>
        <w:ind w:left="540"/>
        <w:jc w:val="right"/>
        <w:rPr>
          <w:rFonts w:ascii="Verdana" w:hAnsi="Verdana"/>
        </w:rPr>
      </w:pPr>
      <w:hyperlink w:anchor="_top" w:history="1">
        <w:r w:rsidR="00222FA9" w:rsidRPr="00222FA9">
          <w:rPr>
            <w:rStyle w:val="Hyperlink"/>
            <w:rFonts w:ascii="Verdana" w:hAnsi="Verdana"/>
          </w:rPr>
          <w:t>Top of th</w:t>
        </w:r>
        <w:r w:rsidR="00222FA9" w:rsidRPr="00222FA9">
          <w:rPr>
            <w:rStyle w:val="Hyperlink"/>
            <w:rFonts w:ascii="Verdana" w:hAnsi="Verdana"/>
          </w:rPr>
          <w:t>e</w:t>
        </w:r>
        <w:r w:rsidR="00222FA9" w:rsidRPr="00222FA9">
          <w:rPr>
            <w:rStyle w:val="Hyperlink"/>
            <w:rFonts w:ascii="Verdana" w:hAnsi="Verdana"/>
          </w:rPr>
          <w:t xml:space="preserve">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D1F68" w:rsidRPr="00384851" w14:paraId="18F5494E" w14:textId="77777777" w:rsidTr="00E111FC">
        <w:tc>
          <w:tcPr>
            <w:tcW w:w="5000" w:type="pct"/>
            <w:shd w:val="clear" w:color="auto" w:fill="BFBFBF" w:themeFill="background1" w:themeFillShade="BF"/>
          </w:tcPr>
          <w:p w14:paraId="2BDB5915" w14:textId="32E321C6" w:rsidR="001D1F68" w:rsidRPr="00384851" w:rsidRDefault="005D7430" w:rsidP="00C969F3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17" w:name="_DAW_5_(Brand"/>
            <w:bookmarkStart w:id="18" w:name="OLE_LINK19"/>
            <w:bookmarkStart w:id="19" w:name="_Toc195687292"/>
            <w:bookmarkStart w:id="20" w:name="_Toc195694951"/>
            <w:bookmarkEnd w:id="17"/>
            <w:r>
              <w:rPr>
                <w:rFonts w:ascii="Verdana" w:hAnsi="Verdana"/>
                <w:i w:val="0"/>
                <w:iCs w:val="0"/>
              </w:rPr>
              <w:t>Test Claims for Branded Generics</w:t>
            </w:r>
            <w:bookmarkEnd w:id="19"/>
            <w:bookmarkEnd w:id="20"/>
            <w:r w:rsidR="0065251A">
              <w:rPr>
                <w:rFonts w:ascii="Verdana" w:hAnsi="Verdana"/>
                <w:i w:val="0"/>
                <w:iCs w:val="0"/>
              </w:rPr>
              <w:t xml:space="preserve">  </w:t>
            </w:r>
            <w:r w:rsidR="00AC0BEF">
              <w:rPr>
                <w:b w:val="0"/>
                <w:noProof/>
              </w:rPr>
              <w:t xml:space="preserve"> </w:t>
            </w:r>
            <w:bookmarkEnd w:id="18"/>
          </w:p>
        </w:tc>
      </w:tr>
    </w:tbl>
    <w:p w14:paraId="3C5CD562" w14:textId="77777777" w:rsidR="002006E9" w:rsidRDefault="002006E9" w:rsidP="00C969F3">
      <w:pPr>
        <w:pStyle w:val="BodyTextIndent2"/>
        <w:spacing w:before="120" w:line="240" w:lineRule="auto"/>
        <w:rPr>
          <w:rFonts w:ascii="Verdana" w:hAnsi="Verdana"/>
        </w:rPr>
      </w:pPr>
    </w:p>
    <w:p w14:paraId="671AA21A" w14:textId="31BBE0D6" w:rsidR="007D27A4" w:rsidRDefault="00657902" w:rsidP="00C969F3">
      <w:pPr>
        <w:spacing w:before="120" w:after="120"/>
        <w:rPr>
          <w:rFonts w:ascii="Verdana" w:hAnsi="Verdana"/>
          <w:color w:val="000000"/>
        </w:rPr>
      </w:pPr>
      <w:r w:rsidRPr="00E658F8">
        <w:rPr>
          <w:rFonts w:ascii="Verdana" w:hAnsi="Verdana"/>
          <w:color w:val="000000"/>
        </w:rPr>
        <w:t xml:space="preserve">When the </w:t>
      </w:r>
      <w:r w:rsidR="007D27A4">
        <w:rPr>
          <w:rFonts w:ascii="Verdana" w:hAnsi="Verdana"/>
          <w:color w:val="000000"/>
        </w:rPr>
        <w:t>m</w:t>
      </w:r>
      <w:r w:rsidR="007D27A4" w:rsidRPr="00E658F8">
        <w:rPr>
          <w:rFonts w:ascii="Verdana" w:hAnsi="Verdana"/>
          <w:color w:val="000000"/>
        </w:rPr>
        <w:t xml:space="preserve">ember </w:t>
      </w:r>
      <w:r w:rsidRPr="00E658F8">
        <w:rPr>
          <w:rFonts w:ascii="Verdana" w:hAnsi="Verdana"/>
          <w:color w:val="000000"/>
        </w:rPr>
        <w:t>runs a Test Claim on Caremark.com</w:t>
      </w:r>
      <w:r w:rsidR="00824FCA">
        <w:rPr>
          <w:rFonts w:ascii="Verdana" w:hAnsi="Verdana"/>
          <w:color w:val="000000"/>
        </w:rPr>
        <w:t>;</w:t>
      </w:r>
      <w:r w:rsidRPr="00E658F8">
        <w:rPr>
          <w:rFonts w:ascii="Verdana" w:hAnsi="Verdana"/>
          <w:color w:val="000000"/>
        </w:rPr>
        <w:t xml:space="preserve"> it will provide the brand copay for these medications, not the “Branded Generic” cost</w:t>
      </w:r>
      <w:r w:rsidR="0006778F" w:rsidRPr="00E658F8">
        <w:rPr>
          <w:rFonts w:ascii="Verdana" w:hAnsi="Verdana"/>
          <w:color w:val="000000"/>
        </w:rPr>
        <w:t xml:space="preserve">. </w:t>
      </w:r>
    </w:p>
    <w:p w14:paraId="6843D49A" w14:textId="77777777" w:rsidR="007D27A4" w:rsidRDefault="007D27A4" w:rsidP="00C969F3">
      <w:pPr>
        <w:spacing w:before="120" w:after="120"/>
        <w:rPr>
          <w:rFonts w:ascii="Verdana" w:hAnsi="Verdana"/>
          <w:color w:val="000000"/>
        </w:rPr>
      </w:pPr>
    </w:p>
    <w:p w14:paraId="659C4196" w14:textId="6B4DBA59" w:rsidR="00657902" w:rsidRPr="002325C2" w:rsidRDefault="00657902" w:rsidP="00C969F3">
      <w:pPr>
        <w:pStyle w:val="ListParagraph"/>
        <w:numPr>
          <w:ilvl w:val="0"/>
          <w:numId w:val="36"/>
        </w:numPr>
        <w:spacing w:before="120" w:after="120"/>
        <w:rPr>
          <w:rFonts w:ascii="Verdana" w:hAnsi="Verdana"/>
          <w:color w:val="000000"/>
        </w:rPr>
      </w:pPr>
      <w:r w:rsidRPr="002325C2">
        <w:rPr>
          <w:rFonts w:ascii="Verdana" w:hAnsi="Verdana"/>
          <w:color w:val="000000"/>
        </w:rPr>
        <w:t xml:space="preserve">If a </w:t>
      </w:r>
      <w:r w:rsidR="007D27A4" w:rsidRPr="002325C2">
        <w:rPr>
          <w:rFonts w:ascii="Verdana" w:hAnsi="Verdana"/>
          <w:color w:val="000000"/>
        </w:rPr>
        <w:t xml:space="preserve">member </w:t>
      </w:r>
      <w:r w:rsidRPr="002325C2">
        <w:rPr>
          <w:rFonts w:ascii="Verdana" w:hAnsi="Verdana"/>
          <w:color w:val="000000"/>
        </w:rPr>
        <w:t xml:space="preserve">calls in to question the copay from Caremark.com, run a </w:t>
      </w:r>
      <w:r w:rsidR="0054783C" w:rsidRPr="002325C2">
        <w:rPr>
          <w:rFonts w:ascii="Verdana" w:hAnsi="Verdana"/>
        </w:rPr>
        <w:t>Test Claim</w:t>
      </w:r>
      <w:r w:rsidRPr="002325C2">
        <w:rPr>
          <w:rFonts w:ascii="Verdana" w:hAnsi="Verdana"/>
          <w:color w:val="000000"/>
        </w:rPr>
        <w:t xml:space="preserve"> to verify pricing </w:t>
      </w:r>
      <w:r w:rsidRPr="002325C2">
        <w:rPr>
          <w:rFonts w:ascii="Verdana" w:hAnsi="Verdana"/>
          <w:noProof/>
          <w:color w:val="000000"/>
        </w:rPr>
        <w:t>using the generic substitution instead of the brand name medication</w:t>
      </w:r>
      <w:r w:rsidRPr="002325C2">
        <w:rPr>
          <w:rFonts w:ascii="Verdana" w:hAnsi="Verdana"/>
          <w:color w:val="000000"/>
        </w:rPr>
        <w:t xml:space="preserve">. </w:t>
      </w:r>
    </w:p>
    <w:p w14:paraId="0C61747C" w14:textId="77777777" w:rsidR="004913D8" w:rsidRPr="002325C2" w:rsidRDefault="004913D8" w:rsidP="00C969F3">
      <w:pPr>
        <w:spacing w:before="120" w:after="120"/>
        <w:rPr>
          <w:rFonts w:ascii="Verdana" w:hAnsi="Verdana"/>
          <w:color w:val="000000"/>
        </w:rPr>
      </w:pPr>
    </w:p>
    <w:p w14:paraId="54BB8286" w14:textId="743CB49A" w:rsidR="00657902" w:rsidRDefault="00657902" w:rsidP="00C969F3">
      <w:pPr>
        <w:spacing w:before="120" w:after="120"/>
        <w:ind w:left="720"/>
        <w:rPr>
          <w:rFonts w:ascii="Verdana" w:hAnsi="Verdana"/>
          <w:bCs/>
          <w:color w:val="000000"/>
        </w:rPr>
      </w:pPr>
      <w:r w:rsidRPr="00D355E5">
        <w:rPr>
          <w:rFonts w:ascii="Verdana" w:hAnsi="Verdana"/>
          <w:b/>
          <w:bCs/>
          <w:color w:val="000000"/>
        </w:rPr>
        <w:t>N</w:t>
      </w:r>
      <w:r w:rsidR="00DD2A16" w:rsidRPr="00D355E5">
        <w:rPr>
          <w:rFonts w:ascii="Verdana" w:hAnsi="Verdana"/>
          <w:b/>
          <w:bCs/>
          <w:color w:val="000000"/>
        </w:rPr>
        <w:t>ote</w:t>
      </w:r>
      <w:r w:rsidRPr="00D355E5">
        <w:rPr>
          <w:rFonts w:ascii="Verdana" w:hAnsi="Verdana"/>
          <w:b/>
          <w:bCs/>
          <w:color w:val="000000"/>
        </w:rPr>
        <w:t>:</w:t>
      </w:r>
      <w:r w:rsidR="00240D1D" w:rsidRPr="00D355E5">
        <w:rPr>
          <w:rFonts w:ascii="Verdana" w:hAnsi="Verdana"/>
          <w:color w:val="000000"/>
        </w:rPr>
        <w:t xml:space="preserve"> </w:t>
      </w:r>
      <w:r w:rsidRPr="00B1444E">
        <w:rPr>
          <w:rFonts w:ascii="Verdana" w:hAnsi="Verdana"/>
          <w:color w:val="000000"/>
        </w:rPr>
        <w:t xml:space="preserve">When populating a Test Claim from an </w:t>
      </w:r>
      <w:r w:rsidR="004913D8" w:rsidRPr="00B1444E">
        <w:rPr>
          <w:rFonts w:ascii="Verdana" w:hAnsi="Verdana"/>
          <w:color w:val="000000"/>
        </w:rPr>
        <w:t xml:space="preserve">existing </w:t>
      </w:r>
      <w:r w:rsidRPr="00B1444E">
        <w:rPr>
          <w:rFonts w:ascii="Verdana" w:hAnsi="Verdana"/>
          <w:color w:val="000000"/>
        </w:rPr>
        <w:t>Rx that was filled as a Branded Generic</w:t>
      </w:r>
      <w:r w:rsidR="00824FCA" w:rsidRPr="00B1444E">
        <w:rPr>
          <w:rFonts w:ascii="Verdana" w:hAnsi="Verdana"/>
          <w:color w:val="000000"/>
        </w:rPr>
        <w:t>;</w:t>
      </w:r>
      <w:r w:rsidRPr="00B1444E">
        <w:rPr>
          <w:rFonts w:ascii="Verdana" w:hAnsi="Verdana"/>
          <w:color w:val="000000"/>
        </w:rPr>
        <w:t xml:space="preserve"> </w:t>
      </w:r>
      <w:r w:rsidRPr="00B1444E">
        <w:rPr>
          <w:rFonts w:ascii="Verdana" w:hAnsi="Verdana"/>
          <w:bCs/>
          <w:color w:val="000000"/>
        </w:rPr>
        <w:t xml:space="preserve">an alternate May Sub box </w:t>
      </w:r>
      <w:r w:rsidR="007D27A4" w:rsidRPr="00B1444E">
        <w:rPr>
          <w:rFonts w:ascii="Verdana" w:hAnsi="Verdana"/>
          <w:bCs/>
          <w:color w:val="000000"/>
        </w:rPr>
        <w:t>displays</w:t>
      </w:r>
      <w:r w:rsidRPr="00B1444E">
        <w:rPr>
          <w:rFonts w:ascii="Verdana" w:hAnsi="Verdana"/>
          <w:bCs/>
          <w:color w:val="000000"/>
        </w:rPr>
        <w:t>, with different choices specific to Branded Generics.</w:t>
      </w:r>
      <w:r w:rsidR="00240D1D" w:rsidRPr="00B1444E">
        <w:rPr>
          <w:rFonts w:ascii="Verdana" w:hAnsi="Verdana"/>
          <w:bCs/>
          <w:color w:val="000000"/>
        </w:rPr>
        <w:t xml:space="preserve"> </w:t>
      </w:r>
      <w:r w:rsidRPr="00B1444E">
        <w:rPr>
          <w:rFonts w:ascii="Verdana" w:hAnsi="Verdana"/>
          <w:bCs/>
          <w:color w:val="000000"/>
        </w:rPr>
        <w:t xml:space="preserve">In this case, choose NO DAW instead of Y-MAY SUB. Refer to </w:t>
      </w:r>
      <w:r w:rsidR="0054783C" w:rsidRPr="00B1444E">
        <w:rPr>
          <w:rFonts w:ascii="Verdana" w:hAnsi="Verdana"/>
        </w:rPr>
        <w:t>Test Claim</w:t>
      </w:r>
      <w:r w:rsidRPr="00B1444E">
        <w:rPr>
          <w:rFonts w:ascii="Verdana" w:hAnsi="Verdana"/>
          <w:bCs/>
          <w:color w:val="000000"/>
        </w:rPr>
        <w:t xml:space="preserve"> for more information.</w:t>
      </w:r>
    </w:p>
    <w:p w14:paraId="5150629C" w14:textId="77777777" w:rsidR="004913D8" w:rsidRPr="005D7430" w:rsidRDefault="004913D8" w:rsidP="00C969F3">
      <w:pPr>
        <w:spacing w:before="120" w:after="120"/>
        <w:rPr>
          <w:rFonts w:ascii="Verdana" w:hAnsi="Verdana"/>
          <w:color w:val="000000"/>
        </w:rPr>
      </w:pPr>
    </w:p>
    <w:p w14:paraId="29BB2D74" w14:textId="48ABFA04" w:rsidR="00657902" w:rsidRDefault="00657902" w:rsidP="00C969F3">
      <w:pPr>
        <w:spacing w:before="120" w:after="120"/>
        <w:jc w:val="center"/>
      </w:pPr>
      <w:r>
        <w:rPr>
          <w:noProof/>
        </w:rPr>
        <w:drawing>
          <wp:inline distT="0" distB="0" distL="0" distR="0" wp14:anchorId="02F58B6E" wp14:editId="4FD132ED">
            <wp:extent cx="1924050" cy="1304925"/>
            <wp:effectExtent l="0" t="0" r="0" b="952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2190" w14:textId="77777777" w:rsidR="00007A55" w:rsidRDefault="00007A55" w:rsidP="00C969F3">
      <w:pPr>
        <w:spacing w:before="120" w:after="120"/>
        <w:jc w:val="center"/>
      </w:pPr>
    </w:p>
    <w:p w14:paraId="2533C39E" w14:textId="74DB8BBE" w:rsidR="00D9210D" w:rsidRPr="0075063D" w:rsidRDefault="00C7110F" w:rsidP="00C969F3">
      <w:pPr>
        <w:spacing w:before="120" w:after="120"/>
        <w:rPr>
          <w:rFonts w:ascii="Verdana" w:hAnsi="Verdana"/>
          <w:color w:val="000000" w:themeColor="text1"/>
        </w:rPr>
      </w:pPr>
      <w:r w:rsidRPr="0075063D">
        <w:rPr>
          <w:rFonts w:ascii="Verdana" w:hAnsi="Verdana"/>
          <w:b/>
          <w:bCs/>
          <w:color w:val="000000" w:themeColor="text1"/>
        </w:rPr>
        <w:t xml:space="preserve">Note: </w:t>
      </w:r>
      <w:r w:rsidR="208E8280" w:rsidRPr="0075063D">
        <w:rPr>
          <w:rFonts w:ascii="Verdana" w:hAnsi="Verdana"/>
          <w:color w:val="000000" w:themeColor="text1"/>
        </w:rPr>
        <w:t xml:space="preserve">When manually running a </w:t>
      </w:r>
      <w:r w:rsidR="003A54E8" w:rsidRPr="0075063D">
        <w:rPr>
          <w:rFonts w:ascii="Verdana" w:hAnsi="Verdana"/>
          <w:color w:val="000000" w:themeColor="text1"/>
        </w:rPr>
        <w:t xml:space="preserve">Test Claim </w:t>
      </w:r>
      <w:r w:rsidR="208E8280" w:rsidRPr="0075063D">
        <w:rPr>
          <w:rFonts w:ascii="Verdana" w:hAnsi="Verdana"/>
          <w:color w:val="000000" w:themeColor="text1"/>
        </w:rPr>
        <w:t xml:space="preserve">for branded generic Synthroid at mail order. </w:t>
      </w:r>
      <w:r w:rsidR="00D9210D" w:rsidRPr="0075063D">
        <w:rPr>
          <w:rFonts w:ascii="Verdana" w:hAnsi="Verdana"/>
          <w:color w:val="000000" w:themeColor="text1"/>
        </w:rPr>
        <w:t>Perform the following:</w:t>
      </w:r>
    </w:p>
    <w:p w14:paraId="6C0D0469" w14:textId="12D7B07A" w:rsidR="00214658" w:rsidRPr="0075063D" w:rsidRDefault="00214658" w:rsidP="00C969F3">
      <w:pPr>
        <w:pStyle w:val="ListParagraph"/>
        <w:numPr>
          <w:ilvl w:val="0"/>
          <w:numId w:val="37"/>
        </w:numPr>
        <w:spacing w:before="120" w:after="120"/>
        <w:ind w:left="1800"/>
        <w:rPr>
          <w:rFonts w:ascii="Verdana" w:hAnsi="Verdana"/>
          <w:color w:val="000000" w:themeColor="text1"/>
        </w:rPr>
      </w:pPr>
      <w:r w:rsidRPr="0075063D">
        <w:rPr>
          <w:rFonts w:ascii="Verdana" w:hAnsi="Verdana"/>
          <w:color w:val="000000" w:themeColor="text1"/>
        </w:rPr>
        <w:t xml:space="preserve">Input </w:t>
      </w:r>
      <w:r w:rsidR="004B6302" w:rsidRPr="0075063D">
        <w:rPr>
          <w:rFonts w:ascii="Verdana" w:hAnsi="Verdana"/>
          <w:color w:val="000000" w:themeColor="text1"/>
        </w:rPr>
        <w:t>Synthroid</w:t>
      </w:r>
      <w:r w:rsidR="208E8280" w:rsidRPr="0075063D">
        <w:rPr>
          <w:rFonts w:ascii="Verdana" w:hAnsi="Verdana"/>
          <w:color w:val="000000" w:themeColor="text1"/>
        </w:rPr>
        <w:t xml:space="preserve"> in the Drug Label field on the test claim screen. </w:t>
      </w:r>
    </w:p>
    <w:p w14:paraId="6A8A172C" w14:textId="368A3E55" w:rsidR="00214658" w:rsidRPr="0075063D" w:rsidRDefault="00214658" w:rsidP="00C969F3">
      <w:pPr>
        <w:pStyle w:val="ListParagraph"/>
        <w:numPr>
          <w:ilvl w:val="0"/>
          <w:numId w:val="37"/>
        </w:numPr>
        <w:spacing w:before="120" w:after="120"/>
        <w:ind w:left="1800"/>
        <w:rPr>
          <w:rFonts w:ascii="Verdana" w:hAnsi="Verdana"/>
          <w:color w:val="000000" w:themeColor="text1"/>
        </w:rPr>
      </w:pPr>
      <w:r w:rsidRPr="0075063D">
        <w:rPr>
          <w:rFonts w:ascii="Verdana" w:hAnsi="Verdana"/>
          <w:color w:val="000000" w:themeColor="text1"/>
        </w:rPr>
        <w:t>A</w:t>
      </w:r>
      <w:r w:rsidR="208E8280" w:rsidRPr="0075063D">
        <w:rPr>
          <w:rFonts w:ascii="Verdana" w:hAnsi="Verdana"/>
          <w:color w:val="000000" w:themeColor="text1"/>
        </w:rPr>
        <w:t xml:space="preserve">sk probing questions to determine whether the brand is medically necessary. </w:t>
      </w:r>
    </w:p>
    <w:p w14:paraId="4AA6FFE7" w14:textId="0242B275" w:rsidR="00214658" w:rsidRPr="0075063D" w:rsidRDefault="208E8280" w:rsidP="00C969F3">
      <w:pPr>
        <w:pStyle w:val="ListParagraph"/>
        <w:numPr>
          <w:ilvl w:val="0"/>
          <w:numId w:val="37"/>
        </w:numPr>
        <w:spacing w:before="120" w:after="120"/>
        <w:ind w:left="1800"/>
        <w:rPr>
          <w:rFonts w:ascii="Verdana" w:hAnsi="Verdana"/>
          <w:color w:val="000000" w:themeColor="text1"/>
        </w:rPr>
      </w:pPr>
      <w:r w:rsidRPr="0075063D">
        <w:rPr>
          <w:rFonts w:ascii="Verdana" w:hAnsi="Verdana"/>
          <w:color w:val="000000" w:themeColor="text1"/>
        </w:rPr>
        <w:t xml:space="preserve">Select </w:t>
      </w:r>
      <w:r w:rsidRPr="0075063D">
        <w:rPr>
          <w:rFonts w:ascii="Verdana" w:hAnsi="Verdana"/>
          <w:b/>
          <w:bCs/>
          <w:color w:val="000000" w:themeColor="text1"/>
        </w:rPr>
        <w:t>May Sub-MD</w:t>
      </w:r>
      <w:r w:rsidRPr="0075063D">
        <w:rPr>
          <w:rFonts w:ascii="Verdana" w:hAnsi="Verdana"/>
          <w:color w:val="000000" w:themeColor="text1"/>
        </w:rPr>
        <w:t xml:space="preserve"> No when brand is medically necessary which will provide the appropriate copay/pricing</w:t>
      </w:r>
      <w:r w:rsidR="0006778F" w:rsidRPr="0075063D">
        <w:rPr>
          <w:rFonts w:ascii="Verdana" w:hAnsi="Verdana"/>
          <w:color w:val="000000" w:themeColor="text1"/>
        </w:rPr>
        <w:t xml:space="preserve">. </w:t>
      </w:r>
    </w:p>
    <w:p w14:paraId="2C3DA536" w14:textId="40F2CE01" w:rsidR="208E8280" w:rsidRPr="0075063D" w:rsidRDefault="208E8280" w:rsidP="00C969F3">
      <w:pPr>
        <w:pStyle w:val="ListParagraph"/>
        <w:numPr>
          <w:ilvl w:val="1"/>
          <w:numId w:val="36"/>
        </w:numPr>
        <w:spacing w:before="120" w:after="120"/>
        <w:ind w:left="2160"/>
        <w:rPr>
          <w:rFonts w:ascii="Verdana" w:hAnsi="Verdana"/>
          <w:color w:val="000000" w:themeColor="text1"/>
        </w:rPr>
      </w:pPr>
      <w:r w:rsidRPr="0075063D">
        <w:rPr>
          <w:rFonts w:ascii="Verdana" w:hAnsi="Verdana"/>
          <w:color w:val="000000" w:themeColor="text1"/>
        </w:rPr>
        <w:t>If brand is not medically necessary</w:t>
      </w:r>
      <w:r w:rsidR="00A3058B" w:rsidRPr="0075063D">
        <w:rPr>
          <w:rFonts w:ascii="Verdana" w:hAnsi="Verdana"/>
          <w:color w:val="000000" w:themeColor="text1"/>
        </w:rPr>
        <w:t xml:space="preserve">, </w:t>
      </w:r>
      <w:r w:rsidRPr="0075063D">
        <w:rPr>
          <w:rFonts w:ascii="Verdana" w:hAnsi="Verdana"/>
          <w:color w:val="000000" w:themeColor="text1"/>
        </w:rPr>
        <w:t>select Y-may sub which provide</w:t>
      </w:r>
      <w:r w:rsidR="00A3058B" w:rsidRPr="0075063D">
        <w:rPr>
          <w:rFonts w:ascii="Verdana" w:hAnsi="Verdana"/>
          <w:color w:val="000000" w:themeColor="text1"/>
        </w:rPr>
        <w:t>s</w:t>
      </w:r>
      <w:r w:rsidRPr="0075063D">
        <w:rPr>
          <w:rFonts w:ascii="Verdana" w:hAnsi="Verdana"/>
          <w:color w:val="000000" w:themeColor="text1"/>
        </w:rPr>
        <w:t xml:space="preserve"> generic copay/pricing for levothyroxine when DAW 5 applies. </w:t>
      </w:r>
    </w:p>
    <w:p w14:paraId="5AFB24D5" w14:textId="02E4899B" w:rsidR="208E8280" w:rsidRPr="00333019" w:rsidRDefault="208E8280" w:rsidP="00C969F3">
      <w:pPr>
        <w:spacing w:before="120" w:after="120"/>
        <w:rPr>
          <w:rFonts w:ascii="Verdana" w:hAnsi="Verdana"/>
          <w:color w:val="FF0000"/>
        </w:rPr>
      </w:pPr>
      <w:r w:rsidRPr="00333019">
        <w:rPr>
          <w:rFonts w:ascii="Verdana" w:hAnsi="Verdana"/>
          <w:color w:val="FF0000"/>
        </w:rPr>
        <w:t xml:space="preserve"> </w:t>
      </w:r>
    </w:p>
    <w:p w14:paraId="7E1D3E42" w14:textId="0FB23144" w:rsidR="00131CA5" w:rsidRDefault="00A3058B" w:rsidP="00C969F3">
      <w:pPr>
        <w:pStyle w:val="BodyTextIndent2"/>
        <w:spacing w:before="120" w:line="240" w:lineRule="auto"/>
        <w:ind w:left="0"/>
        <w:rPr>
          <w:rFonts w:ascii="Verdana" w:hAnsi="Verdana"/>
          <w:color w:val="000000" w:themeColor="text1"/>
        </w:rPr>
      </w:pPr>
      <w:r w:rsidRPr="0075063D">
        <w:rPr>
          <w:rFonts w:ascii="Verdana" w:hAnsi="Verdana"/>
          <w:b/>
          <w:bCs/>
          <w:color w:val="000000" w:themeColor="text1"/>
        </w:rPr>
        <w:t>Note:</w:t>
      </w:r>
      <w:r w:rsidRPr="0075063D">
        <w:rPr>
          <w:rFonts w:ascii="Verdana" w:hAnsi="Verdana"/>
          <w:color w:val="000000" w:themeColor="text1"/>
        </w:rPr>
        <w:t xml:space="preserve"> </w:t>
      </w:r>
      <w:r w:rsidR="208E8280" w:rsidRPr="0075063D">
        <w:rPr>
          <w:rFonts w:ascii="Verdana" w:hAnsi="Verdana"/>
          <w:color w:val="000000" w:themeColor="text1"/>
        </w:rPr>
        <w:t xml:space="preserve">If </w:t>
      </w:r>
      <w:r w:rsidR="00543DDF" w:rsidRPr="0075063D">
        <w:rPr>
          <w:rFonts w:ascii="Verdana" w:hAnsi="Verdana"/>
          <w:color w:val="000000" w:themeColor="text1"/>
        </w:rPr>
        <w:t xml:space="preserve">attempting </w:t>
      </w:r>
      <w:r w:rsidR="208E8280" w:rsidRPr="0075063D">
        <w:rPr>
          <w:rFonts w:ascii="Verdana" w:hAnsi="Verdana"/>
          <w:color w:val="000000" w:themeColor="text1"/>
        </w:rPr>
        <w:t>to run</w:t>
      </w:r>
      <w:r w:rsidR="00543DDF" w:rsidRPr="0075063D">
        <w:rPr>
          <w:rFonts w:ascii="Verdana" w:hAnsi="Verdana"/>
          <w:color w:val="000000" w:themeColor="text1"/>
        </w:rPr>
        <w:t xml:space="preserve"> a T</w:t>
      </w:r>
      <w:r w:rsidR="208E8280" w:rsidRPr="0075063D">
        <w:rPr>
          <w:rFonts w:ascii="Verdana" w:hAnsi="Verdana"/>
          <w:color w:val="000000" w:themeColor="text1"/>
        </w:rPr>
        <w:t xml:space="preserve">est </w:t>
      </w:r>
      <w:r w:rsidR="00543DDF" w:rsidRPr="0075063D">
        <w:rPr>
          <w:rFonts w:ascii="Verdana" w:hAnsi="Verdana"/>
          <w:color w:val="000000" w:themeColor="text1"/>
        </w:rPr>
        <w:t>C</w:t>
      </w:r>
      <w:r w:rsidR="208E8280" w:rsidRPr="0075063D">
        <w:rPr>
          <w:rFonts w:ascii="Verdana" w:hAnsi="Verdana"/>
          <w:color w:val="000000" w:themeColor="text1"/>
        </w:rPr>
        <w:t>laim</w:t>
      </w:r>
      <w:r w:rsidR="005E78DC">
        <w:rPr>
          <w:rFonts w:ascii="Verdana" w:hAnsi="Verdana"/>
          <w:color w:val="000000" w:themeColor="text1"/>
        </w:rPr>
        <w:t xml:space="preserve"> and it is not working</w:t>
      </w:r>
      <w:r w:rsidR="208E8280" w:rsidRPr="0075063D">
        <w:rPr>
          <w:rFonts w:ascii="Verdana" w:hAnsi="Verdana"/>
          <w:color w:val="000000" w:themeColor="text1"/>
        </w:rPr>
        <w:t xml:space="preserve"> with the generic name </w:t>
      </w:r>
      <w:r w:rsidR="208E8280" w:rsidRPr="0075063D">
        <w:rPr>
          <w:rFonts w:ascii="Verdana" w:hAnsi="Verdana"/>
          <w:b/>
          <w:bCs/>
          <w:color w:val="000000" w:themeColor="text1"/>
        </w:rPr>
        <w:t>Levothyroxine</w:t>
      </w:r>
      <w:r w:rsidR="208E8280" w:rsidRPr="0075063D">
        <w:rPr>
          <w:rFonts w:ascii="Verdana" w:hAnsi="Verdana"/>
          <w:color w:val="000000" w:themeColor="text1"/>
        </w:rPr>
        <w:t xml:space="preserve">. </w:t>
      </w:r>
      <w:r w:rsidR="00543DDF" w:rsidRPr="0075063D">
        <w:rPr>
          <w:rFonts w:ascii="Verdana" w:hAnsi="Verdana"/>
          <w:color w:val="000000" w:themeColor="text1"/>
        </w:rPr>
        <w:t>Input the</w:t>
      </w:r>
      <w:r w:rsidR="208E8280" w:rsidRPr="0075063D">
        <w:rPr>
          <w:rFonts w:ascii="Verdana" w:hAnsi="Verdana"/>
          <w:color w:val="000000" w:themeColor="text1"/>
        </w:rPr>
        <w:t xml:space="preserve"> word </w:t>
      </w:r>
      <w:r w:rsidR="00543DDF" w:rsidRPr="0075063D">
        <w:rPr>
          <w:rFonts w:ascii="Verdana" w:hAnsi="Verdana"/>
          <w:color w:val="000000" w:themeColor="text1"/>
        </w:rPr>
        <w:t>“</w:t>
      </w:r>
      <w:r w:rsidR="208E8280" w:rsidRPr="0075063D">
        <w:rPr>
          <w:rFonts w:ascii="Verdana" w:hAnsi="Verdana"/>
          <w:color w:val="000000" w:themeColor="text1"/>
        </w:rPr>
        <w:t>AMOS</w:t>
      </w:r>
      <w:r w:rsidR="00543DDF" w:rsidRPr="0075063D">
        <w:rPr>
          <w:rFonts w:ascii="Verdana" w:hAnsi="Verdana"/>
          <w:color w:val="000000" w:themeColor="text1"/>
        </w:rPr>
        <w:t>”</w:t>
      </w:r>
      <w:r w:rsidR="208E8280" w:rsidRPr="0075063D">
        <w:rPr>
          <w:rFonts w:ascii="Verdana" w:hAnsi="Verdana"/>
          <w:color w:val="000000" w:themeColor="text1"/>
        </w:rPr>
        <w:t xml:space="preserve"> in the Drug Label field as shown below</w:t>
      </w:r>
      <w:r w:rsidR="00543DDF" w:rsidRPr="0075063D">
        <w:rPr>
          <w:rFonts w:ascii="Verdana" w:hAnsi="Verdana"/>
          <w:color w:val="000000" w:themeColor="text1"/>
        </w:rPr>
        <w:t xml:space="preserve"> and</w:t>
      </w:r>
      <w:r w:rsidR="208E8280" w:rsidRPr="0075063D">
        <w:rPr>
          <w:rFonts w:ascii="Verdana" w:hAnsi="Verdana"/>
          <w:color w:val="000000" w:themeColor="text1"/>
        </w:rPr>
        <w:t xml:space="preserve"> select the </w:t>
      </w:r>
      <w:r w:rsidR="208E8280" w:rsidRPr="0075063D">
        <w:rPr>
          <w:rFonts w:ascii="Verdana" w:hAnsi="Verdana"/>
          <w:b/>
          <w:bCs/>
          <w:color w:val="000000" w:themeColor="text1"/>
        </w:rPr>
        <w:t>binoculars</w:t>
      </w:r>
      <w:r w:rsidR="208E8280" w:rsidRPr="0075063D">
        <w:rPr>
          <w:rFonts w:ascii="Verdana" w:hAnsi="Verdana"/>
          <w:color w:val="000000" w:themeColor="text1"/>
        </w:rPr>
        <w:t xml:space="preserve"> which </w:t>
      </w:r>
      <w:r w:rsidR="00543DDF" w:rsidRPr="0075063D">
        <w:rPr>
          <w:rFonts w:ascii="Verdana" w:hAnsi="Verdana"/>
          <w:color w:val="000000" w:themeColor="text1"/>
        </w:rPr>
        <w:t>displays the</w:t>
      </w:r>
      <w:r w:rsidR="208E8280" w:rsidRPr="0075063D">
        <w:rPr>
          <w:rFonts w:ascii="Verdana" w:hAnsi="Verdana"/>
          <w:color w:val="000000" w:themeColor="text1"/>
        </w:rPr>
        <w:t xml:space="preserve"> Levothyroxine Tablet. </w:t>
      </w:r>
      <w:r w:rsidR="00131CA5" w:rsidRPr="0075063D">
        <w:rPr>
          <w:rFonts w:ascii="Verdana" w:hAnsi="Verdana"/>
          <w:color w:val="000000" w:themeColor="text1"/>
        </w:rPr>
        <w:t>C</w:t>
      </w:r>
      <w:r w:rsidR="208E8280" w:rsidRPr="0075063D">
        <w:rPr>
          <w:rFonts w:ascii="Verdana" w:hAnsi="Verdana"/>
          <w:color w:val="000000" w:themeColor="text1"/>
        </w:rPr>
        <w:t xml:space="preserve">omplete your </w:t>
      </w:r>
      <w:r w:rsidR="00131CA5" w:rsidRPr="0075063D">
        <w:rPr>
          <w:rFonts w:ascii="Verdana" w:hAnsi="Verdana"/>
          <w:color w:val="000000" w:themeColor="text1"/>
        </w:rPr>
        <w:t xml:space="preserve">Test Claim </w:t>
      </w:r>
      <w:r w:rsidR="208E8280" w:rsidRPr="0075063D">
        <w:rPr>
          <w:rFonts w:ascii="Verdana" w:hAnsi="Verdana"/>
          <w:color w:val="000000" w:themeColor="text1"/>
        </w:rPr>
        <w:t>with the appropriate copay/pricing</w:t>
      </w:r>
      <w:r w:rsidR="0075063D" w:rsidRPr="0075063D">
        <w:rPr>
          <w:rFonts w:ascii="Verdana" w:hAnsi="Verdana"/>
          <w:color w:val="000000" w:themeColor="text1"/>
        </w:rPr>
        <w:t>.</w:t>
      </w:r>
    </w:p>
    <w:p w14:paraId="288B0779" w14:textId="77777777" w:rsidR="0000121A" w:rsidRPr="0075063D" w:rsidRDefault="0000121A" w:rsidP="00C969F3">
      <w:pPr>
        <w:pStyle w:val="BodyTextIndent2"/>
        <w:spacing w:before="120" w:line="240" w:lineRule="auto"/>
        <w:ind w:left="0"/>
        <w:rPr>
          <w:rFonts w:ascii="Verdana" w:hAnsi="Verdana"/>
          <w:color w:val="000000" w:themeColor="text1"/>
        </w:rPr>
      </w:pPr>
    </w:p>
    <w:p w14:paraId="639FBD93" w14:textId="33453664" w:rsidR="00131CA5" w:rsidRDefault="0000121A" w:rsidP="00C969F3">
      <w:pPr>
        <w:pStyle w:val="BodyTextIndent2"/>
        <w:spacing w:before="120" w:line="240" w:lineRule="auto"/>
        <w:ind w:left="0"/>
        <w:jc w:val="center"/>
        <w:rPr>
          <w:rFonts w:ascii="Verdana" w:hAnsi="Verdana"/>
        </w:rPr>
      </w:pPr>
      <w:bookmarkStart w:id="21" w:name="OLE_LINK20"/>
      <w:r>
        <w:rPr>
          <w:noProof/>
        </w:rPr>
        <w:drawing>
          <wp:inline distT="0" distB="0" distL="0" distR="0" wp14:anchorId="014464E3" wp14:editId="37DF01AD">
            <wp:extent cx="4171429" cy="1409524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57A9" w14:textId="77777777" w:rsidR="00131CA5" w:rsidRDefault="00131CA5" w:rsidP="00C969F3">
      <w:pPr>
        <w:pStyle w:val="BodyTextIndent2"/>
        <w:spacing w:before="120" w:line="240" w:lineRule="auto"/>
        <w:ind w:left="0"/>
        <w:jc w:val="center"/>
        <w:rPr>
          <w:rFonts w:ascii="Verdana" w:hAnsi="Verdana"/>
        </w:rPr>
      </w:pPr>
    </w:p>
    <w:p w14:paraId="7847A20E" w14:textId="08657FB6" w:rsidR="00326C69" w:rsidRDefault="005D7430" w:rsidP="00C969F3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72BC0C2A">
        <w:rPr>
          <w:rFonts w:ascii="Verdana" w:hAnsi="Verdana"/>
        </w:rPr>
        <w:t xml:space="preserve"> </w:t>
      </w:r>
      <w:bookmarkEnd w:id="21"/>
      <w:r w:rsidR="00131CA5">
        <w:rPr>
          <w:noProof/>
        </w:rPr>
        <w:drawing>
          <wp:inline distT="0" distB="0" distL="0" distR="0" wp14:anchorId="315203EA" wp14:editId="326CE36D">
            <wp:extent cx="23812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CA5">
        <w:rPr>
          <w:rFonts w:ascii="Verdana" w:hAnsi="Verdana"/>
        </w:rPr>
        <w:t xml:space="preserve"> </w:t>
      </w:r>
      <w:r w:rsidR="00240D1D" w:rsidRPr="72BC0C2A">
        <w:rPr>
          <w:rFonts w:ascii="Verdana" w:hAnsi="Verdana"/>
        </w:rPr>
        <w:t>Do</w:t>
      </w:r>
      <w:r w:rsidR="000F2095" w:rsidRPr="72BC0C2A">
        <w:rPr>
          <w:rFonts w:ascii="Verdana" w:hAnsi="Verdana"/>
        </w:rPr>
        <w:t xml:space="preserve"> not </w:t>
      </w:r>
      <w:r w:rsidR="00131CA5">
        <w:rPr>
          <w:rFonts w:ascii="Verdana" w:hAnsi="Verdana"/>
        </w:rPr>
        <w:t xml:space="preserve">instruct </w:t>
      </w:r>
      <w:r w:rsidR="007D27A4" w:rsidRPr="72BC0C2A">
        <w:rPr>
          <w:rFonts w:ascii="Verdana" w:hAnsi="Verdana"/>
        </w:rPr>
        <w:t xml:space="preserve">members </w:t>
      </w:r>
      <w:r w:rsidR="000F2095" w:rsidRPr="72BC0C2A">
        <w:rPr>
          <w:rFonts w:ascii="Verdana" w:hAnsi="Verdana"/>
        </w:rPr>
        <w:t>to have their prescriber write DAW 5 as this may cause a delay in dispensing</w:t>
      </w:r>
      <w:bookmarkStart w:id="22" w:name="OLE_LINK17"/>
      <w:r w:rsidR="0006778F" w:rsidRPr="72BC0C2A">
        <w:rPr>
          <w:rFonts w:ascii="Verdana" w:hAnsi="Verdana"/>
        </w:rPr>
        <w:t xml:space="preserve">. </w:t>
      </w:r>
    </w:p>
    <w:p w14:paraId="6802FA73" w14:textId="3DD5DAEC" w:rsidR="00DD2A16" w:rsidRDefault="00A140CB" w:rsidP="00C969F3">
      <w:pPr>
        <w:pStyle w:val="BodyTextIndent2"/>
        <w:spacing w:before="120" w:line="240" w:lineRule="auto"/>
        <w:ind w:left="0"/>
      </w:pPr>
      <w:r>
        <w:rPr>
          <w:rFonts w:ascii="Verdana" w:hAnsi="Verdana"/>
          <w:noProof/>
        </w:rPr>
        <w:drawing>
          <wp:inline distT="0" distB="0" distL="0" distR="0" wp14:anchorId="17E3DCE7" wp14:editId="1137C251">
            <wp:extent cx="238158" cy="2095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F7F">
        <w:rPr>
          <w:rFonts w:ascii="Verdana" w:hAnsi="Verdana"/>
        </w:rPr>
        <w:t xml:space="preserve"> </w:t>
      </w:r>
      <w:r w:rsidR="00562670">
        <w:rPr>
          <w:rFonts w:ascii="Verdana" w:hAnsi="Verdana"/>
        </w:rPr>
        <w:t xml:space="preserve">The prescriber should write </w:t>
      </w:r>
      <w:r w:rsidR="00E356DF">
        <w:rPr>
          <w:rFonts w:ascii="Verdana" w:hAnsi="Verdana"/>
        </w:rPr>
        <w:t xml:space="preserve">the prescription </w:t>
      </w:r>
      <w:r w:rsidR="00562670">
        <w:rPr>
          <w:rFonts w:ascii="Verdana" w:hAnsi="Verdana"/>
        </w:rPr>
        <w:t>as:</w:t>
      </w:r>
      <w:r w:rsidR="007458A3">
        <w:rPr>
          <w:rFonts w:ascii="Verdana" w:hAnsi="Verdana"/>
        </w:rPr>
        <w:t xml:space="preserve"> </w:t>
      </w:r>
      <w:r w:rsidR="00E356DF">
        <w:rPr>
          <w:rFonts w:ascii="Verdana" w:hAnsi="Verdana"/>
        </w:rPr>
        <w:t>“</w:t>
      </w:r>
      <w:r w:rsidR="00562670">
        <w:rPr>
          <w:rFonts w:ascii="Verdana" w:hAnsi="Verdana"/>
        </w:rPr>
        <w:t>Able to substitute</w:t>
      </w:r>
      <w:r w:rsidR="00E356DF">
        <w:rPr>
          <w:rFonts w:ascii="Verdana" w:hAnsi="Verdana"/>
        </w:rPr>
        <w:t>”</w:t>
      </w:r>
      <w:r w:rsidR="00562670">
        <w:rPr>
          <w:rFonts w:ascii="Verdana" w:hAnsi="Verdana"/>
        </w:rPr>
        <w:t xml:space="preserve"> or </w:t>
      </w:r>
      <w:r w:rsidR="00E356DF">
        <w:rPr>
          <w:rFonts w:ascii="Verdana" w:hAnsi="Verdana"/>
        </w:rPr>
        <w:t>“</w:t>
      </w:r>
      <w:r w:rsidR="00562670">
        <w:rPr>
          <w:rFonts w:ascii="Verdana" w:hAnsi="Verdana"/>
        </w:rPr>
        <w:t xml:space="preserve">Substitution </w:t>
      </w:r>
      <w:r w:rsidR="00E356DF">
        <w:rPr>
          <w:rFonts w:ascii="Verdana" w:hAnsi="Verdana"/>
        </w:rPr>
        <w:t>allowed”</w:t>
      </w:r>
      <w:r w:rsidR="00562670">
        <w:rPr>
          <w:rFonts w:ascii="Verdana" w:hAnsi="Verdana"/>
        </w:rPr>
        <w:t xml:space="preserve"> to indicate that a generic substitution is allowed. </w:t>
      </w:r>
    </w:p>
    <w:p w14:paraId="5C49D06F" w14:textId="7A59D3E5" w:rsidR="00771AC6" w:rsidRDefault="00000000" w:rsidP="00C969F3">
      <w:pPr>
        <w:spacing w:before="120" w:after="120"/>
        <w:jc w:val="right"/>
        <w:rPr>
          <w:rFonts w:ascii="Verdana" w:hAnsi="Verdana"/>
        </w:rPr>
      </w:pPr>
      <w:hyperlink w:anchor="_top" w:history="1">
        <w:r w:rsidR="00222FA9" w:rsidRPr="00222FA9">
          <w:rPr>
            <w:rStyle w:val="Hyperlink"/>
            <w:rFonts w:ascii="Verdana" w:hAnsi="Verdana"/>
          </w:rPr>
          <w:t xml:space="preserve">Top of the </w:t>
        </w:r>
        <w:r w:rsidR="00222FA9" w:rsidRPr="00222FA9">
          <w:rPr>
            <w:rStyle w:val="Hyperlink"/>
            <w:rFonts w:ascii="Verdana" w:hAnsi="Verdana"/>
          </w:rPr>
          <w:t>D</w:t>
        </w:r>
        <w:r w:rsidR="00222FA9" w:rsidRPr="00222FA9">
          <w:rPr>
            <w:rStyle w:val="Hyperlink"/>
            <w:rFonts w:ascii="Verdana" w:hAnsi="Verdana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384851" w14:paraId="7967DC6B" w14:textId="77777777" w:rsidTr="00E111FC">
        <w:tc>
          <w:tcPr>
            <w:tcW w:w="5000" w:type="pct"/>
            <w:shd w:val="clear" w:color="auto" w:fill="BFBFBF" w:themeFill="background1" w:themeFillShade="BF"/>
          </w:tcPr>
          <w:p w14:paraId="16CE0A25" w14:textId="10759687" w:rsidR="005A64DA" w:rsidRPr="00384851" w:rsidRDefault="00AC3585" w:rsidP="00C969F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3" w:name="_Rationale"/>
            <w:bookmarkStart w:id="24" w:name="_Process_for_Handling"/>
            <w:bookmarkStart w:id="25" w:name="_Member_Received_a"/>
            <w:bookmarkStart w:id="26" w:name="_Toc195687293"/>
            <w:bookmarkStart w:id="27" w:name="_Toc195694952"/>
            <w:bookmarkEnd w:id="23"/>
            <w:bookmarkEnd w:id="24"/>
            <w:bookmarkEnd w:id="25"/>
            <w:r>
              <w:rPr>
                <w:rFonts w:ascii="Verdana" w:hAnsi="Verdana"/>
                <w:i w:val="0"/>
                <w:iCs w:val="0"/>
              </w:rPr>
              <w:t>Member</w:t>
            </w:r>
            <w:r w:rsidR="0039406F">
              <w:rPr>
                <w:rFonts w:ascii="Verdana" w:hAnsi="Verdana"/>
                <w:i w:val="0"/>
                <w:iCs w:val="0"/>
              </w:rPr>
              <w:t xml:space="preserve"> Received a Branded Generic</w:t>
            </w:r>
            <w:bookmarkEnd w:id="26"/>
            <w:bookmarkEnd w:id="27"/>
            <w:r w:rsidR="00313B19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bookmarkEnd w:id="22"/>
    <w:p w14:paraId="207FF0CE" w14:textId="7672DB48" w:rsidR="005A64DA" w:rsidRPr="00176400" w:rsidRDefault="006B7B23" w:rsidP="00C969F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 i</w:t>
      </w:r>
      <w:r w:rsidR="0039406F">
        <w:rPr>
          <w:rFonts w:ascii="Verdana" w:hAnsi="Verdana"/>
        </w:rPr>
        <w:t xml:space="preserve">f a </w:t>
      </w:r>
      <w:r w:rsidR="007D27A4">
        <w:rPr>
          <w:rFonts w:ascii="Verdana" w:hAnsi="Verdana"/>
        </w:rPr>
        <w:t xml:space="preserve">member </w:t>
      </w:r>
      <w:r w:rsidR="0039406F">
        <w:rPr>
          <w:rFonts w:ascii="Verdana" w:hAnsi="Verdana"/>
        </w:rPr>
        <w:t>calls with questions about receiving a branded generic</w:t>
      </w:r>
      <w:r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5A64DA" w:rsidRPr="00384851" w14:paraId="735BD531" w14:textId="77777777" w:rsidTr="00007A55">
        <w:tc>
          <w:tcPr>
            <w:tcW w:w="176" w:type="pct"/>
            <w:shd w:val="clear" w:color="auto" w:fill="D9D9D9" w:themeFill="background1" w:themeFillShade="D9"/>
          </w:tcPr>
          <w:p w14:paraId="6745D318" w14:textId="77777777" w:rsidR="005A64DA" w:rsidRPr="00384851" w:rsidRDefault="005A64D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St</w:t>
            </w:r>
            <w:r w:rsidR="00951C95">
              <w:rPr>
                <w:rFonts w:ascii="Verdana" w:hAnsi="Verdana"/>
                <w:b/>
              </w:rPr>
              <w:t>e</w:t>
            </w:r>
            <w:r w:rsidRPr="00384851">
              <w:rPr>
                <w:rFonts w:ascii="Verdana" w:hAnsi="Verdana"/>
                <w:b/>
              </w:rPr>
              <w:t>p</w:t>
            </w:r>
          </w:p>
        </w:tc>
        <w:tc>
          <w:tcPr>
            <w:tcW w:w="4824" w:type="pct"/>
            <w:shd w:val="clear" w:color="auto" w:fill="D9D9D9" w:themeFill="background1" w:themeFillShade="D9"/>
          </w:tcPr>
          <w:p w14:paraId="7CC02BC3" w14:textId="77777777" w:rsidR="005A64DA" w:rsidRPr="00384851" w:rsidRDefault="005A64D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 xml:space="preserve">Action </w:t>
            </w:r>
          </w:p>
        </w:tc>
      </w:tr>
      <w:tr w:rsidR="00D632FA" w:rsidRPr="00384851" w14:paraId="473E6143" w14:textId="77777777" w:rsidTr="00007A55">
        <w:tc>
          <w:tcPr>
            <w:tcW w:w="176" w:type="pct"/>
          </w:tcPr>
          <w:p w14:paraId="3F7A9077" w14:textId="3F2622FA" w:rsidR="00D632FA" w:rsidRDefault="00D632F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24" w:type="pct"/>
          </w:tcPr>
          <w:p w14:paraId="5C050284" w14:textId="32FBF3CC" w:rsidR="00D632FA" w:rsidRDefault="00D632FA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the CIF for clients that do not allow branded generic (DAW 5/9), the generic medication is dispensed.</w:t>
            </w:r>
          </w:p>
        </w:tc>
      </w:tr>
      <w:tr w:rsidR="0028215B" w:rsidRPr="00384851" w14:paraId="5EC292B3" w14:textId="77777777" w:rsidTr="00007A55">
        <w:tc>
          <w:tcPr>
            <w:tcW w:w="176" w:type="pct"/>
          </w:tcPr>
          <w:p w14:paraId="250EB4A9" w14:textId="77F25A12" w:rsidR="0028215B" w:rsidRPr="00384851" w:rsidRDefault="00D632F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24" w:type="pct"/>
          </w:tcPr>
          <w:p w14:paraId="4035749C" w14:textId="756D545F" w:rsidR="0065251A" w:rsidRDefault="009C13BF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the </w:t>
            </w:r>
            <w:r w:rsidRPr="006B7B23">
              <w:rPr>
                <w:rFonts w:ascii="Verdana" w:hAnsi="Verdana"/>
              </w:rPr>
              <w:t>Prescription Details</w:t>
            </w:r>
            <w:r>
              <w:rPr>
                <w:rFonts w:ascii="Verdana" w:hAnsi="Verdana"/>
              </w:rPr>
              <w:t xml:space="preserve"> </w:t>
            </w:r>
            <w:r w:rsidR="002954DD">
              <w:rPr>
                <w:rFonts w:ascii="Verdana" w:hAnsi="Verdana"/>
              </w:rPr>
              <w:t xml:space="preserve">screen </w:t>
            </w:r>
            <w:r>
              <w:rPr>
                <w:rFonts w:ascii="Verdana" w:hAnsi="Verdana"/>
              </w:rPr>
              <w:t>for the medication.</w:t>
            </w:r>
            <w:r w:rsidR="00951C95">
              <w:rPr>
                <w:rFonts w:ascii="Verdana" w:hAnsi="Verdana"/>
              </w:rPr>
              <w:t xml:space="preserve"> </w:t>
            </w:r>
          </w:p>
          <w:p w14:paraId="7E4AA789" w14:textId="6642B30F" w:rsidR="002519D7" w:rsidRDefault="002519D7" w:rsidP="00C969F3">
            <w:pPr>
              <w:spacing w:before="120" w:after="120"/>
              <w:rPr>
                <w:rFonts w:ascii="Verdana" w:hAnsi="Verdana"/>
              </w:rPr>
            </w:pPr>
            <w:r w:rsidRPr="002325C2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To ensure that the member receives the branded medication in the future, refer to </w:t>
            </w:r>
            <w:hyperlink r:id="rId19" w:anchor="!/view?docid=dfe59c11-8a1a-4c1e-b939-2825186a20ce" w:history="1">
              <w:r w:rsidR="008107E8">
                <w:rPr>
                  <w:rStyle w:val="Hyperlink"/>
                  <w:rFonts w:ascii="Verdana" w:hAnsi="Verdana"/>
                </w:rPr>
                <w:t>PeopleSafe - Viewing an</w:t>
              </w:r>
              <w:r w:rsidR="008107E8">
                <w:rPr>
                  <w:rStyle w:val="Hyperlink"/>
                  <w:rFonts w:ascii="Verdana" w:hAnsi="Verdana"/>
                </w:rPr>
                <w:t>d</w:t>
              </w:r>
              <w:r w:rsidR="008107E8">
                <w:rPr>
                  <w:rStyle w:val="Hyperlink"/>
                  <w:rFonts w:ascii="Verdana" w:hAnsi="Verdana"/>
                </w:rPr>
                <w:t xml:space="preserve"> Adding Comments (086165)</w:t>
              </w:r>
            </w:hyperlink>
            <w:r>
              <w:rPr>
                <w:rFonts w:ascii="Verdana" w:hAnsi="Verdana"/>
              </w:rPr>
              <w:t>.</w:t>
            </w:r>
          </w:p>
          <w:p w14:paraId="1FCADFC4" w14:textId="77777777" w:rsidR="008107E8" w:rsidRDefault="008107E8" w:rsidP="00C969F3">
            <w:pPr>
              <w:spacing w:before="120" w:after="120"/>
              <w:rPr>
                <w:rFonts w:ascii="Verdana" w:hAnsi="Verdana"/>
              </w:rPr>
            </w:pPr>
          </w:p>
          <w:p w14:paraId="5DC76DDF" w14:textId="08575E20" w:rsidR="006B7B23" w:rsidRDefault="00974C99" w:rsidP="00C969F3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AC2AB53" wp14:editId="39333D62">
                  <wp:extent cx="6523809" cy="1219048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3809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EDEC0" w14:textId="77777777" w:rsidR="00951C95" w:rsidRDefault="00951C95" w:rsidP="00C969F3">
            <w:pPr>
              <w:spacing w:before="120" w:after="120"/>
              <w:rPr>
                <w:rFonts w:ascii="Verdana" w:hAnsi="Verdana"/>
              </w:rPr>
            </w:pPr>
          </w:p>
          <w:p w14:paraId="09444452" w14:textId="66D08BAD" w:rsidR="00DE6DCE" w:rsidRDefault="006B7B23" w:rsidP="00C969F3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</w:rPr>
              <w:t xml:space="preserve">Note: </w:t>
            </w:r>
            <w:r w:rsidR="00602D0D">
              <w:rPr>
                <w:rFonts w:ascii="Verdana" w:hAnsi="Verdana"/>
              </w:rPr>
              <w:t>For Branded Generic medications, t</w:t>
            </w:r>
            <w:r w:rsidR="002954DD">
              <w:rPr>
                <w:rFonts w:ascii="Verdana" w:hAnsi="Verdana"/>
              </w:rPr>
              <w:t xml:space="preserve">he </w:t>
            </w:r>
            <w:r w:rsidR="002954DD">
              <w:rPr>
                <w:rFonts w:ascii="Verdana" w:hAnsi="Verdana"/>
                <w:b/>
              </w:rPr>
              <w:t xml:space="preserve">Dispensed Drug </w:t>
            </w:r>
            <w:r w:rsidR="007D27A4">
              <w:rPr>
                <w:rFonts w:ascii="Verdana" w:hAnsi="Verdana"/>
              </w:rPr>
              <w:t>is</w:t>
            </w:r>
            <w:r w:rsidR="002954DD">
              <w:rPr>
                <w:rFonts w:ascii="Verdana" w:hAnsi="Verdana"/>
              </w:rPr>
              <w:t xml:space="preserve"> listed on the </w:t>
            </w:r>
            <w:bookmarkStart w:id="28" w:name="OLE_LINK3"/>
            <w:r w:rsidR="00AA19D2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begin"/>
            </w:r>
            <w:r w:rsidR="008107E8">
              <w:rPr>
                <w:rFonts w:ascii="Verdana" w:hAnsi="Verdana" w:cs="Helvetica"/>
                <w:color w:val="000000"/>
                <w:shd w:val="clear" w:color="auto" w:fill="FFFFFF"/>
              </w:rPr>
              <w:instrText>HYPERLINK "https://thesource.cvshealth.com/nuxeo/thesource/" \l "!/view?docid=ddabad50-490b-4a3c-86a7-6dc8502ebaed"</w:instrText>
            </w:r>
            <w:r w:rsidR="008107E8">
              <w:rPr>
                <w:rFonts w:ascii="Verdana" w:hAnsi="Verdana" w:cs="Helvetica"/>
                <w:color w:val="000000"/>
                <w:shd w:val="clear" w:color="auto" w:fill="FFFFFF"/>
              </w:rPr>
            </w:r>
            <w:r w:rsidR="00AA19D2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separate"/>
            </w:r>
            <w:r w:rsidR="008107E8">
              <w:rPr>
                <w:rStyle w:val="Hyperlink"/>
                <w:rFonts w:ascii="Verdana" w:hAnsi="Verdana"/>
                <w:noProof/>
              </w:rPr>
              <w:t>DAW 5 ND</w:t>
            </w:r>
            <w:r w:rsidR="008107E8">
              <w:rPr>
                <w:rStyle w:val="Hyperlink"/>
                <w:rFonts w:ascii="Verdana" w:hAnsi="Verdana"/>
                <w:noProof/>
              </w:rPr>
              <w:t>C</w:t>
            </w:r>
            <w:r w:rsidR="008107E8">
              <w:rPr>
                <w:rStyle w:val="Hyperlink"/>
                <w:rFonts w:ascii="Verdana" w:hAnsi="Verdana"/>
                <w:noProof/>
              </w:rPr>
              <w:t xml:space="preserve"> List (018804)</w:t>
            </w:r>
            <w:r w:rsidR="00AA19D2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end"/>
            </w:r>
            <w:r w:rsidR="00602D0D">
              <w:rPr>
                <w:rFonts w:ascii="Verdana" w:hAnsi="Verdana"/>
              </w:rPr>
              <w:t xml:space="preserve"> </w:t>
            </w:r>
            <w:bookmarkEnd w:id="28"/>
            <w:r w:rsidR="00602D0D">
              <w:rPr>
                <w:rFonts w:ascii="Verdana" w:hAnsi="Verdana"/>
              </w:rPr>
              <w:t>and t</w:t>
            </w:r>
            <w:r w:rsidR="002954DD" w:rsidRPr="00602D0D">
              <w:rPr>
                <w:rFonts w:ascii="Verdana" w:hAnsi="Verdana"/>
              </w:rPr>
              <w:t xml:space="preserve">he </w:t>
            </w:r>
            <w:r w:rsidR="002954DD" w:rsidRPr="00602D0D">
              <w:rPr>
                <w:rFonts w:ascii="Verdana" w:hAnsi="Verdana"/>
                <w:b/>
              </w:rPr>
              <w:t xml:space="preserve">Dispense as Written </w:t>
            </w:r>
            <w:r w:rsidR="002954DD" w:rsidRPr="00602D0D">
              <w:rPr>
                <w:rFonts w:ascii="Verdana" w:hAnsi="Verdana"/>
              </w:rPr>
              <w:t>field will display 5 – Pharmacy DAW.</w:t>
            </w:r>
            <w:r w:rsidR="0027427B">
              <w:rPr>
                <w:rFonts w:ascii="Verdana" w:hAnsi="Verdana"/>
              </w:rPr>
              <w:t xml:space="preserve"> </w:t>
            </w:r>
            <w:r w:rsidR="004A30EB">
              <w:rPr>
                <w:rFonts w:ascii="Verdana" w:hAnsi="Verdana"/>
                <w:noProof/>
              </w:rPr>
              <w:t xml:space="preserve"> </w:t>
            </w:r>
          </w:p>
          <w:p w14:paraId="1AFDA5BA" w14:textId="77777777" w:rsidR="00771AC6" w:rsidRDefault="00771AC6" w:rsidP="00C969F3">
            <w:pPr>
              <w:spacing w:before="120" w:after="120"/>
              <w:jc w:val="center"/>
              <w:rPr>
                <w:noProof/>
              </w:rPr>
            </w:pPr>
          </w:p>
          <w:p w14:paraId="0FCBA34B" w14:textId="79B65985" w:rsidR="00105CD3" w:rsidRDefault="00974C99" w:rsidP="00C969F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953C06" wp14:editId="6F2CA3FE">
                  <wp:extent cx="6400000" cy="1809524"/>
                  <wp:effectExtent l="0" t="0" r="127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000" cy="1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43C1B" w14:textId="77777777" w:rsidR="0065251A" w:rsidRPr="00384851" w:rsidRDefault="0065251A" w:rsidP="00C969F3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9C13BF" w:rsidRPr="00384851" w14:paraId="29EA6353" w14:textId="77777777" w:rsidTr="00007A55">
        <w:tc>
          <w:tcPr>
            <w:tcW w:w="176" w:type="pct"/>
          </w:tcPr>
          <w:p w14:paraId="6982D463" w14:textId="277652FC" w:rsidR="009C13BF" w:rsidRDefault="00D632F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824" w:type="pct"/>
          </w:tcPr>
          <w:p w14:paraId="5B1AC15D" w14:textId="77777777" w:rsidR="00DE6DCE" w:rsidRDefault="0039406F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Confirm the copay for the medication by reviewing the </w:t>
            </w:r>
            <w:r w:rsidRPr="00DE6DCE">
              <w:rPr>
                <w:rFonts w:ascii="Verdana" w:hAnsi="Verdana"/>
                <w:b/>
              </w:rPr>
              <w:t>View Financials</w:t>
            </w:r>
            <w:r>
              <w:rPr>
                <w:rFonts w:ascii="Verdana" w:hAnsi="Verdana"/>
              </w:rPr>
              <w:t xml:space="preserve"> screen.</w:t>
            </w:r>
            <w:r w:rsidR="000D2BF0">
              <w:rPr>
                <w:rFonts w:ascii="Verdana" w:hAnsi="Verdana"/>
              </w:rPr>
              <w:t xml:space="preserve"> </w:t>
            </w:r>
          </w:p>
          <w:p w14:paraId="2361300C" w14:textId="77777777" w:rsidR="008107E8" w:rsidRDefault="008107E8" w:rsidP="00C969F3">
            <w:pPr>
              <w:spacing w:before="120" w:after="120"/>
              <w:rPr>
                <w:noProof/>
              </w:rPr>
            </w:pPr>
          </w:p>
          <w:p w14:paraId="2C79001A" w14:textId="4C651A8F" w:rsidR="0065251A" w:rsidRDefault="00B42550" w:rsidP="00C969F3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8624F8E" wp14:editId="023BD4F3">
                  <wp:extent cx="4371975" cy="4095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05ADD4" w14:textId="77777777" w:rsidR="00771AC6" w:rsidRDefault="00771AC6" w:rsidP="00C969F3">
            <w:pPr>
              <w:spacing w:before="120" w:after="120"/>
              <w:rPr>
                <w:rFonts w:ascii="Verdana" w:hAnsi="Verdana"/>
              </w:rPr>
            </w:pPr>
          </w:p>
        </w:tc>
      </w:tr>
      <w:tr w:rsidR="00D24946" w:rsidRPr="00384851" w14:paraId="3C58D86C" w14:textId="77777777" w:rsidTr="00007A55">
        <w:tc>
          <w:tcPr>
            <w:tcW w:w="176" w:type="pct"/>
          </w:tcPr>
          <w:p w14:paraId="1FF141AB" w14:textId="015A5D80" w:rsidR="00D24946" w:rsidRDefault="00D632F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824" w:type="pct"/>
          </w:tcPr>
          <w:p w14:paraId="5B37D351" w14:textId="76EFCAEB" w:rsidR="006B7B23" w:rsidRDefault="00D24946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Inform the </w:t>
            </w:r>
            <w:r w:rsidR="009D7D4D">
              <w:rPr>
                <w:rFonts w:ascii="Verdana" w:hAnsi="Verdana"/>
              </w:rPr>
              <w:t>m</w:t>
            </w:r>
            <w:r w:rsidR="00AC3585">
              <w:rPr>
                <w:rFonts w:ascii="Verdana" w:hAnsi="Verdana"/>
              </w:rPr>
              <w:t>ember</w:t>
            </w:r>
            <w:r>
              <w:rPr>
                <w:rFonts w:ascii="Verdana" w:hAnsi="Verdana"/>
              </w:rPr>
              <w:t xml:space="preserve"> that they </w:t>
            </w:r>
            <w:r w:rsidR="009D7D4D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>eceive</w:t>
            </w:r>
            <w:r w:rsidR="009D7D4D">
              <w:rPr>
                <w:rFonts w:ascii="Verdana" w:hAnsi="Verdana"/>
              </w:rPr>
              <w:t>d</w:t>
            </w:r>
            <w:r>
              <w:rPr>
                <w:rFonts w:ascii="Verdana" w:hAnsi="Verdana"/>
              </w:rPr>
              <w:t xml:space="preserve"> the brand medication at the generic price and to keep in mind </w:t>
            </w:r>
            <w:r w:rsidRPr="0039406F">
              <w:rPr>
                <w:rFonts w:ascii="Verdana" w:hAnsi="Verdana"/>
              </w:rPr>
              <w:t xml:space="preserve">that the amount due for </w:t>
            </w:r>
            <w:r>
              <w:rPr>
                <w:rFonts w:ascii="Verdana" w:hAnsi="Verdana"/>
              </w:rPr>
              <w:t>future orders may vary upon processing.</w:t>
            </w:r>
          </w:p>
          <w:p w14:paraId="07B2C264" w14:textId="69A2076E" w:rsidR="006B7B23" w:rsidRDefault="00D24946" w:rsidP="00C969F3">
            <w:pPr>
              <w:numPr>
                <w:ilvl w:val="0"/>
                <w:numId w:val="8"/>
              </w:numPr>
              <w:spacing w:before="120" w:after="120"/>
              <w:ind w:left="58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 </w:t>
            </w:r>
            <w:r w:rsidR="000F7BDC">
              <w:rPr>
                <w:rFonts w:ascii="Verdana" w:hAnsi="Verdana"/>
              </w:rPr>
              <w:t>m</w:t>
            </w:r>
            <w:r w:rsidR="00AC3585">
              <w:rPr>
                <w:rFonts w:ascii="Verdana" w:hAnsi="Verdana"/>
              </w:rPr>
              <w:t>ember</w:t>
            </w:r>
            <w:r>
              <w:rPr>
                <w:rFonts w:ascii="Verdana" w:hAnsi="Verdana"/>
              </w:rPr>
              <w:t xml:space="preserve"> asks for a more detailed </w:t>
            </w:r>
            <w:r w:rsidR="00976978">
              <w:rPr>
                <w:rFonts w:ascii="Verdana" w:hAnsi="Verdana"/>
              </w:rPr>
              <w:t>explanation,</w:t>
            </w:r>
            <w:r>
              <w:rPr>
                <w:rFonts w:ascii="Verdana" w:hAnsi="Verdana"/>
              </w:rPr>
              <w:t xml:space="preserve"> advise:  </w:t>
            </w:r>
          </w:p>
          <w:p w14:paraId="4EE18284" w14:textId="3D7E3991" w:rsidR="00D24946" w:rsidRDefault="00B42550" w:rsidP="00C969F3">
            <w:pPr>
              <w:spacing w:before="120" w:after="120"/>
              <w:ind w:left="586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D4C46A1" wp14:editId="74BCC73F">
                  <wp:extent cx="238125" cy="2190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1AC6">
              <w:rPr>
                <w:rFonts w:ascii="Verdana" w:hAnsi="Verdana"/>
              </w:rPr>
              <w:t xml:space="preserve"> </w:t>
            </w:r>
            <w:r w:rsidR="00D17553">
              <w:rPr>
                <w:rFonts w:ascii="Verdana" w:hAnsi="Verdana"/>
              </w:rPr>
              <w:t>D</w:t>
            </w:r>
            <w:r w:rsidR="00D17553" w:rsidRPr="00BF3957">
              <w:rPr>
                <w:rFonts w:ascii="Verdana" w:hAnsi="Verdana"/>
              </w:rPr>
              <w:t>ispensing brand medication at generic pricing</w:t>
            </w:r>
            <w:r w:rsidR="00B50E5B">
              <w:rPr>
                <w:rFonts w:ascii="Verdana" w:hAnsi="Verdana"/>
              </w:rPr>
              <w:t xml:space="preserve"> </w:t>
            </w:r>
            <w:r w:rsidR="00D24946" w:rsidRPr="00CA1AAA">
              <w:rPr>
                <w:rFonts w:ascii="Verdana" w:hAnsi="Verdana"/>
              </w:rPr>
              <w:t xml:space="preserve">is a practice used </w:t>
            </w:r>
            <w:r w:rsidR="00FD4948">
              <w:rPr>
                <w:rFonts w:ascii="Verdana" w:hAnsi="Verdana"/>
              </w:rPr>
              <w:t>at</w:t>
            </w:r>
            <w:r w:rsidR="00FD4948" w:rsidRPr="00CA1AAA">
              <w:rPr>
                <w:rFonts w:ascii="Verdana" w:hAnsi="Verdana"/>
              </w:rPr>
              <w:t xml:space="preserve"> </w:t>
            </w:r>
            <w:r w:rsidR="009D7D4D">
              <w:rPr>
                <w:rFonts w:ascii="Verdana" w:hAnsi="Verdana"/>
              </w:rPr>
              <w:t>Home Delivery/M</w:t>
            </w:r>
            <w:r w:rsidR="00D24946" w:rsidRPr="00CA1AAA">
              <w:rPr>
                <w:rFonts w:ascii="Verdana" w:hAnsi="Verdana"/>
              </w:rPr>
              <w:t>ail</w:t>
            </w:r>
            <w:r w:rsidR="009D7D4D">
              <w:rPr>
                <w:rFonts w:ascii="Verdana" w:hAnsi="Verdana"/>
              </w:rPr>
              <w:t xml:space="preserve"> Order pharmacy</w:t>
            </w:r>
            <w:r w:rsidR="00D24946" w:rsidRPr="00CA1AAA">
              <w:rPr>
                <w:rFonts w:ascii="Verdana" w:hAnsi="Verdana"/>
              </w:rPr>
              <w:t xml:space="preserve"> service. This occurs for a variety of reasons including favorable pricing, continuity of available product and consistency of supply (some generics are available in certain strengths but n</w:t>
            </w:r>
            <w:r w:rsidR="00D24946">
              <w:rPr>
                <w:rFonts w:ascii="Verdana" w:hAnsi="Verdana"/>
              </w:rPr>
              <w:t>ot others</w:t>
            </w:r>
            <w:r w:rsidR="00D24946" w:rsidRPr="00CA1AAA">
              <w:rPr>
                <w:rFonts w:ascii="Verdana" w:hAnsi="Verdana"/>
              </w:rPr>
              <w:t>)</w:t>
            </w:r>
            <w:r w:rsidR="00D24946">
              <w:rPr>
                <w:rFonts w:ascii="Verdana" w:hAnsi="Verdana"/>
              </w:rPr>
              <w:t>.</w:t>
            </w:r>
            <w:r w:rsidR="00240D1D">
              <w:rPr>
                <w:rFonts w:ascii="Verdana" w:hAnsi="Verdana"/>
              </w:rPr>
              <w:t xml:space="preserve"> </w:t>
            </w:r>
            <w:r w:rsidR="00D24946" w:rsidRPr="00CA1AAA">
              <w:rPr>
                <w:rFonts w:ascii="Verdana" w:hAnsi="Verdana"/>
              </w:rPr>
              <w:t>At some point the generic may become more cost effective than dispensing the brand</w:t>
            </w:r>
            <w:r w:rsidR="0006778F" w:rsidRPr="00CA1AAA">
              <w:rPr>
                <w:rFonts w:ascii="Verdana" w:hAnsi="Verdana"/>
              </w:rPr>
              <w:t>.</w:t>
            </w:r>
            <w:r w:rsidR="0006778F">
              <w:rPr>
                <w:rFonts w:ascii="Verdana" w:hAnsi="Verdana"/>
              </w:rPr>
              <w:t xml:space="preserve"> </w:t>
            </w:r>
          </w:p>
        </w:tc>
      </w:tr>
    </w:tbl>
    <w:p w14:paraId="3773723D" w14:textId="77777777" w:rsidR="00312690" w:rsidRDefault="00312690" w:rsidP="00C969F3">
      <w:pPr>
        <w:spacing w:before="120" w:after="120"/>
        <w:jc w:val="right"/>
        <w:rPr>
          <w:rFonts w:ascii="Verdana" w:hAnsi="Verdana"/>
        </w:rPr>
      </w:pPr>
    </w:p>
    <w:p w14:paraId="62F2612E" w14:textId="1CEF8581" w:rsidR="00771AC6" w:rsidRDefault="00000000" w:rsidP="00C969F3">
      <w:pPr>
        <w:spacing w:before="120" w:after="120"/>
        <w:jc w:val="right"/>
        <w:rPr>
          <w:rFonts w:ascii="Verdana" w:hAnsi="Verdana"/>
        </w:rPr>
      </w:pPr>
      <w:hyperlink w:anchor="_top" w:history="1">
        <w:r w:rsidR="00222FA9" w:rsidRPr="00222FA9">
          <w:rPr>
            <w:rStyle w:val="Hyperlink"/>
            <w:rFonts w:ascii="Verdana" w:hAnsi="Verdana"/>
          </w:rPr>
          <w:t>Top of th</w:t>
        </w:r>
        <w:r w:rsidR="00222FA9" w:rsidRPr="00222FA9">
          <w:rPr>
            <w:rStyle w:val="Hyperlink"/>
            <w:rFonts w:ascii="Verdana" w:hAnsi="Verdana"/>
          </w:rPr>
          <w:t>e</w:t>
        </w:r>
        <w:r w:rsidR="00222FA9" w:rsidRPr="00222FA9">
          <w:rPr>
            <w:rStyle w:val="Hyperlink"/>
            <w:rFonts w:ascii="Verdana" w:hAnsi="Verdana"/>
          </w:rPr>
          <w:t xml:space="preserve">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D7820" w:rsidRPr="00384851" w14:paraId="61E890D2" w14:textId="77777777" w:rsidTr="00E111FC">
        <w:tc>
          <w:tcPr>
            <w:tcW w:w="5000" w:type="pct"/>
            <w:shd w:val="clear" w:color="auto" w:fill="BFBFBF" w:themeFill="background1" w:themeFillShade="BF"/>
          </w:tcPr>
          <w:p w14:paraId="07870572" w14:textId="02C1A3B6" w:rsidR="008D7820" w:rsidRPr="00384851" w:rsidRDefault="00AC3585" w:rsidP="00C969F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9" w:name="_Member_Received_a_1"/>
            <w:bookmarkStart w:id="30" w:name="_Toc195687294"/>
            <w:bookmarkStart w:id="31" w:name="_Toc195694953"/>
            <w:bookmarkEnd w:id="29"/>
            <w:r>
              <w:rPr>
                <w:rFonts w:ascii="Verdana" w:hAnsi="Verdana"/>
                <w:i w:val="0"/>
                <w:iCs w:val="0"/>
              </w:rPr>
              <w:t>Member</w:t>
            </w:r>
            <w:r w:rsidR="008D7820">
              <w:rPr>
                <w:rFonts w:ascii="Verdana" w:hAnsi="Verdana"/>
                <w:i w:val="0"/>
                <w:iCs w:val="0"/>
              </w:rPr>
              <w:t xml:space="preserve"> Received a Brand but </w:t>
            </w:r>
            <w:r w:rsidR="0065251A">
              <w:rPr>
                <w:rFonts w:ascii="Verdana" w:hAnsi="Verdana"/>
                <w:i w:val="0"/>
                <w:iCs w:val="0"/>
              </w:rPr>
              <w:t>W</w:t>
            </w:r>
            <w:r w:rsidR="008D7820">
              <w:rPr>
                <w:rFonts w:ascii="Verdana" w:hAnsi="Verdana"/>
                <w:i w:val="0"/>
                <w:iCs w:val="0"/>
              </w:rPr>
              <w:t>anted a Branded Generic</w:t>
            </w:r>
            <w:bookmarkEnd w:id="30"/>
            <w:bookmarkEnd w:id="31"/>
            <w:r w:rsidR="00771AC6">
              <w:rPr>
                <w:rFonts w:ascii="Verdana" w:hAnsi="Verdana"/>
                <w:i w:val="0"/>
                <w:iCs w:val="0"/>
              </w:rPr>
              <w:t xml:space="preserve">  </w:t>
            </w:r>
            <w:r w:rsidR="009D7D4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4E6A81F" w14:textId="03363EB7" w:rsidR="00ED647A" w:rsidRPr="00176400" w:rsidRDefault="008D7820" w:rsidP="00C969F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Perform the steps below if a </w:t>
      </w:r>
      <w:r w:rsidR="00B11A18">
        <w:rPr>
          <w:rFonts w:ascii="Verdana" w:hAnsi="Verdana"/>
        </w:rPr>
        <w:t>member</w:t>
      </w:r>
      <w:r>
        <w:rPr>
          <w:rFonts w:ascii="Verdana" w:hAnsi="Verdana"/>
        </w:rPr>
        <w:t xml:space="preserve"> calls with questions about receiving a brand instead of a branded generic: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"/>
        <w:gridCol w:w="675"/>
        <w:gridCol w:w="11834"/>
      </w:tblGrid>
      <w:tr w:rsidR="008D7820" w:rsidRPr="00384851" w14:paraId="17583D8E" w14:textId="77777777" w:rsidTr="00A66118">
        <w:tc>
          <w:tcPr>
            <w:tcW w:w="176" w:type="pct"/>
            <w:shd w:val="clear" w:color="auto" w:fill="D9D9D9" w:themeFill="background1" w:themeFillShade="D9"/>
          </w:tcPr>
          <w:p w14:paraId="6FCC7484" w14:textId="77777777" w:rsidR="008D7820" w:rsidRPr="00384851" w:rsidRDefault="008D7820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Step</w:t>
            </w:r>
          </w:p>
        </w:tc>
        <w:tc>
          <w:tcPr>
            <w:tcW w:w="4824" w:type="pct"/>
            <w:gridSpan w:val="2"/>
            <w:shd w:val="clear" w:color="auto" w:fill="D9D9D9" w:themeFill="background1" w:themeFillShade="D9"/>
          </w:tcPr>
          <w:p w14:paraId="119EE231" w14:textId="77777777" w:rsidR="008D7820" w:rsidRPr="00384851" w:rsidRDefault="008D7820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 xml:space="preserve">Action </w:t>
            </w:r>
          </w:p>
        </w:tc>
      </w:tr>
      <w:tr w:rsidR="00D632FA" w:rsidRPr="00384851" w14:paraId="4B25662D" w14:textId="77777777" w:rsidTr="00A66118">
        <w:tc>
          <w:tcPr>
            <w:tcW w:w="176" w:type="pct"/>
          </w:tcPr>
          <w:p w14:paraId="14142FD3" w14:textId="74CDA489" w:rsidR="00D632FA" w:rsidRDefault="00D632F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24" w:type="pct"/>
            <w:gridSpan w:val="2"/>
          </w:tcPr>
          <w:p w14:paraId="657B6D85" w14:textId="7A2AC159" w:rsidR="00D632FA" w:rsidRDefault="00D632FA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the CIF for clients that do not allow branded generic (DAW 5/9), the generic medication is dispensed.</w:t>
            </w:r>
          </w:p>
        </w:tc>
      </w:tr>
      <w:tr w:rsidR="008D7820" w:rsidRPr="00384851" w14:paraId="340554E3" w14:textId="77777777" w:rsidTr="00A66118">
        <w:tc>
          <w:tcPr>
            <w:tcW w:w="176" w:type="pct"/>
          </w:tcPr>
          <w:p w14:paraId="2F3E3C91" w14:textId="11B6E6FD" w:rsidR="008D7820" w:rsidRPr="00384851" w:rsidRDefault="00D632F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24" w:type="pct"/>
            <w:gridSpan w:val="2"/>
          </w:tcPr>
          <w:p w14:paraId="01A64133" w14:textId="77777777" w:rsidR="008D7820" w:rsidRDefault="008D7820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the </w:t>
            </w:r>
            <w:r w:rsidRPr="006B7B23">
              <w:rPr>
                <w:rFonts w:ascii="Verdana" w:hAnsi="Verdana"/>
              </w:rPr>
              <w:t>Prescription Details</w:t>
            </w:r>
            <w:r>
              <w:rPr>
                <w:rFonts w:ascii="Verdana" w:hAnsi="Verdana"/>
              </w:rPr>
              <w:t xml:space="preserve"> screen for the medication.</w:t>
            </w:r>
          </w:p>
          <w:p w14:paraId="7E3AE237" w14:textId="7ABE45B7" w:rsidR="00771AC6" w:rsidRPr="00384851" w:rsidRDefault="008D7820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Note: </w:t>
            </w:r>
            <w:r>
              <w:rPr>
                <w:rFonts w:ascii="Verdana" w:hAnsi="Verdana"/>
              </w:rPr>
              <w:t>For Brand medications t</w:t>
            </w:r>
            <w:r w:rsidRPr="00602D0D">
              <w:rPr>
                <w:rFonts w:ascii="Verdana" w:hAnsi="Verdana"/>
              </w:rPr>
              <w:t xml:space="preserve">he </w:t>
            </w:r>
            <w:r w:rsidRPr="00602D0D">
              <w:rPr>
                <w:rFonts w:ascii="Verdana" w:hAnsi="Verdana"/>
                <w:b/>
              </w:rPr>
              <w:t xml:space="preserve">Dispense as Written </w:t>
            </w:r>
            <w:r>
              <w:rPr>
                <w:rFonts w:ascii="Verdana" w:hAnsi="Verdana"/>
              </w:rPr>
              <w:t>field will display 1</w:t>
            </w:r>
            <w:r w:rsidRPr="00602D0D">
              <w:rPr>
                <w:rFonts w:ascii="Verdana" w:hAnsi="Verdana"/>
              </w:rPr>
              <w:t xml:space="preserve"> –</w:t>
            </w:r>
            <w:r>
              <w:rPr>
                <w:rFonts w:ascii="Verdana" w:hAnsi="Verdana"/>
              </w:rPr>
              <w:t xml:space="preserve"> Prescriber</w:t>
            </w:r>
            <w:r w:rsidRPr="00602D0D">
              <w:rPr>
                <w:rFonts w:ascii="Verdana" w:hAnsi="Verdana"/>
              </w:rPr>
              <w:t xml:space="preserve"> DAW</w:t>
            </w:r>
            <w:r w:rsidR="0006778F" w:rsidRPr="00602D0D">
              <w:rPr>
                <w:rFonts w:ascii="Verdana" w:hAnsi="Verdana"/>
              </w:rPr>
              <w:t>.</w:t>
            </w:r>
            <w:r w:rsidR="0006778F">
              <w:rPr>
                <w:rFonts w:ascii="Verdana" w:hAnsi="Verdana"/>
              </w:rPr>
              <w:t xml:space="preserve"> </w:t>
            </w:r>
          </w:p>
        </w:tc>
      </w:tr>
      <w:tr w:rsidR="008D7820" w:rsidRPr="00384851" w14:paraId="2433820A" w14:textId="77777777" w:rsidTr="00A66118">
        <w:tc>
          <w:tcPr>
            <w:tcW w:w="176" w:type="pct"/>
          </w:tcPr>
          <w:p w14:paraId="4B965A83" w14:textId="30C840D1" w:rsidR="008D7820" w:rsidRDefault="00D632F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824" w:type="pct"/>
            <w:gridSpan w:val="2"/>
          </w:tcPr>
          <w:p w14:paraId="22C327A3" w14:textId="7FCD5F35" w:rsidR="00771AC6" w:rsidRDefault="008D7820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Verify that this medication is currently available through </w:t>
            </w:r>
            <w:r w:rsidR="005D728B">
              <w:rPr>
                <w:rFonts w:ascii="Verdana" w:hAnsi="Verdana"/>
                <w:noProof/>
              </w:rPr>
              <w:t>our Home Delivery/Mail Order pharmacy</w:t>
            </w:r>
            <w:r>
              <w:rPr>
                <w:rFonts w:ascii="Verdana" w:hAnsi="Verdana"/>
                <w:noProof/>
              </w:rPr>
              <w:t xml:space="preserve"> by </w:t>
            </w:r>
            <w:r w:rsidR="005D728B">
              <w:rPr>
                <w:rFonts w:ascii="Verdana" w:hAnsi="Verdana"/>
                <w:noProof/>
              </w:rPr>
              <w:t>referring to the</w:t>
            </w:r>
            <w:r>
              <w:rPr>
                <w:rFonts w:ascii="Verdana" w:hAnsi="Verdana"/>
              </w:rPr>
              <w:t xml:space="preserve"> </w:t>
            </w:r>
            <w:hyperlink r:id="rId24" w:anchor="!/view?docid=ddabad50-490b-4a3c-86a7-6dc8502ebaed" w:history="1">
              <w:r w:rsidR="008107E8">
                <w:rPr>
                  <w:rStyle w:val="Hyperlink"/>
                  <w:rFonts w:ascii="Verdana" w:hAnsi="Verdana"/>
                  <w:noProof/>
                </w:rPr>
                <w:t>DAW 5 NDC Li</w:t>
              </w:r>
              <w:r w:rsidR="008107E8">
                <w:rPr>
                  <w:rStyle w:val="Hyperlink"/>
                  <w:rFonts w:ascii="Verdana" w:hAnsi="Verdana"/>
                  <w:noProof/>
                </w:rPr>
                <w:t>s</w:t>
              </w:r>
              <w:r w:rsidR="008107E8">
                <w:rPr>
                  <w:rStyle w:val="Hyperlink"/>
                  <w:rFonts w:ascii="Verdana" w:hAnsi="Verdana"/>
                  <w:noProof/>
                </w:rPr>
                <w:t>t (018804)</w:t>
              </w:r>
            </w:hyperlink>
            <w:r>
              <w:rPr>
                <w:rFonts w:ascii="Verdana" w:hAnsi="Verdana"/>
              </w:rPr>
              <w:t>.</w:t>
            </w:r>
          </w:p>
          <w:p w14:paraId="47124D7D" w14:textId="0D6B61A7" w:rsidR="00B44F4C" w:rsidRDefault="00B44F4C" w:rsidP="00C969F3">
            <w:pPr>
              <w:spacing w:before="120" w:after="120"/>
              <w:rPr>
                <w:rFonts w:ascii="Verdana" w:hAnsi="Verdana"/>
              </w:rPr>
            </w:pPr>
            <w:bookmarkStart w:id="32" w:name="OLE_LINK33"/>
            <w:r>
              <w:rPr>
                <w:rFonts w:ascii="Verdana" w:hAnsi="Verdana"/>
                <w:noProof/>
              </w:rPr>
              <w:drawing>
                <wp:inline distT="0" distB="0" distL="0" distR="0" wp14:anchorId="3853199D" wp14:editId="3F6DBAFE">
                  <wp:extent cx="238125" cy="2190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bCs/>
              </w:rPr>
              <w:t xml:space="preserve">Branded Generic/DAW 5 applies </w:t>
            </w:r>
            <w:r w:rsidR="00562670">
              <w:rPr>
                <w:rFonts w:ascii="Verdana" w:hAnsi="Verdana"/>
                <w:b/>
              </w:rPr>
              <w:t>mostly</w:t>
            </w:r>
            <w:r w:rsidR="00562670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to Mail Order</w:t>
            </w:r>
            <w:r w:rsidR="00562670">
              <w:rPr>
                <w:rFonts w:ascii="Verdana" w:hAnsi="Verdana"/>
                <w:bCs/>
              </w:rPr>
              <w:t xml:space="preserve"> medications</w:t>
            </w:r>
            <w:r>
              <w:rPr>
                <w:rFonts w:ascii="Verdana" w:hAnsi="Verdana"/>
                <w:bCs/>
              </w:rPr>
              <w:t xml:space="preserve">, and </w:t>
            </w:r>
            <w:r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  <w:bCs/>
              </w:rPr>
              <w:t xml:space="preserve"> to Specialty.</w:t>
            </w:r>
            <w:bookmarkEnd w:id="32"/>
          </w:p>
        </w:tc>
      </w:tr>
      <w:tr w:rsidR="008D7820" w:rsidRPr="00384851" w14:paraId="13F3EC74" w14:textId="77777777" w:rsidTr="00A66118">
        <w:tc>
          <w:tcPr>
            <w:tcW w:w="176" w:type="pct"/>
          </w:tcPr>
          <w:p w14:paraId="67107400" w14:textId="5ECA34DE" w:rsidR="008D7820" w:rsidRDefault="00D632F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824" w:type="pct"/>
            <w:gridSpan w:val="2"/>
          </w:tcPr>
          <w:p w14:paraId="7D3F10F1" w14:textId="77777777" w:rsidR="008D7820" w:rsidRDefault="008D7820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Confirm the copay for the medication by reviewing the </w:t>
            </w:r>
            <w:r w:rsidRPr="00DE6DCE">
              <w:rPr>
                <w:rFonts w:ascii="Verdana" w:hAnsi="Verdana"/>
                <w:b/>
              </w:rPr>
              <w:t>View Financials</w:t>
            </w:r>
            <w:r>
              <w:rPr>
                <w:rFonts w:ascii="Verdana" w:hAnsi="Verdana"/>
              </w:rPr>
              <w:t xml:space="preserve"> screen.</w:t>
            </w:r>
          </w:p>
          <w:p w14:paraId="1C3E0FE1" w14:textId="47CD66EB" w:rsidR="00771AC6" w:rsidRPr="008D7820" w:rsidRDefault="008D7820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Note: </w:t>
            </w:r>
            <w:r>
              <w:rPr>
                <w:rFonts w:ascii="Verdana" w:hAnsi="Verdana"/>
              </w:rPr>
              <w:t xml:space="preserve">This may include a </w:t>
            </w:r>
            <w:r w:rsidRPr="00974C99">
              <w:rPr>
                <w:rFonts w:ascii="Verdana" w:hAnsi="Verdana"/>
                <w:bCs/>
              </w:rPr>
              <w:t xml:space="preserve">DAW </w:t>
            </w:r>
            <w:r w:rsidR="00312518">
              <w:rPr>
                <w:rFonts w:ascii="Verdana" w:hAnsi="Verdana"/>
                <w:bCs/>
              </w:rPr>
              <w:t>cost difference</w:t>
            </w:r>
            <w:r>
              <w:rPr>
                <w:rFonts w:ascii="Verdana" w:hAnsi="Verdana"/>
              </w:rPr>
              <w:t>.</w:t>
            </w:r>
          </w:p>
        </w:tc>
      </w:tr>
      <w:tr w:rsidR="00240D1D" w:rsidRPr="00384851" w14:paraId="09843FCF" w14:textId="77777777" w:rsidTr="00A66118">
        <w:trPr>
          <w:trHeight w:val="387"/>
        </w:trPr>
        <w:tc>
          <w:tcPr>
            <w:tcW w:w="176" w:type="pct"/>
          </w:tcPr>
          <w:p w14:paraId="0FC2DD15" w14:textId="0E5B19F2" w:rsidR="00240D1D" w:rsidRDefault="00D632FA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824" w:type="pct"/>
            <w:gridSpan w:val="2"/>
          </w:tcPr>
          <w:p w14:paraId="6D841133" w14:textId="2DF221FC" w:rsidR="00240D1D" w:rsidRDefault="00240D1D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Inform the Member that the prescription was written incorrectly.</w:t>
            </w:r>
          </w:p>
          <w:p w14:paraId="7E94B2B5" w14:textId="4967B499" w:rsidR="00240D1D" w:rsidRDefault="00240D1D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352BD06" wp14:editId="234743E9">
                  <wp:extent cx="276225" cy="2190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0F7BDC">
              <w:rPr>
                <w:rFonts w:ascii="Verdana" w:hAnsi="Verdana"/>
              </w:rPr>
              <w:t>Currently</w:t>
            </w:r>
            <w:r w:rsidR="00824FCA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we </w:t>
            </w:r>
            <w:r w:rsidR="001D5F78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provide you with the brand name medication at the generic price only if your </w:t>
            </w:r>
            <w:r w:rsidR="00007A55" w:rsidRPr="00007A55">
              <w:rPr>
                <w:rFonts w:ascii="Verdana" w:hAnsi="Verdana"/>
              </w:rPr>
              <w:t>prescriber</w:t>
            </w:r>
            <w:r>
              <w:rPr>
                <w:rFonts w:ascii="Verdana" w:hAnsi="Verdana"/>
              </w:rPr>
              <w:t xml:space="preserve"> writes the prescription for the brand name drug and allows for substitutions</w:t>
            </w:r>
            <w:r w:rsidR="0006778F"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</w:rPr>
              <w:t xml:space="preserve">Because a prescription is written at your </w:t>
            </w:r>
            <w:r w:rsidR="00007A55" w:rsidRPr="00007A55">
              <w:rPr>
                <w:rFonts w:ascii="Verdana" w:hAnsi="Verdana"/>
              </w:rPr>
              <w:t>prescriber</w:t>
            </w:r>
            <w:r>
              <w:rPr>
                <w:rFonts w:ascii="Verdana" w:hAnsi="Verdana"/>
              </w:rPr>
              <w:t>’s discretion</w:t>
            </w:r>
            <w:r w:rsidR="00824FCA">
              <w:rPr>
                <w:rFonts w:ascii="Verdana" w:hAnsi="Verdana"/>
              </w:rPr>
              <w:t>;</w:t>
            </w:r>
            <w:r>
              <w:rPr>
                <w:rFonts w:ascii="Verdana" w:hAnsi="Verdana"/>
              </w:rPr>
              <w:t xml:space="preserve"> we suggest that you provide this information to your </w:t>
            </w:r>
            <w:r w:rsidR="00007A55" w:rsidRPr="00007A55">
              <w:rPr>
                <w:rFonts w:ascii="Verdana" w:hAnsi="Verdana"/>
              </w:rPr>
              <w:t>prescriber</w:t>
            </w:r>
            <w:r>
              <w:rPr>
                <w:rFonts w:ascii="Verdana" w:hAnsi="Verdana"/>
              </w:rPr>
              <w:t xml:space="preserve"> and have them call-in the prescription to our FastStart line at </w:t>
            </w:r>
            <w:r w:rsidRPr="00E658F8">
              <w:rPr>
                <w:rFonts w:ascii="Verdana" w:hAnsi="Verdana"/>
                <w:b/>
                <w:bCs/>
              </w:rPr>
              <w:t>1-800-378-5697</w:t>
            </w:r>
            <w:r>
              <w:rPr>
                <w:rFonts w:ascii="Verdana" w:hAnsi="Verdana"/>
              </w:rPr>
              <w:t xml:space="preserve">. At that </w:t>
            </w:r>
            <w:r w:rsidR="004B6302">
              <w:rPr>
                <w:rFonts w:ascii="Verdana" w:hAnsi="Verdana"/>
              </w:rPr>
              <w:t>time,</w:t>
            </w:r>
            <w:r>
              <w:rPr>
                <w:rFonts w:ascii="Verdana" w:hAnsi="Verdana"/>
              </w:rPr>
              <w:t xml:space="preserve"> the </w:t>
            </w:r>
            <w:r w:rsidR="00007A55" w:rsidRPr="00007A55">
              <w:rPr>
                <w:rFonts w:ascii="Verdana" w:hAnsi="Verdana"/>
              </w:rPr>
              <w:t>prescriber</w:t>
            </w:r>
            <w:r>
              <w:rPr>
                <w:rFonts w:ascii="Verdana" w:hAnsi="Verdana"/>
              </w:rPr>
              <w:t xml:space="preserve"> may ask the representative any questions they may have to ensure you get the generic price. </w:t>
            </w:r>
          </w:p>
          <w:p w14:paraId="2998BA39" w14:textId="77777777" w:rsidR="00240D1D" w:rsidRDefault="00240D1D" w:rsidP="00C969F3">
            <w:pPr>
              <w:spacing w:before="120" w:after="120"/>
              <w:rPr>
                <w:rFonts w:ascii="Verdana" w:hAnsi="Verdana"/>
              </w:rPr>
            </w:pPr>
          </w:p>
          <w:p w14:paraId="632CE8E8" w14:textId="5EF6DCA3" w:rsidR="00240D1D" w:rsidRDefault="00240D1D" w:rsidP="00C969F3">
            <w:pPr>
              <w:numPr>
                <w:ilvl w:val="0"/>
                <w:numId w:val="8"/>
              </w:numPr>
              <w:spacing w:before="120" w:after="120"/>
              <w:ind w:left="40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 </w:t>
            </w:r>
            <w:r w:rsidR="007D27A4">
              <w:rPr>
                <w:rFonts w:ascii="Verdana" w:hAnsi="Verdana"/>
              </w:rPr>
              <w:t xml:space="preserve">member </w:t>
            </w:r>
            <w:r>
              <w:rPr>
                <w:rFonts w:ascii="Verdana" w:hAnsi="Verdana"/>
              </w:rPr>
              <w:t xml:space="preserve">insists that we contact the </w:t>
            </w:r>
            <w:r w:rsidR="00065BA5">
              <w:rPr>
                <w:rFonts w:ascii="Verdana" w:hAnsi="Verdana"/>
              </w:rPr>
              <w:t>prescriber,</w:t>
            </w:r>
            <w:r>
              <w:rPr>
                <w:rFonts w:ascii="Verdana" w:hAnsi="Verdana"/>
              </w:rPr>
              <w:t xml:space="preserve"> advise </w:t>
            </w:r>
            <w:r w:rsidR="007D27A4">
              <w:rPr>
                <w:rFonts w:ascii="Verdana" w:hAnsi="Verdana"/>
              </w:rPr>
              <w:t>them</w:t>
            </w:r>
            <w:r>
              <w:rPr>
                <w:rFonts w:ascii="Verdana" w:hAnsi="Verdana"/>
              </w:rPr>
              <w:t xml:space="preserve"> that we cannot add notes to our </w:t>
            </w:r>
            <w:r w:rsidR="00007A55">
              <w:rPr>
                <w:rFonts w:ascii="Verdana" w:hAnsi="Verdana"/>
              </w:rPr>
              <w:t>F</w:t>
            </w:r>
            <w:r>
              <w:rPr>
                <w:rFonts w:ascii="Verdana" w:hAnsi="Verdana"/>
              </w:rPr>
              <w:t xml:space="preserve">ax </w:t>
            </w:r>
            <w:r w:rsidR="00007A55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equests. However, we can add that the </w:t>
            </w:r>
            <w:r w:rsidR="007D27A4">
              <w:rPr>
                <w:rFonts w:ascii="Verdana" w:hAnsi="Verdana"/>
              </w:rPr>
              <w:t xml:space="preserve">member </w:t>
            </w:r>
            <w:r>
              <w:rPr>
                <w:rFonts w:ascii="Verdana" w:hAnsi="Verdana"/>
              </w:rPr>
              <w:t>is requesting “brand only” or “generic only.”</w:t>
            </w:r>
          </w:p>
          <w:p w14:paraId="4CF00211" w14:textId="77777777" w:rsidR="00240D1D" w:rsidRDefault="00240D1D" w:rsidP="00C969F3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53CE676E" w14:textId="3F5351DC" w:rsidR="00240D1D" w:rsidRDefault="00240D1D" w:rsidP="00C969F3">
            <w:pPr>
              <w:spacing w:before="120" w:after="120"/>
              <w:rPr>
                <w:rFonts w:ascii="Verdana" w:hAnsi="Verdana" w:cs="Helvetica"/>
                <w:bCs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</w:rPr>
              <w:t>Note: </w:t>
            </w:r>
            <w:r>
              <w:rPr>
                <w:rFonts w:ascii="Verdana" w:hAnsi="Verdana"/>
              </w:rPr>
              <w:t xml:space="preserve">Fax Notes are limited </w:t>
            </w:r>
            <w:r w:rsidR="00E30AEC" w:rsidRPr="00E30AEC">
              <w:rPr>
                <w:rFonts w:ascii="Verdana" w:hAnsi="Verdana"/>
                <w:b/>
                <w:bCs/>
              </w:rPr>
              <w:t>only</w:t>
            </w:r>
            <w:r>
              <w:rPr>
                <w:rFonts w:ascii="Verdana" w:hAnsi="Verdana"/>
              </w:rPr>
              <w:t xml:space="preserve"> to prescriptions selected from claim history and can </w:t>
            </w:r>
            <w:r w:rsidR="00E30AEC" w:rsidRPr="00E30AEC">
              <w:rPr>
                <w:rFonts w:ascii="Verdana" w:hAnsi="Verdana"/>
                <w:b/>
                <w:bCs/>
              </w:rPr>
              <w:t>only</w:t>
            </w:r>
            <w:r>
              <w:rPr>
                <w:rFonts w:ascii="Verdana" w:hAnsi="Verdana"/>
              </w:rPr>
              <w:t> </w:t>
            </w:r>
            <w:r w:rsidR="007D27A4">
              <w:rPr>
                <w:rFonts w:ascii="Verdana" w:hAnsi="Verdana"/>
              </w:rPr>
              <w:t xml:space="preserve">be added </w:t>
            </w:r>
            <w:r>
              <w:rPr>
                <w:rFonts w:ascii="Verdana" w:hAnsi="Verdana"/>
              </w:rPr>
              <w:t xml:space="preserve">to individual prescriptions. </w:t>
            </w:r>
            <w:r w:rsidRPr="00ED647A">
              <w:rPr>
                <w:rFonts w:ascii="Verdana" w:hAnsi="Verdana"/>
              </w:rPr>
              <w:t xml:space="preserve">Refer to </w:t>
            </w:r>
            <w:hyperlink r:id="rId25" w:anchor="!/view?docid=a1443f4f-499e-442c-be11-fd2b207bf86c" w:history="1">
              <w:r w:rsidR="00CE0EA0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PeopleS</w:t>
              </w:r>
              <w:r w:rsidR="00CE0EA0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a</w:t>
              </w:r>
              <w:r w:rsidR="00CE0EA0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fe - Obtaining a New Prescription (Rx) for the Member (058827)</w:t>
              </w:r>
            </w:hyperlink>
            <w:r w:rsidR="001B205C">
              <w:rPr>
                <w:rStyle w:val="Hyperlink"/>
                <w:rFonts w:ascii="Verdana" w:hAnsi="Verdana" w:cs="Helvetica"/>
                <w:bCs/>
                <w:shd w:val="clear" w:color="auto" w:fill="FFFFFF"/>
              </w:rPr>
              <w:t>.</w:t>
            </w:r>
          </w:p>
          <w:p w14:paraId="597F73A4" w14:textId="27AFEC6B" w:rsidR="00240D1D" w:rsidRDefault="00240D1D" w:rsidP="00C969F3">
            <w:pPr>
              <w:spacing w:before="120" w:after="120"/>
              <w:rPr>
                <w:rFonts w:ascii="Verdana" w:hAnsi="Verdana"/>
              </w:rPr>
            </w:pPr>
            <w:bookmarkStart w:id="33" w:name="OLE_LINK57"/>
            <w:r w:rsidRPr="00E658F8">
              <w:rPr>
                <w:rFonts w:ascii="Verdana" w:hAnsi="Verdana"/>
                <w:b/>
                <w:bCs/>
              </w:rPr>
              <w:t>Reminder:</w:t>
            </w:r>
            <w:r>
              <w:rPr>
                <w:rFonts w:ascii="Verdana" w:hAnsi="Verdana"/>
              </w:rPr>
              <w:t xml:space="preserve"> Notate the </w:t>
            </w:r>
            <w:r w:rsidR="007D27A4">
              <w:rPr>
                <w:rFonts w:ascii="Verdana" w:hAnsi="Verdana"/>
              </w:rPr>
              <w:t xml:space="preserve">member’s </w:t>
            </w:r>
            <w:r>
              <w:rPr>
                <w:rFonts w:ascii="Verdana" w:hAnsi="Verdana"/>
              </w:rPr>
              <w:t xml:space="preserve">preference in your </w:t>
            </w:r>
            <w:hyperlink r:id="rId26" w:anchor="!/view?docid=08023401-0eee-4e2b-97fe-f0bc7c5aa2f0" w:history="1">
              <w:r w:rsidR="00F91F34">
                <w:rPr>
                  <w:rStyle w:val="Hyperlink"/>
                  <w:rFonts w:ascii="Verdana" w:hAnsi="Verdana"/>
                </w:rPr>
                <w:t xml:space="preserve">PeopleSafe Log </w:t>
              </w:r>
              <w:r w:rsidR="005F5BF8">
                <w:rPr>
                  <w:rStyle w:val="Hyperlink"/>
                  <w:rFonts w:ascii="Verdana" w:hAnsi="Verdana"/>
                </w:rPr>
                <w:t>A</w:t>
              </w:r>
              <w:r w:rsidR="005F5BF8">
                <w:rPr>
                  <w:rStyle w:val="Hyperlink"/>
                  <w:rFonts w:ascii="Verdana" w:hAnsi="Verdana"/>
                </w:rPr>
                <w:t>ctivity (042891)</w:t>
              </w:r>
            </w:hyperlink>
            <w:r w:rsidR="001E166B">
              <w:t xml:space="preserve">.  </w:t>
            </w:r>
            <w:r w:rsidR="001E166B" w:rsidRPr="002325C2">
              <w:rPr>
                <w:rFonts w:ascii="Verdana" w:hAnsi="Verdana"/>
              </w:rPr>
              <w:t>W</w:t>
            </w:r>
            <w:r w:rsidR="001B205C" w:rsidRPr="002325C2">
              <w:rPr>
                <w:rFonts w:ascii="Verdana" w:hAnsi="Verdana"/>
              </w:rPr>
              <w:t>arm transfer to</w:t>
            </w:r>
            <w:r w:rsidRPr="002325C2">
              <w:rPr>
                <w:rFonts w:ascii="Verdana" w:hAnsi="Verdana"/>
              </w:rPr>
              <w:t xml:space="preserve"> the </w:t>
            </w:r>
            <w:r w:rsidR="0054783C" w:rsidRPr="002325C2">
              <w:rPr>
                <w:rFonts w:ascii="Verdana" w:hAnsi="Verdana"/>
              </w:rPr>
              <w:t>Senior Team</w:t>
            </w:r>
            <w:r w:rsidRPr="002325C2">
              <w:rPr>
                <w:rFonts w:ascii="Verdana" w:hAnsi="Verdana"/>
              </w:rPr>
              <w:t xml:space="preserve"> to request </w:t>
            </w:r>
            <w:r w:rsidR="00AE1249">
              <w:rPr>
                <w:rFonts w:ascii="Verdana" w:hAnsi="Verdana"/>
              </w:rPr>
              <w:t xml:space="preserve">a </w:t>
            </w:r>
            <w:hyperlink r:id="rId27" w:anchor="!/view?docid=dfe59c11-8a1a-4c1e-b939-2825186a20ce" w:history="1">
              <w:r w:rsidR="00AE1249" w:rsidRPr="00AE1249">
                <w:rPr>
                  <w:rStyle w:val="Hyperlink"/>
                  <w:rFonts w:ascii="Verdana" w:hAnsi="Verdana"/>
                </w:rPr>
                <w:t>Stop See (086165)</w:t>
              </w:r>
            </w:hyperlink>
            <w:r w:rsidR="00AE1249" w:rsidRPr="00AE1249">
              <w:rPr>
                <w:rFonts w:ascii="Verdana" w:hAnsi="Verdana"/>
              </w:rPr>
              <w:t xml:space="preserve"> comment to be added so that the member receives the desired Branded Generic medication in the future.</w:t>
            </w:r>
            <w:bookmarkEnd w:id="33"/>
          </w:p>
        </w:tc>
      </w:tr>
      <w:tr w:rsidR="00824159" w:rsidRPr="00384851" w14:paraId="10195964" w14:textId="77777777" w:rsidTr="00A66118">
        <w:trPr>
          <w:trHeight w:val="387"/>
        </w:trPr>
        <w:tc>
          <w:tcPr>
            <w:tcW w:w="176" w:type="pct"/>
            <w:vMerge w:val="restart"/>
          </w:tcPr>
          <w:p w14:paraId="584BBFB1" w14:textId="7C121A77" w:rsidR="00824159" w:rsidRDefault="00824159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824" w:type="pct"/>
            <w:gridSpan w:val="2"/>
          </w:tcPr>
          <w:p w14:paraId="6D05BC65" w14:textId="6930BB03" w:rsidR="00824159" w:rsidRPr="008479BA" w:rsidRDefault="00824159" w:rsidP="00C969F3">
            <w:pPr>
              <w:spacing w:before="120" w:after="120"/>
              <w:rPr>
                <w:rFonts w:ascii="Verdana" w:hAnsi="Verdana"/>
              </w:rPr>
            </w:pPr>
            <w:r w:rsidRPr="00585DB3">
              <w:rPr>
                <w:rFonts w:ascii="Verdana" w:hAnsi="Verdana"/>
              </w:rPr>
              <w:t xml:space="preserve">Review history of past payments. </w:t>
            </w:r>
          </w:p>
        </w:tc>
      </w:tr>
      <w:tr w:rsidR="00824159" w:rsidRPr="00384851" w14:paraId="19A309E1" w14:textId="77777777" w:rsidTr="00A66118">
        <w:trPr>
          <w:trHeight w:val="99"/>
        </w:trPr>
        <w:tc>
          <w:tcPr>
            <w:tcW w:w="176" w:type="pct"/>
            <w:vMerge/>
          </w:tcPr>
          <w:p w14:paraId="3A9B54F0" w14:textId="77777777" w:rsidR="00824159" w:rsidRDefault="00824159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32" w:type="pct"/>
            <w:shd w:val="clear" w:color="auto" w:fill="D9D9D9" w:themeFill="background1" w:themeFillShade="D9"/>
          </w:tcPr>
          <w:p w14:paraId="30BF2F78" w14:textId="5178E099" w:rsidR="00824159" w:rsidRPr="00F933C1" w:rsidRDefault="00824159" w:rsidP="00C969F3">
            <w:pPr>
              <w:spacing w:before="120" w:after="120"/>
              <w:jc w:val="center"/>
              <w:rPr>
                <w:rFonts w:ascii="Verdana" w:hAnsi="Verdana"/>
                <w:b/>
                <w:bCs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t>If…</w:t>
            </w:r>
          </w:p>
        </w:tc>
        <w:tc>
          <w:tcPr>
            <w:tcW w:w="2892" w:type="pct"/>
            <w:shd w:val="clear" w:color="auto" w:fill="D9D9D9" w:themeFill="background1" w:themeFillShade="D9"/>
          </w:tcPr>
          <w:p w14:paraId="74166163" w14:textId="0757A565" w:rsidR="00824159" w:rsidRPr="00F933C1" w:rsidRDefault="00824159" w:rsidP="00C969F3">
            <w:pPr>
              <w:spacing w:before="120" w:after="120"/>
              <w:jc w:val="center"/>
              <w:rPr>
                <w:rFonts w:ascii="Verdana" w:hAnsi="Verdana"/>
                <w:b/>
                <w:bCs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t>Then…</w:t>
            </w:r>
          </w:p>
        </w:tc>
      </w:tr>
      <w:tr w:rsidR="00824159" w:rsidRPr="00384851" w14:paraId="09B0BA6E" w14:textId="77777777" w:rsidTr="00A66118">
        <w:trPr>
          <w:trHeight w:val="97"/>
        </w:trPr>
        <w:tc>
          <w:tcPr>
            <w:tcW w:w="176" w:type="pct"/>
            <w:vMerge/>
          </w:tcPr>
          <w:p w14:paraId="1BEEF9E2" w14:textId="77777777" w:rsidR="00824159" w:rsidRDefault="00824159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32" w:type="pct"/>
          </w:tcPr>
          <w:p w14:paraId="5C2AF52A" w14:textId="6D1C25F9" w:rsidR="00824159" w:rsidRDefault="00824159" w:rsidP="00C969F3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</w:rPr>
              <w:t>T</w:t>
            </w:r>
            <w:r w:rsidRPr="008479BA">
              <w:rPr>
                <w:rFonts w:ascii="Verdana" w:hAnsi="Verdana"/>
              </w:rPr>
              <w:t>he member has been paying the generic cost in the past and is now paying the brand cost</w:t>
            </w:r>
          </w:p>
        </w:tc>
        <w:tc>
          <w:tcPr>
            <w:tcW w:w="2892" w:type="pct"/>
          </w:tcPr>
          <w:p w14:paraId="39F51198" w14:textId="18F9D4B0" w:rsidR="00824159" w:rsidRDefault="00824159" w:rsidP="00C969F3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</w:rPr>
              <w:t>C</w:t>
            </w:r>
            <w:r w:rsidRPr="008479BA">
              <w:rPr>
                <w:rFonts w:ascii="Verdana" w:hAnsi="Verdana"/>
              </w:rPr>
              <w:t xml:space="preserve">ontact Clinical for Rx verification. Refer to </w:t>
            </w:r>
            <w:hyperlink r:id="rId28" w:anchor="!/view?docid=ff2706a9-6f42-4ccd-87e1-59cb2ce103a8" w:history="1">
              <w:r w:rsidR="00CE0EA0">
                <w:rPr>
                  <w:rStyle w:val="Hyperlink"/>
                  <w:rFonts w:ascii="Verdana" w:hAnsi="Verdana"/>
                </w:rPr>
                <w:t>PeopleSafe - Wh</w:t>
              </w:r>
              <w:r w:rsidR="00CE0EA0">
                <w:rPr>
                  <w:rStyle w:val="Hyperlink"/>
                  <w:rFonts w:ascii="Verdana" w:hAnsi="Verdana"/>
                </w:rPr>
                <w:t>e</w:t>
              </w:r>
              <w:r w:rsidR="00CE0EA0">
                <w:rPr>
                  <w:rStyle w:val="Hyperlink"/>
                  <w:rFonts w:ascii="Verdana" w:hAnsi="Verdana"/>
                </w:rPr>
                <w:t>n to Transfer Calls to Clinical Care (024833)</w:t>
              </w:r>
            </w:hyperlink>
            <w:r w:rsidR="00007A55">
              <w:rPr>
                <w:rStyle w:val="Hyperlink"/>
                <w:rFonts w:ascii="Verdana" w:hAnsi="Verdana"/>
              </w:rPr>
              <w:t>.</w:t>
            </w:r>
          </w:p>
        </w:tc>
      </w:tr>
      <w:tr w:rsidR="00824159" w:rsidRPr="00384851" w14:paraId="51DFE4C4" w14:textId="77777777" w:rsidTr="00A66118">
        <w:trPr>
          <w:trHeight w:val="97"/>
        </w:trPr>
        <w:tc>
          <w:tcPr>
            <w:tcW w:w="176" w:type="pct"/>
            <w:vMerge/>
          </w:tcPr>
          <w:p w14:paraId="5BECC901" w14:textId="77777777" w:rsidR="00824159" w:rsidRDefault="00824159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32" w:type="pct"/>
          </w:tcPr>
          <w:p w14:paraId="6AB14A39" w14:textId="62832E64" w:rsidR="00824159" w:rsidRDefault="00824159" w:rsidP="00C969F3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Confirmed the Rx was written correctly to process with DAW 5 and it was a Caremark error</w:t>
            </w:r>
          </w:p>
        </w:tc>
        <w:tc>
          <w:tcPr>
            <w:tcW w:w="2892" w:type="pct"/>
          </w:tcPr>
          <w:p w14:paraId="25E80A4D" w14:textId="0393BCE3" w:rsidR="00824159" w:rsidRDefault="00824159" w:rsidP="00C969F3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</w:rPr>
              <w:t>C</w:t>
            </w:r>
            <w:r w:rsidRPr="008479BA">
              <w:rPr>
                <w:rFonts w:ascii="Verdana" w:hAnsi="Verdana"/>
              </w:rPr>
              <w:t xml:space="preserve">linical will take the steps </w:t>
            </w:r>
            <w:r>
              <w:rPr>
                <w:rFonts w:ascii="Verdana" w:hAnsi="Verdana"/>
              </w:rPr>
              <w:t>to correct.</w:t>
            </w:r>
          </w:p>
        </w:tc>
      </w:tr>
      <w:tr w:rsidR="00824159" w:rsidRPr="00384851" w14:paraId="5011AF3E" w14:textId="77777777" w:rsidTr="00A66118">
        <w:trPr>
          <w:trHeight w:val="97"/>
        </w:trPr>
        <w:tc>
          <w:tcPr>
            <w:tcW w:w="176" w:type="pct"/>
            <w:vMerge/>
          </w:tcPr>
          <w:p w14:paraId="15582745" w14:textId="77777777" w:rsidR="00824159" w:rsidRDefault="00824159" w:rsidP="00C969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32" w:type="pct"/>
          </w:tcPr>
          <w:p w14:paraId="285716F8" w14:textId="3A8DB0F0" w:rsidR="00824159" w:rsidRDefault="00824159" w:rsidP="00C969F3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The doctor indicated on the Rx brand only</w:t>
            </w:r>
          </w:p>
        </w:tc>
        <w:tc>
          <w:tcPr>
            <w:tcW w:w="2892" w:type="pct"/>
          </w:tcPr>
          <w:p w14:paraId="1F40934A" w14:textId="2FE24550" w:rsidR="004A20AF" w:rsidRDefault="00824159" w:rsidP="00C969F3">
            <w:pPr>
              <w:spacing w:before="120" w:after="120" w:line="276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hAnsi="Verdana"/>
              </w:rPr>
              <w:t>N</w:t>
            </w:r>
            <w:r w:rsidRPr="008479BA">
              <w:rPr>
                <w:rFonts w:ascii="Verdana" w:hAnsi="Verdana"/>
              </w:rPr>
              <w:t>o substitutions or DAW</w:t>
            </w:r>
            <w:r w:rsidR="00007A55">
              <w:rPr>
                <w:rFonts w:ascii="Verdana" w:hAnsi="Verdana"/>
              </w:rPr>
              <w:t xml:space="preserve"> </w:t>
            </w:r>
            <w:r w:rsidRPr="008479BA">
              <w:rPr>
                <w:rFonts w:ascii="Verdana" w:hAnsi="Verdana"/>
              </w:rPr>
              <w:t>1 then</w:t>
            </w:r>
            <w:r w:rsidR="00007A55">
              <w:rPr>
                <w:rFonts w:ascii="Verdana" w:hAnsi="Verdana"/>
              </w:rPr>
              <w:t xml:space="preserve"> </w:t>
            </w:r>
            <w:r w:rsidR="004A20AF" w:rsidRPr="3E83AD8A">
              <w:rPr>
                <w:rFonts w:ascii="Verdana" w:eastAsia="Verdana" w:hAnsi="Verdana" w:cs="Verdana"/>
                <w:b/>
                <w:bCs/>
                <w:color w:val="000000" w:themeColor="text1"/>
              </w:rPr>
              <w:t>Resolve all questions, issues, and concerns prior to</w:t>
            </w:r>
            <w:r w:rsidR="00A66118">
              <w:rPr>
                <w:rFonts w:ascii="Verdana" w:eastAsia="Verdana" w:hAnsi="Verdana" w:cs="Verdana"/>
                <w:b/>
                <w:bCs/>
                <w:color w:val="000000" w:themeColor="text1"/>
              </w:rPr>
              <w:t xml:space="preserve"> </w:t>
            </w:r>
            <w:r w:rsidR="004A20AF" w:rsidRPr="3E83AD8A">
              <w:rPr>
                <w:rFonts w:ascii="Verdana" w:eastAsia="Verdana" w:hAnsi="Verdana" w:cs="Verdana"/>
                <w:color w:val="000000" w:themeColor="text1"/>
              </w:rPr>
              <w:t xml:space="preserve">contacting </w:t>
            </w:r>
            <w:hyperlink r:id="rId29" w:anchor="!/view?docid=f22eb77e-4033-4ad9-9afb-fc262f29faad" w:history="1">
              <w:r w:rsidR="00A66118" w:rsidRPr="00A66118">
                <w:rPr>
                  <w:rStyle w:val="Hyperlink"/>
                  <w:rFonts w:ascii="Verdana" w:eastAsia="Verdana" w:hAnsi="Verdana" w:cs="Verdana"/>
                </w:rPr>
                <w:t>Clinical Care Services (004378)</w:t>
              </w:r>
            </w:hyperlink>
            <w:r w:rsidR="004A20AF" w:rsidRPr="3E83AD8A">
              <w:rPr>
                <w:rFonts w:ascii="Verdana" w:eastAsia="Verdana" w:hAnsi="Verdana" w:cs="Verdana"/>
                <w:color w:val="000000" w:themeColor="text1"/>
              </w:rPr>
              <w:t xml:space="preserve"> to </w:t>
            </w:r>
            <w:r w:rsidR="004A20AF">
              <w:rPr>
                <w:rFonts w:ascii="Verdana" w:eastAsia="Verdana" w:hAnsi="Verdana" w:cs="Verdana"/>
                <w:color w:val="000000" w:themeColor="text1"/>
              </w:rPr>
              <w:t xml:space="preserve">determine </w:t>
            </w:r>
            <w:r w:rsidR="004A20AF" w:rsidRPr="3E83AD8A">
              <w:rPr>
                <w:rFonts w:ascii="Verdana" w:eastAsia="Verdana" w:hAnsi="Verdana" w:cs="Verdana"/>
                <w:color w:val="000000" w:themeColor="text1"/>
              </w:rPr>
              <w:t>if the prescription qualifies for an AME adjustment and courtesy retranslation.</w:t>
            </w:r>
            <w:r w:rsidR="00CF2CFB"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  <w:r w:rsidR="004A20AF" w:rsidRPr="3E83AD8A">
              <w:rPr>
                <w:rFonts w:ascii="Verdana" w:eastAsia="Verdana" w:hAnsi="Verdana" w:cs="Verdana"/>
                <w:color w:val="000000" w:themeColor="text1"/>
              </w:rPr>
              <w:t xml:space="preserve">  </w:t>
            </w:r>
          </w:p>
          <w:p w14:paraId="0B5F4F1C" w14:textId="77777777" w:rsidR="004A20AF" w:rsidRDefault="004A20AF" w:rsidP="00C969F3">
            <w:pPr>
              <w:pStyle w:val="ListParagraph"/>
              <w:numPr>
                <w:ilvl w:val="0"/>
                <w:numId w:val="38"/>
              </w:numPr>
              <w:spacing w:before="120" w:after="120" w:line="276" w:lineRule="auto"/>
              <w:rPr>
                <w:rFonts w:ascii="Verdana" w:eastAsia="Verdana" w:hAnsi="Verdana" w:cs="Verdana"/>
                <w:color w:val="000000" w:themeColor="text1"/>
              </w:rPr>
            </w:pPr>
            <w:r w:rsidRPr="3E83AD8A">
              <w:rPr>
                <w:rFonts w:ascii="Verdana" w:eastAsia="Verdana" w:hAnsi="Verdana" w:cs="Verdana"/>
                <w:color w:val="000000" w:themeColor="text1"/>
              </w:rPr>
              <w:t>If AME adjustment and courtesy retranslation is approved, CCS will take over the call.</w:t>
            </w:r>
          </w:p>
          <w:p w14:paraId="71E74367" w14:textId="44C93A8B" w:rsidR="00824159" w:rsidRPr="004A20AF" w:rsidRDefault="004A20AF" w:rsidP="00C969F3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Verdana" w:hAnsi="Verdana"/>
                <w:noProof/>
              </w:rPr>
            </w:pPr>
            <w:r w:rsidRPr="004A20AF">
              <w:rPr>
                <w:rFonts w:ascii="Verdana" w:eastAsia="Verdana" w:hAnsi="Verdana" w:cs="Verdana"/>
                <w:color w:val="000000" w:themeColor="text1"/>
              </w:rPr>
              <w:t xml:space="preserve">If AME adjustment and courtesy retranslation is denied, contact </w:t>
            </w:r>
            <w:hyperlink r:id="rId30" w:anchor="!/view?docid=9eef064d-c7d7-42f7-9026-1497496b4d51" w:history="1">
              <w:r w:rsidR="00A66118" w:rsidRPr="00A66118">
                <w:rPr>
                  <w:rStyle w:val="Hyperlink"/>
                  <w:rFonts w:ascii="Verdana" w:eastAsia="Verdana" w:hAnsi="Verdana" w:cs="Verdana"/>
                </w:rPr>
                <w:t>Senior Team (016311)</w:t>
              </w:r>
            </w:hyperlink>
            <w:r w:rsidR="00A66118"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</w:tc>
      </w:tr>
    </w:tbl>
    <w:p w14:paraId="2DE0186D" w14:textId="77777777" w:rsidR="00705111" w:rsidRDefault="00705111" w:rsidP="00C969F3">
      <w:pPr>
        <w:spacing w:before="120" w:after="120"/>
        <w:jc w:val="right"/>
        <w:rPr>
          <w:rStyle w:val="Hyperlink"/>
          <w:rFonts w:ascii="Verdana" w:hAnsi="Verdana"/>
        </w:rPr>
      </w:pPr>
    </w:p>
    <w:p w14:paraId="25E21955" w14:textId="59D79CB8" w:rsidR="00141792" w:rsidRDefault="00000000" w:rsidP="00C969F3">
      <w:pPr>
        <w:spacing w:before="120" w:after="120"/>
        <w:jc w:val="right"/>
        <w:rPr>
          <w:rStyle w:val="Hyperlink"/>
          <w:rFonts w:ascii="Verdana" w:hAnsi="Verdana"/>
        </w:rPr>
      </w:pPr>
      <w:hyperlink w:anchor="_top" w:history="1">
        <w:r w:rsidR="00222FA9" w:rsidRPr="00222FA9">
          <w:rPr>
            <w:rStyle w:val="Hyperlink"/>
            <w:rFonts w:ascii="Verdana" w:hAnsi="Verdana"/>
          </w:rPr>
          <w:t>Top</w:t>
        </w:r>
        <w:r w:rsidR="00222FA9" w:rsidRPr="00222FA9">
          <w:rPr>
            <w:rStyle w:val="Hyperlink"/>
            <w:rFonts w:ascii="Verdana" w:hAnsi="Verdana"/>
          </w:rPr>
          <w:t xml:space="preserve"> </w:t>
        </w:r>
        <w:r w:rsidR="00222FA9" w:rsidRPr="00222FA9">
          <w:rPr>
            <w:rStyle w:val="Hyperlink"/>
            <w:rFonts w:ascii="Verdana" w:hAnsi="Verdana"/>
          </w:rPr>
          <w:t>of the Document</w:t>
        </w:r>
      </w:hyperlink>
    </w:p>
    <w:tbl>
      <w:tblPr>
        <w:tblW w:w="23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2"/>
      </w:tblGrid>
      <w:tr w:rsidR="00141792" w:rsidRPr="00E710AB" w14:paraId="0F37401A" w14:textId="77777777" w:rsidTr="00E111FC">
        <w:trPr>
          <w:trHeight w:val="522"/>
        </w:trPr>
        <w:tc>
          <w:tcPr>
            <w:tcW w:w="2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6DF29B28" w14:textId="0FE75FDB" w:rsidR="00141792" w:rsidRPr="00301DF5" w:rsidRDefault="00141792" w:rsidP="00C969F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4" w:name="_Toc195694954"/>
            <w:r w:rsidRPr="00301DF5">
              <w:rPr>
                <w:rFonts w:ascii="Verdana" w:hAnsi="Verdana"/>
                <w:i w:val="0"/>
                <w:iCs w:val="0"/>
              </w:rPr>
              <w:t>S</w:t>
            </w:r>
            <w:r w:rsidR="00E111FC" w:rsidRPr="00301DF5">
              <w:rPr>
                <w:rFonts w:ascii="Verdana" w:hAnsi="Verdana"/>
                <w:i w:val="0"/>
                <w:iCs w:val="0"/>
              </w:rPr>
              <w:t>c</w:t>
            </w:r>
            <w:r w:rsidRPr="00301DF5">
              <w:rPr>
                <w:rFonts w:ascii="Verdana" w:hAnsi="Verdana"/>
                <w:i w:val="0"/>
                <w:iCs w:val="0"/>
              </w:rPr>
              <w:t>enario Guide</w:t>
            </w:r>
            <w:bookmarkEnd w:id="34"/>
          </w:p>
        </w:tc>
      </w:tr>
    </w:tbl>
    <w:p w14:paraId="55A2CE94" w14:textId="4D47E42D" w:rsidR="00141792" w:rsidRDefault="00141792" w:rsidP="00C969F3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noProof/>
        </w:rPr>
        <w:drawing>
          <wp:inline distT="0" distB="0" distL="0" distR="0" wp14:anchorId="51CFA805" wp14:editId="266D9B10">
            <wp:extent cx="304762" cy="304762"/>
            <wp:effectExtent l="0" t="0" r="635" b="635"/>
            <wp:docPr id="134670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3455" name="Picture 84222345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7E9">
        <w:rPr>
          <w:rFonts w:ascii="Verdana" w:hAnsi="Verdana"/>
        </w:rPr>
        <w:t xml:space="preserve"> </w:t>
      </w:r>
      <w:r w:rsidRPr="00E710AB">
        <w:rPr>
          <w:rFonts w:ascii="Verdana" w:hAnsi="Verdana"/>
        </w:rPr>
        <w:t>Refer to the following scenarios as needed:</w:t>
      </w:r>
    </w:p>
    <w:p w14:paraId="61DBF940" w14:textId="77777777" w:rsidR="00141792" w:rsidRDefault="00141792" w:rsidP="00C969F3">
      <w:pPr>
        <w:spacing w:before="120" w:after="120"/>
        <w:rPr>
          <w:rFonts w:ascii="Verdana" w:hAnsi="Verdana"/>
        </w:rPr>
      </w:pPr>
    </w:p>
    <w:p w14:paraId="4EF60542" w14:textId="788A9954" w:rsidR="00141792" w:rsidRPr="00E710AB" w:rsidRDefault="00141792" w:rsidP="00C969F3">
      <w:pPr>
        <w:spacing w:before="120" w:after="120"/>
        <w:rPr>
          <w:rFonts w:ascii="Verdana" w:hAnsi="Verdana"/>
        </w:rPr>
      </w:pPr>
      <w:r w:rsidRPr="002325C2">
        <w:rPr>
          <w:rFonts w:ascii="Verdana" w:hAnsi="Verdana"/>
          <w:b/>
          <w:bCs/>
        </w:rPr>
        <w:t>Reminder:</w:t>
      </w:r>
      <w:r>
        <w:rPr>
          <w:rFonts w:ascii="Verdana" w:hAnsi="Verdana"/>
        </w:rPr>
        <w:t xml:space="preserve"> Terms such as DAW 5 are considered jargon. Please refrain from using terms such as DAW 5 unless the member mentions it first</w:t>
      </w:r>
      <w:r w:rsidR="002325C2">
        <w:rPr>
          <w:rFonts w:ascii="Verdana" w:hAnsi="Verdana"/>
        </w:rPr>
        <w:t>, t</w:t>
      </w:r>
      <w:r>
        <w:rPr>
          <w:rFonts w:ascii="Verdana" w:hAnsi="Verdana"/>
        </w:rPr>
        <w:t xml:space="preserve">his will prevent any confusion. </w:t>
      </w:r>
    </w:p>
    <w:tbl>
      <w:tblPr>
        <w:tblW w:w="23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18628"/>
      </w:tblGrid>
      <w:tr w:rsidR="00141792" w:rsidRPr="00E710AB" w14:paraId="11B40667" w14:textId="77777777" w:rsidTr="002C6756">
        <w:trPr>
          <w:trHeight w:val="387"/>
        </w:trPr>
        <w:tc>
          <w:tcPr>
            <w:tcW w:w="4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349C3A" w14:textId="77777777" w:rsidR="00141792" w:rsidRPr="00E710AB" w:rsidRDefault="00141792" w:rsidP="00C969F3">
            <w:pPr>
              <w:spacing w:before="120" w:after="120"/>
              <w:jc w:val="center"/>
              <w:rPr>
                <w:rFonts w:ascii="Verdana" w:hAnsi="Verdana"/>
              </w:rPr>
            </w:pPr>
            <w:r w:rsidRPr="00E710AB">
              <w:rPr>
                <w:rFonts w:ascii="Verdana" w:hAnsi="Verdana"/>
                <w:b/>
                <w:bCs/>
              </w:rPr>
              <w:t>Scenario</w:t>
            </w:r>
          </w:p>
        </w:tc>
        <w:tc>
          <w:tcPr>
            <w:tcW w:w="18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5A4273" w14:textId="77777777" w:rsidR="00141792" w:rsidRPr="00E710AB" w:rsidRDefault="00141792" w:rsidP="00C969F3">
            <w:pPr>
              <w:spacing w:before="120" w:after="120"/>
              <w:jc w:val="center"/>
              <w:rPr>
                <w:rFonts w:ascii="Verdana" w:hAnsi="Verdana"/>
              </w:rPr>
            </w:pPr>
            <w:r w:rsidRPr="00E710AB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141792" w:rsidRPr="00E710AB" w14:paraId="0C7470C0" w14:textId="77777777" w:rsidTr="002C6756">
        <w:trPr>
          <w:trHeight w:val="387"/>
        </w:trPr>
        <w:tc>
          <w:tcPr>
            <w:tcW w:w="4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6661FA" w14:textId="77777777" w:rsidR="00141792" w:rsidRPr="00E710AB" w:rsidRDefault="00141792" w:rsidP="00C969F3">
            <w:pPr>
              <w:spacing w:before="120" w:after="120"/>
              <w:rPr>
                <w:rFonts w:ascii="Verdana" w:hAnsi="Verdana"/>
              </w:rPr>
            </w:pPr>
            <w:r w:rsidRPr="00DA2BE1">
              <w:rPr>
                <w:rFonts w:ascii="Verdana" w:hAnsi="Verdana"/>
              </w:rPr>
              <w:t>Can I get this price at the retail pharm</w:t>
            </w:r>
            <w:r>
              <w:rPr>
                <w:rFonts w:ascii="Verdana" w:hAnsi="Verdana"/>
              </w:rPr>
              <w:t>acy</w:t>
            </w:r>
            <w:r w:rsidRPr="00DA2BE1">
              <w:rPr>
                <w:rFonts w:ascii="Verdana" w:hAnsi="Verdana"/>
              </w:rPr>
              <w:t>?</w:t>
            </w:r>
          </w:p>
        </w:tc>
        <w:tc>
          <w:tcPr>
            <w:tcW w:w="18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C99560" w14:textId="77777777" w:rsidR="00141792" w:rsidRPr="00E710AB" w:rsidRDefault="00141792" w:rsidP="00C969F3">
            <w:pPr>
              <w:spacing w:before="120" w:after="120"/>
              <w:rPr>
                <w:rFonts w:ascii="Verdana" w:hAnsi="Verdana"/>
              </w:rPr>
            </w:pPr>
            <w:r w:rsidRPr="005C216C">
              <w:rPr>
                <w:rFonts w:ascii="Verdana" w:hAnsi="Verdana"/>
              </w:rPr>
              <w:t xml:space="preserve">The price for this branded generic medication is </w:t>
            </w:r>
            <w:r w:rsidRPr="00007A55">
              <w:rPr>
                <w:rFonts w:ascii="Verdana" w:hAnsi="Verdana"/>
                <w:b/>
                <w:bCs/>
              </w:rPr>
              <w:t xml:space="preserve">ONLY </w:t>
            </w:r>
            <w:r w:rsidRPr="005C216C">
              <w:rPr>
                <w:rFonts w:ascii="Verdana" w:hAnsi="Verdana"/>
              </w:rPr>
              <w:t>available at Caremark Mail Order.</w:t>
            </w:r>
          </w:p>
        </w:tc>
      </w:tr>
      <w:tr w:rsidR="00141792" w:rsidRPr="00E710AB" w14:paraId="037D0592" w14:textId="77777777" w:rsidTr="002C6756">
        <w:trPr>
          <w:trHeight w:val="387"/>
        </w:trPr>
        <w:tc>
          <w:tcPr>
            <w:tcW w:w="4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A162660" w14:textId="77777777" w:rsidR="00141792" w:rsidRPr="00E710AB" w:rsidRDefault="00141792" w:rsidP="00C969F3">
            <w:pPr>
              <w:spacing w:before="120" w:after="120"/>
              <w:rPr>
                <w:rFonts w:ascii="Verdana" w:hAnsi="Verdana"/>
              </w:rPr>
            </w:pPr>
            <w:r w:rsidRPr="00DA2BE1">
              <w:rPr>
                <w:rFonts w:ascii="Verdana" w:hAnsi="Verdana"/>
              </w:rPr>
              <w:t xml:space="preserve">Can I see </w:t>
            </w:r>
            <w:r>
              <w:rPr>
                <w:rFonts w:ascii="Verdana" w:hAnsi="Verdana"/>
              </w:rPr>
              <w:t>what my physician wrote on my prescription,</w:t>
            </w:r>
            <w:r w:rsidRPr="00DA2BE1">
              <w:rPr>
                <w:rFonts w:ascii="Verdana" w:hAnsi="Verdana"/>
              </w:rPr>
              <w:t xml:space="preserve"> on the website?</w:t>
            </w:r>
          </w:p>
        </w:tc>
        <w:tc>
          <w:tcPr>
            <w:tcW w:w="18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ECB2CA7" w14:textId="2D4A7D49" w:rsidR="00141792" w:rsidRPr="00E710AB" w:rsidRDefault="00141792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No, members cannot see if the physician put “brand only” or “substitutions allowed” on any prescription via the member website</w:t>
            </w:r>
            <w:r w:rsidR="0006778F">
              <w:rPr>
                <w:rFonts w:ascii="Verdana" w:hAnsi="Verdana"/>
              </w:rPr>
              <w:t xml:space="preserve">. </w:t>
            </w:r>
          </w:p>
        </w:tc>
      </w:tr>
      <w:tr w:rsidR="00141792" w:rsidRPr="00E710AB" w14:paraId="48AB334C" w14:textId="77777777" w:rsidTr="002C6756">
        <w:trPr>
          <w:trHeight w:val="387"/>
        </w:trPr>
        <w:tc>
          <w:tcPr>
            <w:tcW w:w="4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E4B721A" w14:textId="3CF6EEC4" w:rsidR="00141792" w:rsidRPr="00E710AB" w:rsidRDefault="0006778F" w:rsidP="00C969F3">
            <w:pPr>
              <w:spacing w:before="120" w:after="120"/>
              <w:rPr>
                <w:rFonts w:ascii="Verdana" w:hAnsi="Verdana"/>
              </w:rPr>
            </w:pPr>
            <w:r w:rsidRPr="002C20D6">
              <w:rPr>
                <w:rFonts w:ascii="Verdana" w:hAnsi="Verdana"/>
              </w:rPr>
              <w:t>I</w:t>
            </w:r>
            <w:r>
              <w:rPr>
                <w:rFonts w:ascii="Verdana" w:hAnsi="Verdana"/>
              </w:rPr>
              <w:t xml:space="preserve"> am</w:t>
            </w:r>
            <w:r w:rsidR="00141792" w:rsidRPr="002C20D6">
              <w:rPr>
                <w:rFonts w:ascii="Verdana" w:hAnsi="Verdana"/>
              </w:rPr>
              <w:t xml:space="preserve"> trying to order my </w:t>
            </w:r>
            <w:r w:rsidR="00141792">
              <w:rPr>
                <w:rFonts w:ascii="Verdana" w:hAnsi="Verdana"/>
              </w:rPr>
              <w:t>prescription</w:t>
            </w:r>
            <w:r w:rsidR="00141792" w:rsidRPr="002C20D6">
              <w:rPr>
                <w:rFonts w:ascii="Verdana" w:hAnsi="Verdana"/>
              </w:rPr>
              <w:t xml:space="preserve"> on the website why is it showing more expensive than last time?</w:t>
            </w:r>
          </w:p>
        </w:tc>
        <w:tc>
          <w:tcPr>
            <w:tcW w:w="18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F6534E6" w14:textId="77777777" w:rsidR="00141792" w:rsidRPr="00E710AB" w:rsidRDefault="00141792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Currently, the branded generic policy is unavailable on the website. This will result in members seeing inaccurate pricing for prescriptions with DAW 5 attached when placing an order or running a test claim. </w:t>
            </w:r>
          </w:p>
        </w:tc>
      </w:tr>
      <w:tr w:rsidR="00141792" w:rsidRPr="00E710AB" w14:paraId="652268F8" w14:textId="77777777" w:rsidTr="002C6756">
        <w:trPr>
          <w:trHeight w:val="387"/>
        </w:trPr>
        <w:tc>
          <w:tcPr>
            <w:tcW w:w="4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ADBB8FB" w14:textId="77777777" w:rsidR="00141792" w:rsidRPr="00E6185E" w:rsidRDefault="00141792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Will I be notified if my medication is switched to a generic instead of the brand medication? </w:t>
            </w:r>
          </w:p>
        </w:tc>
        <w:tc>
          <w:tcPr>
            <w:tcW w:w="18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A54753D" w14:textId="77777777" w:rsidR="00141792" w:rsidRPr="00175786" w:rsidRDefault="00141792" w:rsidP="00C969F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No, if your physician has indicated that a substitution is allowed on the prescription, the generic medication can be sent automatically if available. </w:t>
            </w:r>
          </w:p>
        </w:tc>
      </w:tr>
    </w:tbl>
    <w:p w14:paraId="397BA8EA" w14:textId="77777777" w:rsidR="00141792" w:rsidRDefault="00141792" w:rsidP="00C969F3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D647A" w:rsidRPr="0064267B" w14:paraId="659640B4" w14:textId="77777777" w:rsidTr="00E111FC">
        <w:tc>
          <w:tcPr>
            <w:tcW w:w="5000" w:type="pct"/>
            <w:shd w:val="clear" w:color="auto" w:fill="BFBFBF" w:themeFill="background1" w:themeFillShade="BF"/>
          </w:tcPr>
          <w:p w14:paraId="242975BB" w14:textId="18741D52" w:rsidR="00ED647A" w:rsidRPr="00F13F27" w:rsidRDefault="00ED647A" w:rsidP="00C969F3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5" w:name="_Toc195687295"/>
            <w:bookmarkStart w:id="36" w:name="_Toc195694955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35"/>
            <w:bookmarkEnd w:id="36"/>
          </w:p>
        </w:tc>
      </w:tr>
    </w:tbl>
    <w:p w14:paraId="503D14F4" w14:textId="2784CAFC" w:rsidR="0065251A" w:rsidRPr="00A33F82" w:rsidRDefault="00000000" w:rsidP="00C969F3">
      <w:pPr>
        <w:spacing w:before="120" w:after="120"/>
        <w:rPr>
          <w:rStyle w:val="Hyperlink"/>
          <w:rFonts w:ascii="Verdana" w:hAnsi="Verdana"/>
          <w:color w:val="000000"/>
          <w:u w:val="none"/>
        </w:rPr>
      </w:pPr>
      <w:hyperlink r:id="rId32" w:anchor="!/view?docid=c1f1028b-e42c-4b4f-a4cf-cc0b42c91606" w:history="1">
        <w:r w:rsidR="0054783C">
          <w:rPr>
            <w:rStyle w:val="Hyperlink"/>
            <w:rFonts w:ascii="Verdana" w:hAnsi="Verdana" w:cs="Helvetica"/>
            <w:shd w:val="clear" w:color="auto" w:fill="FFFFFF"/>
          </w:rPr>
          <w:t>Customer Care Abbreviations, Definitions, and Te</w:t>
        </w:r>
        <w:r w:rsidR="0054783C">
          <w:rPr>
            <w:rStyle w:val="Hyperlink"/>
            <w:rFonts w:ascii="Verdana" w:hAnsi="Verdana" w:cs="Helvetica"/>
            <w:shd w:val="clear" w:color="auto" w:fill="FFFFFF"/>
          </w:rPr>
          <w:t>r</w:t>
        </w:r>
        <w:r w:rsidR="0054783C">
          <w:rPr>
            <w:rStyle w:val="Hyperlink"/>
            <w:rFonts w:ascii="Verdana" w:hAnsi="Verdana" w:cs="Helvetica"/>
            <w:shd w:val="clear" w:color="auto" w:fill="FFFFFF"/>
          </w:rPr>
          <w:t>ms Index (017428)</w:t>
        </w:r>
      </w:hyperlink>
      <w:r w:rsidR="00C307C6" w:rsidRPr="00A33F82">
        <w:rPr>
          <w:rStyle w:val="Hyperlink"/>
          <w:rFonts w:ascii="Verdana" w:hAnsi="Verdana"/>
          <w:color w:val="000000"/>
          <w:u w:val="none"/>
        </w:rPr>
        <w:t xml:space="preserve"> </w:t>
      </w:r>
    </w:p>
    <w:p w14:paraId="20404989" w14:textId="12DEB531" w:rsidR="008248EF" w:rsidRPr="00B038DD" w:rsidRDefault="00000000" w:rsidP="00C969F3">
      <w:pPr>
        <w:spacing w:before="120" w:after="120"/>
        <w:rPr>
          <w:rFonts w:ascii="Verdana" w:hAnsi="Verdana"/>
        </w:rPr>
      </w:pPr>
      <w:hyperlink r:id="rId33" w:anchor="!/view?docid=4c9d2243-5841-45c0-b2ec-805023c6cbcf" w:history="1">
        <w:r w:rsidR="008C498C">
          <w:rPr>
            <w:rStyle w:val="Hyperlink"/>
            <w:rFonts w:ascii="Verdana" w:hAnsi="Verdana"/>
          </w:rPr>
          <w:t>DAW (Dispense as Written) and RBP (Reference Based Pricing) Cost D</w:t>
        </w:r>
        <w:r w:rsidR="008C498C">
          <w:rPr>
            <w:rStyle w:val="Hyperlink"/>
            <w:rFonts w:ascii="Verdana" w:hAnsi="Verdana"/>
          </w:rPr>
          <w:t>i</w:t>
        </w:r>
        <w:r w:rsidR="008C498C">
          <w:rPr>
            <w:rStyle w:val="Hyperlink"/>
            <w:rFonts w:ascii="Verdana" w:hAnsi="Verdana"/>
          </w:rPr>
          <w:t>fference (078542)</w:t>
        </w:r>
      </w:hyperlink>
      <w:r w:rsidR="008248EF" w:rsidRPr="00B038DD">
        <w:rPr>
          <w:rFonts w:ascii="Verdana" w:hAnsi="Verdana"/>
        </w:rPr>
        <w:t xml:space="preserve"> </w:t>
      </w:r>
      <w:r w:rsidR="00F201FB">
        <w:rPr>
          <w:rFonts w:ascii="Verdana" w:hAnsi="Verdana"/>
        </w:rPr>
        <w:t xml:space="preserve"> </w:t>
      </w:r>
    </w:p>
    <w:p w14:paraId="5EC30CB0" w14:textId="779FE73E" w:rsidR="008248EF" w:rsidRPr="008248EF" w:rsidRDefault="00000000" w:rsidP="00C969F3">
      <w:pPr>
        <w:spacing w:before="120" w:after="120"/>
        <w:rPr>
          <w:rStyle w:val="Hyperlink"/>
          <w:rFonts w:ascii="Verdana" w:hAnsi="Verdana"/>
          <w:color w:val="000000"/>
          <w:u w:val="none"/>
        </w:rPr>
      </w:pPr>
      <w:hyperlink r:id="rId34" w:anchor="!/view?docid=7e5c2587-d679-4b42-b9b1-e98b754c6bff">
        <w:r w:rsidR="00460559">
          <w:rPr>
            <w:rStyle w:val="Hyperlink"/>
            <w:rFonts w:ascii="Verdana" w:hAnsi="Verdana"/>
          </w:rPr>
          <w:t>Dispense as Writte</w:t>
        </w:r>
        <w:r w:rsidR="00460559">
          <w:rPr>
            <w:rStyle w:val="Hyperlink"/>
            <w:rFonts w:ascii="Verdana" w:hAnsi="Verdana"/>
          </w:rPr>
          <w:t>n</w:t>
        </w:r>
        <w:r w:rsidR="00460559">
          <w:rPr>
            <w:rStyle w:val="Hyperlink"/>
            <w:rFonts w:ascii="Verdana" w:hAnsi="Verdana"/>
          </w:rPr>
          <w:t xml:space="preserve"> (DAW) Codes (040459)</w:t>
        </w:r>
      </w:hyperlink>
      <w:r w:rsidR="581B80BE" w:rsidRPr="125FEAC6">
        <w:rPr>
          <w:rFonts w:ascii="Verdana" w:hAnsi="Verdana"/>
        </w:rPr>
        <w:t xml:space="preserve"> </w:t>
      </w:r>
      <w:r w:rsidR="5F4515FE" w:rsidRPr="125FEAC6">
        <w:rPr>
          <w:rFonts w:ascii="Verdana" w:hAnsi="Verdana"/>
        </w:rPr>
        <w:t xml:space="preserve"> </w:t>
      </w:r>
    </w:p>
    <w:p w14:paraId="21223401" w14:textId="13E35A8E" w:rsidR="125FEAC6" w:rsidRDefault="00000000" w:rsidP="00C969F3">
      <w:pPr>
        <w:spacing w:before="120" w:after="120"/>
        <w:rPr>
          <w:rFonts w:ascii="Verdana" w:hAnsi="Verdana"/>
        </w:rPr>
      </w:pPr>
      <w:hyperlink r:id="rId35" w:anchor="!/view?docid=ddabad50-490b-4a3c-86a7-6dc8502ebaed" w:history="1">
        <w:r w:rsidR="00AA19D2" w:rsidRPr="00C143AF">
          <w:rPr>
            <w:rStyle w:val="Hyperlink"/>
            <w:rFonts w:ascii="Verdana" w:hAnsi="Verdana" w:cs="Helvetica"/>
            <w:shd w:val="clear" w:color="auto" w:fill="FFFFFF"/>
          </w:rPr>
          <w:t>DAW</w:t>
        </w:r>
        <w:r w:rsidR="00CF2CFB">
          <w:rPr>
            <w:rStyle w:val="Hyperlink"/>
            <w:rFonts w:ascii="Verdana" w:hAnsi="Verdana" w:cs="Helvetica"/>
            <w:shd w:val="clear" w:color="auto" w:fill="FFFFFF"/>
          </w:rPr>
          <w:t xml:space="preserve"> </w:t>
        </w:r>
        <w:r w:rsidR="00AA19D2" w:rsidRPr="00C143AF">
          <w:rPr>
            <w:rStyle w:val="Hyperlink"/>
            <w:rFonts w:ascii="Verdana" w:hAnsi="Verdana" w:cs="Helvetica"/>
            <w:shd w:val="clear" w:color="auto" w:fill="FFFFFF"/>
          </w:rPr>
          <w:t>5 NDC List (</w:t>
        </w:r>
        <w:r w:rsidR="00AA19D2" w:rsidRPr="00C143AF">
          <w:rPr>
            <w:rStyle w:val="Hyperlink"/>
            <w:rFonts w:ascii="Verdana" w:hAnsi="Verdana"/>
            <w:noProof/>
          </w:rPr>
          <w:t>Brand as G</w:t>
        </w:r>
        <w:r w:rsidR="00AA19D2" w:rsidRPr="00C143AF">
          <w:rPr>
            <w:rStyle w:val="Hyperlink"/>
            <w:rFonts w:ascii="Verdana" w:hAnsi="Verdana"/>
            <w:noProof/>
          </w:rPr>
          <w:t>e</w:t>
        </w:r>
        <w:r w:rsidR="00AA19D2" w:rsidRPr="00C143AF">
          <w:rPr>
            <w:rStyle w:val="Hyperlink"/>
            <w:rFonts w:ascii="Verdana" w:hAnsi="Verdana"/>
            <w:noProof/>
          </w:rPr>
          <w:t>n</w:t>
        </w:r>
        <w:r w:rsidR="00AA19D2" w:rsidRPr="00C143AF">
          <w:rPr>
            <w:rStyle w:val="Hyperlink"/>
            <w:rFonts w:ascii="Verdana" w:hAnsi="Verdana"/>
            <w:noProof/>
          </w:rPr>
          <w:t>e</w:t>
        </w:r>
        <w:r w:rsidR="00AA19D2" w:rsidRPr="00C143AF">
          <w:rPr>
            <w:rStyle w:val="Hyperlink"/>
            <w:rFonts w:ascii="Verdana" w:hAnsi="Verdana"/>
            <w:noProof/>
          </w:rPr>
          <w:t xml:space="preserve">ric List) </w:t>
        </w:r>
        <w:r w:rsidR="00FE4368">
          <w:rPr>
            <w:rStyle w:val="Hyperlink"/>
            <w:rFonts w:ascii="Verdana" w:hAnsi="Verdana"/>
            <w:noProof/>
          </w:rPr>
          <w:t>(</w:t>
        </w:r>
        <w:r w:rsidR="00AA19D2" w:rsidRPr="00C143AF">
          <w:rPr>
            <w:rStyle w:val="Hyperlink"/>
            <w:rFonts w:ascii="Verdana" w:hAnsi="Verdana"/>
            <w:noProof/>
          </w:rPr>
          <w:t>018804)</w:t>
        </w:r>
      </w:hyperlink>
    </w:p>
    <w:p w14:paraId="0E50197A" w14:textId="06DCE2CB" w:rsidR="00ED647A" w:rsidRPr="00DB338D" w:rsidRDefault="0065251A" w:rsidP="00C969F3">
      <w:pPr>
        <w:spacing w:before="120" w:after="120"/>
        <w:rPr>
          <w:rFonts w:ascii="Verdana" w:hAnsi="Verdana"/>
        </w:rPr>
      </w:pPr>
      <w:r w:rsidRPr="0065251A">
        <w:rPr>
          <w:rFonts w:ascii="Verdana" w:hAnsi="Verdana"/>
          <w:b/>
        </w:rPr>
        <w:t>Parent Documents:</w:t>
      </w:r>
      <w:r w:rsidR="006C0E2E">
        <w:rPr>
          <w:rFonts w:ascii="Verdana" w:hAnsi="Verdana"/>
          <w:b/>
        </w:rPr>
        <w:t xml:space="preserve"> </w:t>
      </w:r>
      <w:hyperlink r:id="rId36" w:tgtFrame="_blank" w:history="1">
        <w:r w:rsidR="00ED647A" w:rsidRPr="00DB338D">
          <w:rPr>
            <w:rStyle w:val="Hyperlink"/>
            <w:rFonts w:ascii="Verdana" w:hAnsi="Verdana"/>
          </w:rPr>
          <w:t xml:space="preserve">Customer Care Internal and External </w:t>
        </w:r>
        <w:r w:rsidR="00ED647A" w:rsidRPr="00DB338D">
          <w:rPr>
            <w:rStyle w:val="Hyperlink"/>
            <w:rFonts w:ascii="Verdana" w:hAnsi="Verdana"/>
          </w:rPr>
          <w:t>C</w:t>
        </w:r>
        <w:r w:rsidR="00ED647A" w:rsidRPr="00DB338D">
          <w:rPr>
            <w:rStyle w:val="Hyperlink"/>
            <w:rFonts w:ascii="Verdana" w:hAnsi="Verdana"/>
          </w:rPr>
          <w:t>all Handling (CALL</w:t>
        </w:r>
        <w:r w:rsidR="00ED647A">
          <w:rPr>
            <w:rStyle w:val="Hyperlink"/>
            <w:rFonts w:ascii="Verdana" w:hAnsi="Verdana"/>
          </w:rPr>
          <w:t>-</w:t>
        </w:r>
        <w:r w:rsidR="00ED647A" w:rsidRPr="00DB338D">
          <w:rPr>
            <w:rStyle w:val="Hyperlink"/>
            <w:rFonts w:ascii="Verdana" w:hAnsi="Verdana"/>
          </w:rPr>
          <w:t>0049)</w:t>
        </w:r>
      </w:hyperlink>
    </w:p>
    <w:p w14:paraId="5C962E40" w14:textId="664C5D98" w:rsidR="00ED647A" w:rsidRPr="00222FA9" w:rsidRDefault="00000000" w:rsidP="00C969F3">
      <w:pPr>
        <w:spacing w:before="120" w:after="120"/>
        <w:jc w:val="right"/>
        <w:rPr>
          <w:rFonts w:ascii="Verdana" w:hAnsi="Verdana"/>
        </w:rPr>
      </w:pPr>
      <w:hyperlink w:anchor="_top" w:history="1">
        <w:r w:rsidR="00222FA9" w:rsidRPr="00222FA9">
          <w:rPr>
            <w:rStyle w:val="Hyperlink"/>
            <w:rFonts w:ascii="Verdana" w:hAnsi="Verdana"/>
          </w:rPr>
          <w:t xml:space="preserve">Top </w:t>
        </w:r>
        <w:r w:rsidR="00222FA9" w:rsidRPr="00222FA9">
          <w:rPr>
            <w:rStyle w:val="Hyperlink"/>
            <w:rFonts w:ascii="Verdana" w:hAnsi="Verdana"/>
          </w:rPr>
          <w:t>o</w:t>
        </w:r>
        <w:r w:rsidR="00222FA9" w:rsidRPr="00222FA9">
          <w:rPr>
            <w:rStyle w:val="Hyperlink"/>
            <w:rFonts w:ascii="Verdana" w:hAnsi="Verdana"/>
          </w:rPr>
          <w:t>f th</w:t>
        </w:r>
        <w:r w:rsidR="00222FA9" w:rsidRPr="00222FA9">
          <w:rPr>
            <w:rStyle w:val="Hyperlink"/>
            <w:rFonts w:ascii="Verdana" w:hAnsi="Verdana"/>
          </w:rPr>
          <w:t>e</w:t>
        </w:r>
        <w:r w:rsidR="00222FA9" w:rsidRPr="00222FA9">
          <w:rPr>
            <w:rStyle w:val="Hyperlink"/>
            <w:rFonts w:ascii="Verdana" w:hAnsi="Verdana"/>
          </w:rPr>
          <w:t xml:space="preserve"> Document</w:t>
        </w:r>
      </w:hyperlink>
    </w:p>
    <w:p w14:paraId="08793A0D" w14:textId="77777777" w:rsidR="00ED647A" w:rsidRDefault="00ED647A" w:rsidP="00C969F3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2DB4AE4F" w14:textId="77777777" w:rsidR="00ED647A" w:rsidRPr="00C247CB" w:rsidRDefault="00ED647A" w:rsidP="00C969F3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78FDF46" w14:textId="77777777" w:rsidR="00ED647A" w:rsidRPr="00C247CB" w:rsidRDefault="00ED647A" w:rsidP="00C969F3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5753A5A" w14:textId="77777777" w:rsidR="00ED647A" w:rsidRPr="00C247CB" w:rsidRDefault="00ED647A" w:rsidP="00C969F3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6D4C51D4" w14:textId="77777777" w:rsidR="00ED647A" w:rsidRPr="00C247CB" w:rsidRDefault="00ED647A" w:rsidP="00C969F3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23EC28A1" w14:textId="77777777" w:rsidR="00ED647A" w:rsidRPr="00C247CB" w:rsidRDefault="00ED647A" w:rsidP="00C969F3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35DF70A5" w14:textId="77777777" w:rsidR="005A64DA" w:rsidRPr="00C247CB" w:rsidRDefault="005A64DA" w:rsidP="00E658F8">
      <w:pPr>
        <w:spacing w:before="120" w:after="120"/>
        <w:jc w:val="right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37"/>
      <w:footerReference w:type="default" r:id="rId38"/>
      <w:headerReference w:type="first" r:id="rId39"/>
      <w:footerReference w:type="firs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4093" w14:textId="77777777" w:rsidR="00624C3D" w:rsidRDefault="00624C3D">
      <w:r>
        <w:separator/>
      </w:r>
    </w:p>
  </w:endnote>
  <w:endnote w:type="continuationSeparator" w:id="0">
    <w:p w14:paraId="02D27068" w14:textId="77777777" w:rsidR="00624C3D" w:rsidRDefault="0062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8507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0D53EF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FB29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5111">
      <w:rPr>
        <w:rStyle w:val="PageNumber"/>
        <w:noProof/>
      </w:rPr>
      <w:t>8</w:t>
    </w:r>
    <w:r>
      <w:rPr>
        <w:rStyle w:val="PageNumber"/>
      </w:rPr>
      <w:fldChar w:fldCharType="end"/>
    </w:r>
  </w:p>
  <w:p w14:paraId="750D3DC4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24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EAD3" w14:textId="77777777" w:rsidR="00624C3D" w:rsidRDefault="00624C3D">
      <w:r>
        <w:separator/>
      </w:r>
    </w:p>
  </w:footnote>
  <w:footnote w:type="continuationSeparator" w:id="0">
    <w:p w14:paraId="04943825" w14:textId="77777777" w:rsidR="00624C3D" w:rsidRDefault="00624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C61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5" type="#_x0000_t75" style="width:18.75pt;height:17.25pt" o:bullet="t">
        <v:imagedata r:id="rId1" o:title="Conversation Icon"/>
      </v:shape>
    </w:pict>
  </w:numPicBullet>
  <w:numPicBullet w:numPicBulletId="1">
    <w:pict>
      <v:shape id="_x0000_i1326" type="#_x0000_t75" style="width:18.75pt;height:17.25pt" o:bullet="t">
        <v:imagedata r:id="rId2" o:title="Icon - Important Information"/>
      </v:shape>
    </w:pict>
  </w:numPicBullet>
  <w:abstractNum w:abstractNumId="0" w15:restartNumberingAfterBreak="0">
    <w:nsid w:val="02E12D97"/>
    <w:multiLevelType w:val="hybridMultilevel"/>
    <w:tmpl w:val="6E8A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0F94"/>
    <w:multiLevelType w:val="multilevel"/>
    <w:tmpl w:val="7916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92F40"/>
    <w:multiLevelType w:val="hybridMultilevel"/>
    <w:tmpl w:val="99E8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7C97"/>
    <w:multiLevelType w:val="hybridMultilevel"/>
    <w:tmpl w:val="4E847D5E"/>
    <w:lvl w:ilvl="0" w:tplc="66DC81E2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D8520B"/>
    <w:multiLevelType w:val="hybridMultilevel"/>
    <w:tmpl w:val="9F921F1E"/>
    <w:lvl w:ilvl="0" w:tplc="AC641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E8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ED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E3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A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A8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AD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E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A0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A7E4A"/>
    <w:multiLevelType w:val="hybridMultilevel"/>
    <w:tmpl w:val="2A48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3691C"/>
    <w:multiLevelType w:val="hybridMultilevel"/>
    <w:tmpl w:val="377CE8C8"/>
    <w:lvl w:ilvl="0" w:tplc="CB7CF33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6613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7460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085A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D63D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0C10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A84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F601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BC27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41611"/>
    <w:multiLevelType w:val="hybridMultilevel"/>
    <w:tmpl w:val="7FAEC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E75216"/>
    <w:multiLevelType w:val="hybridMultilevel"/>
    <w:tmpl w:val="BA8E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20482"/>
    <w:multiLevelType w:val="hybridMultilevel"/>
    <w:tmpl w:val="20E2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B5B49"/>
    <w:multiLevelType w:val="hybridMultilevel"/>
    <w:tmpl w:val="ECC4D0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631CB"/>
    <w:multiLevelType w:val="hybridMultilevel"/>
    <w:tmpl w:val="E2DA6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B0F31"/>
    <w:multiLevelType w:val="hybridMultilevel"/>
    <w:tmpl w:val="E9C008A4"/>
    <w:lvl w:ilvl="0" w:tplc="B95A45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045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BEE9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5E3C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366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1EF2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A82B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A2A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14A0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3B67C18"/>
    <w:multiLevelType w:val="multilevel"/>
    <w:tmpl w:val="F8F0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FB0975"/>
    <w:multiLevelType w:val="multilevel"/>
    <w:tmpl w:val="7916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00B8F"/>
    <w:multiLevelType w:val="hybridMultilevel"/>
    <w:tmpl w:val="9A6E0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A968E5"/>
    <w:multiLevelType w:val="hybridMultilevel"/>
    <w:tmpl w:val="C9043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0F724D"/>
    <w:multiLevelType w:val="hybridMultilevel"/>
    <w:tmpl w:val="64E2D0F6"/>
    <w:lvl w:ilvl="0" w:tplc="0F686A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94EE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38EE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602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F48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A64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465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628D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9CD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FED3AE8"/>
    <w:multiLevelType w:val="multilevel"/>
    <w:tmpl w:val="7916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225D3B"/>
    <w:multiLevelType w:val="hybridMultilevel"/>
    <w:tmpl w:val="BB4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56329"/>
    <w:multiLevelType w:val="hybridMultilevel"/>
    <w:tmpl w:val="CA80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25CE0"/>
    <w:multiLevelType w:val="hybridMultilevel"/>
    <w:tmpl w:val="22B8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5" w15:restartNumberingAfterBreak="0">
    <w:nsid w:val="68B41AAC"/>
    <w:multiLevelType w:val="hybridMultilevel"/>
    <w:tmpl w:val="6E121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5062E4"/>
    <w:multiLevelType w:val="hybridMultilevel"/>
    <w:tmpl w:val="2FF4FE0C"/>
    <w:lvl w:ilvl="0" w:tplc="AA749A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C291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52AF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4CCB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84C7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8441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824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B019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A26A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1BD2775"/>
    <w:multiLevelType w:val="multilevel"/>
    <w:tmpl w:val="CE3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087765"/>
    <w:multiLevelType w:val="hybridMultilevel"/>
    <w:tmpl w:val="3ED2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95BE3"/>
    <w:multiLevelType w:val="hybridMultilevel"/>
    <w:tmpl w:val="CB00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22760"/>
    <w:multiLevelType w:val="hybridMultilevel"/>
    <w:tmpl w:val="7CB800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65315">
    <w:abstractNumId w:val="7"/>
  </w:num>
  <w:num w:numId="2" w16cid:durableId="1210843426">
    <w:abstractNumId w:val="12"/>
  </w:num>
  <w:num w:numId="3" w16cid:durableId="493111302">
    <w:abstractNumId w:val="24"/>
  </w:num>
  <w:num w:numId="4" w16cid:durableId="1795980769">
    <w:abstractNumId w:val="18"/>
  </w:num>
  <w:num w:numId="5" w16cid:durableId="343364731">
    <w:abstractNumId w:val="3"/>
  </w:num>
  <w:num w:numId="6" w16cid:durableId="1733194188">
    <w:abstractNumId w:val="10"/>
  </w:num>
  <w:num w:numId="7" w16cid:durableId="1103304585">
    <w:abstractNumId w:val="11"/>
  </w:num>
  <w:num w:numId="8" w16cid:durableId="1212376422">
    <w:abstractNumId w:val="25"/>
  </w:num>
  <w:num w:numId="9" w16cid:durableId="176046576">
    <w:abstractNumId w:val="19"/>
  </w:num>
  <w:num w:numId="10" w16cid:durableId="1164735855">
    <w:abstractNumId w:val="8"/>
  </w:num>
  <w:num w:numId="11" w16cid:durableId="953440401">
    <w:abstractNumId w:val="13"/>
  </w:num>
  <w:num w:numId="12" w16cid:durableId="516193397">
    <w:abstractNumId w:val="14"/>
  </w:num>
  <w:num w:numId="13" w16cid:durableId="306711150">
    <w:abstractNumId w:val="17"/>
  </w:num>
  <w:num w:numId="14" w16cid:durableId="1175849343">
    <w:abstractNumId w:val="0"/>
  </w:num>
  <w:num w:numId="15" w16cid:durableId="2032755454">
    <w:abstractNumId w:val="2"/>
  </w:num>
  <w:num w:numId="16" w16cid:durableId="1728646379">
    <w:abstractNumId w:val="30"/>
  </w:num>
  <w:num w:numId="17" w16cid:durableId="376659095">
    <w:abstractNumId w:val="9"/>
  </w:num>
  <w:num w:numId="18" w16cid:durableId="926112117">
    <w:abstractNumId w:val="26"/>
  </w:num>
  <w:num w:numId="19" w16cid:durableId="1267541680">
    <w:abstractNumId w:val="2"/>
  </w:num>
  <w:num w:numId="20" w16cid:durableId="1639065218">
    <w:abstractNumId w:val="6"/>
  </w:num>
  <w:num w:numId="21" w16cid:durableId="1435635354">
    <w:abstractNumId w:val="6"/>
  </w:num>
  <w:num w:numId="22" w16cid:durableId="1222866708">
    <w:abstractNumId w:val="23"/>
  </w:num>
  <w:num w:numId="23" w16cid:durableId="488593083">
    <w:abstractNumId w:val="20"/>
  </w:num>
  <w:num w:numId="24" w16cid:durableId="1380014225">
    <w:abstractNumId w:val="20"/>
  </w:num>
  <w:num w:numId="25" w16cid:durableId="1641112809">
    <w:abstractNumId w:val="20"/>
  </w:num>
  <w:num w:numId="26" w16cid:durableId="624117870">
    <w:abstractNumId w:val="15"/>
  </w:num>
  <w:num w:numId="27" w16cid:durableId="1274703219">
    <w:abstractNumId w:val="15"/>
  </w:num>
  <w:num w:numId="28" w16cid:durableId="640618064">
    <w:abstractNumId w:val="16"/>
  </w:num>
  <w:num w:numId="29" w16cid:durableId="1971860095">
    <w:abstractNumId w:val="1"/>
  </w:num>
  <w:num w:numId="30" w16cid:durableId="1205100339">
    <w:abstractNumId w:val="29"/>
  </w:num>
  <w:num w:numId="31" w16cid:durableId="792526963">
    <w:abstractNumId w:val="22"/>
  </w:num>
  <w:num w:numId="32" w16cid:durableId="1890605215">
    <w:abstractNumId w:val="2"/>
  </w:num>
  <w:num w:numId="33" w16cid:durableId="827867690">
    <w:abstractNumId w:val="30"/>
  </w:num>
  <w:num w:numId="34" w16cid:durableId="1785685244">
    <w:abstractNumId w:val="28"/>
  </w:num>
  <w:num w:numId="35" w16cid:durableId="1687244656">
    <w:abstractNumId w:val="27"/>
  </w:num>
  <w:num w:numId="36" w16cid:durableId="279267433">
    <w:abstractNumId w:val="21"/>
  </w:num>
  <w:num w:numId="37" w16cid:durableId="1380085077">
    <w:abstractNumId w:val="5"/>
  </w:num>
  <w:num w:numId="38" w16cid:durableId="1037579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21A"/>
    <w:rsid w:val="0000659A"/>
    <w:rsid w:val="00007A55"/>
    <w:rsid w:val="00015A2E"/>
    <w:rsid w:val="00015AB9"/>
    <w:rsid w:val="00015C27"/>
    <w:rsid w:val="00017ECE"/>
    <w:rsid w:val="000222D4"/>
    <w:rsid w:val="00035BED"/>
    <w:rsid w:val="00036DC2"/>
    <w:rsid w:val="00053714"/>
    <w:rsid w:val="00057FE5"/>
    <w:rsid w:val="00061AD2"/>
    <w:rsid w:val="00065BA5"/>
    <w:rsid w:val="0006778F"/>
    <w:rsid w:val="00085F50"/>
    <w:rsid w:val="0008665F"/>
    <w:rsid w:val="00095AB5"/>
    <w:rsid w:val="0009670D"/>
    <w:rsid w:val="000A09F8"/>
    <w:rsid w:val="000A6B88"/>
    <w:rsid w:val="000B3C4C"/>
    <w:rsid w:val="000B5BA3"/>
    <w:rsid w:val="000B656F"/>
    <w:rsid w:val="000B72DF"/>
    <w:rsid w:val="000C1040"/>
    <w:rsid w:val="000D1870"/>
    <w:rsid w:val="000D2BF0"/>
    <w:rsid w:val="000D6714"/>
    <w:rsid w:val="000E7960"/>
    <w:rsid w:val="000F0D1B"/>
    <w:rsid w:val="000F2095"/>
    <w:rsid w:val="000F4459"/>
    <w:rsid w:val="000F7BDC"/>
    <w:rsid w:val="00103373"/>
    <w:rsid w:val="00105CD3"/>
    <w:rsid w:val="001125CD"/>
    <w:rsid w:val="00115944"/>
    <w:rsid w:val="001159E9"/>
    <w:rsid w:val="00120D3F"/>
    <w:rsid w:val="0012373E"/>
    <w:rsid w:val="00131CA5"/>
    <w:rsid w:val="001343FD"/>
    <w:rsid w:val="001360A5"/>
    <w:rsid w:val="00141792"/>
    <w:rsid w:val="00142F33"/>
    <w:rsid w:val="0014389B"/>
    <w:rsid w:val="001460C6"/>
    <w:rsid w:val="00154BD0"/>
    <w:rsid w:val="00154E18"/>
    <w:rsid w:val="001560C4"/>
    <w:rsid w:val="0016273A"/>
    <w:rsid w:val="0016479B"/>
    <w:rsid w:val="00171AED"/>
    <w:rsid w:val="00176400"/>
    <w:rsid w:val="00183B72"/>
    <w:rsid w:val="00190E4A"/>
    <w:rsid w:val="00195B04"/>
    <w:rsid w:val="001A51FC"/>
    <w:rsid w:val="001B205C"/>
    <w:rsid w:val="001B3879"/>
    <w:rsid w:val="001B3C3E"/>
    <w:rsid w:val="001C00D2"/>
    <w:rsid w:val="001C4199"/>
    <w:rsid w:val="001D1F68"/>
    <w:rsid w:val="001D5F78"/>
    <w:rsid w:val="001D79ED"/>
    <w:rsid w:val="001E166B"/>
    <w:rsid w:val="001E197F"/>
    <w:rsid w:val="001E3BFA"/>
    <w:rsid w:val="001F1218"/>
    <w:rsid w:val="001F43F0"/>
    <w:rsid w:val="002006E9"/>
    <w:rsid w:val="002016B4"/>
    <w:rsid w:val="002055CF"/>
    <w:rsid w:val="00206B06"/>
    <w:rsid w:val="00212D4D"/>
    <w:rsid w:val="00214658"/>
    <w:rsid w:val="00215E74"/>
    <w:rsid w:val="00222FA9"/>
    <w:rsid w:val="002325C2"/>
    <w:rsid w:val="00236ADF"/>
    <w:rsid w:val="002370C6"/>
    <w:rsid w:val="00237DA1"/>
    <w:rsid w:val="00240D1D"/>
    <w:rsid w:val="00243EBB"/>
    <w:rsid w:val="00245D49"/>
    <w:rsid w:val="002519D7"/>
    <w:rsid w:val="00253441"/>
    <w:rsid w:val="00255C6B"/>
    <w:rsid w:val="00256AE2"/>
    <w:rsid w:val="00264CF1"/>
    <w:rsid w:val="00265D86"/>
    <w:rsid w:val="00271C32"/>
    <w:rsid w:val="0027427B"/>
    <w:rsid w:val="002745AA"/>
    <w:rsid w:val="00274E13"/>
    <w:rsid w:val="00277090"/>
    <w:rsid w:val="00280D8A"/>
    <w:rsid w:val="00280EFF"/>
    <w:rsid w:val="00280F1F"/>
    <w:rsid w:val="0028215B"/>
    <w:rsid w:val="00291CE8"/>
    <w:rsid w:val="002954DD"/>
    <w:rsid w:val="00296127"/>
    <w:rsid w:val="00296765"/>
    <w:rsid w:val="00297055"/>
    <w:rsid w:val="002A0795"/>
    <w:rsid w:val="002B593E"/>
    <w:rsid w:val="002C6756"/>
    <w:rsid w:val="002C78D9"/>
    <w:rsid w:val="002D126F"/>
    <w:rsid w:val="002D3057"/>
    <w:rsid w:val="002D30DF"/>
    <w:rsid w:val="002D3E95"/>
    <w:rsid w:val="002E58AD"/>
    <w:rsid w:val="002F0E88"/>
    <w:rsid w:val="002F1F92"/>
    <w:rsid w:val="00301DF5"/>
    <w:rsid w:val="00303EBC"/>
    <w:rsid w:val="00307B6E"/>
    <w:rsid w:val="00312518"/>
    <w:rsid w:val="00312690"/>
    <w:rsid w:val="00313B19"/>
    <w:rsid w:val="00325001"/>
    <w:rsid w:val="00325A95"/>
    <w:rsid w:val="00326C69"/>
    <w:rsid w:val="0033143E"/>
    <w:rsid w:val="00333019"/>
    <w:rsid w:val="00360E17"/>
    <w:rsid w:val="00361851"/>
    <w:rsid w:val="00365DE1"/>
    <w:rsid w:val="003725A1"/>
    <w:rsid w:val="00380BF1"/>
    <w:rsid w:val="0038169B"/>
    <w:rsid w:val="00384851"/>
    <w:rsid w:val="003868A2"/>
    <w:rsid w:val="00392A5B"/>
    <w:rsid w:val="0039406F"/>
    <w:rsid w:val="003956FE"/>
    <w:rsid w:val="00397B4E"/>
    <w:rsid w:val="003A150A"/>
    <w:rsid w:val="003A48E1"/>
    <w:rsid w:val="003A54E8"/>
    <w:rsid w:val="003A6D70"/>
    <w:rsid w:val="003B1F86"/>
    <w:rsid w:val="003B446C"/>
    <w:rsid w:val="003C4627"/>
    <w:rsid w:val="003C5DC0"/>
    <w:rsid w:val="003D57E9"/>
    <w:rsid w:val="003E23D9"/>
    <w:rsid w:val="003E6C1A"/>
    <w:rsid w:val="003F3E21"/>
    <w:rsid w:val="00400321"/>
    <w:rsid w:val="00402329"/>
    <w:rsid w:val="0040640A"/>
    <w:rsid w:val="00406DB5"/>
    <w:rsid w:val="0040760E"/>
    <w:rsid w:val="004150AC"/>
    <w:rsid w:val="0042336D"/>
    <w:rsid w:val="00430E7B"/>
    <w:rsid w:val="00441036"/>
    <w:rsid w:val="00443F8C"/>
    <w:rsid w:val="00445E7F"/>
    <w:rsid w:val="00452AF4"/>
    <w:rsid w:val="00457C57"/>
    <w:rsid w:val="00457EAE"/>
    <w:rsid w:val="00460559"/>
    <w:rsid w:val="00460B84"/>
    <w:rsid w:val="00461705"/>
    <w:rsid w:val="004768BE"/>
    <w:rsid w:val="0047780B"/>
    <w:rsid w:val="00477F73"/>
    <w:rsid w:val="00480C44"/>
    <w:rsid w:val="00481A7D"/>
    <w:rsid w:val="004823CA"/>
    <w:rsid w:val="0048355A"/>
    <w:rsid w:val="004913D8"/>
    <w:rsid w:val="004A20AF"/>
    <w:rsid w:val="004A30EB"/>
    <w:rsid w:val="004A6BD7"/>
    <w:rsid w:val="004B2F7F"/>
    <w:rsid w:val="004B6302"/>
    <w:rsid w:val="004C32F4"/>
    <w:rsid w:val="004C6E1D"/>
    <w:rsid w:val="004D1174"/>
    <w:rsid w:val="004D1974"/>
    <w:rsid w:val="004D3C53"/>
    <w:rsid w:val="004F35E8"/>
    <w:rsid w:val="0050306A"/>
    <w:rsid w:val="00512486"/>
    <w:rsid w:val="00521C7A"/>
    <w:rsid w:val="0052465B"/>
    <w:rsid w:val="00524CDD"/>
    <w:rsid w:val="00525BA9"/>
    <w:rsid w:val="00543DDF"/>
    <w:rsid w:val="0054783C"/>
    <w:rsid w:val="00552480"/>
    <w:rsid w:val="00560CA1"/>
    <w:rsid w:val="00562670"/>
    <w:rsid w:val="00582E85"/>
    <w:rsid w:val="00583DCB"/>
    <w:rsid w:val="005847C7"/>
    <w:rsid w:val="005910B5"/>
    <w:rsid w:val="00592B1D"/>
    <w:rsid w:val="0059342D"/>
    <w:rsid w:val="00593C81"/>
    <w:rsid w:val="00593C8B"/>
    <w:rsid w:val="0059425E"/>
    <w:rsid w:val="005973ED"/>
    <w:rsid w:val="005A1533"/>
    <w:rsid w:val="005A6118"/>
    <w:rsid w:val="005A64DA"/>
    <w:rsid w:val="005B08D0"/>
    <w:rsid w:val="005C1D83"/>
    <w:rsid w:val="005C6E18"/>
    <w:rsid w:val="005D728B"/>
    <w:rsid w:val="005D7430"/>
    <w:rsid w:val="005E650E"/>
    <w:rsid w:val="005E78DC"/>
    <w:rsid w:val="005F5BF8"/>
    <w:rsid w:val="00602D0D"/>
    <w:rsid w:val="0061199B"/>
    <w:rsid w:val="00621063"/>
    <w:rsid w:val="00622D77"/>
    <w:rsid w:val="00624C3D"/>
    <w:rsid w:val="00626F66"/>
    <w:rsid w:val="00627F34"/>
    <w:rsid w:val="006315AF"/>
    <w:rsid w:val="00631B83"/>
    <w:rsid w:val="00635788"/>
    <w:rsid w:val="00636B18"/>
    <w:rsid w:val="00637CA1"/>
    <w:rsid w:val="006501C7"/>
    <w:rsid w:val="00651BDF"/>
    <w:rsid w:val="0065251A"/>
    <w:rsid w:val="00657902"/>
    <w:rsid w:val="006644A8"/>
    <w:rsid w:val="00671405"/>
    <w:rsid w:val="00674A16"/>
    <w:rsid w:val="00680F08"/>
    <w:rsid w:val="006820FB"/>
    <w:rsid w:val="0068651B"/>
    <w:rsid w:val="00691E10"/>
    <w:rsid w:val="006955B6"/>
    <w:rsid w:val="006A0481"/>
    <w:rsid w:val="006A7479"/>
    <w:rsid w:val="006B20F2"/>
    <w:rsid w:val="006B7B23"/>
    <w:rsid w:val="006C0E2E"/>
    <w:rsid w:val="006C3D7C"/>
    <w:rsid w:val="006C653F"/>
    <w:rsid w:val="006C7FE0"/>
    <w:rsid w:val="006D0A7B"/>
    <w:rsid w:val="006E0836"/>
    <w:rsid w:val="006F565C"/>
    <w:rsid w:val="006F7DFC"/>
    <w:rsid w:val="00704147"/>
    <w:rsid w:val="00704AF2"/>
    <w:rsid w:val="00705111"/>
    <w:rsid w:val="00710E68"/>
    <w:rsid w:val="00712243"/>
    <w:rsid w:val="00714BA0"/>
    <w:rsid w:val="00716029"/>
    <w:rsid w:val="0071640E"/>
    <w:rsid w:val="00720CC2"/>
    <w:rsid w:val="007269B6"/>
    <w:rsid w:val="00726E7A"/>
    <w:rsid w:val="0073294A"/>
    <w:rsid w:val="00732E52"/>
    <w:rsid w:val="007458A3"/>
    <w:rsid w:val="00750322"/>
    <w:rsid w:val="0075063D"/>
    <w:rsid w:val="00752801"/>
    <w:rsid w:val="00755030"/>
    <w:rsid w:val="00757991"/>
    <w:rsid w:val="00771AC6"/>
    <w:rsid w:val="00772893"/>
    <w:rsid w:val="00780902"/>
    <w:rsid w:val="00783582"/>
    <w:rsid w:val="007850B3"/>
    <w:rsid w:val="00785118"/>
    <w:rsid w:val="00786BEB"/>
    <w:rsid w:val="007A3608"/>
    <w:rsid w:val="007B0587"/>
    <w:rsid w:val="007C560B"/>
    <w:rsid w:val="007C77DD"/>
    <w:rsid w:val="007D27A4"/>
    <w:rsid w:val="007D6AF0"/>
    <w:rsid w:val="007D7D8D"/>
    <w:rsid w:val="007E3EA6"/>
    <w:rsid w:val="007E4056"/>
    <w:rsid w:val="007F5A57"/>
    <w:rsid w:val="00801768"/>
    <w:rsid w:val="00803E35"/>
    <w:rsid w:val="008042E1"/>
    <w:rsid w:val="00804D63"/>
    <w:rsid w:val="00806B9D"/>
    <w:rsid w:val="008107E8"/>
    <w:rsid w:val="00812777"/>
    <w:rsid w:val="00814725"/>
    <w:rsid w:val="00816583"/>
    <w:rsid w:val="00824159"/>
    <w:rsid w:val="008248EF"/>
    <w:rsid w:val="00824FCA"/>
    <w:rsid w:val="00825E93"/>
    <w:rsid w:val="00832EEE"/>
    <w:rsid w:val="0083676C"/>
    <w:rsid w:val="00837AE2"/>
    <w:rsid w:val="00840079"/>
    <w:rsid w:val="008410BA"/>
    <w:rsid w:val="0084129E"/>
    <w:rsid w:val="00842972"/>
    <w:rsid w:val="00843390"/>
    <w:rsid w:val="00846373"/>
    <w:rsid w:val="00847653"/>
    <w:rsid w:val="008479BA"/>
    <w:rsid w:val="00850274"/>
    <w:rsid w:val="00854D43"/>
    <w:rsid w:val="008568AE"/>
    <w:rsid w:val="00860590"/>
    <w:rsid w:val="008614E8"/>
    <w:rsid w:val="00861DB6"/>
    <w:rsid w:val="00863EA9"/>
    <w:rsid w:val="00867EDF"/>
    <w:rsid w:val="00873038"/>
    <w:rsid w:val="00875F0D"/>
    <w:rsid w:val="00877414"/>
    <w:rsid w:val="0088530B"/>
    <w:rsid w:val="00886877"/>
    <w:rsid w:val="008A03B7"/>
    <w:rsid w:val="008A2F83"/>
    <w:rsid w:val="008A3B29"/>
    <w:rsid w:val="008A48F3"/>
    <w:rsid w:val="008A6CE1"/>
    <w:rsid w:val="008C2197"/>
    <w:rsid w:val="008C3493"/>
    <w:rsid w:val="008C498C"/>
    <w:rsid w:val="008C5743"/>
    <w:rsid w:val="008C7F99"/>
    <w:rsid w:val="008D11A6"/>
    <w:rsid w:val="008D11D1"/>
    <w:rsid w:val="008D1E86"/>
    <w:rsid w:val="008D1F7B"/>
    <w:rsid w:val="008D2D64"/>
    <w:rsid w:val="008D7820"/>
    <w:rsid w:val="008E6CD5"/>
    <w:rsid w:val="00902E07"/>
    <w:rsid w:val="00915690"/>
    <w:rsid w:val="0091661F"/>
    <w:rsid w:val="00920CDC"/>
    <w:rsid w:val="00930527"/>
    <w:rsid w:val="0093541A"/>
    <w:rsid w:val="00947783"/>
    <w:rsid w:val="00951C95"/>
    <w:rsid w:val="00954FE8"/>
    <w:rsid w:val="00955777"/>
    <w:rsid w:val="00962541"/>
    <w:rsid w:val="00971909"/>
    <w:rsid w:val="009726E0"/>
    <w:rsid w:val="00974C99"/>
    <w:rsid w:val="00975003"/>
    <w:rsid w:val="00976978"/>
    <w:rsid w:val="00976A8F"/>
    <w:rsid w:val="00990822"/>
    <w:rsid w:val="009A086A"/>
    <w:rsid w:val="009B20EA"/>
    <w:rsid w:val="009C13BF"/>
    <w:rsid w:val="009C4A31"/>
    <w:rsid w:val="009C5059"/>
    <w:rsid w:val="009D27AF"/>
    <w:rsid w:val="009D7D4D"/>
    <w:rsid w:val="009E3CEA"/>
    <w:rsid w:val="009F3139"/>
    <w:rsid w:val="009F4B25"/>
    <w:rsid w:val="009F6FD2"/>
    <w:rsid w:val="009F78D3"/>
    <w:rsid w:val="009F7A35"/>
    <w:rsid w:val="00A140CB"/>
    <w:rsid w:val="00A247F5"/>
    <w:rsid w:val="00A3058B"/>
    <w:rsid w:val="00A31B49"/>
    <w:rsid w:val="00A33F82"/>
    <w:rsid w:val="00A344ED"/>
    <w:rsid w:val="00A45C36"/>
    <w:rsid w:val="00A4732A"/>
    <w:rsid w:val="00A50238"/>
    <w:rsid w:val="00A51A44"/>
    <w:rsid w:val="00A66118"/>
    <w:rsid w:val="00A7166B"/>
    <w:rsid w:val="00A73B27"/>
    <w:rsid w:val="00A7721C"/>
    <w:rsid w:val="00A824BF"/>
    <w:rsid w:val="00A83BA0"/>
    <w:rsid w:val="00A84F18"/>
    <w:rsid w:val="00A85045"/>
    <w:rsid w:val="00A941FB"/>
    <w:rsid w:val="00A95738"/>
    <w:rsid w:val="00A97B7D"/>
    <w:rsid w:val="00AA19D2"/>
    <w:rsid w:val="00AA4825"/>
    <w:rsid w:val="00AB33E1"/>
    <w:rsid w:val="00AB3823"/>
    <w:rsid w:val="00AB72AA"/>
    <w:rsid w:val="00AC0BEF"/>
    <w:rsid w:val="00AC3585"/>
    <w:rsid w:val="00AC3D15"/>
    <w:rsid w:val="00AD1646"/>
    <w:rsid w:val="00AE1249"/>
    <w:rsid w:val="00AF038B"/>
    <w:rsid w:val="00B038DD"/>
    <w:rsid w:val="00B03D56"/>
    <w:rsid w:val="00B11A18"/>
    <w:rsid w:val="00B123AB"/>
    <w:rsid w:val="00B1444E"/>
    <w:rsid w:val="00B15809"/>
    <w:rsid w:val="00B2020B"/>
    <w:rsid w:val="00B20A0D"/>
    <w:rsid w:val="00B26045"/>
    <w:rsid w:val="00B278F9"/>
    <w:rsid w:val="00B3064A"/>
    <w:rsid w:val="00B42550"/>
    <w:rsid w:val="00B432EC"/>
    <w:rsid w:val="00B44C55"/>
    <w:rsid w:val="00B44F4C"/>
    <w:rsid w:val="00B46A95"/>
    <w:rsid w:val="00B473FC"/>
    <w:rsid w:val="00B50E5B"/>
    <w:rsid w:val="00B544C2"/>
    <w:rsid w:val="00B5566F"/>
    <w:rsid w:val="00B55979"/>
    <w:rsid w:val="00B62889"/>
    <w:rsid w:val="00B64060"/>
    <w:rsid w:val="00B70CC4"/>
    <w:rsid w:val="00B7474E"/>
    <w:rsid w:val="00B8066B"/>
    <w:rsid w:val="00B91CC3"/>
    <w:rsid w:val="00B965AC"/>
    <w:rsid w:val="00BB02DE"/>
    <w:rsid w:val="00BB371A"/>
    <w:rsid w:val="00BB6CDA"/>
    <w:rsid w:val="00BB7F80"/>
    <w:rsid w:val="00BC41B2"/>
    <w:rsid w:val="00BD7B25"/>
    <w:rsid w:val="00BE1AFF"/>
    <w:rsid w:val="00BF12B2"/>
    <w:rsid w:val="00BF74E9"/>
    <w:rsid w:val="00C01957"/>
    <w:rsid w:val="00C247CB"/>
    <w:rsid w:val="00C25830"/>
    <w:rsid w:val="00C307C6"/>
    <w:rsid w:val="00C360BD"/>
    <w:rsid w:val="00C36C78"/>
    <w:rsid w:val="00C45B61"/>
    <w:rsid w:val="00C476E1"/>
    <w:rsid w:val="00C5284E"/>
    <w:rsid w:val="00C52E77"/>
    <w:rsid w:val="00C566B3"/>
    <w:rsid w:val="00C65249"/>
    <w:rsid w:val="00C66AA0"/>
    <w:rsid w:val="00C67B32"/>
    <w:rsid w:val="00C70440"/>
    <w:rsid w:val="00C7110F"/>
    <w:rsid w:val="00C729E0"/>
    <w:rsid w:val="00C75207"/>
    <w:rsid w:val="00C75C83"/>
    <w:rsid w:val="00C8434E"/>
    <w:rsid w:val="00C91D59"/>
    <w:rsid w:val="00C94F45"/>
    <w:rsid w:val="00C95F91"/>
    <w:rsid w:val="00C969F3"/>
    <w:rsid w:val="00CA1AAA"/>
    <w:rsid w:val="00CA5B96"/>
    <w:rsid w:val="00CB0C1D"/>
    <w:rsid w:val="00CB5D4F"/>
    <w:rsid w:val="00CC3E3C"/>
    <w:rsid w:val="00CC4C56"/>
    <w:rsid w:val="00CC5AA2"/>
    <w:rsid w:val="00CC721A"/>
    <w:rsid w:val="00CD078A"/>
    <w:rsid w:val="00CD0963"/>
    <w:rsid w:val="00CE0EA0"/>
    <w:rsid w:val="00CE3D42"/>
    <w:rsid w:val="00CE3DBF"/>
    <w:rsid w:val="00CE4623"/>
    <w:rsid w:val="00CE4C1C"/>
    <w:rsid w:val="00CE53E6"/>
    <w:rsid w:val="00CF2CFB"/>
    <w:rsid w:val="00CF3355"/>
    <w:rsid w:val="00CF4188"/>
    <w:rsid w:val="00CF6131"/>
    <w:rsid w:val="00D05F9B"/>
    <w:rsid w:val="00D06EAA"/>
    <w:rsid w:val="00D07096"/>
    <w:rsid w:val="00D16702"/>
    <w:rsid w:val="00D173A9"/>
    <w:rsid w:val="00D17553"/>
    <w:rsid w:val="00D24946"/>
    <w:rsid w:val="00D33AF5"/>
    <w:rsid w:val="00D33D58"/>
    <w:rsid w:val="00D355E5"/>
    <w:rsid w:val="00D36733"/>
    <w:rsid w:val="00D42899"/>
    <w:rsid w:val="00D4623A"/>
    <w:rsid w:val="00D471B5"/>
    <w:rsid w:val="00D542CF"/>
    <w:rsid w:val="00D571DB"/>
    <w:rsid w:val="00D632FA"/>
    <w:rsid w:val="00D6774D"/>
    <w:rsid w:val="00D75191"/>
    <w:rsid w:val="00D80929"/>
    <w:rsid w:val="00D85254"/>
    <w:rsid w:val="00D87A88"/>
    <w:rsid w:val="00D9210D"/>
    <w:rsid w:val="00DA6217"/>
    <w:rsid w:val="00DB17AB"/>
    <w:rsid w:val="00DB2D74"/>
    <w:rsid w:val="00DB586E"/>
    <w:rsid w:val="00DC3756"/>
    <w:rsid w:val="00DC4FFC"/>
    <w:rsid w:val="00DC5E4E"/>
    <w:rsid w:val="00DD0865"/>
    <w:rsid w:val="00DD2A16"/>
    <w:rsid w:val="00DE22F0"/>
    <w:rsid w:val="00DE4977"/>
    <w:rsid w:val="00DE6DCE"/>
    <w:rsid w:val="00DF57B6"/>
    <w:rsid w:val="00DF6BE4"/>
    <w:rsid w:val="00DF6C12"/>
    <w:rsid w:val="00DF7C85"/>
    <w:rsid w:val="00E0483F"/>
    <w:rsid w:val="00E04AE3"/>
    <w:rsid w:val="00E04DCB"/>
    <w:rsid w:val="00E111FC"/>
    <w:rsid w:val="00E11C9C"/>
    <w:rsid w:val="00E1302F"/>
    <w:rsid w:val="00E157BC"/>
    <w:rsid w:val="00E204BF"/>
    <w:rsid w:val="00E30AEC"/>
    <w:rsid w:val="00E32D5A"/>
    <w:rsid w:val="00E356DF"/>
    <w:rsid w:val="00E504E0"/>
    <w:rsid w:val="00E50E4A"/>
    <w:rsid w:val="00E514EF"/>
    <w:rsid w:val="00E5392A"/>
    <w:rsid w:val="00E6358B"/>
    <w:rsid w:val="00E63D14"/>
    <w:rsid w:val="00E658F8"/>
    <w:rsid w:val="00E65D0B"/>
    <w:rsid w:val="00E73834"/>
    <w:rsid w:val="00E75484"/>
    <w:rsid w:val="00E7767B"/>
    <w:rsid w:val="00E81ECE"/>
    <w:rsid w:val="00E8431C"/>
    <w:rsid w:val="00E87CE0"/>
    <w:rsid w:val="00E91F5F"/>
    <w:rsid w:val="00E922B7"/>
    <w:rsid w:val="00E947C3"/>
    <w:rsid w:val="00EA6F59"/>
    <w:rsid w:val="00EB12DD"/>
    <w:rsid w:val="00EB153E"/>
    <w:rsid w:val="00EB4FFF"/>
    <w:rsid w:val="00EB57EB"/>
    <w:rsid w:val="00EB5E47"/>
    <w:rsid w:val="00EC23BA"/>
    <w:rsid w:val="00EC7B0C"/>
    <w:rsid w:val="00ED50CF"/>
    <w:rsid w:val="00ED647A"/>
    <w:rsid w:val="00ED6DE2"/>
    <w:rsid w:val="00ED7F9E"/>
    <w:rsid w:val="00EE1777"/>
    <w:rsid w:val="00F03D86"/>
    <w:rsid w:val="00F04DFB"/>
    <w:rsid w:val="00F06498"/>
    <w:rsid w:val="00F1152F"/>
    <w:rsid w:val="00F12AEA"/>
    <w:rsid w:val="00F15281"/>
    <w:rsid w:val="00F201FB"/>
    <w:rsid w:val="00F207B3"/>
    <w:rsid w:val="00F25FF0"/>
    <w:rsid w:val="00F3091D"/>
    <w:rsid w:val="00F409A4"/>
    <w:rsid w:val="00F47E23"/>
    <w:rsid w:val="00F50FC2"/>
    <w:rsid w:val="00F5486B"/>
    <w:rsid w:val="00F57B4B"/>
    <w:rsid w:val="00F6050D"/>
    <w:rsid w:val="00F61E65"/>
    <w:rsid w:val="00F658E0"/>
    <w:rsid w:val="00F859B7"/>
    <w:rsid w:val="00F91B66"/>
    <w:rsid w:val="00F91F34"/>
    <w:rsid w:val="00F933C1"/>
    <w:rsid w:val="00FA5AB6"/>
    <w:rsid w:val="00FC1C44"/>
    <w:rsid w:val="00FD4948"/>
    <w:rsid w:val="00FD6D89"/>
    <w:rsid w:val="00FD7D90"/>
    <w:rsid w:val="00FE0190"/>
    <w:rsid w:val="00FE0901"/>
    <w:rsid w:val="00FE4368"/>
    <w:rsid w:val="00FF070D"/>
    <w:rsid w:val="00FF585F"/>
    <w:rsid w:val="060B6EE6"/>
    <w:rsid w:val="06912EDF"/>
    <w:rsid w:val="0A0C97A0"/>
    <w:rsid w:val="125FEAC6"/>
    <w:rsid w:val="1623BDBF"/>
    <w:rsid w:val="1CC23507"/>
    <w:rsid w:val="208E8280"/>
    <w:rsid w:val="28BD0F22"/>
    <w:rsid w:val="2A750FA2"/>
    <w:rsid w:val="2D8487EC"/>
    <w:rsid w:val="4748B139"/>
    <w:rsid w:val="4D850A8D"/>
    <w:rsid w:val="531AAE93"/>
    <w:rsid w:val="552A758C"/>
    <w:rsid w:val="581B80BE"/>
    <w:rsid w:val="5F4515FE"/>
    <w:rsid w:val="62904CD3"/>
    <w:rsid w:val="65C7ED95"/>
    <w:rsid w:val="727C8003"/>
    <w:rsid w:val="72BC0C2A"/>
    <w:rsid w:val="78C90E25"/>
    <w:rsid w:val="79F04CB7"/>
    <w:rsid w:val="7A36C790"/>
    <w:rsid w:val="7BD297F1"/>
    <w:rsid w:val="7DD6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0EF22"/>
  <w15:chartTrackingRefBased/>
  <w15:docId w15:val="{8D4DCDDA-AF5F-4B9C-B5C8-9FD11238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BalloonText">
    <w:name w:val="Balloon Text"/>
    <w:basedOn w:val="Normal"/>
    <w:link w:val="BalloonTextChar"/>
    <w:rsid w:val="00D05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5F9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6358B"/>
    <w:pPr>
      <w:tabs>
        <w:tab w:val="right" w:leader="dot" w:pos="12950"/>
      </w:tabs>
    </w:pPr>
  </w:style>
  <w:style w:type="character" w:styleId="CommentReference">
    <w:name w:val="annotation reference"/>
    <w:rsid w:val="00DE49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49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4977"/>
  </w:style>
  <w:style w:type="paragraph" w:styleId="CommentSubject">
    <w:name w:val="annotation subject"/>
    <w:basedOn w:val="CommentText"/>
    <w:next w:val="CommentText"/>
    <w:link w:val="CommentSubjectChar"/>
    <w:rsid w:val="00DE4977"/>
    <w:rPr>
      <w:b/>
      <w:bCs/>
    </w:rPr>
  </w:style>
  <w:style w:type="character" w:customStyle="1" w:styleId="CommentSubjectChar">
    <w:name w:val="Comment Subject Char"/>
    <w:link w:val="CommentSubject"/>
    <w:rsid w:val="00DE4977"/>
    <w:rPr>
      <w:b/>
      <w:bCs/>
    </w:rPr>
  </w:style>
  <w:style w:type="character" w:customStyle="1" w:styleId="Heading2Char">
    <w:name w:val="Heading 2 Char"/>
    <w:link w:val="Heading2"/>
    <w:uiPriority w:val="9"/>
    <w:rsid w:val="00ED647A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C307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AED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657902"/>
    <w:rPr>
      <w:sz w:val="24"/>
      <w:szCs w:val="24"/>
    </w:rPr>
  </w:style>
  <w:style w:type="paragraph" w:styleId="Revision">
    <w:name w:val="Revision"/>
    <w:hidden/>
    <w:uiPriority w:val="99"/>
    <w:semiHidden/>
    <w:rsid w:val="005D74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451A14-9B70-4AF0-868A-693EDBCF47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218141-CF1F-46B4-9A75-28E920584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EEABFE6-4ED5-4FAA-93F8-C0A51186B3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69687B-05A1-4D9B-AA9B-C614AFFB57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131</TotalTime>
  <Pages>1</Pages>
  <Words>2090</Words>
  <Characters>11914</Characters>
  <Application>Microsoft Office Word</Application>
  <DocSecurity>2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Matty, Craig</cp:lastModifiedBy>
  <cp:revision>10</cp:revision>
  <cp:lastPrinted>2007-01-03T17:56:00Z</cp:lastPrinted>
  <dcterms:created xsi:type="dcterms:W3CDTF">2025-04-16T12:45:00Z</dcterms:created>
  <dcterms:modified xsi:type="dcterms:W3CDTF">2025-04-16T16:00:00Z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2021-10-06T16:38:11Z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1681cccd-700b-499b-804d-f084f29f4294</vt:lpwstr>
  </property>
  <property fmtid="{D5CDD505-2E9C-101B-9397-08002B2CF9AE}" pid="8" name="MSIP_Label_67599526-06ca-49cc-9fa9-5307800a949a_ContentBits">
    <vt:lpwstr>0</vt:lpwstr>
  </property>
</Properties>
</file>