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E093B" w14:textId="5E7A8C11" w:rsidR="00C5683B" w:rsidRPr="00B10E70" w:rsidRDefault="009F52D9" w:rsidP="00D22783">
      <w:pPr>
        <w:pStyle w:val="Heading1"/>
        <w:spacing w:after="0"/>
        <w:rPr>
          <w:rFonts w:ascii="Verdana" w:hAnsi="Verdana"/>
          <w:bCs/>
          <w:color w:val="auto"/>
          <w:sz w:val="36"/>
        </w:rPr>
      </w:pPr>
      <w:bookmarkStart w:id="0" w:name="_top"/>
      <w:bookmarkEnd w:id="0"/>
      <w:r>
        <w:rPr>
          <w:rFonts w:ascii="Verdana" w:hAnsi="Verdana"/>
          <w:bCs/>
          <w:color w:val="auto"/>
          <w:sz w:val="36"/>
        </w:rPr>
        <w:t xml:space="preserve">Compass - </w:t>
      </w:r>
      <w:r w:rsidR="00126C36" w:rsidRPr="00B10E70">
        <w:rPr>
          <w:rFonts w:ascii="Verdana" w:hAnsi="Verdana"/>
          <w:bCs/>
          <w:color w:val="auto"/>
          <w:sz w:val="36"/>
        </w:rPr>
        <w:t xml:space="preserve">CVS Caremark </w:t>
      </w:r>
      <w:r w:rsidR="00C56430">
        <w:rPr>
          <w:rFonts w:ascii="Verdana" w:hAnsi="Verdana"/>
          <w:bCs/>
          <w:color w:val="auto"/>
          <w:sz w:val="36"/>
        </w:rPr>
        <w:t xml:space="preserve">Formulary </w:t>
      </w:r>
      <w:r w:rsidR="00CF7551" w:rsidRPr="00B10E70">
        <w:rPr>
          <w:rFonts w:ascii="Verdana" w:hAnsi="Verdana"/>
          <w:bCs/>
          <w:color w:val="auto"/>
          <w:sz w:val="36"/>
        </w:rPr>
        <w:t>Drug List</w:t>
      </w:r>
      <w:r w:rsidR="00CA3817" w:rsidRPr="00B10E70">
        <w:rPr>
          <w:rFonts w:ascii="Verdana" w:hAnsi="Verdana"/>
          <w:bCs/>
          <w:color w:val="auto"/>
          <w:sz w:val="36"/>
        </w:rPr>
        <w:t xml:space="preserve"> </w:t>
      </w:r>
      <w:r w:rsidR="00CF7551" w:rsidRPr="00B10E70">
        <w:rPr>
          <w:rFonts w:ascii="Verdana" w:hAnsi="Verdana"/>
          <w:bCs/>
          <w:color w:val="auto"/>
          <w:sz w:val="36"/>
        </w:rPr>
        <w:t>Index</w:t>
      </w:r>
    </w:p>
    <w:p w14:paraId="44450136" w14:textId="77777777" w:rsidR="00C5683B" w:rsidRPr="00B10E70" w:rsidRDefault="00C5683B" w:rsidP="00D22783">
      <w:pPr>
        <w:pStyle w:val="Heading1"/>
        <w:spacing w:after="0"/>
        <w:rPr>
          <w:rFonts w:ascii="Verdana" w:hAnsi="Verdana"/>
          <w:bCs/>
          <w:color w:val="auto"/>
          <w:sz w:val="36"/>
        </w:rPr>
      </w:pPr>
    </w:p>
    <w:p w14:paraId="65AAC5AC" w14:textId="0E751F50" w:rsidR="00603F5B" w:rsidRPr="00603F5B" w:rsidRDefault="00821FB3">
      <w:pPr>
        <w:pStyle w:val="TOC2"/>
        <w:rPr>
          <w:rFonts w:ascii="Verdana" w:eastAsiaTheme="minorEastAsia" w:hAnsi="Verdana" w:cstheme="minorBidi"/>
          <w:noProof/>
          <w:kern w:val="2"/>
          <w14:ligatures w14:val="standardContextual"/>
        </w:rPr>
      </w:pPr>
      <w:r w:rsidRPr="00603F5B">
        <w:rPr>
          <w:rFonts w:ascii="Verdana" w:hAnsi="Verdana"/>
          <w:b/>
        </w:rPr>
        <w:fldChar w:fldCharType="begin"/>
      </w:r>
      <w:r w:rsidRPr="00603F5B">
        <w:rPr>
          <w:rFonts w:ascii="Verdana" w:hAnsi="Verdana"/>
          <w:b/>
        </w:rPr>
        <w:instrText xml:space="preserve"> TOC \o "2-3" \n \p " " \h \z \u </w:instrText>
      </w:r>
      <w:r w:rsidRPr="00603F5B">
        <w:rPr>
          <w:rFonts w:ascii="Verdana" w:hAnsi="Verdana"/>
          <w:b/>
        </w:rPr>
        <w:fldChar w:fldCharType="separate"/>
      </w:r>
      <w:hyperlink w:anchor="_Toc201214731" w:history="1">
        <w:r w:rsidR="00603F5B" w:rsidRPr="00603F5B">
          <w:rPr>
            <w:rStyle w:val="Hyperlink"/>
            <w:rFonts w:ascii="Verdana" w:hAnsi="Verdana"/>
            <w:noProof/>
          </w:rPr>
          <w:t>Formulary Lists</w:t>
        </w:r>
      </w:hyperlink>
    </w:p>
    <w:p w14:paraId="636E4A20" w14:textId="0E069E58" w:rsidR="00603F5B" w:rsidRPr="00603F5B" w:rsidRDefault="00603F5B">
      <w:pPr>
        <w:pStyle w:val="TOC3"/>
        <w:tabs>
          <w:tab w:val="right" w:leader="dot" w:pos="12950"/>
        </w:tabs>
        <w:rPr>
          <w:rFonts w:ascii="Verdana" w:eastAsiaTheme="minorEastAsia" w:hAnsi="Verdana" w:cstheme="minorBidi"/>
          <w:noProof/>
          <w:kern w:val="2"/>
          <w14:ligatures w14:val="standardContextual"/>
        </w:rPr>
      </w:pPr>
      <w:hyperlink w:anchor="_Toc201214732" w:history="1">
        <w:r w:rsidRPr="00603F5B">
          <w:rPr>
            <w:rStyle w:val="Hyperlink"/>
            <w:rFonts w:ascii="Verdana" w:hAnsi="Verdana"/>
            <w:noProof/>
          </w:rPr>
          <w:t>Advanced Control Formulary (ACF) Drug Lists</w:t>
        </w:r>
      </w:hyperlink>
    </w:p>
    <w:p w14:paraId="191E9B06" w14:textId="1628C865" w:rsidR="00603F5B" w:rsidRPr="00603F5B" w:rsidRDefault="00603F5B">
      <w:pPr>
        <w:pStyle w:val="TOC3"/>
        <w:tabs>
          <w:tab w:val="right" w:leader="dot" w:pos="12950"/>
        </w:tabs>
        <w:rPr>
          <w:rFonts w:ascii="Verdana" w:eastAsiaTheme="minorEastAsia" w:hAnsi="Verdana" w:cstheme="minorBidi"/>
          <w:noProof/>
          <w:kern w:val="2"/>
          <w14:ligatures w14:val="standardContextual"/>
        </w:rPr>
      </w:pPr>
      <w:hyperlink w:anchor="_Toc201214733" w:history="1">
        <w:r w:rsidRPr="00603F5B">
          <w:rPr>
            <w:rStyle w:val="Hyperlink"/>
            <w:rFonts w:ascii="Verdana" w:hAnsi="Verdana"/>
            <w:noProof/>
          </w:rPr>
          <w:t>Advanced Control Formulary Chart (ACF-Chart) Drug Lists</w:t>
        </w:r>
      </w:hyperlink>
    </w:p>
    <w:p w14:paraId="462DF026" w14:textId="519532CA" w:rsidR="00603F5B" w:rsidRPr="00603F5B" w:rsidRDefault="00603F5B">
      <w:pPr>
        <w:pStyle w:val="TOC3"/>
        <w:tabs>
          <w:tab w:val="right" w:leader="dot" w:pos="12950"/>
        </w:tabs>
        <w:rPr>
          <w:rFonts w:ascii="Verdana" w:eastAsiaTheme="minorEastAsia" w:hAnsi="Verdana" w:cstheme="minorBidi"/>
          <w:noProof/>
          <w:kern w:val="2"/>
          <w14:ligatures w14:val="standardContextual"/>
        </w:rPr>
      </w:pPr>
      <w:hyperlink w:anchor="_Toc201214734" w:history="1">
        <w:r w:rsidRPr="00603F5B">
          <w:rPr>
            <w:rStyle w:val="Hyperlink"/>
            <w:rFonts w:ascii="Verdana" w:hAnsi="Verdana"/>
            <w:noProof/>
          </w:rPr>
          <w:t>Basic Control Formulary (BCF) Drug Lists</w:t>
        </w:r>
      </w:hyperlink>
    </w:p>
    <w:p w14:paraId="6B62B9C5" w14:textId="641CCDB8" w:rsidR="00603F5B" w:rsidRPr="00603F5B" w:rsidRDefault="00603F5B">
      <w:pPr>
        <w:pStyle w:val="TOC3"/>
        <w:tabs>
          <w:tab w:val="right" w:leader="dot" w:pos="12950"/>
        </w:tabs>
        <w:rPr>
          <w:rFonts w:ascii="Verdana" w:eastAsiaTheme="minorEastAsia" w:hAnsi="Verdana" w:cstheme="minorBidi"/>
          <w:noProof/>
          <w:kern w:val="2"/>
          <w14:ligatures w14:val="standardContextual"/>
        </w:rPr>
      </w:pPr>
      <w:hyperlink w:anchor="_Toc201214735" w:history="1">
        <w:r w:rsidRPr="00603F5B">
          <w:rPr>
            <w:rStyle w:val="Hyperlink"/>
            <w:rFonts w:ascii="Verdana" w:hAnsi="Verdana"/>
            <w:noProof/>
          </w:rPr>
          <w:t>Value Formulary Drug Lists</w:t>
        </w:r>
      </w:hyperlink>
    </w:p>
    <w:p w14:paraId="457D9DD9" w14:textId="4D9FD089" w:rsidR="00603F5B" w:rsidRPr="00603F5B" w:rsidRDefault="00603F5B">
      <w:pPr>
        <w:pStyle w:val="TOC3"/>
        <w:tabs>
          <w:tab w:val="right" w:leader="dot" w:pos="12950"/>
        </w:tabs>
        <w:rPr>
          <w:rFonts w:ascii="Verdana" w:eastAsiaTheme="minorEastAsia" w:hAnsi="Verdana" w:cstheme="minorBidi"/>
          <w:noProof/>
          <w:kern w:val="2"/>
          <w14:ligatures w14:val="standardContextual"/>
        </w:rPr>
      </w:pPr>
      <w:hyperlink w:anchor="_Toc201214736" w:history="1">
        <w:r w:rsidRPr="00603F5B">
          <w:rPr>
            <w:rStyle w:val="Hyperlink"/>
            <w:rFonts w:ascii="Verdana" w:hAnsi="Verdana"/>
            <w:noProof/>
          </w:rPr>
          <w:t>Value Formulary Chart Drug Lists</w:t>
        </w:r>
      </w:hyperlink>
    </w:p>
    <w:p w14:paraId="7F1D5B3B" w14:textId="07DD548F" w:rsidR="00603F5B" w:rsidRPr="00603F5B" w:rsidRDefault="00603F5B">
      <w:pPr>
        <w:pStyle w:val="TOC3"/>
        <w:tabs>
          <w:tab w:val="right" w:leader="dot" w:pos="12950"/>
        </w:tabs>
        <w:rPr>
          <w:rFonts w:ascii="Verdana" w:eastAsiaTheme="minorEastAsia" w:hAnsi="Verdana" w:cstheme="minorBidi"/>
          <w:noProof/>
          <w:kern w:val="2"/>
          <w14:ligatures w14:val="standardContextual"/>
        </w:rPr>
      </w:pPr>
      <w:hyperlink w:anchor="_Toc201214737" w:history="1">
        <w:r w:rsidRPr="00603F5B">
          <w:rPr>
            <w:rStyle w:val="Hyperlink"/>
            <w:rFonts w:ascii="Verdana" w:hAnsi="Verdana"/>
            <w:noProof/>
          </w:rPr>
          <w:t>Standard Control Formulary (SCF) Performance Drug List</w:t>
        </w:r>
      </w:hyperlink>
    </w:p>
    <w:p w14:paraId="2441D8A0" w14:textId="44EF7265" w:rsidR="00603F5B" w:rsidRPr="00603F5B" w:rsidRDefault="00603F5B">
      <w:pPr>
        <w:pStyle w:val="TOC3"/>
        <w:tabs>
          <w:tab w:val="right" w:leader="dot" w:pos="12950"/>
        </w:tabs>
        <w:rPr>
          <w:rFonts w:ascii="Verdana" w:eastAsiaTheme="minorEastAsia" w:hAnsi="Verdana" w:cstheme="minorBidi"/>
          <w:noProof/>
          <w:kern w:val="2"/>
          <w14:ligatures w14:val="standardContextual"/>
        </w:rPr>
      </w:pPr>
      <w:hyperlink w:anchor="_Toc201214738" w:history="1">
        <w:r w:rsidRPr="00603F5B">
          <w:rPr>
            <w:rStyle w:val="Hyperlink"/>
            <w:rFonts w:ascii="Verdana" w:hAnsi="Verdana"/>
            <w:noProof/>
          </w:rPr>
          <w:t>Standard Control Formulary Chart (SCF-Chart) Performance Drug List</w:t>
        </w:r>
      </w:hyperlink>
    </w:p>
    <w:p w14:paraId="0D204513" w14:textId="0F1255C6" w:rsidR="00603F5B" w:rsidRPr="00603F5B" w:rsidRDefault="00603F5B">
      <w:pPr>
        <w:pStyle w:val="TOC3"/>
        <w:tabs>
          <w:tab w:val="right" w:leader="dot" w:pos="12950"/>
        </w:tabs>
        <w:rPr>
          <w:rFonts w:ascii="Verdana" w:eastAsiaTheme="minorEastAsia" w:hAnsi="Verdana" w:cstheme="minorBidi"/>
          <w:noProof/>
          <w:kern w:val="2"/>
          <w14:ligatures w14:val="standardContextual"/>
        </w:rPr>
      </w:pPr>
      <w:hyperlink w:anchor="_Toc201214739" w:history="1">
        <w:r w:rsidRPr="00603F5B">
          <w:rPr>
            <w:rStyle w:val="Hyperlink"/>
            <w:rFonts w:ascii="Verdana" w:hAnsi="Verdana"/>
            <w:noProof/>
          </w:rPr>
          <w:t>Standard Control Formulary (SCF) Prior Authorization Drug Lists</w:t>
        </w:r>
      </w:hyperlink>
    </w:p>
    <w:p w14:paraId="2A06A04D" w14:textId="0DC35BD1" w:rsidR="00603F5B" w:rsidRPr="00603F5B" w:rsidRDefault="00603F5B">
      <w:pPr>
        <w:pStyle w:val="TOC3"/>
        <w:tabs>
          <w:tab w:val="right" w:leader="dot" w:pos="12950"/>
        </w:tabs>
        <w:rPr>
          <w:rFonts w:ascii="Verdana" w:eastAsiaTheme="minorEastAsia" w:hAnsi="Verdana" w:cstheme="minorBidi"/>
          <w:noProof/>
          <w:kern w:val="2"/>
          <w14:ligatures w14:val="standardContextual"/>
        </w:rPr>
      </w:pPr>
      <w:hyperlink w:anchor="_Toc201214740" w:history="1">
        <w:r w:rsidRPr="00603F5B">
          <w:rPr>
            <w:rStyle w:val="Hyperlink"/>
            <w:rFonts w:ascii="Verdana" w:hAnsi="Verdana"/>
            <w:noProof/>
          </w:rPr>
          <w:t>Advanced Control Specialty Formulary (ACSF) and Standard Control with/ACSF  Drug Lists</w:t>
        </w:r>
      </w:hyperlink>
    </w:p>
    <w:p w14:paraId="5B407EDD" w14:textId="7240EFE1" w:rsidR="00603F5B" w:rsidRPr="00603F5B" w:rsidRDefault="00603F5B">
      <w:pPr>
        <w:pStyle w:val="TOC3"/>
        <w:tabs>
          <w:tab w:val="right" w:leader="dot" w:pos="12950"/>
        </w:tabs>
        <w:rPr>
          <w:rFonts w:ascii="Verdana" w:eastAsiaTheme="minorEastAsia" w:hAnsi="Verdana" w:cstheme="minorBidi"/>
          <w:noProof/>
          <w:kern w:val="2"/>
          <w14:ligatures w14:val="standardContextual"/>
        </w:rPr>
      </w:pPr>
      <w:hyperlink w:anchor="_Toc201214741" w:history="1">
        <w:r w:rsidRPr="00603F5B">
          <w:rPr>
            <w:rStyle w:val="Hyperlink"/>
            <w:rFonts w:ascii="Verdana" w:hAnsi="Verdana"/>
            <w:noProof/>
          </w:rPr>
          <w:t>Advanced Control Specialty Formulary Chart (ACSF-Chart) and Standard Control Chart with/ACSF Drug Lists</w:t>
        </w:r>
      </w:hyperlink>
    </w:p>
    <w:p w14:paraId="544FDCC5" w14:textId="5D247AF0" w:rsidR="00603F5B" w:rsidRPr="00603F5B" w:rsidRDefault="00603F5B">
      <w:pPr>
        <w:pStyle w:val="TOC3"/>
        <w:tabs>
          <w:tab w:val="right" w:leader="dot" w:pos="12950"/>
        </w:tabs>
        <w:rPr>
          <w:rFonts w:ascii="Verdana" w:eastAsiaTheme="minorEastAsia" w:hAnsi="Verdana" w:cstheme="minorBidi"/>
          <w:noProof/>
          <w:kern w:val="2"/>
          <w14:ligatures w14:val="standardContextual"/>
        </w:rPr>
      </w:pPr>
      <w:hyperlink w:anchor="_Toc201214742" w:history="1">
        <w:r w:rsidRPr="00603F5B">
          <w:rPr>
            <w:rStyle w:val="Hyperlink"/>
            <w:rFonts w:ascii="Verdana" w:hAnsi="Verdana"/>
            <w:noProof/>
          </w:rPr>
          <w:t>Standard Opt Out (SOO) no ACSF Drug Lists</w:t>
        </w:r>
      </w:hyperlink>
    </w:p>
    <w:p w14:paraId="16D54E68" w14:textId="54E3C2E8" w:rsidR="00603F5B" w:rsidRPr="00603F5B" w:rsidRDefault="00603F5B">
      <w:pPr>
        <w:pStyle w:val="TOC3"/>
        <w:tabs>
          <w:tab w:val="right" w:leader="dot" w:pos="12950"/>
        </w:tabs>
        <w:rPr>
          <w:rFonts w:ascii="Verdana" w:eastAsiaTheme="minorEastAsia" w:hAnsi="Verdana" w:cstheme="minorBidi"/>
          <w:noProof/>
          <w:kern w:val="2"/>
          <w14:ligatures w14:val="standardContextual"/>
        </w:rPr>
      </w:pPr>
      <w:hyperlink w:anchor="_Toc201214743" w:history="1">
        <w:r w:rsidRPr="00603F5B">
          <w:rPr>
            <w:rStyle w:val="Hyperlink"/>
            <w:rFonts w:ascii="Verdana" w:hAnsi="Verdana"/>
            <w:noProof/>
          </w:rPr>
          <w:t>Standard Opt Out Formulary Chart (SOOF- Chart) no ACSF Drug Lists</w:t>
        </w:r>
      </w:hyperlink>
    </w:p>
    <w:p w14:paraId="102DA149" w14:textId="1907419E" w:rsidR="00603F5B" w:rsidRPr="00603F5B" w:rsidRDefault="00603F5B">
      <w:pPr>
        <w:pStyle w:val="TOC3"/>
        <w:tabs>
          <w:tab w:val="right" w:leader="dot" w:pos="12950"/>
        </w:tabs>
        <w:rPr>
          <w:rFonts w:ascii="Verdana" w:eastAsiaTheme="minorEastAsia" w:hAnsi="Verdana" w:cstheme="minorBidi"/>
          <w:noProof/>
          <w:kern w:val="2"/>
          <w14:ligatures w14:val="standardContextual"/>
        </w:rPr>
      </w:pPr>
      <w:hyperlink w:anchor="_Toc201214744" w:history="1">
        <w:r w:rsidRPr="00603F5B">
          <w:rPr>
            <w:rStyle w:val="Hyperlink"/>
            <w:rFonts w:ascii="Verdana" w:hAnsi="Verdana"/>
            <w:iCs/>
            <w:noProof/>
          </w:rPr>
          <w:t>Preventive Drug Lists</w:t>
        </w:r>
      </w:hyperlink>
    </w:p>
    <w:p w14:paraId="41911528" w14:textId="5DE43117" w:rsidR="00603F5B" w:rsidRPr="00603F5B" w:rsidRDefault="00603F5B">
      <w:pPr>
        <w:pStyle w:val="TOC3"/>
        <w:tabs>
          <w:tab w:val="right" w:leader="dot" w:pos="12950"/>
        </w:tabs>
        <w:rPr>
          <w:rFonts w:ascii="Verdana" w:eastAsiaTheme="minorEastAsia" w:hAnsi="Verdana" w:cstheme="minorBidi"/>
          <w:noProof/>
          <w:kern w:val="2"/>
          <w14:ligatures w14:val="standardContextual"/>
        </w:rPr>
      </w:pPr>
      <w:hyperlink w:anchor="_Toc201214745" w:history="1">
        <w:r w:rsidRPr="00603F5B">
          <w:rPr>
            <w:rStyle w:val="Hyperlink"/>
            <w:rFonts w:ascii="Verdana" w:hAnsi="Verdana"/>
            <w:noProof/>
          </w:rPr>
          <w:t>Opioid Utilization Management</w:t>
        </w:r>
      </w:hyperlink>
    </w:p>
    <w:p w14:paraId="75E57CBD" w14:textId="1BA4F912" w:rsidR="00603F5B" w:rsidRPr="00603F5B" w:rsidRDefault="00603F5B">
      <w:pPr>
        <w:pStyle w:val="TOC2"/>
        <w:rPr>
          <w:rFonts w:ascii="Verdana" w:eastAsiaTheme="minorEastAsia" w:hAnsi="Verdana" w:cstheme="minorBidi"/>
          <w:noProof/>
          <w:kern w:val="2"/>
          <w14:ligatures w14:val="standardContextual"/>
        </w:rPr>
      </w:pPr>
      <w:hyperlink w:anchor="_Toc201214746" w:history="1">
        <w:r w:rsidRPr="00603F5B">
          <w:rPr>
            <w:rStyle w:val="Hyperlink"/>
            <w:rFonts w:ascii="Verdana" w:hAnsi="Verdana"/>
            <w:noProof/>
          </w:rPr>
          <w:t>Related Documents</w:t>
        </w:r>
      </w:hyperlink>
    </w:p>
    <w:p w14:paraId="3525943C" w14:textId="7FEF5D5C" w:rsidR="00C5683B" w:rsidRPr="00E277B8" w:rsidRDefault="00821FB3" w:rsidP="00C5683B">
      <w:pPr>
        <w:rPr>
          <w:rFonts w:ascii="Verdana" w:hAnsi="Verdana"/>
        </w:rPr>
      </w:pPr>
      <w:r w:rsidRPr="00603F5B">
        <w:rPr>
          <w:rFonts w:ascii="Verdana" w:hAnsi="Verdana"/>
          <w:b/>
        </w:rPr>
        <w:fldChar w:fldCharType="end"/>
      </w:r>
      <w:r w:rsidR="00BF01CD" w:rsidRPr="00E277B8">
        <w:rPr>
          <w:rFonts w:ascii="Verdana" w:hAnsi="Verdana"/>
        </w:rPr>
        <w:t xml:space="preserve"> </w:t>
      </w:r>
    </w:p>
    <w:p w14:paraId="06F41D5B" w14:textId="7DFF712D" w:rsidR="00477847" w:rsidRPr="00B10E70" w:rsidRDefault="00816FF8" w:rsidP="00326B3F">
      <w:pPr>
        <w:spacing w:before="120" w:after="120"/>
        <w:rPr>
          <w:rFonts w:ascii="Verdana" w:hAnsi="Verdana"/>
          <w:color w:val="000000"/>
        </w:rPr>
      </w:pPr>
      <w:r w:rsidRPr="00816FF8">
        <w:rPr>
          <w:rFonts w:ascii="Verdana" w:hAnsi="Verdana" w:cs="Arial"/>
          <w:b/>
          <w:bCs/>
          <w:color w:val="000000"/>
        </w:rPr>
        <w:t>Description</w:t>
      </w:r>
      <w:r w:rsidR="00BB4C0B">
        <w:rPr>
          <w:rFonts w:ascii="Verdana" w:hAnsi="Verdana" w:cs="Arial"/>
          <w:b/>
          <w:bCs/>
          <w:color w:val="000000"/>
        </w:rPr>
        <w:t>:</w:t>
      </w:r>
      <w:r w:rsidR="00806499" w:rsidRPr="00B10E70">
        <w:rPr>
          <w:rFonts w:ascii="Verdana" w:hAnsi="Verdana" w:cs="Arial"/>
          <w:color w:val="000000"/>
        </w:rPr>
        <w:t xml:space="preserve"> </w:t>
      </w:r>
      <w:r w:rsidR="00BB4C0B">
        <w:rPr>
          <w:rFonts w:ascii="Verdana" w:hAnsi="Verdana" w:cs="Arial"/>
          <w:color w:val="000000"/>
        </w:rPr>
        <w:t>C</w:t>
      </w:r>
      <w:r w:rsidR="00C5683B" w:rsidRPr="00B10E70">
        <w:rPr>
          <w:rFonts w:ascii="Verdana" w:hAnsi="Verdana" w:cs="Arial"/>
          <w:color w:val="000000"/>
        </w:rPr>
        <w:t xml:space="preserve">entralized </w:t>
      </w:r>
      <w:r w:rsidR="00CF7551" w:rsidRPr="00B10E70">
        <w:rPr>
          <w:rFonts w:ascii="Verdana" w:hAnsi="Verdana" w:cs="Arial"/>
          <w:color w:val="000000"/>
        </w:rPr>
        <w:t>index</w:t>
      </w:r>
      <w:r w:rsidR="00C5683B" w:rsidRPr="00B10E70">
        <w:rPr>
          <w:rFonts w:ascii="Verdana" w:hAnsi="Verdana" w:cs="Arial"/>
          <w:color w:val="000000"/>
        </w:rPr>
        <w:t xml:space="preserve"> for all CVS Caremark drug lists</w:t>
      </w:r>
      <w:r w:rsidR="00CF7551" w:rsidRPr="00B10E70">
        <w:rPr>
          <w:rFonts w:ascii="Verdana" w:hAnsi="Verdana" w:cs="Arial"/>
          <w:color w:val="000000"/>
        </w:rPr>
        <w:t xml:space="preserve">, also known as a formulary.  </w:t>
      </w:r>
      <w:r w:rsidR="00CA52BF">
        <w:rPr>
          <w:rFonts w:ascii="Verdana" w:hAnsi="Verdana" w:cs="Arial"/>
          <w:color w:val="000000"/>
        </w:rPr>
        <w:t xml:space="preserve"> It includes e</w:t>
      </w:r>
      <w:r w:rsidR="00CF7551" w:rsidRPr="00B10E70">
        <w:rPr>
          <w:rFonts w:ascii="Verdana" w:hAnsi="Verdana" w:cs="Arial"/>
          <w:color w:val="000000"/>
        </w:rPr>
        <w:t>ach type of formulary that CVS Caremark offers (Value, Standard, etc</w:t>
      </w:r>
      <w:r w:rsidR="003E2EBA">
        <w:rPr>
          <w:rFonts w:ascii="Verdana" w:hAnsi="Verdana" w:cs="Arial"/>
          <w:color w:val="000000"/>
        </w:rPr>
        <w:t>etera</w:t>
      </w:r>
      <w:r w:rsidR="00CF7551" w:rsidRPr="00B10E70">
        <w:rPr>
          <w:rFonts w:ascii="Verdana" w:hAnsi="Verdana" w:cs="Arial"/>
          <w:color w:val="000000"/>
        </w:rPr>
        <w:t>)</w:t>
      </w:r>
      <w:r w:rsidR="00CA52BF">
        <w:rPr>
          <w:rFonts w:ascii="Verdana" w:hAnsi="Verdana" w:cs="Arial"/>
          <w:color w:val="000000"/>
        </w:rPr>
        <w:t xml:space="preserve">, hyperlinks to </w:t>
      </w:r>
      <w:r w:rsidR="00CF7551" w:rsidRPr="00B10E70">
        <w:rPr>
          <w:rFonts w:ascii="Verdana" w:hAnsi="Verdana" w:cs="Arial"/>
          <w:color w:val="000000"/>
        </w:rPr>
        <w:t>Work instructions</w:t>
      </w:r>
      <w:r w:rsidR="00CA52BF">
        <w:rPr>
          <w:rFonts w:ascii="Verdana" w:hAnsi="Verdana" w:cs="Arial"/>
          <w:color w:val="000000"/>
        </w:rPr>
        <w:t xml:space="preserve">, </w:t>
      </w:r>
      <w:r w:rsidR="00CF7551" w:rsidRPr="00B10E70">
        <w:rPr>
          <w:rFonts w:ascii="Verdana" w:hAnsi="Verdana" w:cs="Arial"/>
          <w:color w:val="000000"/>
        </w:rPr>
        <w:t xml:space="preserve">Job Aids </w:t>
      </w:r>
      <w:r w:rsidR="00CA52BF">
        <w:rPr>
          <w:rFonts w:ascii="Verdana" w:hAnsi="Verdana" w:cs="Arial"/>
          <w:color w:val="000000"/>
        </w:rPr>
        <w:t xml:space="preserve">and </w:t>
      </w:r>
      <w:r w:rsidR="00CF7551" w:rsidRPr="00B10E70">
        <w:rPr>
          <w:rFonts w:ascii="Verdana" w:hAnsi="Verdana" w:cs="Arial"/>
          <w:color w:val="000000"/>
        </w:rPr>
        <w:t>Talk Tracks</w:t>
      </w:r>
      <w:r w:rsidR="00CA52BF">
        <w:rPr>
          <w:rFonts w:ascii="Verdana" w:hAnsi="Verdana" w:cs="Arial"/>
          <w:color w:val="000000"/>
        </w:rPr>
        <w:t>.</w:t>
      </w:r>
      <w:r w:rsidR="00CF7551" w:rsidRPr="00B10E70">
        <w:rPr>
          <w:rFonts w:ascii="Verdana" w:hAnsi="Verdana" w:cs="Arial"/>
          <w:color w:val="000000"/>
        </w:rPr>
        <w:t xml:space="preserve"> </w:t>
      </w:r>
    </w:p>
    <w:p w14:paraId="4AA05438" w14:textId="77777777" w:rsidR="00326B3F" w:rsidRDefault="00326B3F" w:rsidP="00450330">
      <w:pPr>
        <w:spacing w:before="120" w:after="120"/>
        <w:rPr>
          <w:rFonts w:ascii="Verdana" w:hAnsi="Verdana"/>
          <w:color w:val="000000"/>
        </w:rPr>
      </w:pPr>
    </w:p>
    <w:p w14:paraId="5E16E4A1" w14:textId="5554F625" w:rsidR="00090ADC" w:rsidRPr="00B10E70" w:rsidRDefault="00A13C9C" w:rsidP="00450330">
      <w:pPr>
        <w:spacing w:before="120" w:after="120"/>
        <w:rPr>
          <w:rFonts w:ascii="Verdana" w:hAnsi="Verdana"/>
          <w:color w:val="000000"/>
        </w:rPr>
      </w:pPr>
      <w:r w:rsidRPr="00B10E70">
        <w:rPr>
          <w:rFonts w:ascii="Verdana" w:hAnsi="Verdana"/>
          <w:noProof/>
        </w:rPr>
        <w:drawing>
          <wp:inline distT="0" distB="0" distL="0" distR="0" wp14:anchorId="7847E741" wp14:editId="797F92A3">
            <wp:extent cx="238125" cy="209550"/>
            <wp:effectExtent l="0" t="0" r="9525" b="0"/>
            <wp:docPr id="12" name="Picture 12"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arepoint/sites/opscom/Operations%20Communication/Formatting/Icon%20-%20Important%20Inform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45D9F">
        <w:rPr>
          <w:rFonts w:ascii="Verdana" w:hAnsi="Verdana"/>
          <w:color w:val="000000"/>
        </w:rPr>
        <w:t xml:space="preserve"> </w:t>
      </w:r>
      <w:r w:rsidR="00CA52BF">
        <w:rPr>
          <w:rFonts w:ascii="Verdana" w:hAnsi="Verdana"/>
          <w:color w:val="000000"/>
        </w:rPr>
        <w:t>R</w:t>
      </w:r>
      <w:r w:rsidR="00C5683B" w:rsidRPr="00B10E70">
        <w:rPr>
          <w:rFonts w:ascii="Verdana" w:hAnsi="Verdana"/>
          <w:color w:val="000000"/>
        </w:rPr>
        <w:t xml:space="preserve">un a </w:t>
      </w:r>
      <w:r w:rsidR="00806499" w:rsidRPr="009F52D9">
        <w:rPr>
          <w:rFonts w:ascii="Verdana" w:hAnsi="Verdana"/>
        </w:rPr>
        <w:t>T</w:t>
      </w:r>
      <w:r w:rsidR="00C5683B" w:rsidRPr="009F52D9">
        <w:rPr>
          <w:rFonts w:ascii="Verdana" w:hAnsi="Verdana"/>
        </w:rPr>
        <w:t xml:space="preserve">est </w:t>
      </w:r>
      <w:r w:rsidR="00806499" w:rsidRPr="009F52D9">
        <w:rPr>
          <w:rFonts w:ascii="Verdana" w:hAnsi="Verdana"/>
        </w:rPr>
        <w:t>C</w:t>
      </w:r>
      <w:r w:rsidR="00C5683B" w:rsidRPr="009F52D9">
        <w:rPr>
          <w:rFonts w:ascii="Verdana" w:hAnsi="Verdana"/>
        </w:rPr>
        <w:t>laim</w:t>
      </w:r>
      <w:r w:rsidR="00C5683B" w:rsidRPr="00B10E70">
        <w:rPr>
          <w:rFonts w:ascii="Verdana" w:hAnsi="Verdana"/>
          <w:color w:val="000000"/>
        </w:rPr>
        <w:t xml:space="preserve"> and reference each CIF to ensure there is not a custom drug list associated for that Client.</w:t>
      </w:r>
      <w:r w:rsidR="00E43EFA">
        <w:rPr>
          <w:rFonts w:ascii="Verdana" w:hAnsi="Verdana"/>
          <w:color w:val="000000"/>
        </w:rPr>
        <w:t xml:space="preserve"> </w:t>
      </w:r>
      <w:r w:rsidR="00450330">
        <w:rPr>
          <w:rFonts w:ascii="Verdana" w:hAnsi="Verdana"/>
          <w:color w:val="000000"/>
        </w:rPr>
        <w:t xml:space="preserve"> </w:t>
      </w:r>
      <w:r w:rsidR="00E43EFA">
        <w:rPr>
          <w:rFonts w:ascii="Verdana" w:hAnsi="Verdana"/>
          <w:color w:val="000000"/>
        </w:rPr>
        <w:t xml:space="preserve">For Mail Pharmacy Technicians, refer to </w:t>
      </w:r>
      <w:hyperlink r:id="rId12" w:anchor="!/view?docid=20210eeb-7008-45fb-b816-c137dfab2be8" w:history="1">
        <w:r w:rsidR="00D73C0B">
          <w:rPr>
            <w:rStyle w:val="Hyperlink"/>
            <w:rFonts w:ascii="Verdana" w:hAnsi="Verdana"/>
          </w:rPr>
          <w:t>Performing a Drug Sub (Substitution) Search (004989)</w:t>
        </w:r>
      </w:hyperlink>
      <w:r w:rsidR="00E43EFA" w:rsidRPr="008E18DB">
        <w:rPr>
          <w:rFonts w:ascii="Verdana" w:hAnsi="Verdana"/>
          <w:color w:val="000000"/>
        </w:rPr>
        <w:t>.</w:t>
      </w:r>
      <w:r w:rsidR="00E43EFA">
        <w:rPr>
          <w:rFonts w:ascii="Verdana" w:hAnsi="Verdana"/>
          <w:color w:val="000000"/>
        </w:rPr>
        <w:t xml:space="preserve">  </w:t>
      </w:r>
    </w:p>
    <w:p w14:paraId="2F4DD3A6" w14:textId="77777777" w:rsidR="00B10E70" w:rsidRPr="00B10E70" w:rsidRDefault="00B10E70" w:rsidP="00450330">
      <w:pPr>
        <w:spacing w:before="120" w:after="120"/>
        <w:rPr>
          <w:rFonts w:ascii="Verdana" w:hAnsi="Verdana"/>
          <w:color w:val="000000"/>
        </w:rPr>
      </w:pPr>
    </w:p>
    <w:p w14:paraId="37F9487A" w14:textId="2B4CBFDF" w:rsidR="00060695" w:rsidRDefault="00970411" w:rsidP="00450330">
      <w:pPr>
        <w:spacing w:before="120" w:after="120"/>
      </w:pPr>
      <w:r>
        <w:rPr>
          <w:rFonts w:ascii="Verdana" w:hAnsi="Verdana"/>
          <w:color w:val="000000"/>
        </w:rPr>
        <w:t xml:space="preserve">Go to the </w:t>
      </w:r>
      <w:hyperlink r:id="rId13" w:history="1">
        <w:r w:rsidRPr="00970411">
          <w:rPr>
            <w:rStyle w:val="Hyperlink"/>
            <w:rFonts w:ascii="Verdana" w:hAnsi="Verdana"/>
          </w:rPr>
          <w:t>Formulary Communications Center MyLife Page</w:t>
        </w:r>
      </w:hyperlink>
      <w:r>
        <w:rPr>
          <w:rFonts w:ascii="Verdana" w:hAnsi="Verdana"/>
          <w:color w:val="000000"/>
        </w:rPr>
        <w:t xml:space="preserve"> for more information</w:t>
      </w:r>
      <w:r w:rsidR="00154195">
        <w:rPr>
          <w:rFonts w:ascii="Verdana" w:hAnsi="Verdana"/>
          <w:color w:val="000000"/>
        </w:rPr>
        <w:t xml:space="preserve"> and past drug list updates</w:t>
      </w:r>
      <w:r>
        <w:rPr>
          <w:rFonts w:ascii="Verdana" w:hAnsi="Verdana"/>
          <w:color w:val="000000"/>
        </w:rPr>
        <w:t xml:space="preserve">. </w:t>
      </w:r>
    </w:p>
    <w:p w14:paraId="47B14AAF" w14:textId="77777777" w:rsidR="001D669F" w:rsidRPr="008E54FB" w:rsidRDefault="001D669F" w:rsidP="00450330">
      <w:pPr>
        <w:spacing w:before="120" w:after="120"/>
        <w:jc w:val="right"/>
        <w:rPr>
          <w:rFonts w:ascii="Verdana" w:hAnsi="Verdana"/>
          <w:color w:val="000000"/>
        </w:rPr>
      </w:pPr>
      <w:hyperlink w:anchor="_top" w:history="1">
        <w:r w:rsidRPr="001D669F">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E43EFA" w14:paraId="29CD4B7B" w14:textId="77777777" w:rsidTr="00910663">
        <w:tc>
          <w:tcPr>
            <w:tcW w:w="5000" w:type="pct"/>
            <w:shd w:val="clear" w:color="auto" w:fill="BFBFBF"/>
          </w:tcPr>
          <w:p w14:paraId="778AFB08" w14:textId="44ED6262" w:rsidR="00E43EFA" w:rsidRPr="001B0D90" w:rsidRDefault="00E43EFA" w:rsidP="00450330">
            <w:pPr>
              <w:pStyle w:val="Heading2"/>
              <w:spacing w:before="120" w:after="120"/>
              <w:rPr>
                <w:rFonts w:ascii="Verdana" w:hAnsi="Verdana"/>
                <w:i w:val="0"/>
              </w:rPr>
            </w:pPr>
            <w:bookmarkStart w:id="1" w:name="_Toc201214731"/>
            <w:r w:rsidRPr="001B0D90">
              <w:rPr>
                <w:rFonts w:ascii="Verdana" w:hAnsi="Verdana"/>
                <w:i w:val="0"/>
              </w:rPr>
              <w:t>Formulary Lists</w:t>
            </w:r>
            <w:bookmarkEnd w:id="1"/>
            <w:r w:rsidR="00D24F41">
              <w:rPr>
                <w:rFonts w:ascii="Verdana" w:hAnsi="Verdana"/>
                <w:i w:val="0"/>
              </w:rPr>
              <w:t xml:space="preserve"> </w:t>
            </w:r>
            <w:r w:rsidR="00DC6114">
              <w:rPr>
                <w:rFonts w:ascii="Verdana" w:hAnsi="Verdana"/>
                <w:i w:val="0"/>
              </w:rPr>
              <w:t xml:space="preserve"> </w:t>
            </w:r>
          </w:p>
        </w:tc>
      </w:tr>
    </w:tbl>
    <w:p w14:paraId="43D584FA" w14:textId="0C91FAA5" w:rsidR="00E4003E" w:rsidRDefault="001A6309" w:rsidP="00450330">
      <w:pPr>
        <w:spacing w:before="120" w:after="120"/>
        <w:rPr>
          <w:rFonts w:ascii="Verdana" w:hAnsi="Verdana"/>
        </w:rPr>
      </w:pPr>
      <w:r>
        <w:rPr>
          <w:rFonts w:ascii="Verdana" w:hAnsi="Verdana"/>
          <w:noProof/>
        </w:rPr>
        <w:drawing>
          <wp:inline distT="0" distB="0" distL="0" distR="0" wp14:anchorId="211B1097" wp14:editId="617CDDDE">
            <wp:extent cx="304762" cy="304762"/>
            <wp:effectExtent l="0" t="0" r="635" b="635"/>
            <wp:docPr id="151371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19902" name="Picture 1513719902"/>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E4003E" w:rsidRPr="00121CB4">
        <w:rPr>
          <w:rFonts w:ascii="Verdana" w:hAnsi="Verdana"/>
        </w:rPr>
        <w:t>The hyperlink</w:t>
      </w:r>
      <w:r w:rsidR="00D97B4A">
        <w:rPr>
          <w:rFonts w:ascii="Verdana" w:hAnsi="Verdana"/>
        </w:rPr>
        <w:t>s</w:t>
      </w:r>
      <w:r w:rsidR="00603F5B">
        <w:rPr>
          <w:rFonts w:ascii="Verdana" w:hAnsi="Verdana"/>
        </w:rPr>
        <w:t xml:space="preserve"> below</w:t>
      </w:r>
      <w:r w:rsidR="00E4003E" w:rsidRPr="00121CB4">
        <w:rPr>
          <w:rFonts w:ascii="Verdana" w:hAnsi="Verdana"/>
        </w:rPr>
        <w:t xml:space="preserve"> provide information related to </w:t>
      </w:r>
      <w:r w:rsidR="00BD6DBD">
        <w:rPr>
          <w:rFonts w:ascii="Verdana" w:hAnsi="Verdana"/>
        </w:rPr>
        <w:t>our template Commercial</w:t>
      </w:r>
      <w:r w:rsidR="002B71ED">
        <w:rPr>
          <w:rFonts w:ascii="Verdana" w:hAnsi="Verdana"/>
        </w:rPr>
        <w:t xml:space="preserve"> </w:t>
      </w:r>
      <w:r w:rsidR="00E4003E" w:rsidRPr="00121CB4">
        <w:rPr>
          <w:rFonts w:ascii="Verdana" w:hAnsi="Verdana"/>
        </w:rPr>
        <w:t>Formular</w:t>
      </w:r>
      <w:r w:rsidR="00BD6DBD">
        <w:rPr>
          <w:rFonts w:ascii="Verdana" w:hAnsi="Verdana"/>
        </w:rPr>
        <w:t>ies</w:t>
      </w:r>
      <w:r w:rsidR="00E4003E" w:rsidRPr="00121CB4">
        <w:rPr>
          <w:rFonts w:ascii="Verdana" w:hAnsi="Verdana"/>
        </w:rPr>
        <w:t xml:space="preserve">. This is the same information as our members </w:t>
      </w:r>
      <w:r w:rsidR="00C041FD" w:rsidRPr="00121CB4">
        <w:rPr>
          <w:rFonts w:ascii="Verdana" w:hAnsi="Verdana"/>
        </w:rPr>
        <w:t>can</w:t>
      </w:r>
      <w:r w:rsidR="00E4003E" w:rsidRPr="00121CB4">
        <w:rPr>
          <w:rFonts w:ascii="Verdana" w:hAnsi="Verdana"/>
        </w:rPr>
        <w:t xml:space="preserve"> view and th</w:t>
      </w:r>
      <w:r w:rsidR="00BD6DBD">
        <w:rPr>
          <w:rFonts w:ascii="Verdana" w:hAnsi="Verdana"/>
        </w:rPr>
        <w:t>e</w:t>
      </w:r>
      <w:r w:rsidR="00E4003E" w:rsidRPr="00121CB4">
        <w:rPr>
          <w:rFonts w:ascii="Verdana" w:hAnsi="Verdana"/>
        </w:rPr>
        <w:t xml:space="preserve"> hyperlink</w:t>
      </w:r>
      <w:r w:rsidR="00BD6DBD">
        <w:rPr>
          <w:rFonts w:ascii="Verdana" w:hAnsi="Verdana"/>
        </w:rPr>
        <w:t>s</w:t>
      </w:r>
      <w:r w:rsidR="00E4003E" w:rsidRPr="00121CB4">
        <w:rPr>
          <w:rFonts w:ascii="Verdana" w:hAnsi="Verdana"/>
        </w:rPr>
        <w:t xml:space="preserve"> </w:t>
      </w:r>
      <w:r w:rsidR="00BD6DBD">
        <w:rPr>
          <w:rFonts w:ascii="Verdana" w:hAnsi="Verdana"/>
        </w:rPr>
        <w:t>are</w:t>
      </w:r>
      <w:r w:rsidR="00E4003E" w:rsidRPr="00121CB4">
        <w:rPr>
          <w:rFonts w:ascii="Verdana" w:hAnsi="Verdana"/>
        </w:rPr>
        <w:t xml:space="preserve"> provided in our member letters.</w:t>
      </w:r>
      <w:r w:rsidR="00CF5C5D">
        <w:rPr>
          <w:rFonts w:ascii="Verdana" w:hAnsi="Verdana"/>
        </w:rPr>
        <w:t xml:space="preserve"> If member’s formulary is not listed, refer to Carem</w:t>
      </w:r>
      <w:r w:rsidR="00617A1A">
        <w:rPr>
          <w:rFonts w:ascii="Verdana" w:hAnsi="Verdana"/>
        </w:rPr>
        <w:t xml:space="preserve">ark.com. </w:t>
      </w:r>
    </w:p>
    <w:p w14:paraId="0D522F90" w14:textId="77777777" w:rsidR="000C1159" w:rsidRPr="00121CB4" w:rsidRDefault="000C1159" w:rsidP="00450330">
      <w:pPr>
        <w:spacing w:before="120" w:after="120"/>
        <w:rPr>
          <w:rFonts w:ascii="Verdana" w:hAnsi="Verdana"/>
        </w:rPr>
      </w:pPr>
    </w:p>
    <w:bookmarkStart w:id="2" w:name="_Advanced_Control_Formulary"/>
    <w:bookmarkEnd w:id="2"/>
    <w:p w14:paraId="715B35BF" w14:textId="44BACB96" w:rsidR="00B40D39" w:rsidRDefault="00CD06D6" w:rsidP="00450330">
      <w:pPr>
        <w:pStyle w:val="Heading3"/>
        <w:spacing w:before="120" w:after="120"/>
      </w:pPr>
      <w:r>
        <w:fldChar w:fldCharType="begin"/>
      </w:r>
      <w:r w:rsidR="00844B16">
        <w:instrText>HYPERLINK "https://info.caremark.com/acdruglist"</w:instrText>
      </w:r>
      <w:r>
        <w:fldChar w:fldCharType="separate"/>
      </w:r>
      <w:bookmarkStart w:id="3" w:name="_Toc96525641"/>
      <w:bookmarkStart w:id="4" w:name="_Toc201214732"/>
      <w:r w:rsidR="00844B16">
        <w:rPr>
          <w:rStyle w:val="Hyperlink"/>
        </w:rPr>
        <w:t>Advanced Control Formulary (ACF)</w:t>
      </w:r>
      <w:r>
        <w:rPr>
          <w:rStyle w:val="Hyperlink"/>
        </w:rPr>
        <w:fldChar w:fldCharType="end"/>
      </w:r>
      <w:r w:rsidR="00060695">
        <w:t xml:space="preserve"> Drug Lists</w:t>
      </w:r>
      <w:bookmarkEnd w:id="3"/>
      <w:bookmarkEnd w:id="4"/>
      <w:r w:rsidR="00B40D39">
        <w:t xml:space="preserve"> </w:t>
      </w:r>
    </w:p>
    <w:p w14:paraId="6CB5D422" w14:textId="77777777" w:rsidR="00945D9F" w:rsidRDefault="00945D9F" w:rsidP="00945D9F">
      <w:pPr>
        <w:rPr>
          <w:rFonts w:ascii="Verdana" w:hAnsi="Verdana"/>
        </w:rPr>
      </w:pPr>
      <w:r>
        <w:rPr>
          <w:rFonts w:ascii="Verdana" w:hAnsi="Verdana"/>
        </w:rPr>
        <w:t>Refer to as needed:</w:t>
      </w:r>
    </w:p>
    <w:p w14:paraId="75829817" w14:textId="77777777" w:rsidR="00945D9F" w:rsidRPr="00945D9F" w:rsidRDefault="00945D9F" w:rsidP="00945D9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060695" w:rsidRPr="001B0D90" w14:paraId="4D95226C" w14:textId="77777777" w:rsidTr="00984BE8">
        <w:tc>
          <w:tcPr>
            <w:tcW w:w="1019" w:type="pct"/>
            <w:shd w:val="clear" w:color="auto" w:fill="F2F2F2"/>
          </w:tcPr>
          <w:p w14:paraId="5329D2CD" w14:textId="77777777" w:rsidR="00060695" w:rsidRPr="00AE157D" w:rsidRDefault="00060695" w:rsidP="00450330">
            <w:pPr>
              <w:spacing w:before="120" w:after="120"/>
              <w:jc w:val="center"/>
              <w:rPr>
                <w:rFonts w:ascii="Verdana" w:hAnsi="Verdana"/>
                <w:b/>
                <w:bCs/>
                <w:color w:val="000000"/>
              </w:rPr>
            </w:pPr>
            <w:r>
              <w:t xml:space="preserve"> </w:t>
            </w:r>
            <w:r>
              <w:rPr>
                <w:rFonts w:ascii="Verdana" w:hAnsi="Verdana"/>
                <w:b/>
                <w:bCs/>
                <w:color w:val="000000"/>
              </w:rPr>
              <w:t>Site Features</w:t>
            </w:r>
          </w:p>
        </w:tc>
        <w:tc>
          <w:tcPr>
            <w:tcW w:w="3981" w:type="pct"/>
            <w:shd w:val="clear" w:color="auto" w:fill="F2F2F2"/>
          </w:tcPr>
          <w:p w14:paraId="0688EA67" w14:textId="77777777" w:rsidR="00060695" w:rsidRPr="001B0D90" w:rsidRDefault="00060695" w:rsidP="00450330">
            <w:pPr>
              <w:spacing w:before="120" w:after="120"/>
              <w:jc w:val="center"/>
              <w:rPr>
                <w:rFonts w:ascii="Verdana" w:hAnsi="Verdana"/>
                <w:b/>
                <w:bCs/>
                <w:color w:val="000000"/>
              </w:rPr>
            </w:pPr>
            <w:r w:rsidRPr="001B0D90">
              <w:rPr>
                <w:rFonts w:ascii="Verdana" w:hAnsi="Verdana"/>
                <w:b/>
                <w:bCs/>
                <w:color w:val="000000"/>
              </w:rPr>
              <w:t>Description</w:t>
            </w:r>
          </w:p>
        </w:tc>
      </w:tr>
      <w:tr w:rsidR="001F644B" w:rsidRPr="001B0D90" w14:paraId="48F7BB44" w14:textId="77777777" w:rsidTr="00984BE8">
        <w:tc>
          <w:tcPr>
            <w:tcW w:w="1019" w:type="pct"/>
            <w:shd w:val="clear" w:color="auto" w:fill="auto"/>
          </w:tcPr>
          <w:p w14:paraId="3A626732" w14:textId="508E2D45" w:rsidR="001F644B" w:rsidRDefault="00AB5E56" w:rsidP="00450330">
            <w:pPr>
              <w:spacing w:before="120" w:after="120"/>
              <w:rPr>
                <w:rFonts w:ascii="Verdana" w:hAnsi="Verdana"/>
                <w:b/>
                <w:bCs/>
                <w:color w:val="000000"/>
              </w:rPr>
            </w:pPr>
            <w:r>
              <w:rPr>
                <w:rFonts w:ascii="Verdana" w:hAnsi="Verdana"/>
                <w:b/>
                <w:bCs/>
                <w:color w:val="000000"/>
              </w:rPr>
              <w:t>What is Advanced Control Formulary</w:t>
            </w:r>
            <w:r w:rsidR="00B07033">
              <w:rPr>
                <w:rFonts w:ascii="Verdana" w:hAnsi="Verdana"/>
                <w:b/>
                <w:bCs/>
                <w:color w:val="000000"/>
              </w:rPr>
              <w:t>?</w:t>
            </w:r>
          </w:p>
        </w:tc>
        <w:tc>
          <w:tcPr>
            <w:tcW w:w="3981" w:type="pct"/>
            <w:shd w:val="clear" w:color="auto" w:fill="auto"/>
          </w:tcPr>
          <w:p w14:paraId="1FD4F253" w14:textId="77777777" w:rsidR="00720B33" w:rsidRDefault="00536B09" w:rsidP="00580560">
            <w:pPr>
              <w:spacing w:before="120" w:after="120"/>
              <w:rPr>
                <w:rFonts w:ascii="Verdana" w:hAnsi="Verdana"/>
                <w:color w:val="000000"/>
              </w:rPr>
            </w:pPr>
            <w:r>
              <w:rPr>
                <w:rFonts w:ascii="Verdana" w:hAnsi="Verdana"/>
                <w:color w:val="000000"/>
              </w:rPr>
              <w:t>Advanced Control Formulary (ACF) is a managed formulary</w:t>
            </w:r>
            <w:r w:rsidR="00720B33">
              <w:rPr>
                <w:rFonts w:ascii="Verdana" w:hAnsi="Verdana"/>
                <w:color w:val="000000"/>
              </w:rPr>
              <w:t>.</w:t>
            </w:r>
          </w:p>
          <w:p w14:paraId="6C1DA960" w14:textId="58E9A05E" w:rsidR="001F644B" w:rsidRPr="001B0D90" w:rsidRDefault="00720B33">
            <w:pPr>
              <w:spacing w:before="120" w:after="120"/>
              <w:rPr>
                <w:rFonts w:ascii="Verdana" w:hAnsi="Verdana"/>
                <w:color w:val="000000"/>
              </w:rPr>
            </w:pPr>
            <w:r>
              <w:rPr>
                <w:rFonts w:ascii="Verdana" w:hAnsi="Verdana"/>
                <w:color w:val="000000"/>
              </w:rPr>
              <w:t>It integrates</w:t>
            </w:r>
            <w:r w:rsidR="00536B09">
              <w:rPr>
                <w:rFonts w:ascii="Verdana" w:hAnsi="Verdana"/>
                <w:color w:val="000000"/>
              </w:rPr>
              <w:t xml:space="preserve"> </w:t>
            </w:r>
            <w:r w:rsidR="00CD45A5">
              <w:rPr>
                <w:rFonts w:ascii="Verdana" w:hAnsi="Verdana"/>
                <w:color w:val="000000"/>
              </w:rPr>
              <w:t xml:space="preserve">Advanced Control </w:t>
            </w:r>
            <w:r w:rsidR="00536B09" w:rsidRPr="00536B09">
              <w:rPr>
                <w:rFonts w:ascii="Verdana" w:hAnsi="Verdana"/>
                <w:color w:val="000000"/>
              </w:rPr>
              <w:t xml:space="preserve">Specialty </w:t>
            </w:r>
            <w:r w:rsidR="00CD45A5">
              <w:rPr>
                <w:rFonts w:ascii="Verdana" w:hAnsi="Verdana"/>
                <w:color w:val="000000"/>
              </w:rPr>
              <w:t xml:space="preserve">Formulary </w:t>
            </w:r>
            <w:r w:rsidR="00536B09" w:rsidRPr="00536B09">
              <w:rPr>
                <w:rFonts w:ascii="Verdana" w:hAnsi="Verdana"/>
                <w:color w:val="000000"/>
              </w:rPr>
              <w:t>(ACSF) to help clients</w:t>
            </w:r>
            <w:r w:rsidR="00580560">
              <w:rPr>
                <w:rFonts w:ascii="Verdana" w:hAnsi="Verdana"/>
                <w:color w:val="000000"/>
              </w:rPr>
              <w:t xml:space="preserve"> </w:t>
            </w:r>
            <w:r w:rsidR="00536B09" w:rsidRPr="00536B09">
              <w:rPr>
                <w:rFonts w:ascii="Verdana" w:hAnsi="Verdana"/>
                <w:color w:val="000000"/>
              </w:rPr>
              <w:t>manage this high focus area of spend, including coverage based on diagnosed</w:t>
            </w:r>
            <w:r w:rsidR="00580560">
              <w:rPr>
                <w:rFonts w:ascii="Verdana" w:hAnsi="Verdana"/>
                <w:color w:val="000000"/>
              </w:rPr>
              <w:t xml:space="preserve"> </w:t>
            </w:r>
            <w:r w:rsidR="00536B09" w:rsidRPr="00536B09">
              <w:rPr>
                <w:rFonts w:ascii="Verdana" w:hAnsi="Verdana"/>
                <w:color w:val="000000"/>
              </w:rPr>
              <w:t>indication in specific specialty drug classes and the Specialty Guideline</w:t>
            </w:r>
            <w:r w:rsidR="00580560">
              <w:rPr>
                <w:rFonts w:ascii="Verdana" w:hAnsi="Verdana"/>
                <w:color w:val="000000"/>
              </w:rPr>
              <w:t xml:space="preserve"> </w:t>
            </w:r>
            <w:r w:rsidR="00536B09" w:rsidRPr="00536B09">
              <w:rPr>
                <w:rFonts w:ascii="Verdana" w:hAnsi="Verdana"/>
                <w:color w:val="000000"/>
              </w:rPr>
              <w:t xml:space="preserve">Management </w:t>
            </w:r>
            <w:r w:rsidR="00CD45A5">
              <w:rPr>
                <w:rFonts w:ascii="Verdana" w:hAnsi="Verdana"/>
                <w:color w:val="000000"/>
              </w:rPr>
              <w:t>(SGM)</w:t>
            </w:r>
            <w:r w:rsidR="003923A6">
              <w:rPr>
                <w:rFonts w:ascii="Verdana" w:hAnsi="Verdana"/>
                <w:color w:val="000000"/>
              </w:rPr>
              <w:t xml:space="preserve"> </w:t>
            </w:r>
            <w:r w:rsidR="00536B09" w:rsidRPr="00536B09">
              <w:rPr>
                <w:rFonts w:ascii="Verdana" w:hAnsi="Verdana"/>
                <w:color w:val="000000"/>
              </w:rPr>
              <w:t>with Generics First program.</w:t>
            </w:r>
          </w:p>
        </w:tc>
      </w:tr>
      <w:tr w:rsidR="00060695" w:rsidRPr="001B0D90" w14:paraId="2553CD7B" w14:textId="77777777" w:rsidTr="00984BE8">
        <w:tc>
          <w:tcPr>
            <w:tcW w:w="1019" w:type="pct"/>
            <w:shd w:val="clear" w:color="auto" w:fill="auto"/>
          </w:tcPr>
          <w:p w14:paraId="6D565B21" w14:textId="77777777" w:rsidR="00060695" w:rsidRPr="001B0D90" w:rsidRDefault="00060695" w:rsidP="00450330">
            <w:pPr>
              <w:spacing w:before="120" w:after="120"/>
              <w:rPr>
                <w:rFonts w:ascii="Verdana" w:hAnsi="Verdana"/>
                <w:b/>
                <w:bCs/>
                <w:color w:val="000000"/>
              </w:rPr>
            </w:pPr>
            <w:r>
              <w:rPr>
                <w:rFonts w:ascii="Verdana" w:hAnsi="Verdana"/>
                <w:b/>
                <w:bCs/>
                <w:color w:val="000000"/>
              </w:rPr>
              <w:t xml:space="preserve">Current </w:t>
            </w:r>
            <w:r w:rsidR="00CA52BF">
              <w:rPr>
                <w:rFonts w:ascii="Verdana" w:hAnsi="Verdana"/>
                <w:b/>
                <w:bCs/>
                <w:color w:val="000000"/>
              </w:rPr>
              <w:t xml:space="preserve">and </w:t>
            </w:r>
            <w:r>
              <w:rPr>
                <w:rFonts w:ascii="Verdana" w:hAnsi="Verdana"/>
                <w:b/>
                <w:bCs/>
                <w:color w:val="000000"/>
              </w:rPr>
              <w:t>Next Quarter Documents</w:t>
            </w:r>
          </w:p>
        </w:tc>
        <w:tc>
          <w:tcPr>
            <w:tcW w:w="3981" w:type="pct"/>
            <w:shd w:val="clear" w:color="auto" w:fill="auto"/>
          </w:tcPr>
          <w:p w14:paraId="24F2EF49" w14:textId="7E927238" w:rsidR="00060695" w:rsidRPr="001B0D90" w:rsidRDefault="00060695" w:rsidP="00450330">
            <w:pPr>
              <w:spacing w:before="120" w:after="120"/>
              <w:rPr>
                <w:rFonts w:ascii="Verdana" w:hAnsi="Verdana"/>
                <w:color w:val="000000"/>
              </w:rPr>
            </w:pPr>
            <w:r w:rsidRPr="001B0D90">
              <w:rPr>
                <w:rFonts w:ascii="Verdana" w:hAnsi="Verdana"/>
                <w:color w:val="000000"/>
              </w:rPr>
              <w:t xml:space="preserve">The </w:t>
            </w:r>
            <w:r>
              <w:rPr>
                <w:rFonts w:ascii="Verdana" w:hAnsi="Verdana"/>
                <w:b/>
                <w:bCs/>
                <w:color w:val="000000"/>
              </w:rPr>
              <w:t>list</w:t>
            </w:r>
            <w:r w:rsidRPr="001B0D90">
              <w:rPr>
                <w:rFonts w:ascii="Verdana" w:hAnsi="Verdana"/>
                <w:b/>
                <w:bCs/>
                <w:color w:val="000000"/>
              </w:rPr>
              <w:t xml:space="preserve"> </w:t>
            </w:r>
            <w:r>
              <w:rPr>
                <w:rFonts w:ascii="Verdana" w:hAnsi="Verdana"/>
                <w:color w:val="000000"/>
              </w:rPr>
              <w:t xml:space="preserve">provides hyperlinks </w:t>
            </w:r>
            <w:r w:rsidR="00EE1F88">
              <w:rPr>
                <w:rFonts w:ascii="Verdana" w:hAnsi="Verdana"/>
                <w:color w:val="000000"/>
              </w:rPr>
              <w:t xml:space="preserve">to </w:t>
            </w:r>
            <w:r>
              <w:rPr>
                <w:rFonts w:ascii="Verdana" w:hAnsi="Verdana"/>
                <w:color w:val="000000"/>
              </w:rPr>
              <w:t xml:space="preserve">current and next quarter’s alternative medications covered under your plan.    </w:t>
            </w:r>
          </w:p>
          <w:p w14:paraId="16D28562" w14:textId="63135AC6" w:rsidR="00060695" w:rsidRPr="006C6C7A" w:rsidRDefault="00060695" w:rsidP="00450330">
            <w:pPr>
              <w:spacing w:before="120" w:after="120"/>
              <w:rPr>
                <w:rFonts w:ascii="Verdana" w:hAnsi="Verdana"/>
                <w:b/>
                <w:bCs/>
                <w:color w:val="000000"/>
              </w:rPr>
            </w:pPr>
          </w:p>
        </w:tc>
      </w:tr>
    </w:tbl>
    <w:p w14:paraId="1AFEA919" w14:textId="77777777" w:rsidR="00060695" w:rsidRDefault="00060695" w:rsidP="00450330"/>
    <w:p w14:paraId="56F63691" w14:textId="54F070CF" w:rsidR="00414CE1" w:rsidRDefault="00414CE1" w:rsidP="00414CE1">
      <w:pPr>
        <w:pStyle w:val="Heading3"/>
        <w:spacing w:before="120" w:after="120"/>
      </w:pPr>
      <w:hyperlink r:id="rId15" w:history="1">
        <w:bookmarkStart w:id="5" w:name="_Toc201214733"/>
        <w:r>
          <w:rPr>
            <w:rStyle w:val="Hyperlink"/>
          </w:rPr>
          <w:t>Advanced Control Formulary</w:t>
        </w:r>
        <w:r w:rsidR="00043ECA">
          <w:rPr>
            <w:rStyle w:val="Hyperlink"/>
          </w:rPr>
          <w:t xml:space="preserve"> Chart</w:t>
        </w:r>
        <w:r>
          <w:rPr>
            <w:rStyle w:val="Hyperlink"/>
          </w:rPr>
          <w:t xml:space="preserve"> (ACF</w:t>
        </w:r>
        <w:r w:rsidR="00043ECA">
          <w:rPr>
            <w:rStyle w:val="Hyperlink"/>
          </w:rPr>
          <w:t>-Chart</w:t>
        </w:r>
        <w:r>
          <w:rPr>
            <w:rStyle w:val="Hyperlink"/>
          </w:rPr>
          <w:t>)</w:t>
        </w:r>
      </w:hyperlink>
      <w:r>
        <w:t xml:space="preserve"> Drug Lists</w:t>
      </w:r>
      <w:bookmarkEnd w:id="5"/>
      <w:r>
        <w:t xml:space="preserve"> </w:t>
      </w:r>
    </w:p>
    <w:p w14:paraId="3E982F4B" w14:textId="77777777" w:rsidR="00414CE1" w:rsidRDefault="00414CE1" w:rsidP="00414CE1">
      <w:pPr>
        <w:rPr>
          <w:rFonts w:ascii="Verdana" w:hAnsi="Verdana"/>
        </w:rPr>
      </w:pPr>
      <w:r>
        <w:rPr>
          <w:rFonts w:ascii="Verdana" w:hAnsi="Verdana"/>
        </w:rPr>
        <w:t>Refer to as needed:</w:t>
      </w:r>
    </w:p>
    <w:p w14:paraId="6F5B292F" w14:textId="77777777" w:rsidR="00414CE1" w:rsidRDefault="00414CE1" w:rsidP="00414CE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414CE1" w14:paraId="4C6A3B56" w14:textId="77777777" w:rsidTr="00414CE1">
        <w:tc>
          <w:tcPr>
            <w:tcW w:w="1019" w:type="pct"/>
            <w:tcBorders>
              <w:top w:val="single" w:sz="4" w:space="0" w:color="auto"/>
              <w:left w:val="single" w:sz="4" w:space="0" w:color="auto"/>
              <w:bottom w:val="single" w:sz="4" w:space="0" w:color="auto"/>
              <w:right w:val="single" w:sz="4" w:space="0" w:color="auto"/>
            </w:tcBorders>
            <w:shd w:val="clear" w:color="auto" w:fill="F2F2F2"/>
            <w:hideMark/>
          </w:tcPr>
          <w:p w14:paraId="1747E138" w14:textId="77777777" w:rsidR="00414CE1" w:rsidRDefault="00414CE1">
            <w:pPr>
              <w:spacing w:before="120" w:after="120"/>
              <w:jc w:val="center"/>
              <w:rPr>
                <w:rFonts w:ascii="Verdana" w:hAnsi="Verdana"/>
                <w:b/>
                <w:bCs/>
                <w:color w:val="000000"/>
              </w:rPr>
            </w:pPr>
            <w:r>
              <w:t xml:space="preserve"> </w:t>
            </w:r>
            <w:r>
              <w:rPr>
                <w:rFonts w:ascii="Verdana" w:hAnsi="Verdana"/>
                <w:b/>
                <w:bCs/>
                <w:color w:val="000000"/>
              </w:rPr>
              <w:t>Site Features</w:t>
            </w:r>
          </w:p>
        </w:tc>
        <w:tc>
          <w:tcPr>
            <w:tcW w:w="3981" w:type="pct"/>
            <w:tcBorders>
              <w:top w:val="single" w:sz="4" w:space="0" w:color="auto"/>
              <w:left w:val="single" w:sz="4" w:space="0" w:color="auto"/>
              <w:bottom w:val="single" w:sz="4" w:space="0" w:color="auto"/>
              <w:right w:val="single" w:sz="4" w:space="0" w:color="auto"/>
            </w:tcBorders>
            <w:shd w:val="clear" w:color="auto" w:fill="F2F2F2"/>
            <w:hideMark/>
          </w:tcPr>
          <w:p w14:paraId="3B97DF9C" w14:textId="77777777" w:rsidR="00414CE1" w:rsidRDefault="00414CE1">
            <w:pPr>
              <w:spacing w:before="120" w:after="120"/>
              <w:jc w:val="center"/>
              <w:rPr>
                <w:rFonts w:ascii="Verdana" w:hAnsi="Verdana"/>
                <w:b/>
                <w:bCs/>
                <w:color w:val="000000"/>
              </w:rPr>
            </w:pPr>
            <w:r>
              <w:rPr>
                <w:rFonts w:ascii="Verdana" w:hAnsi="Verdana"/>
                <w:b/>
                <w:bCs/>
                <w:color w:val="000000"/>
              </w:rPr>
              <w:t>Description</w:t>
            </w:r>
          </w:p>
        </w:tc>
      </w:tr>
      <w:tr w:rsidR="00414CE1" w14:paraId="5BE2B58F" w14:textId="77777777" w:rsidTr="00414CE1">
        <w:tc>
          <w:tcPr>
            <w:tcW w:w="1019" w:type="pct"/>
            <w:tcBorders>
              <w:top w:val="single" w:sz="4" w:space="0" w:color="auto"/>
              <w:left w:val="single" w:sz="4" w:space="0" w:color="auto"/>
              <w:bottom w:val="single" w:sz="4" w:space="0" w:color="auto"/>
              <w:right w:val="single" w:sz="4" w:space="0" w:color="auto"/>
            </w:tcBorders>
            <w:hideMark/>
          </w:tcPr>
          <w:p w14:paraId="22734004" w14:textId="39B25898" w:rsidR="00414CE1" w:rsidRDefault="00414CE1">
            <w:pPr>
              <w:spacing w:before="120" w:after="120"/>
              <w:rPr>
                <w:rFonts w:ascii="Verdana" w:hAnsi="Verdana"/>
                <w:b/>
                <w:bCs/>
                <w:color w:val="000000"/>
              </w:rPr>
            </w:pPr>
            <w:r>
              <w:rPr>
                <w:rFonts w:ascii="Verdana" w:hAnsi="Verdana"/>
                <w:b/>
                <w:bCs/>
                <w:color w:val="000000"/>
              </w:rPr>
              <w:t>What is Advanced Control Formulary</w:t>
            </w:r>
            <w:r w:rsidR="00264991">
              <w:rPr>
                <w:rFonts w:ascii="Verdana" w:hAnsi="Verdana"/>
                <w:b/>
                <w:bCs/>
                <w:color w:val="000000"/>
              </w:rPr>
              <w:t xml:space="preserve"> Chart</w:t>
            </w:r>
            <w:r w:rsidR="00E27622">
              <w:rPr>
                <w:rFonts w:ascii="Verdana" w:hAnsi="Verdana"/>
                <w:b/>
                <w:bCs/>
                <w:color w:val="000000"/>
              </w:rPr>
              <w:t xml:space="preserve">? </w:t>
            </w:r>
          </w:p>
        </w:tc>
        <w:tc>
          <w:tcPr>
            <w:tcW w:w="3981" w:type="pct"/>
            <w:tcBorders>
              <w:top w:val="single" w:sz="4" w:space="0" w:color="auto"/>
              <w:left w:val="single" w:sz="4" w:space="0" w:color="auto"/>
              <w:bottom w:val="single" w:sz="4" w:space="0" w:color="auto"/>
              <w:right w:val="single" w:sz="4" w:space="0" w:color="auto"/>
            </w:tcBorders>
            <w:hideMark/>
          </w:tcPr>
          <w:p w14:paraId="7156A90C" w14:textId="41313D10" w:rsidR="00144F6E" w:rsidRDefault="00414CE1">
            <w:pPr>
              <w:spacing w:before="120" w:after="120"/>
              <w:rPr>
                <w:rFonts w:ascii="Verdana" w:hAnsi="Verdana"/>
                <w:color w:val="000000"/>
              </w:rPr>
            </w:pPr>
            <w:r>
              <w:rPr>
                <w:rFonts w:ascii="Verdana" w:hAnsi="Verdana"/>
                <w:color w:val="000000"/>
              </w:rPr>
              <w:t>Advanced Control Formulary</w:t>
            </w:r>
            <w:r w:rsidR="00264991">
              <w:rPr>
                <w:rFonts w:ascii="Verdana" w:hAnsi="Verdana"/>
                <w:color w:val="000000"/>
              </w:rPr>
              <w:t xml:space="preserve"> Chart</w:t>
            </w:r>
            <w:r>
              <w:rPr>
                <w:rFonts w:ascii="Verdana" w:hAnsi="Verdana"/>
                <w:color w:val="000000"/>
              </w:rPr>
              <w:t xml:space="preserve"> (ACF</w:t>
            </w:r>
            <w:r w:rsidR="00264991">
              <w:rPr>
                <w:rFonts w:ascii="Verdana" w:hAnsi="Verdana"/>
                <w:color w:val="000000"/>
              </w:rPr>
              <w:t>-Chart</w:t>
            </w:r>
            <w:r>
              <w:rPr>
                <w:rFonts w:ascii="Verdana" w:hAnsi="Verdana"/>
                <w:color w:val="000000"/>
              </w:rPr>
              <w:t xml:space="preserve">) is </w:t>
            </w:r>
            <w:r w:rsidR="00B50771">
              <w:rPr>
                <w:rFonts w:ascii="Verdana" w:hAnsi="Verdana"/>
                <w:color w:val="000000"/>
              </w:rPr>
              <w:t xml:space="preserve">a managed formulary </w:t>
            </w:r>
            <w:r w:rsidR="00144F6E">
              <w:rPr>
                <w:rFonts w:ascii="Verdana" w:hAnsi="Verdana"/>
                <w:color w:val="000000"/>
              </w:rPr>
              <w:t>used by federally funded government business clients.</w:t>
            </w:r>
          </w:p>
          <w:p w14:paraId="7F5786FE" w14:textId="15BA153C" w:rsidR="00414CE1" w:rsidRDefault="00144F6E" w:rsidP="007B4371">
            <w:pPr>
              <w:spacing w:before="120" w:after="120"/>
              <w:rPr>
                <w:rFonts w:ascii="Verdana" w:hAnsi="Verdana"/>
                <w:color w:val="000000"/>
              </w:rPr>
            </w:pPr>
            <w:r>
              <w:rPr>
                <w:rFonts w:ascii="Verdana" w:hAnsi="Verdana"/>
                <w:color w:val="000000"/>
              </w:rPr>
              <w:t xml:space="preserve">It </w:t>
            </w:r>
            <w:r w:rsidR="00B50771">
              <w:rPr>
                <w:rFonts w:ascii="Verdana" w:hAnsi="Verdana"/>
                <w:color w:val="000000"/>
              </w:rPr>
              <w:t>integrates</w:t>
            </w:r>
            <w:r w:rsidR="00414CE1">
              <w:rPr>
                <w:rFonts w:ascii="Verdana" w:hAnsi="Verdana"/>
                <w:color w:val="000000"/>
              </w:rPr>
              <w:t xml:space="preserve"> Advanced Control Specialty Formulary</w:t>
            </w:r>
            <w:r w:rsidR="00316B74">
              <w:rPr>
                <w:rFonts w:ascii="Verdana" w:hAnsi="Verdana"/>
                <w:color w:val="000000"/>
              </w:rPr>
              <w:t xml:space="preserve"> </w:t>
            </w:r>
            <w:r w:rsidR="00264991">
              <w:rPr>
                <w:rFonts w:ascii="Verdana" w:hAnsi="Verdana"/>
                <w:color w:val="000000"/>
              </w:rPr>
              <w:t>Chart</w:t>
            </w:r>
            <w:r w:rsidR="00414CE1">
              <w:rPr>
                <w:rFonts w:ascii="Verdana" w:hAnsi="Verdana"/>
                <w:color w:val="000000"/>
              </w:rPr>
              <w:t xml:space="preserve"> (ACSF</w:t>
            </w:r>
            <w:r w:rsidR="00264991">
              <w:rPr>
                <w:rFonts w:ascii="Verdana" w:hAnsi="Verdana"/>
                <w:color w:val="000000"/>
              </w:rPr>
              <w:t>-Chart</w:t>
            </w:r>
            <w:r w:rsidR="00414CE1">
              <w:rPr>
                <w:rFonts w:ascii="Verdana" w:hAnsi="Verdana"/>
                <w:color w:val="000000"/>
              </w:rPr>
              <w:t>) to help</w:t>
            </w:r>
            <w:r w:rsidR="00732A36">
              <w:rPr>
                <w:rFonts w:ascii="Verdana" w:hAnsi="Verdana"/>
                <w:color w:val="000000"/>
              </w:rPr>
              <w:t xml:space="preserve"> </w:t>
            </w:r>
            <w:r w:rsidR="00414CE1">
              <w:rPr>
                <w:rFonts w:ascii="Verdana" w:hAnsi="Verdana"/>
                <w:color w:val="000000"/>
              </w:rPr>
              <w:t>manage this high focus area of spend, including coverage based on diagnosed</w:t>
            </w:r>
            <w:r w:rsidR="00043AA0">
              <w:rPr>
                <w:rFonts w:ascii="Verdana" w:hAnsi="Verdana"/>
                <w:color w:val="000000"/>
              </w:rPr>
              <w:t xml:space="preserve"> </w:t>
            </w:r>
            <w:r w:rsidR="00414CE1">
              <w:rPr>
                <w:rFonts w:ascii="Verdana" w:hAnsi="Verdana"/>
                <w:color w:val="000000"/>
              </w:rPr>
              <w:t>indication in specific specialty drug classes and the Specialty Guideline</w:t>
            </w:r>
            <w:r w:rsidR="00580560">
              <w:rPr>
                <w:rFonts w:ascii="Verdana" w:hAnsi="Verdana"/>
                <w:color w:val="000000"/>
              </w:rPr>
              <w:t xml:space="preserve"> </w:t>
            </w:r>
            <w:r w:rsidR="00414CE1">
              <w:rPr>
                <w:rFonts w:ascii="Verdana" w:hAnsi="Verdana"/>
                <w:color w:val="000000"/>
              </w:rPr>
              <w:t>Management (SGM)</w:t>
            </w:r>
            <w:r w:rsidR="003923A6">
              <w:rPr>
                <w:rFonts w:ascii="Verdana" w:hAnsi="Verdana"/>
                <w:color w:val="000000"/>
              </w:rPr>
              <w:t xml:space="preserve"> </w:t>
            </w:r>
            <w:r w:rsidR="00414CE1">
              <w:rPr>
                <w:rFonts w:ascii="Verdana" w:hAnsi="Verdana"/>
                <w:color w:val="000000"/>
              </w:rPr>
              <w:t>with Generics First program.</w:t>
            </w:r>
          </w:p>
        </w:tc>
      </w:tr>
      <w:tr w:rsidR="00414CE1" w14:paraId="4690C964" w14:textId="77777777" w:rsidTr="00414CE1">
        <w:tc>
          <w:tcPr>
            <w:tcW w:w="1019" w:type="pct"/>
            <w:tcBorders>
              <w:top w:val="single" w:sz="4" w:space="0" w:color="auto"/>
              <w:left w:val="single" w:sz="4" w:space="0" w:color="auto"/>
              <w:bottom w:val="single" w:sz="4" w:space="0" w:color="auto"/>
              <w:right w:val="single" w:sz="4" w:space="0" w:color="auto"/>
            </w:tcBorders>
            <w:hideMark/>
          </w:tcPr>
          <w:p w14:paraId="235C0F62" w14:textId="77777777" w:rsidR="00414CE1" w:rsidRDefault="00414CE1">
            <w:pPr>
              <w:spacing w:before="120" w:after="120"/>
              <w:rPr>
                <w:rFonts w:ascii="Verdana" w:hAnsi="Verdana"/>
                <w:b/>
                <w:bCs/>
                <w:color w:val="000000"/>
              </w:rPr>
            </w:pPr>
            <w:r>
              <w:rPr>
                <w:rFonts w:ascii="Verdana" w:hAnsi="Verdana"/>
                <w:b/>
                <w:bCs/>
                <w:color w:val="000000"/>
              </w:rPr>
              <w:t>Current and Next Quarter Documents</w:t>
            </w:r>
          </w:p>
        </w:tc>
        <w:tc>
          <w:tcPr>
            <w:tcW w:w="3981" w:type="pct"/>
            <w:tcBorders>
              <w:top w:val="single" w:sz="4" w:space="0" w:color="auto"/>
              <w:left w:val="single" w:sz="4" w:space="0" w:color="auto"/>
              <w:bottom w:val="single" w:sz="4" w:space="0" w:color="auto"/>
              <w:right w:val="single" w:sz="4" w:space="0" w:color="auto"/>
            </w:tcBorders>
            <w:hideMark/>
          </w:tcPr>
          <w:p w14:paraId="1DC6F3AD" w14:textId="77777777" w:rsidR="00414CE1" w:rsidRDefault="00414CE1">
            <w:pPr>
              <w:spacing w:before="120" w:after="120"/>
              <w:rPr>
                <w:rFonts w:ascii="Verdana" w:hAnsi="Verdana"/>
                <w:color w:val="000000"/>
              </w:rPr>
            </w:pPr>
            <w:r>
              <w:rPr>
                <w:rFonts w:ascii="Verdana" w:hAnsi="Verdana"/>
                <w:color w:val="000000"/>
              </w:rPr>
              <w:t xml:space="preserve">The </w:t>
            </w:r>
            <w:r>
              <w:rPr>
                <w:rFonts w:ascii="Verdana" w:hAnsi="Verdana"/>
                <w:b/>
                <w:bCs/>
                <w:color w:val="000000"/>
              </w:rPr>
              <w:t xml:space="preserve">list </w:t>
            </w:r>
            <w:r>
              <w:rPr>
                <w:rFonts w:ascii="Verdana" w:hAnsi="Verdana"/>
                <w:color w:val="000000"/>
              </w:rPr>
              <w:t xml:space="preserve">provides hyperlinks to current and next quarter’s alternative medications covered under your plan.    </w:t>
            </w:r>
          </w:p>
          <w:p w14:paraId="747EFBDA" w14:textId="77777777" w:rsidR="00414CE1" w:rsidRDefault="00414CE1">
            <w:pPr>
              <w:spacing w:before="120" w:after="120"/>
              <w:rPr>
                <w:rFonts w:ascii="Verdana" w:hAnsi="Verdana"/>
                <w:b/>
                <w:bCs/>
                <w:color w:val="000000"/>
              </w:rPr>
            </w:pPr>
          </w:p>
        </w:tc>
      </w:tr>
    </w:tbl>
    <w:p w14:paraId="0B51510C" w14:textId="2763AC83" w:rsidR="00800DCF" w:rsidRDefault="00800DCF" w:rsidP="00800DCF"/>
    <w:p w14:paraId="35DDF6D5" w14:textId="77777777" w:rsidR="00314A2F" w:rsidRDefault="00314A2F" w:rsidP="00800DCF"/>
    <w:p w14:paraId="25EE5399" w14:textId="0EFF88A0" w:rsidR="00F7314E" w:rsidRDefault="00F732AB" w:rsidP="00F7314E">
      <w:pPr>
        <w:pStyle w:val="Heading3"/>
        <w:spacing w:before="120" w:after="120"/>
      </w:pPr>
      <w:bookmarkStart w:id="6" w:name="_Toc201214734"/>
      <w:r w:rsidRPr="00E277B8">
        <w:t>Basic Control Formulary (BCF)</w:t>
      </w:r>
      <w:r w:rsidR="00F7314E">
        <w:t xml:space="preserve"> Drug Lists</w:t>
      </w:r>
      <w:bookmarkEnd w:id="6"/>
      <w:r w:rsidR="00F7314E">
        <w:t xml:space="preserve"> </w:t>
      </w:r>
    </w:p>
    <w:p w14:paraId="23C7CEE5" w14:textId="4358F4F8" w:rsidR="00E277B8" w:rsidRDefault="00E277B8" w:rsidP="00E277B8"/>
    <w:p w14:paraId="46BA9666" w14:textId="7C292854" w:rsidR="00E277B8" w:rsidRPr="00E277B8" w:rsidRDefault="00E277B8" w:rsidP="00E277B8"/>
    <w:tbl>
      <w:tblPr>
        <w:tblW w:w="4335" w:type="pct"/>
        <w:tblInd w:w="8" w:type="dxa"/>
        <w:tblCellMar>
          <w:left w:w="0" w:type="dxa"/>
          <w:right w:w="0" w:type="dxa"/>
        </w:tblCellMar>
        <w:tblLook w:val="04A0" w:firstRow="1" w:lastRow="0" w:firstColumn="1" w:lastColumn="0" w:noHBand="0" w:noVBand="1"/>
      </w:tblPr>
      <w:tblGrid>
        <w:gridCol w:w="5874"/>
        <w:gridCol w:w="3949"/>
        <w:gridCol w:w="3119"/>
      </w:tblGrid>
      <w:tr w:rsidR="00AF2F4F" w14:paraId="5F7CCD0B" w14:textId="77777777" w:rsidTr="00603F5B">
        <w:trPr>
          <w:trHeight w:val="300"/>
        </w:trPr>
        <w:tc>
          <w:tcPr>
            <w:tcW w:w="2001" w:type="pct"/>
            <w:tcBorders>
              <w:top w:val="single" w:sz="8" w:space="0" w:color="000000"/>
              <w:left w:val="nil"/>
              <w:bottom w:val="single" w:sz="8" w:space="0" w:color="000000"/>
              <w:right w:val="single" w:sz="8" w:space="0" w:color="000000"/>
            </w:tcBorders>
            <w:shd w:val="clear" w:color="auto" w:fill="D9D9D9" w:themeFill="background1" w:themeFillShade="D9"/>
            <w:noWrap/>
            <w:tcMar>
              <w:top w:w="15" w:type="dxa"/>
              <w:left w:w="108" w:type="dxa"/>
              <w:bottom w:w="15" w:type="dxa"/>
              <w:right w:w="108" w:type="dxa"/>
            </w:tcMar>
            <w:vAlign w:val="bottom"/>
            <w:hideMark/>
          </w:tcPr>
          <w:p w14:paraId="5BB392F3" w14:textId="77777777" w:rsidR="00AF2F4F" w:rsidRPr="00E277B8" w:rsidRDefault="00AF2F4F" w:rsidP="00314A2F">
            <w:pPr>
              <w:jc w:val="center"/>
              <w:rPr>
                <w:rFonts w:ascii="Verdana" w:hAnsi="Verdana"/>
                <w:b/>
                <w:bCs/>
                <w:color w:val="000000"/>
              </w:rPr>
            </w:pPr>
            <w:r w:rsidRPr="00E277B8">
              <w:rPr>
                <w:rFonts w:ascii="Verdana" w:hAnsi="Verdana"/>
                <w:b/>
                <w:bCs/>
                <w:color w:val="000000"/>
              </w:rPr>
              <w:t>Formulary Name</w:t>
            </w:r>
          </w:p>
        </w:tc>
        <w:tc>
          <w:tcPr>
            <w:tcW w:w="1680" w:type="pct"/>
            <w:tcBorders>
              <w:top w:val="single" w:sz="8" w:space="0" w:color="000000"/>
              <w:left w:val="nil"/>
              <w:bottom w:val="single" w:sz="8" w:space="0" w:color="000000"/>
              <w:right w:val="single" w:sz="8" w:space="0" w:color="000000"/>
            </w:tcBorders>
            <w:shd w:val="clear" w:color="auto" w:fill="D9D9D9" w:themeFill="background1" w:themeFillShade="D9"/>
            <w:noWrap/>
            <w:tcMar>
              <w:top w:w="15" w:type="dxa"/>
              <w:left w:w="108" w:type="dxa"/>
              <w:bottom w:w="15" w:type="dxa"/>
              <w:right w:w="108" w:type="dxa"/>
            </w:tcMar>
            <w:vAlign w:val="bottom"/>
            <w:hideMark/>
          </w:tcPr>
          <w:p w14:paraId="13195A08" w14:textId="77777777" w:rsidR="00AF2F4F" w:rsidRPr="00E277B8" w:rsidRDefault="00AF2F4F" w:rsidP="00314A2F">
            <w:pPr>
              <w:jc w:val="center"/>
              <w:rPr>
                <w:rFonts w:ascii="Verdana" w:hAnsi="Verdana"/>
                <w:b/>
                <w:bCs/>
                <w:color w:val="000000"/>
              </w:rPr>
            </w:pPr>
            <w:r w:rsidRPr="00E277B8">
              <w:rPr>
                <w:rFonts w:ascii="Verdana" w:hAnsi="Verdana"/>
                <w:b/>
                <w:bCs/>
                <w:color w:val="000000"/>
              </w:rPr>
              <w:t>Microsite URL</w:t>
            </w:r>
          </w:p>
        </w:tc>
        <w:tc>
          <w:tcPr>
            <w:tcW w:w="1319" w:type="pct"/>
            <w:tcBorders>
              <w:top w:val="single" w:sz="8" w:space="0" w:color="000000"/>
              <w:left w:val="nil"/>
              <w:bottom w:val="single" w:sz="8" w:space="0" w:color="000000"/>
              <w:right w:val="single" w:sz="8" w:space="0" w:color="000000"/>
            </w:tcBorders>
            <w:shd w:val="clear" w:color="auto" w:fill="D9D9D9" w:themeFill="background1" w:themeFillShade="D9"/>
            <w:noWrap/>
            <w:tcMar>
              <w:top w:w="15" w:type="dxa"/>
              <w:left w:w="108" w:type="dxa"/>
              <w:bottom w:w="15" w:type="dxa"/>
              <w:right w:w="108" w:type="dxa"/>
            </w:tcMar>
            <w:vAlign w:val="bottom"/>
            <w:hideMark/>
          </w:tcPr>
          <w:p w14:paraId="7C3A3069" w14:textId="77777777" w:rsidR="00AF2F4F" w:rsidRDefault="00AF2F4F" w:rsidP="00314A2F">
            <w:pPr>
              <w:jc w:val="center"/>
              <w:rPr>
                <w:rFonts w:ascii="Verdana" w:hAnsi="Verdana"/>
                <w:b/>
                <w:bCs/>
                <w:color w:val="000000"/>
              </w:rPr>
            </w:pPr>
            <w:r w:rsidRPr="00E277B8">
              <w:rPr>
                <w:rFonts w:ascii="Verdana" w:hAnsi="Verdana"/>
                <w:b/>
                <w:bCs/>
                <w:color w:val="000000"/>
              </w:rPr>
              <w:t>Vanity URL</w:t>
            </w:r>
          </w:p>
          <w:p w14:paraId="20A012C6" w14:textId="77777777" w:rsidR="00AF2F4F" w:rsidRDefault="00AF2F4F" w:rsidP="00314A2F">
            <w:pPr>
              <w:jc w:val="center"/>
              <w:rPr>
                <w:rFonts w:ascii="Verdana" w:hAnsi="Verdana"/>
                <w:b/>
                <w:bCs/>
                <w:color w:val="000000"/>
              </w:rPr>
            </w:pPr>
            <w:r>
              <w:rPr>
                <w:rFonts w:ascii="Verdana" w:hAnsi="Verdana"/>
                <w:b/>
                <w:bCs/>
                <w:color w:val="000000"/>
              </w:rPr>
              <w:t xml:space="preserve">(Web address that is branded </w:t>
            </w:r>
          </w:p>
          <w:p w14:paraId="4B28D109" w14:textId="77E829FF" w:rsidR="00AF2F4F" w:rsidRDefault="00AF2F4F" w:rsidP="00314A2F">
            <w:pPr>
              <w:jc w:val="center"/>
              <w:rPr>
                <w:rFonts w:ascii="Verdana" w:hAnsi="Verdana"/>
                <w:b/>
                <w:bCs/>
                <w:color w:val="000000"/>
              </w:rPr>
            </w:pPr>
            <w:r>
              <w:rPr>
                <w:rFonts w:ascii="Verdana" w:hAnsi="Verdana"/>
                <w:b/>
                <w:bCs/>
                <w:color w:val="000000"/>
              </w:rPr>
              <w:t xml:space="preserve">for </w:t>
            </w:r>
          </w:p>
          <w:p w14:paraId="4E9FB202" w14:textId="7C43ABF5" w:rsidR="00AF2F4F" w:rsidRPr="00E277B8" w:rsidRDefault="00AF2F4F" w:rsidP="00314A2F">
            <w:pPr>
              <w:jc w:val="center"/>
              <w:rPr>
                <w:rFonts w:ascii="Verdana" w:hAnsi="Verdana"/>
                <w:b/>
                <w:bCs/>
                <w:color w:val="000000"/>
              </w:rPr>
            </w:pPr>
            <w:r>
              <w:rPr>
                <w:rFonts w:ascii="Verdana" w:hAnsi="Verdana"/>
                <w:b/>
                <w:bCs/>
                <w:color w:val="000000"/>
              </w:rPr>
              <w:t>marketing purposes)</w:t>
            </w:r>
          </w:p>
        </w:tc>
      </w:tr>
      <w:tr w:rsidR="00AF2F4F" w14:paraId="35DB3EA4" w14:textId="77777777" w:rsidTr="00603F5B">
        <w:trPr>
          <w:trHeight w:val="300"/>
        </w:trPr>
        <w:tc>
          <w:tcPr>
            <w:tcW w:w="2001" w:type="pct"/>
            <w:tcBorders>
              <w:top w:val="nil"/>
              <w:left w:val="nil"/>
              <w:bottom w:val="single" w:sz="8" w:space="0" w:color="000000"/>
              <w:right w:val="single" w:sz="8" w:space="0" w:color="000000"/>
            </w:tcBorders>
            <w:noWrap/>
            <w:tcMar>
              <w:top w:w="15" w:type="dxa"/>
              <w:left w:w="108" w:type="dxa"/>
              <w:bottom w:w="15" w:type="dxa"/>
              <w:right w:w="108" w:type="dxa"/>
            </w:tcMar>
            <w:vAlign w:val="bottom"/>
            <w:hideMark/>
          </w:tcPr>
          <w:p w14:paraId="2710EADD" w14:textId="77777777" w:rsidR="00AF2F4F" w:rsidRPr="00E277B8" w:rsidRDefault="00AF2F4F">
            <w:pPr>
              <w:rPr>
                <w:rFonts w:ascii="Verdana" w:hAnsi="Verdana"/>
                <w:color w:val="000000"/>
              </w:rPr>
            </w:pPr>
            <w:r w:rsidRPr="00E277B8">
              <w:rPr>
                <w:rFonts w:ascii="Verdana" w:hAnsi="Verdana"/>
                <w:color w:val="000000"/>
              </w:rPr>
              <w:t>Basic Control Formulary</w:t>
            </w:r>
          </w:p>
        </w:tc>
        <w:tc>
          <w:tcPr>
            <w:tcW w:w="1680" w:type="pct"/>
            <w:tcBorders>
              <w:top w:val="nil"/>
              <w:left w:val="nil"/>
              <w:bottom w:val="single" w:sz="8" w:space="0" w:color="000000"/>
              <w:right w:val="single" w:sz="8" w:space="0" w:color="000000"/>
            </w:tcBorders>
            <w:noWrap/>
            <w:tcMar>
              <w:top w:w="15" w:type="dxa"/>
              <w:left w:w="108" w:type="dxa"/>
              <w:bottom w:w="15" w:type="dxa"/>
              <w:right w:w="108" w:type="dxa"/>
            </w:tcMar>
            <w:vAlign w:val="bottom"/>
            <w:hideMark/>
          </w:tcPr>
          <w:p w14:paraId="4F0EDCE7" w14:textId="77777777" w:rsidR="00AF2F4F" w:rsidRPr="00E277B8" w:rsidRDefault="00AF2F4F">
            <w:pPr>
              <w:rPr>
                <w:rFonts w:ascii="Verdana" w:hAnsi="Verdana"/>
                <w:color w:val="0563C1"/>
                <w:u w:val="single"/>
              </w:rPr>
            </w:pPr>
            <w:hyperlink r:id="rId16" w:history="1">
              <w:r w:rsidRPr="00E277B8">
                <w:rPr>
                  <w:rStyle w:val="Hyperlink"/>
                  <w:rFonts w:ascii="Verdana" w:hAnsi="Verdana"/>
                </w:rPr>
                <w:t>https://Info.caremark.com/dig/basiccontrol</w:t>
              </w:r>
            </w:hyperlink>
          </w:p>
        </w:tc>
        <w:tc>
          <w:tcPr>
            <w:tcW w:w="1319" w:type="pct"/>
            <w:tcBorders>
              <w:top w:val="nil"/>
              <w:left w:val="nil"/>
              <w:bottom w:val="single" w:sz="8" w:space="0" w:color="000000"/>
              <w:right w:val="single" w:sz="8" w:space="0" w:color="000000"/>
            </w:tcBorders>
            <w:noWrap/>
            <w:tcMar>
              <w:top w:w="15" w:type="dxa"/>
              <w:left w:w="108" w:type="dxa"/>
              <w:bottom w:w="15" w:type="dxa"/>
              <w:right w:w="108" w:type="dxa"/>
            </w:tcMar>
            <w:vAlign w:val="bottom"/>
            <w:hideMark/>
          </w:tcPr>
          <w:p w14:paraId="083D61BD" w14:textId="77777777" w:rsidR="00AF2F4F" w:rsidRPr="00E277B8" w:rsidRDefault="00AF2F4F">
            <w:pPr>
              <w:rPr>
                <w:rFonts w:ascii="Verdana" w:hAnsi="Verdana"/>
                <w:color w:val="0563C1"/>
                <w:u w:val="single"/>
              </w:rPr>
            </w:pPr>
            <w:hyperlink r:id="rId17" w:history="1">
              <w:r w:rsidRPr="00E277B8">
                <w:rPr>
                  <w:rStyle w:val="Hyperlink"/>
                  <w:rFonts w:ascii="Verdana" w:hAnsi="Verdana"/>
                </w:rPr>
                <w:t>www.caremark.com/basiccontrol</w:t>
              </w:r>
            </w:hyperlink>
          </w:p>
        </w:tc>
      </w:tr>
      <w:tr w:rsidR="00AF2F4F" w14:paraId="4B792205" w14:textId="77777777" w:rsidTr="00603F5B">
        <w:trPr>
          <w:trHeight w:val="300"/>
        </w:trPr>
        <w:tc>
          <w:tcPr>
            <w:tcW w:w="2001" w:type="pct"/>
            <w:tcBorders>
              <w:top w:val="nil"/>
              <w:left w:val="nil"/>
              <w:bottom w:val="single" w:sz="8" w:space="0" w:color="000000"/>
              <w:right w:val="single" w:sz="8" w:space="0" w:color="000000"/>
            </w:tcBorders>
            <w:noWrap/>
            <w:tcMar>
              <w:top w:w="15" w:type="dxa"/>
              <w:left w:w="108" w:type="dxa"/>
              <w:bottom w:w="15" w:type="dxa"/>
              <w:right w:w="108" w:type="dxa"/>
            </w:tcMar>
            <w:vAlign w:val="bottom"/>
            <w:hideMark/>
          </w:tcPr>
          <w:p w14:paraId="6D2948E9" w14:textId="22192099" w:rsidR="00AF2F4F" w:rsidRPr="00E277B8" w:rsidRDefault="00AF2F4F">
            <w:pPr>
              <w:rPr>
                <w:rFonts w:ascii="Verdana" w:hAnsi="Verdana"/>
                <w:color w:val="000000"/>
              </w:rPr>
            </w:pPr>
            <w:r w:rsidRPr="00E277B8">
              <w:rPr>
                <w:rFonts w:ascii="Verdana" w:hAnsi="Verdana"/>
                <w:color w:val="000000"/>
              </w:rPr>
              <w:t>Basic Control Formulary Chart</w:t>
            </w:r>
          </w:p>
        </w:tc>
        <w:tc>
          <w:tcPr>
            <w:tcW w:w="1680" w:type="pct"/>
            <w:tcBorders>
              <w:top w:val="nil"/>
              <w:left w:val="nil"/>
              <w:bottom w:val="single" w:sz="8" w:space="0" w:color="000000"/>
              <w:right w:val="single" w:sz="8" w:space="0" w:color="000000"/>
            </w:tcBorders>
            <w:noWrap/>
            <w:tcMar>
              <w:top w:w="15" w:type="dxa"/>
              <w:left w:w="108" w:type="dxa"/>
              <w:bottom w:w="15" w:type="dxa"/>
              <w:right w:w="108" w:type="dxa"/>
            </w:tcMar>
            <w:vAlign w:val="bottom"/>
            <w:hideMark/>
          </w:tcPr>
          <w:p w14:paraId="63DF171E" w14:textId="77777777" w:rsidR="00AF2F4F" w:rsidRPr="00E277B8" w:rsidRDefault="00AF2F4F">
            <w:pPr>
              <w:rPr>
                <w:rFonts w:ascii="Verdana" w:hAnsi="Verdana"/>
                <w:color w:val="0563C1"/>
                <w:u w:val="single"/>
              </w:rPr>
            </w:pPr>
            <w:hyperlink r:id="rId18" w:history="1">
              <w:r w:rsidRPr="00E277B8">
                <w:rPr>
                  <w:rStyle w:val="Hyperlink"/>
                  <w:rFonts w:ascii="Verdana" w:hAnsi="Verdana"/>
                </w:rPr>
                <w:t>https://Info.caremark.com/dig/basiccontrolg</w:t>
              </w:r>
            </w:hyperlink>
          </w:p>
        </w:tc>
        <w:tc>
          <w:tcPr>
            <w:tcW w:w="1319" w:type="pct"/>
            <w:tcBorders>
              <w:top w:val="nil"/>
              <w:left w:val="nil"/>
              <w:bottom w:val="single" w:sz="8" w:space="0" w:color="000000"/>
              <w:right w:val="single" w:sz="8" w:space="0" w:color="000000"/>
            </w:tcBorders>
            <w:noWrap/>
            <w:tcMar>
              <w:top w:w="15" w:type="dxa"/>
              <w:left w:w="108" w:type="dxa"/>
              <w:bottom w:w="15" w:type="dxa"/>
              <w:right w:w="108" w:type="dxa"/>
            </w:tcMar>
            <w:vAlign w:val="bottom"/>
            <w:hideMark/>
          </w:tcPr>
          <w:p w14:paraId="0086B923" w14:textId="77777777" w:rsidR="00AF2F4F" w:rsidRPr="00E277B8" w:rsidRDefault="00AF2F4F">
            <w:pPr>
              <w:rPr>
                <w:rFonts w:ascii="Verdana" w:hAnsi="Verdana"/>
                <w:color w:val="0563C1"/>
                <w:u w:val="single"/>
              </w:rPr>
            </w:pPr>
            <w:hyperlink r:id="rId19" w:history="1">
              <w:r w:rsidRPr="00E277B8">
                <w:rPr>
                  <w:rStyle w:val="Hyperlink"/>
                  <w:rFonts w:ascii="Verdana" w:hAnsi="Verdana"/>
                </w:rPr>
                <w:t>www.caremark.com/basiccontrolg</w:t>
              </w:r>
            </w:hyperlink>
          </w:p>
        </w:tc>
      </w:tr>
      <w:tr w:rsidR="00AF2F4F" w14:paraId="40602DFD" w14:textId="77777777" w:rsidTr="00603F5B">
        <w:trPr>
          <w:trHeight w:val="300"/>
        </w:trPr>
        <w:tc>
          <w:tcPr>
            <w:tcW w:w="2001" w:type="pct"/>
            <w:tcBorders>
              <w:top w:val="nil"/>
              <w:left w:val="nil"/>
              <w:bottom w:val="single" w:sz="8" w:space="0" w:color="000000"/>
              <w:right w:val="single" w:sz="8" w:space="0" w:color="000000"/>
            </w:tcBorders>
            <w:noWrap/>
            <w:tcMar>
              <w:top w:w="15" w:type="dxa"/>
              <w:left w:w="108" w:type="dxa"/>
              <w:bottom w:w="15" w:type="dxa"/>
              <w:right w:w="108" w:type="dxa"/>
            </w:tcMar>
            <w:vAlign w:val="bottom"/>
            <w:hideMark/>
          </w:tcPr>
          <w:p w14:paraId="0378005C" w14:textId="77777777" w:rsidR="00AF2F4F" w:rsidRPr="00E277B8" w:rsidRDefault="00AF2F4F">
            <w:pPr>
              <w:rPr>
                <w:rFonts w:ascii="Verdana" w:hAnsi="Verdana"/>
                <w:color w:val="000000"/>
              </w:rPr>
            </w:pPr>
            <w:r w:rsidRPr="00E277B8">
              <w:rPr>
                <w:rFonts w:ascii="Verdana" w:hAnsi="Verdana"/>
                <w:color w:val="000000"/>
              </w:rPr>
              <w:t>Basic Control Formulary with Advanced Control Specialty Formulary</w:t>
            </w:r>
          </w:p>
        </w:tc>
        <w:tc>
          <w:tcPr>
            <w:tcW w:w="1680" w:type="pct"/>
            <w:tcBorders>
              <w:top w:val="nil"/>
              <w:left w:val="nil"/>
              <w:bottom w:val="single" w:sz="8" w:space="0" w:color="000000"/>
              <w:right w:val="single" w:sz="8" w:space="0" w:color="000000"/>
            </w:tcBorders>
            <w:noWrap/>
            <w:tcMar>
              <w:top w:w="15" w:type="dxa"/>
              <w:left w:w="108" w:type="dxa"/>
              <w:bottom w:w="15" w:type="dxa"/>
              <w:right w:w="108" w:type="dxa"/>
            </w:tcMar>
            <w:vAlign w:val="bottom"/>
            <w:hideMark/>
          </w:tcPr>
          <w:p w14:paraId="2DB275C8" w14:textId="77777777" w:rsidR="00AF2F4F" w:rsidRPr="00E277B8" w:rsidRDefault="00AF2F4F">
            <w:pPr>
              <w:rPr>
                <w:rFonts w:ascii="Verdana" w:hAnsi="Verdana"/>
                <w:color w:val="0563C1"/>
                <w:u w:val="single"/>
              </w:rPr>
            </w:pPr>
            <w:hyperlink r:id="rId20" w:history="1">
              <w:r w:rsidRPr="00E277B8">
                <w:rPr>
                  <w:rStyle w:val="Hyperlink"/>
                  <w:rFonts w:ascii="Verdana" w:hAnsi="Verdana"/>
                </w:rPr>
                <w:t>https://Info.caremark.com/dig/basiccontrolacsf</w:t>
              </w:r>
            </w:hyperlink>
          </w:p>
        </w:tc>
        <w:tc>
          <w:tcPr>
            <w:tcW w:w="1319" w:type="pct"/>
            <w:tcBorders>
              <w:top w:val="nil"/>
              <w:left w:val="nil"/>
              <w:bottom w:val="single" w:sz="8" w:space="0" w:color="000000"/>
              <w:right w:val="single" w:sz="8" w:space="0" w:color="000000"/>
            </w:tcBorders>
            <w:noWrap/>
            <w:tcMar>
              <w:top w:w="15" w:type="dxa"/>
              <w:left w:w="108" w:type="dxa"/>
              <w:bottom w:w="15" w:type="dxa"/>
              <w:right w:w="108" w:type="dxa"/>
            </w:tcMar>
            <w:vAlign w:val="bottom"/>
            <w:hideMark/>
          </w:tcPr>
          <w:p w14:paraId="325D4D03" w14:textId="77777777" w:rsidR="00AF2F4F" w:rsidRPr="00E277B8" w:rsidRDefault="00AF2F4F">
            <w:pPr>
              <w:rPr>
                <w:rFonts w:ascii="Verdana" w:hAnsi="Verdana"/>
                <w:color w:val="0563C1"/>
                <w:u w:val="single"/>
              </w:rPr>
            </w:pPr>
            <w:hyperlink r:id="rId21" w:history="1">
              <w:r w:rsidRPr="00E277B8">
                <w:rPr>
                  <w:rStyle w:val="Hyperlink"/>
                  <w:rFonts w:ascii="Verdana" w:hAnsi="Verdana"/>
                </w:rPr>
                <w:t>www.caremark.com/basiccontrolacsf</w:t>
              </w:r>
            </w:hyperlink>
          </w:p>
        </w:tc>
      </w:tr>
      <w:tr w:rsidR="00AF2F4F" w14:paraId="05A121D7" w14:textId="77777777" w:rsidTr="00603F5B">
        <w:trPr>
          <w:trHeight w:val="300"/>
        </w:trPr>
        <w:tc>
          <w:tcPr>
            <w:tcW w:w="2001" w:type="pct"/>
            <w:tcBorders>
              <w:top w:val="nil"/>
              <w:left w:val="nil"/>
              <w:bottom w:val="single" w:sz="8" w:space="0" w:color="000000"/>
              <w:right w:val="single" w:sz="8" w:space="0" w:color="000000"/>
            </w:tcBorders>
            <w:noWrap/>
            <w:tcMar>
              <w:top w:w="15" w:type="dxa"/>
              <w:left w:w="108" w:type="dxa"/>
              <w:bottom w:w="15" w:type="dxa"/>
              <w:right w:w="108" w:type="dxa"/>
            </w:tcMar>
            <w:vAlign w:val="bottom"/>
            <w:hideMark/>
          </w:tcPr>
          <w:p w14:paraId="26BD02B7" w14:textId="77777777" w:rsidR="00AF2F4F" w:rsidRPr="00E277B8" w:rsidRDefault="00AF2F4F">
            <w:pPr>
              <w:rPr>
                <w:rFonts w:ascii="Verdana" w:hAnsi="Verdana"/>
                <w:color w:val="000000"/>
              </w:rPr>
            </w:pPr>
            <w:r w:rsidRPr="00E277B8">
              <w:rPr>
                <w:rFonts w:ascii="Verdana" w:hAnsi="Verdana"/>
                <w:color w:val="000000"/>
              </w:rPr>
              <w:t>Chart Basic Control Formulary with Advanced Control Specialty Formulary</w:t>
            </w:r>
          </w:p>
        </w:tc>
        <w:tc>
          <w:tcPr>
            <w:tcW w:w="1680" w:type="pct"/>
            <w:tcBorders>
              <w:top w:val="nil"/>
              <w:left w:val="nil"/>
              <w:bottom w:val="single" w:sz="8" w:space="0" w:color="000000"/>
              <w:right w:val="single" w:sz="8" w:space="0" w:color="000000"/>
            </w:tcBorders>
            <w:noWrap/>
            <w:tcMar>
              <w:top w:w="15" w:type="dxa"/>
              <w:left w:w="108" w:type="dxa"/>
              <w:bottom w:w="15" w:type="dxa"/>
              <w:right w:w="108" w:type="dxa"/>
            </w:tcMar>
            <w:vAlign w:val="bottom"/>
            <w:hideMark/>
          </w:tcPr>
          <w:p w14:paraId="3C1DE067" w14:textId="77777777" w:rsidR="00AF2F4F" w:rsidRPr="00E277B8" w:rsidRDefault="00AF2F4F">
            <w:pPr>
              <w:rPr>
                <w:rFonts w:ascii="Verdana" w:hAnsi="Verdana"/>
                <w:color w:val="0563C1"/>
                <w:u w:val="single"/>
              </w:rPr>
            </w:pPr>
            <w:hyperlink r:id="rId22" w:history="1">
              <w:r w:rsidRPr="00E277B8">
                <w:rPr>
                  <w:rStyle w:val="Hyperlink"/>
                  <w:rFonts w:ascii="Verdana" w:hAnsi="Verdana"/>
                </w:rPr>
                <w:t>https://Info.caremark.com/dig/basiccontrolacsfg</w:t>
              </w:r>
            </w:hyperlink>
          </w:p>
        </w:tc>
        <w:tc>
          <w:tcPr>
            <w:tcW w:w="1319" w:type="pct"/>
            <w:tcBorders>
              <w:top w:val="nil"/>
              <w:left w:val="nil"/>
              <w:bottom w:val="single" w:sz="8" w:space="0" w:color="000000"/>
              <w:right w:val="single" w:sz="8" w:space="0" w:color="000000"/>
            </w:tcBorders>
            <w:noWrap/>
            <w:tcMar>
              <w:top w:w="15" w:type="dxa"/>
              <w:left w:w="108" w:type="dxa"/>
              <w:bottom w:w="15" w:type="dxa"/>
              <w:right w:w="108" w:type="dxa"/>
            </w:tcMar>
            <w:vAlign w:val="bottom"/>
            <w:hideMark/>
          </w:tcPr>
          <w:p w14:paraId="6136928D" w14:textId="77777777" w:rsidR="00AF2F4F" w:rsidRPr="00E277B8" w:rsidRDefault="00AF2F4F">
            <w:pPr>
              <w:rPr>
                <w:rFonts w:ascii="Verdana" w:hAnsi="Verdana"/>
                <w:color w:val="0563C1"/>
                <w:u w:val="single"/>
              </w:rPr>
            </w:pPr>
            <w:hyperlink r:id="rId23" w:history="1">
              <w:r w:rsidRPr="00E277B8">
                <w:rPr>
                  <w:rStyle w:val="Hyperlink"/>
                  <w:rFonts w:ascii="Verdana" w:hAnsi="Verdana"/>
                </w:rPr>
                <w:t>www.caremark.com/basiccontrolacsfg</w:t>
              </w:r>
            </w:hyperlink>
          </w:p>
        </w:tc>
      </w:tr>
    </w:tbl>
    <w:p w14:paraId="32AFB5F1" w14:textId="2EA0C2B6" w:rsidR="00F732AB" w:rsidRDefault="00F732AB" w:rsidP="00F732AB"/>
    <w:p w14:paraId="685A802E" w14:textId="77777777" w:rsidR="00F732AB" w:rsidRPr="00F732AB" w:rsidRDefault="00F732AB" w:rsidP="00E277B8"/>
    <w:p w14:paraId="4309D5EB" w14:textId="77777777" w:rsidR="00F7314E" w:rsidRDefault="00F7314E" w:rsidP="00F7314E">
      <w:pPr>
        <w:rPr>
          <w:rFonts w:ascii="Verdana" w:hAnsi="Verdana"/>
        </w:rPr>
      </w:pPr>
      <w:r>
        <w:rPr>
          <w:rFonts w:ascii="Verdana" w:hAnsi="Verdana"/>
        </w:rPr>
        <w:t>Refer to as needed:</w:t>
      </w:r>
    </w:p>
    <w:p w14:paraId="6B608132" w14:textId="77777777" w:rsidR="00F7314E" w:rsidRDefault="00F7314E" w:rsidP="00F7314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F7314E" w14:paraId="06700F07" w14:textId="77777777" w:rsidTr="00650C34">
        <w:tc>
          <w:tcPr>
            <w:tcW w:w="1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49396C" w14:textId="77777777" w:rsidR="00F7314E" w:rsidRDefault="00F7314E">
            <w:pPr>
              <w:spacing w:before="120" w:after="120"/>
              <w:jc w:val="center"/>
              <w:rPr>
                <w:rFonts w:ascii="Verdana" w:hAnsi="Verdana"/>
                <w:b/>
                <w:bCs/>
                <w:color w:val="000000"/>
              </w:rPr>
            </w:pPr>
            <w:r>
              <w:t xml:space="preserve"> </w:t>
            </w:r>
            <w:r>
              <w:rPr>
                <w:rFonts w:ascii="Verdana" w:hAnsi="Verdana"/>
                <w:b/>
                <w:bCs/>
                <w:color w:val="000000"/>
              </w:rPr>
              <w:t>Site Features</w:t>
            </w:r>
          </w:p>
        </w:tc>
        <w:tc>
          <w:tcPr>
            <w:tcW w:w="398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2CD18E" w14:textId="77777777" w:rsidR="00F7314E" w:rsidRDefault="00F7314E">
            <w:pPr>
              <w:spacing w:before="120" w:after="120"/>
              <w:jc w:val="center"/>
              <w:rPr>
                <w:rFonts w:ascii="Verdana" w:hAnsi="Verdana"/>
                <w:b/>
                <w:bCs/>
                <w:color w:val="000000"/>
              </w:rPr>
            </w:pPr>
            <w:r>
              <w:rPr>
                <w:rFonts w:ascii="Verdana" w:hAnsi="Verdana"/>
                <w:b/>
                <w:bCs/>
                <w:color w:val="000000"/>
              </w:rPr>
              <w:t>Description</w:t>
            </w:r>
          </w:p>
        </w:tc>
      </w:tr>
      <w:tr w:rsidR="00F7314E" w14:paraId="0BC40221" w14:textId="77777777" w:rsidTr="00F7314E">
        <w:tc>
          <w:tcPr>
            <w:tcW w:w="1019" w:type="pct"/>
            <w:tcBorders>
              <w:top w:val="single" w:sz="4" w:space="0" w:color="auto"/>
              <w:left w:val="single" w:sz="4" w:space="0" w:color="auto"/>
              <w:bottom w:val="single" w:sz="4" w:space="0" w:color="auto"/>
              <w:right w:val="single" w:sz="4" w:space="0" w:color="auto"/>
            </w:tcBorders>
            <w:hideMark/>
          </w:tcPr>
          <w:p w14:paraId="13FD3C3D" w14:textId="58DA721D" w:rsidR="00F7314E" w:rsidRDefault="00F7314E">
            <w:pPr>
              <w:spacing w:before="120" w:after="120"/>
              <w:rPr>
                <w:rFonts w:ascii="Verdana" w:hAnsi="Verdana"/>
                <w:b/>
                <w:bCs/>
                <w:color w:val="000000"/>
              </w:rPr>
            </w:pPr>
            <w:r>
              <w:rPr>
                <w:rFonts w:ascii="Verdana" w:hAnsi="Verdana"/>
                <w:b/>
                <w:bCs/>
                <w:color w:val="000000"/>
              </w:rPr>
              <w:t xml:space="preserve">What is </w:t>
            </w:r>
            <w:r w:rsidR="00850440">
              <w:rPr>
                <w:rFonts w:ascii="Verdana" w:hAnsi="Verdana"/>
                <w:b/>
                <w:bCs/>
                <w:color w:val="000000"/>
              </w:rPr>
              <w:t>Basic</w:t>
            </w:r>
            <w:r>
              <w:rPr>
                <w:rFonts w:ascii="Verdana" w:hAnsi="Verdana"/>
                <w:b/>
                <w:bCs/>
                <w:color w:val="000000"/>
              </w:rPr>
              <w:t xml:space="preserve"> Control Formulary</w:t>
            </w:r>
            <w:r w:rsidR="00E27622">
              <w:rPr>
                <w:rFonts w:ascii="Verdana" w:hAnsi="Verdana"/>
                <w:b/>
                <w:bCs/>
                <w:color w:val="000000"/>
              </w:rPr>
              <w:t xml:space="preserve">? </w:t>
            </w:r>
          </w:p>
        </w:tc>
        <w:tc>
          <w:tcPr>
            <w:tcW w:w="3981" w:type="pct"/>
            <w:tcBorders>
              <w:top w:val="single" w:sz="4" w:space="0" w:color="auto"/>
              <w:left w:val="single" w:sz="4" w:space="0" w:color="auto"/>
              <w:bottom w:val="single" w:sz="4" w:space="0" w:color="auto"/>
              <w:right w:val="single" w:sz="4" w:space="0" w:color="auto"/>
            </w:tcBorders>
            <w:hideMark/>
          </w:tcPr>
          <w:p w14:paraId="5BF9732A" w14:textId="1666EB9E" w:rsidR="00F7314E" w:rsidRDefault="00B3438B" w:rsidP="00B3438B">
            <w:pPr>
              <w:spacing w:before="120" w:after="120"/>
              <w:rPr>
                <w:rFonts w:ascii="Verdana" w:hAnsi="Verdana"/>
                <w:color w:val="000000"/>
              </w:rPr>
            </w:pPr>
            <w:r w:rsidRPr="00B3438B">
              <w:rPr>
                <w:rFonts w:ascii="Verdana" w:hAnsi="Verdana"/>
                <w:color w:val="000000"/>
              </w:rPr>
              <w:t>Basic Control Formulary is an open formulary with required UM edits on select drug</w:t>
            </w:r>
            <w:r w:rsidR="00580560">
              <w:rPr>
                <w:rFonts w:ascii="Verdana" w:hAnsi="Verdana"/>
                <w:color w:val="000000"/>
              </w:rPr>
              <w:t xml:space="preserve"> </w:t>
            </w:r>
            <w:r w:rsidRPr="00B3438B">
              <w:rPr>
                <w:rFonts w:ascii="Verdana" w:hAnsi="Verdana"/>
                <w:color w:val="000000"/>
              </w:rPr>
              <w:t>classes to generate additional rebate value, but limited member disruption compared</w:t>
            </w:r>
            <w:r>
              <w:rPr>
                <w:rFonts w:ascii="Verdana" w:hAnsi="Verdana"/>
                <w:color w:val="000000"/>
              </w:rPr>
              <w:t xml:space="preserve"> </w:t>
            </w:r>
            <w:r w:rsidRPr="00B3438B">
              <w:rPr>
                <w:rFonts w:ascii="Verdana" w:hAnsi="Verdana"/>
                <w:color w:val="000000"/>
              </w:rPr>
              <w:t>to an exclusionary formulary (</w:t>
            </w:r>
            <w:r w:rsidR="00C812AE" w:rsidRPr="00C812AE">
              <w:rPr>
                <w:rFonts w:ascii="Verdana" w:hAnsi="Verdana"/>
                <w:b/>
                <w:bCs/>
                <w:color w:val="000000"/>
              </w:rPr>
              <w:t>Example</w:t>
            </w:r>
            <w:r w:rsidR="00E83DC3">
              <w:rPr>
                <w:rFonts w:ascii="Verdana" w:hAnsi="Verdana"/>
                <w:b/>
                <w:bCs/>
                <w:color w:val="000000"/>
              </w:rPr>
              <w:t xml:space="preserve">: </w:t>
            </w:r>
            <w:r w:rsidRPr="00B3438B">
              <w:rPr>
                <w:rFonts w:ascii="Verdana" w:hAnsi="Verdana"/>
                <w:color w:val="000000"/>
              </w:rPr>
              <w:t>Standard Control)</w:t>
            </w:r>
          </w:p>
        </w:tc>
      </w:tr>
      <w:tr w:rsidR="00F7314E" w14:paraId="13A05478" w14:textId="77777777" w:rsidTr="00F7314E">
        <w:tc>
          <w:tcPr>
            <w:tcW w:w="1019" w:type="pct"/>
            <w:tcBorders>
              <w:top w:val="single" w:sz="4" w:space="0" w:color="auto"/>
              <w:left w:val="single" w:sz="4" w:space="0" w:color="auto"/>
              <w:bottom w:val="single" w:sz="4" w:space="0" w:color="auto"/>
              <w:right w:val="single" w:sz="4" w:space="0" w:color="auto"/>
            </w:tcBorders>
            <w:hideMark/>
          </w:tcPr>
          <w:p w14:paraId="799266BB" w14:textId="77777777" w:rsidR="00F7314E" w:rsidRDefault="00F7314E">
            <w:pPr>
              <w:spacing w:before="120" w:after="120"/>
              <w:rPr>
                <w:rFonts w:ascii="Verdana" w:hAnsi="Verdana"/>
                <w:b/>
                <w:bCs/>
                <w:color w:val="000000"/>
              </w:rPr>
            </w:pPr>
            <w:r>
              <w:rPr>
                <w:rFonts w:ascii="Verdana" w:hAnsi="Verdana"/>
                <w:b/>
                <w:bCs/>
                <w:color w:val="000000"/>
              </w:rPr>
              <w:t>Current and Next Quarter Documents</w:t>
            </w:r>
          </w:p>
        </w:tc>
        <w:tc>
          <w:tcPr>
            <w:tcW w:w="3981" w:type="pct"/>
            <w:tcBorders>
              <w:top w:val="single" w:sz="4" w:space="0" w:color="auto"/>
              <w:left w:val="single" w:sz="4" w:space="0" w:color="auto"/>
              <w:bottom w:val="single" w:sz="4" w:space="0" w:color="auto"/>
              <w:right w:val="single" w:sz="4" w:space="0" w:color="auto"/>
            </w:tcBorders>
            <w:hideMark/>
          </w:tcPr>
          <w:p w14:paraId="2FB37BC7" w14:textId="5B8C257A" w:rsidR="00F7314E" w:rsidRPr="003F338C" w:rsidRDefault="00F7314E">
            <w:pPr>
              <w:spacing w:before="120" w:after="120"/>
              <w:rPr>
                <w:rFonts w:ascii="Verdana" w:hAnsi="Verdana"/>
                <w:color w:val="000000"/>
              </w:rPr>
            </w:pPr>
            <w:r>
              <w:rPr>
                <w:rFonts w:ascii="Verdana" w:hAnsi="Verdana"/>
                <w:color w:val="000000"/>
              </w:rPr>
              <w:t xml:space="preserve">The </w:t>
            </w:r>
            <w:r>
              <w:rPr>
                <w:rFonts w:ascii="Verdana" w:hAnsi="Verdana"/>
                <w:b/>
                <w:bCs/>
                <w:color w:val="000000"/>
              </w:rPr>
              <w:t xml:space="preserve">list </w:t>
            </w:r>
            <w:r>
              <w:rPr>
                <w:rFonts w:ascii="Verdana" w:hAnsi="Verdana"/>
                <w:color w:val="000000"/>
              </w:rPr>
              <w:t>provides hyperlinks to current and next quarter’s alternative medications covered under your plan.</w:t>
            </w:r>
          </w:p>
        </w:tc>
      </w:tr>
    </w:tbl>
    <w:p w14:paraId="51D925CF" w14:textId="128C5297" w:rsidR="00800DCF" w:rsidRDefault="00800DCF" w:rsidP="00800DCF"/>
    <w:p w14:paraId="2DE864BB" w14:textId="3A721E20" w:rsidR="002E1B10" w:rsidRDefault="00821FB3" w:rsidP="00450330">
      <w:pPr>
        <w:pStyle w:val="Heading3"/>
        <w:spacing w:before="120" w:after="120"/>
        <w:rPr>
          <w:color w:val="000000"/>
        </w:rPr>
      </w:pPr>
      <w:hyperlink r:id="rId24" w:history="1">
        <w:bookmarkStart w:id="7" w:name="_Toc96525643"/>
        <w:bookmarkStart w:id="8" w:name="_Toc201214735"/>
        <w:r w:rsidRPr="00FA645D">
          <w:rPr>
            <w:rStyle w:val="Hyperlink"/>
          </w:rPr>
          <w:t>Value Formulary</w:t>
        </w:r>
      </w:hyperlink>
      <w:r w:rsidR="00FA645D">
        <w:t xml:space="preserve"> </w:t>
      </w:r>
      <w:r>
        <w:t>Drug Lists</w:t>
      </w:r>
      <w:bookmarkEnd w:id="7"/>
      <w:bookmarkEnd w:id="8"/>
      <w:r w:rsidR="00B143D1">
        <w:t xml:space="preserve"> </w:t>
      </w:r>
    </w:p>
    <w:p w14:paraId="4793B6B0" w14:textId="130D6FD2" w:rsidR="00615158" w:rsidRDefault="00615158" w:rsidP="007B4371">
      <w:pPr>
        <w:rPr>
          <w:rFonts w:ascii="Verdana" w:hAnsi="Verdana"/>
        </w:rPr>
      </w:pPr>
      <w:r>
        <w:rPr>
          <w:rFonts w:ascii="Verdana" w:hAnsi="Verdana"/>
          <w:color w:val="000000"/>
        </w:rPr>
        <w:t>The above hyperlink provides information related to Value Formulary. This is the same information as our members can view and this hyperlink is provided in our member letters.</w:t>
      </w:r>
      <w:r>
        <w:rPr>
          <w:color w:val="000000"/>
        </w:rPr>
        <w:t xml:space="preserve">  </w:t>
      </w:r>
      <w:r>
        <w:rPr>
          <w:rFonts w:ascii="Verdana" w:hAnsi="Verdana"/>
        </w:rPr>
        <w:t>Refer to as needed:</w:t>
      </w:r>
    </w:p>
    <w:p w14:paraId="476D2815" w14:textId="7045D69B" w:rsidR="00E4003E" w:rsidRPr="001C410A" w:rsidRDefault="00E4003E" w:rsidP="003F338C">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9321D0" w:rsidRPr="001B0D90" w14:paraId="7D730ED5" w14:textId="77777777" w:rsidTr="000A5D94">
        <w:tc>
          <w:tcPr>
            <w:tcW w:w="1019" w:type="pct"/>
            <w:shd w:val="clear" w:color="auto" w:fill="D9D9D9" w:themeFill="background1" w:themeFillShade="D9"/>
          </w:tcPr>
          <w:p w14:paraId="41A798C7" w14:textId="77777777" w:rsidR="009321D0" w:rsidRPr="00AE157D" w:rsidRDefault="00E4003E" w:rsidP="00450330">
            <w:pPr>
              <w:spacing w:before="120" w:after="120"/>
              <w:jc w:val="center"/>
              <w:rPr>
                <w:rFonts w:ascii="Verdana" w:hAnsi="Verdana"/>
                <w:b/>
                <w:bCs/>
                <w:color w:val="000000"/>
              </w:rPr>
            </w:pPr>
            <w:r>
              <w:rPr>
                <w:rFonts w:ascii="Verdana" w:hAnsi="Verdana"/>
                <w:b/>
                <w:bCs/>
                <w:color w:val="000000"/>
              </w:rPr>
              <w:t>Site Features</w:t>
            </w:r>
          </w:p>
        </w:tc>
        <w:tc>
          <w:tcPr>
            <w:tcW w:w="3981" w:type="pct"/>
            <w:shd w:val="clear" w:color="auto" w:fill="D9D9D9" w:themeFill="background1" w:themeFillShade="D9"/>
          </w:tcPr>
          <w:p w14:paraId="559CDA64" w14:textId="77777777" w:rsidR="009321D0" w:rsidRPr="001B0D90" w:rsidRDefault="009321D0" w:rsidP="00450330">
            <w:pPr>
              <w:spacing w:before="120" w:after="120"/>
              <w:jc w:val="center"/>
              <w:rPr>
                <w:rFonts w:ascii="Verdana" w:hAnsi="Verdana"/>
                <w:b/>
                <w:bCs/>
                <w:color w:val="000000"/>
              </w:rPr>
            </w:pPr>
            <w:r w:rsidRPr="001B0D90">
              <w:rPr>
                <w:rFonts w:ascii="Verdana" w:hAnsi="Verdana"/>
                <w:b/>
                <w:bCs/>
                <w:color w:val="000000"/>
              </w:rPr>
              <w:t>Description</w:t>
            </w:r>
          </w:p>
        </w:tc>
      </w:tr>
      <w:tr w:rsidR="009321D0" w:rsidRPr="001B0D90" w14:paraId="0CC9BE5C" w14:textId="77777777" w:rsidTr="000A5D94">
        <w:tc>
          <w:tcPr>
            <w:tcW w:w="1019" w:type="pct"/>
            <w:shd w:val="clear" w:color="auto" w:fill="auto"/>
          </w:tcPr>
          <w:p w14:paraId="420CFFC8" w14:textId="0F236809" w:rsidR="009321D0" w:rsidRPr="00FA645D" w:rsidRDefault="00FA645D" w:rsidP="00450330">
            <w:pPr>
              <w:spacing w:before="120" w:after="120"/>
              <w:rPr>
                <w:rFonts w:ascii="Verdana" w:hAnsi="Verdana"/>
                <w:b/>
                <w:bCs/>
                <w:color w:val="000000"/>
              </w:rPr>
            </w:pPr>
            <w:r>
              <w:rPr>
                <w:rFonts w:ascii="Verdana" w:hAnsi="Verdana"/>
                <w:b/>
                <w:bCs/>
                <w:color w:val="000000"/>
              </w:rPr>
              <w:t>What is Value Formulary</w:t>
            </w:r>
            <w:r w:rsidR="00E27622">
              <w:rPr>
                <w:rFonts w:ascii="Verdana" w:hAnsi="Verdana"/>
                <w:b/>
                <w:bCs/>
                <w:color w:val="000000"/>
              </w:rPr>
              <w:t xml:space="preserve">? </w:t>
            </w:r>
          </w:p>
        </w:tc>
        <w:tc>
          <w:tcPr>
            <w:tcW w:w="3981" w:type="pct"/>
            <w:shd w:val="clear" w:color="auto" w:fill="auto"/>
          </w:tcPr>
          <w:p w14:paraId="07BD85FC" w14:textId="38C11780" w:rsidR="009321D0" w:rsidRPr="00FA645D" w:rsidRDefault="00B67C7F" w:rsidP="00450330">
            <w:pPr>
              <w:spacing w:before="120" w:after="120"/>
              <w:rPr>
                <w:rFonts w:ascii="Verdana" w:hAnsi="Verdana"/>
                <w:b/>
                <w:bCs/>
                <w:color w:val="000000"/>
                <w:u w:val="single"/>
              </w:rPr>
            </w:pPr>
            <w:r w:rsidRPr="00B67C7F">
              <w:rPr>
                <w:rFonts w:ascii="Verdana" w:hAnsi="Verdana" w:cs="Arial"/>
                <w:color w:val="111111"/>
                <w:shd w:val="clear" w:color="auto" w:fill="FFFFFF"/>
              </w:rPr>
              <w:t xml:space="preserve">Value Formulary (VF) is a managed formulary that includes most generics and </w:t>
            </w:r>
            <w:r>
              <w:rPr>
                <w:rFonts w:ascii="Verdana" w:hAnsi="Verdana" w:cs="Arial"/>
                <w:color w:val="111111"/>
                <w:shd w:val="clear" w:color="auto" w:fill="FFFFFF"/>
              </w:rPr>
              <w:t>some</w:t>
            </w:r>
            <w:r w:rsidRPr="00B67C7F">
              <w:rPr>
                <w:rFonts w:ascii="Verdana" w:hAnsi="Verdana" w:cs="Arial"/>
                <w:color w:val="111111"/>
                <w:shd w:val="clear" w:color="auto" w:fill="FFFFFF"/>
              </w:rPr>
              <w:t xml:space="preserve"> brands.</w:t>
            </w:r>
            <w:r w:rsidR="002F04B3">
              <w:rPr>
                <w:rFonts w:ascii="Verdana" w:hAnsi="Verdana" w:cs="Arial"/>
                <w:color w:val="111111"/>
                <w:shd w:val="clear" w:color="auto" w:fill="FFFFFF"/>
              </w:rPr>
              <w:t xml:space="preserve"> </w:t>
            </w:r>
            <w:r>
              <w:rPr>
                <w:rFonts w:ascii="Verdana" w:hAnsi="Verdana" w:cs="Arial"/>
                <w:color w:val="111111"/>
                <w:shd w:val="clear" w:color="auto" w:fill="FFFFFF"/>
              </w:rPr>
              <w:t xml:space="preserve">Certain brand medicines are not part of the Value Formulary.  Utilization Management programs are included in the formulary (Prior Authorization, Step Therapy, Quantity Limits).   </w:t>
            </w:r>
          </w:p>
        </w:tc>
      </w:tr>
      <w:tr w:rsidR="00B67C7F" w14:paraId="6011A53B" w14:textId="77777777" w:rsidTr="000A5D94">
        <w:tc>
          <w:tcPr>
            <w:tcW w:w="1019" w:type="pct"/>
            <w:tcBorders>
              <w:top w:val="single" w:sz="4" w:space="0" w:color="auto"/>
              <w:left w:val="single" w:sz="4" w:space="0" w:color="auto"/>
              <w:bottom w:val="single" w:sz="4" w:space="0" w:color="auto"/>
              <w:right w:val="single" w:sz="4" w:space="0" w:color="auto"/>
            </w:tcBorders>
            <w:shd w:val="clear" w:color="auto" w:fill="auto"/>
          </w:tcPr>
          <w:p w14:paraId="035E07AA" w14:textId="77777777" w:rsidR="00B67C7F" w:rsidRDefault="00B67C7F">
            <w:pPr>
              <w:spacing w:before="120" w:after="120"/>
              <w:rPr>
                <w:rFonts w:ascii="Verdana" w:hAnsi="Verdana"/>
                <w:b/>
                <w:bCs/>
                <w:color w:val="000000"/>
              </w:rPr>
            </w:pPr>
            <w:r>
              <w:rPr>
                <w:rFonts w:ascii="Verdana" w:hAnsi="Verdana"/>
                <w:b/>
                <w:bCs/>
                <w:color w:val="000000"/>
              </w:rPr>
              <w:t>Current and Next Quarter Documents</w:t>
            </w:r>
          </w:p>
        </w:tc>
        <w:tc>
          <w:tcPr>
            <w:tcW w:w="3981" w:type="pct"/>
            <w:tcBorders>
              <w:top w:val="single" w:sz="4" w:space="0" w:color="auto"/>
              <w:left w:val="single" w:sz="4" w:space="0" w:color="auto"/>
              <w:bottom w:val="single" w:sz="4" w:space="0" w:color="auto"/>
              <w:right w:val="single" w:sz="4" w:space="0" w:color="auto"/>
            </w:tcBorders>
            <w:shd w:val="clear" w:color="auto" w:fill="auto"/>
          </w:tcPr>
          <w:p w14:paraId="6B16ADAD" w14:textId="01C61997" w:rsidR="00B67C7F" w:rsidRPr="00B67C7F" w:rsidRDefault="00B67C7F">
            <w:pPr>
              <w:spacing w:before="120" w:after="120"/>
              <w:rPr>
                <w:rFonts w:ascii="Verdana" w:hAnsi="Verdana" w:cs="Arial"/>
                <w:color w:val="111111"/>
                <w:shd w:val="clear" w:color="auto" w:fill="FFFFFF"/>
              </w:rPr>
            </w:pPr>
            <w:r w:rsidRPr="00B67C7F">
              <w:rPr>
                <w:rFonts w:ascii="Verdana" w:hAnsi="Verdana" w:cs="Arial"/>
                <w:color w:val="111111"/>
                <w:shd w:val="clear" w:color="auto" w:fill="FFFFFF"/>
              </w:rPr>
              <w:t xml:space="preserve">The list provides hyperlinks </w:t>
            </w:r>
            <w:r w:rsidR="00EE1F88">
              <w:rPr>
                <w:rFonts w:ascii="Verdana" w:hAnsi="Verdana" w:cs="Arial"/>
                <w:color w:val="111111"/>
                <w:shd w:val="clear" w:color="auto" w:fill="FFFFFF"/>
              </w:rPr>
              <w:t xml:space="preserve">to </w:t>
            </w:r>
            <w:r w:rsidRPr="00B67C7F">
              <w:rPr>
                <w:rFonts w:ascii="Verdana" w:hAnsi="Verdana" w:cs="Arial"/>
                <w:color w:val="111111"/>
                <w:shd w:val="clear" w:color="auto" w:fill="FFFFFF"/>
              </w:rPr>
              <w:t xml:space="preserve">current and next quarter’s medications covered under your plan.    </w:t>
            </w:r>
          </w:p>
        </w:tc>
      </w:tr>
      <w:tr w:rsidR="003776F8" w14:paraId="375EC7E2" w14:textId="77777777" w:rsidTr="000A5D94">
        <w:tc>
          <w:tcPr>
            <w:tcW w:w="1019" w:type="pct"/>
            <w:tcBorders>
              <w:top w:val="single" w:sz="4" w:space="0" w:color="auto"/>
              <w:left w:val="single" w:sz="4" w:space="0" w:color="auto"/>
              <w:bottom w:val="single" w:sz="4" w:space="0" w:color="auto"/>
              <w:right w:val="single" w:sz="4" w:space="0" w:color="auto"/>
            </w:tcBorders>
            <w:shd w:val="clear" w:color="auto" w:fill="auto"/>
          </w:tcPr>
          <w:p w14:paraId="271A7205" w14:textId="77777777" w:rsidR="003776F8" w:rsidRPr="003776F8" w:rsidRDefault="003776F8">
            <w:pPr>
              <w:spacing w:before="120" w:after="120"/>
              <w:rPr>
                <w:rFonts w:ascii="Verdana" w:hAnsi="Verdana"/>
                <w:b/>
                <w:bCs/>
                <w:color w:val="000000"/>
              </w:rPr>
            </w:pPr>
            <w:r w:rsidRPr="003776F8">
              <w:rPr>
                <w:rFonts w:ascii="Verdana" w:hAnsi="Verdana"/>
                <w:b/>
                <w:bCs/>
                <w:color w:val="000000"/>
              </w:rPr>
              <w:t>View Quick Reference List</w:t>
            </w:r>
          </w:p>
        </w:tc>
        <w:tc>
          <w:tcPr>
            <w:tcW w:w="3981" w:type="pct"/>
            <w:tcBorders>
              <w:top w:val="single" w:sz="4" w:space="0" w:color="auto"/>
              <w:left w:val="single" w:sz="4" w:space="0" w:color="auto"/>
              <w:bottom w:val="single" w:sz="4" w:space="0" w:color="auto"/>
              <w:right w:val="single" w:sz="4" w:space="0" w:color="auto"/>
            </w:tcBorders>
            <w:shd w:val="clear" w:color="auto" w:fill="auto"/>
          </w:tcPr>
          <w:p w14:paraId="3C94E695" w14:textId="51558E70" w:rsidR="003776F8" w:rsidRPr="003776F8" w:rsidRDefault="003776F8" w:rsidP="003776F8">
            <w:pPr>
              <w:spacing w:before="120" w:after="120"/>
              <w:rPr>
                <w:rStyle w:val="Emphasis"/>
                <w:rFonts w:ascii="Verdana" w:hAnsi="Verdana" w:cs="Arial"/>
                <w:i w:val="0"/>
                <w:iCs w:val="0"/>
                <w:color w:val="111111"/>
                <w:shd w:val="clear" w:color="auto" w:fill="FFFFFF"/>
              </w:rPr>
            </w:pPr>
            <w:r w:rsidRPr="003776F8">
              <w:rPr>
                <w:rStyle w:val="Emphasis"/>
                <w:rFonts w:ascii="Verdana" w:hAnsi="Verdana" w:cs="Arial"/>
                <w:i w:val="0"/>
                <w:iCs w:val="0"/>
                <w:color w:val="111111"/>
                <w:shd w:val="clear" w:color="auto" w:fill="FFFFFF"/>
              </w:rPr>
              <w:t>Value Formulary Quick Reference List</w:t>
            </w:r>
            <w:r w:rsidR="001F2B39">
              <w:rPr>
                <w:rStyle w:val="Emphasis"/>
                <w:rFonts w:ascii="Verdana" w:hAnsi="Verdana" w:cs="Arial"/>
                <w:i w:val="0"/>
                <w:iCs w:val="0"/>
                <w:color w:val="111111"/>
                <w:shd w:val="clear" w:color="auto" w:fill="FFFFFF"/>
              </w:rPr>
              <w:t xml:space="preserve"> </w:t>
            </w:r>
            <w:r w:rsidR="001F2B39" w:rsidRPr="001F2B39">
              <w:rPr>
                <w:rStyle w:val="Emphasis"/>
                <w:rFonts w:ascii="Verdana" w:hAnsi="Verdana" w:cs="Arial"/>
                <w:i w:val="0"/>
                <w:iCs w:val="0"/>
                <w:color w:val="111111"/>
                <w:shd w:val="clear" w:color="auto" w:fill="FFFFFF"/>
              </w:rPr>
              <w:t>is a shortened version of the Prescribing Guide.</w:t>
            </w:r>
          </w:p>
        </w:tc>
      </w:tr>
      <w:tr w:rsidR="001F2B39" w:rsidRPr="001B0D90" w14:paraId="4D8999FB" w14:textId="77777777" w:rsidTr="000A5D94">
        <w:tc>
          <w:tcPr>
            <w:tcW w:w="1019" w:type="pct"/>
            <w:shd w:val="clear" w:color="auto" w:fill="auto"/>
          </w:tcPr>
          <w:p w14:paraId="1A3A6956" w14:textId="758708E7" w:rsidR="001F2B39" w:rsidRDefault="001F2B39" w:rsidP="00450330">
            <w:pPr>
              <w:spacing w:before="120" w:after="120"/>
              <w:rPr>
                <w:rFonts w:ascii="Verdana" w:hAnsi="Verdana"/>
                <w:b/>
                <w:color w:val="000000"/>
              </w:rPr>
            </w:pPr>
            <w:r>
              <w:rPr>
                <w:rFonts w:ascii="Verdana" w:hAnsi="Verdana"/>
                <w:b/>
                <w:color w:val="000000"/>
              </w:rPr>
              <w:t>Advanced Control Specialty</w:t>
            </w:r>
            <w:r w:rsidR="00164ABE">
              <w:rPr>
                <w:rFonts w:ascii="Verdana" w:hAnsi="Verdana"/>
                <w:b/>
                <w:color w:val="000000"/>
              </w:rPr>
              <w:t xml:space="preserve"> Formulary</w:t>
            </w:r>
            <w:r>
              <w:rPr>
                <w:rFonts w:ascii="Verdana" w:hAnsi="Verdana"/>
                <w:b/>
                <w:color w:val="000000"/>
              </w:rPr>
              <w:t xml:space="preserve"> Drug List</w:t>
            </w:r>
          </w:p>
        </w:tc>
        <w:tc>
          <w:tcPr>
            <w:tcW w:w="3981" w:type="pct"/>
            <w:shd w:val="clear" w:color="auto" w:fill="auto"/>
          </w:tcPr>
          <w:p w14:paraId="4DE7B7F9" w14:textId="3852EB03" w:rsidR="001F2B39" w:rsidRPr="00FA645D" w:rsidRDefault="001F2B39" w:rsidP="00450330">
            <w:pPr>
              <w:spacing w:before="120" w:after="120"/>
              <w:rPr>
                <w:rFonts w:ascii="Verdana" w:hAnsi="Verdana" w:cs="Arial"/>
                <w:color w:val="111111"/>
                <w:shd w:val="clear" w:color="auto" w:fill="FFFFFF"/>
              </w:rPr>
            </w:pPr>
            <w:r>
              <w:rPr>
                <w:rFonts w:ascii="Verdana" w:hAnsi="Verdana" w:cs="Arial"/>
                <w:color w:val="111111"/>
                <w:shd w:val="clear" w:color="auto" w:fill="FFFFFF"/>
              </w:rPr>
              <w:t xml:space="preserve">Specialty Medications follow Advanced Control Specialty </w:t>
            </w:r>
            <w:r w:rsidR="00164ABE">
              <w:rPr>
                <w:rFonts w:ascii="Verdana" w:hAnsi="Verdana" w:cs="Arial"/>
                <w:color w:val="111111"/>
                <w:shd w:val="clear" w:color="auto" w:fill="FFFFFF"/>
              </w:rPr>
              <w:t xml:space="preserve">Formulary </w:t>
            </w:r>
            <w:r>
              <w:rPr>
                <w:rFonts w:ascii="Verdana" w:hAnsi="Verdana" w:cs="Arial"/>
                <w:color w:val="111111"/>
                <w:shd w:val="clear" w:color="auto" w:fill="FFFFFF"/>
              </w:rPr>
              <w:t>guidelines.  This document lists medications that are covered</w:t>
            </w:r>
            <w:r w:rsidR="00164ABE">
              <w:rPr>
                <w:rFonts w:ascii="Verdana" w:hAnsi="Verdana" w:cs="Arial"/>
                <w:color w:val="111111"/>
                <w:shd w:val="clear" w:color="auto" w:fill="FFFFFF"/>
              </w:rPr>
              <w:t xml:space="preserve"> and also identifies medications that are not covered.</w:t>
            </w:r>
          </w:p>
        </w:tc>
      </w:tr>
      <w:tr w:rsidR="00FA645D" w:rsidRPr="001B0D90" w14:paraId="35E06990" w14:textId="77777777" w:rsidTr="000A5D94">
        <w:tc>
          <w:tcPr>
            <w:tcW w:w="1019" w:type="pct"/>
            <w:shd w:val="clear" w:color="auto" w:fill="auto"/>
          </w:tcPr>
          <w:p w14:paraId="32989089" w14:textId="77777777" w:rsidR="00FA645D" w:rsidRPr="00FA645D" w:rsidRDefault="00C041FD" w:rsidP="00450330">
            <w:pPr>
              <w:spacing w:before="120" w:after="120"/>
              <w:rPr>
                <w:rFonts w:ascii="Verdana" w:hAnsi="Verdana"/>
                <w:b/>
                <w:color w:val="000000"/>
              </w:rPr>
            </w:pPr>
            <w:r>
              <w:rPr>
                <w:rFonts w:ascii="Verdana" w:hAnsi="Verdana"/>
                <w:b/>
                <w:color w:val="000000"/>
              </w:rPr>
              <w:t>Non-Listed</w:t>
            </w:r>
            <w:r w:rsidR="00FA645D">
              <w:rPr>
                <w:rFonts w:ascii="Verdana" w:hAnsi="Verdana"/>
                <w:b/>
                <w:color w:val="000000"/>
              </w:rPr>
              <w:t xml:space="preserve"> Medicines</w:t>
            </w:r>
          </w:p>
        </w:tc>
        <w:tc>
          <w:tcPr>
            <w:tcW w:w="3981" w:type="pct"/>
            <w:shd w:val="clear" w:color="auto" w:fill="auto"/>
          </w:tcPr>
          <w:p w14:paraId="21EDABB1" w14:textId="638FB87A" w:rsidR="00FA645D" w:rsidRPr="00FA645D" w:rsidRDefault="00FA645D" w:rsidP="00450330">
            <w:pPr>
              <w:spacing w:before="120" w:after="120"/>
              <w:rPr>
                <w:rFonts w:ascii="Verdana" w:hAnsi="Verdana"/>
                <w:color w:val="000000"/>
              </w:rPr>
            </w:pPr>
            <w:r w:rsidRPr="00FA645D">
              <w:rPr>
                <w:rFonts w:ascii="Verdana" w:hAnsi="Verdana" w:cs="Arial"/>
                <w:color w:val="111111"/>
                <w:shd w:val="clear" w:color="auto" w:fill="FFFFFF"/>
              </w:rPr>
              <w:t>Certain brand medicines are not part of the Value Formulary</w:t>
            </w:r>
            <w:r w:rsidR="003776F8">
              <w:rPr>
                <w:rFonts w:ascii="Verdana" w:hAnsi="Verdana" w:cs="Arial"/>
                <w:color w:val="111111"/>
                <w:shd w:val="clear" w:color="auto" w:fill="FFFFFF"/>
              </w:rPr>
              <w:t xml:space="preserve">.  This document lists some of the </w:t>
            </w:r>
            <w:r w:rsidR="00C812AE">
              <w:rPr>
                <w:rFonts w:ascii="Verdana" w:hAnsi="Verdana" w:cs="Arial"/>
                <w:color w:val="111111"/>
                <w:shd w:val="clear" w:color="auto" w:fill="FFFFFF"/>
              </w:rPr>
              <w:t>most used</w:t>
            </w:r>
            <w:r w:rsidR="003776F8">
              <w:rPr>
                <w:rFonts w:ascii="Verdana" w:hAnsi="Verdana" w:cs="Arial"/>
                <w:color w:val="111111"/>
                <w:shd w:val="clear" w:color="auto" w:fill="FFFFFF"/>
              </w:rPr>
              <w:t xml:space="preserve"> brand medications that are not covered</w:t>
            </w:r>
            <w:r w:rsidR="00164ABE">
              <w:rPr>
                <w:rFonts w:ascii="Verdana" w:hAnsi="Verdana" w:cs="Arial"/>
                <w:color w:val="111111"/>
                <w:shd w:val="clear" w:color="auto" w:fill="FFFFFF"/>
              </w:rPr>
              <w:t xml:space="preserve"> and alternatives are provided for those products.</w:t>
            </w:r>
          </w:p>
        </w:tc>
      </w:tr>
      <w:tr w:rsidR="006C6C7A" w:rsidRPr="001B0D90" w14:paraId="791227C1" w14:textId="77777777" w:rsidTr="000A5D94">
        <w:tc>
          <w:tcPr>
            <w:tcW w:w="1019" w:type="pct"/>
            <w:tcBorders>
              <w:top w:val="single" w:sz="4" w:space="0" w:color="auto"/>
              <w:left w:val="single" w:sz="4" w:space="0" w:color="auto"/>
              <w:bottom w:val="single" w:sz="4" w:space="0" w:color="auto"/>
              <w:right w:val="single" w:sz="4" w:space="0" w:color="auto"/>
            </w:tcBorders>
            <w:shd w:val="clear" w:color="auto" w:fill="auto"/>
          </w:tcPr>
          <w:p w14:paraId="7D3E7EFE" w14:textId="77777777" w:rsidR="006C6C7A" w:rsidRPr="00FA645D" w:rsidRDefault="006C6C7A" w:rsidP="00450330">
            <w:pPr>
              <w:spacing w:before="120" w:after="120"/>
              <w:rPr>
                <w:rFonts w:ascii="Verdana" w:hAnsi="Verdana"/>
                <w:b/>
                <w:color w:val="000000"/>
              </w:rPr>
            </w:pPr>
            <w:r w:rsidRPr="00FA645D">
              <w:rPr>
                <w:rFonts w:ascii="Verdana" w:hAnsi="Verdana"/>
                <w:b/>
                <w:color w:val="000000"/>
              </w:rPr>
              <w:t>Medicines with Clinical Requirements</w:t>
            </w:r>
          </w:p>
        </w:tc>
        <w:tc>
          <w:tcPr>
            <w:tcW w:w="3981" w:type="pct"/>
            <w:tcBorders>
              <w:top w:val="single" w:sz="4" w:space="0" w:color="auto"/>
              <w:left w:val="single" w:sz="4" w:space="0" w:color="auto"/>
              <w:bottom w:val="single" w:sz="4" w:space="0" w:color="auto"/>
              <w:right w:val="single" w:sz="4" w:space="0" w:color="auto"/>
            </w:tcBorders>
            <w:shd w:val="clear" w:color="auto" w:fill="auto"/>
          </w:tcPr>
          <w:p w14:paraId="619AD3A0" w14:textId="1B488ABD" w:rsidR="006C6C7A" w:rsidRDefault="006C6C7A" w:rsidP="00904D74">
            <w:pPr>
              <w:numPr>
                <w:ilvl w:val="0"/>
                <w:numId w:val="45"/>
              </w:numPr>
              <w:spacing w:before="120" w:after="120"/>
              <w:textAlignment w:val="baseline"/>
              <w:rPr>
                <w:rFonts w:ascii="Verdana" w:hAnsi="Verdana" w:cs="Arial"/>
                <w:color w:val="111111"/>
              </w:rPr>
            </w:pPr>
            <w:r w:rsidRPr="00FA645D">
              <w:rPr>
                <w:rStyle w:val="Emphasis"/>
                <w:rFonts w:ascii="Verdana" w:hAnsi="Verdana" w:cs="Arial"/>
                <w:b/>
                <w:bCs/>
                <w:i w:val="0"/>
                <w:color w:val="111111"/>
                <w:bdr w:val="none" w:sz="0" w:space="0" w:color="auto" w:frame="1"/>
              </w:rPr>
              <w:t>Prior Authorization (PA):</w:t>
            </w:r>
            <w:r w:rsidRPr="00FA645D">
              <w:rPr>
                <w:rFonts w:ascii="Verdana" w:hAnsi="Verdana" w:cs="Arial"/>
                <w:color w:val="111111"/>
              </w:rPr>
              <w:t xml:space="preserve"> This means that your doctor </w:t>
            </w:r>
            <w:r w:rsidR="00C041FD" w:rsidRPr="00FA645D">
              <w:rPr>
                <w:rFonts w:ascii="Verdana" w:hAnsi="Verdana" w:cs="Arial"/>
                <w:color w:val="111111"/>
              </w:rPr>
              <w:t>must</w:t>
            </w:r>
            <w:r w:rsidRPr="00FA645D">
              <w:rPr>
                <w:rFonts w:ascii="Verdana" w:hAnsi="Verdana" w:cs="Arial"/>
                <w:color w:val="111111"/>
              </w:rPr>
              <w:t xml:space="preserve"> contact CVS/</w:t>
            </w:r>
            <w:r w:rsidR="00C629AA">
              <w:rPr>
                <w:rFonts w:ascii="Verdana" w:hAnsi="Verdana" w:cs="Arial"/>
                <w:color w:val="111111"/>
              </w:rPr>
              <w:t>C</w:t>
            </w:r>
            <w:r w:rsidRPr="00FA645D">
              <w:rPr>
                <w:rFonts w:ascii="Verdana" w:hAnsi="Verdana" w:cs="Arial"/>
                <w:color w:val="111111"/>
              </w:rPr>
              <w:t>aremark and confirm that a specific medicine meets plan guidelines for covering your condition</w:t>
            </w:r>
            <w:r w:rsidR="0005314E">
              <w:rPr>
                <w:rFonts w:ascii="Verdana" w:hAnsi="Verdana" w:cs="Arial"/>
                <w:color w:val="111111"/>
              </w:rPr>
              <w:t>.</w:t>
            </w:r>
          </w:p>
          <w:p w14:paraId="0BB59CFC" w14:textId="77777777" w:rsidR="006C6C7A" w:rsidRPr="00FA645D" w:rsidRDefault="006C6C7A" w:rsidP="00904D74">
            <w:pPr>
              <w:numPr>
                <w:ilvl w:val="0"/>
                <w:numId w:val="45"/>
              </w:numPr>
              <w:spacing w:before="120" w:after="120"/>
              <w:textAlignment w:val="baseline"/>
              <w:rPr>
                <w:rFonts w:ascii="Verdana" w:hAnsi="Verdana" w:cs="Arial"/>
                <w:color w:val="111111"/>
              </w:rPr>
            </w:pPr>
            <w:bookmarkStart w:id="9" w:name="OLE_LINK1"/>
            <w:r w:rsidRPr="00FA645D">
              <w:rPr>
                <w:rStyle w:val="Emphasis"/>
                <w:rFonts w:ascii="Verdana" w:hAnsi="Verdana" w:cs="Arial"/>
                <w:b/>
                <w:bCs/>
                <w:i w:val="0"/>
                <w:color w:val="111111"/>
                <w:bdr w:val="none" w:sz="0" w:space="0" w:color="auto" w:frame="1"/>
              </w:rPr>
              <w:t>Step Therapy with Post-Step Prior Authorization (ST, PA)</w:t>
            </w:r>
            <w:r w:rsidR="00AE3F30">
              <w:rPr>
                <w:rStyle w:val="Emphasis"/>
                <w:rFonts w:ascii="Verdana" w:hAnsi="Verdana" w:cs="Arial"/>
                <w:b/>
                <w:bCs/>
                <w:i w:val="0"/>
                <w:color w:val="111111"/>
                <w:bdr w:val="none" w:sz="0" w:space="0" w:color="auto" w:frame="1"/>
              </w:rPr>
              <w:t xml:space="preserve">, </w:t>
            </w:r>
            <w:bookmarkEnd w:id="9"/>
            <w:r w:rsidR="00AE3F30" w:rsidRPr="00AE3F30">
              <w:rPr>
                <w:rStyle w:val="Emphasis"/>
                <w:rFonts w:ascii="Verdana" w:hAnsi="Verdana" w:cs="Arial"/>
                <w:i w:val="0"/>
                <w:color w:val="111111"/>
                <w:bdr w:val="none" w:sz="0" w:space="0" w:color="auto" w:frame="1"/>
              </w:rPr>
              <w:t>t</w:t>
            </w:r>
            <w:r w:rsidRPr="00FA645D">
              <w:rPr>
                <w:rFonts w:ascii="Verdana" w:hAnsi="Verdana" w:cs="Arial"/>
                <w:color w:val="111111"/>
              </w:rPr>
              <w:t>his means that:</w:t>
            </w:r>
          </w:p>
          <w:p w14:paraId="25433E2C" w14:textId="4F22A2C1" w:rsidR="006C6C7A" w:rsidRPr="006C6C7A" w:rsidRDefault="00F06056" w:rsidP="001507FA">
            <w:pPr>
              <w:pStyle w:val="ListParagraph"/>
              <w:numPr>
                <w:ilvl w:val="1"/>
                <w:numId w:val="45"/>
              </w:numPr>
              <w:spacing w:before="120" w:after="120"/>
              <w:textAlignment w:val="baseline"/>
              <w:rPr>
                <w:rFonts w:ascii="Verdana" w:hAnsi="Verdana" w:cs="Arial"/>
                <w:color w:val="111111"/>
              </w:rPr>
            </w:pPr>
            <w:r w:rsidRPr="00F06056">
              <w:rPr>
                <w:rFonts w:ascii="Verdana" w:hAnsi="Verdana"/>
                <w:color w:val="000000" w:themeColor="text1"/>
              </w:rPr>
              <w:t xml:space="preserve">The </w:t>
            </w:r>
            <w:r w:rsidR="00C71E10" w:rsidRPr="00F06056">
              <w:rPr>
                <w:rFonts w:ascii="Verdana" w:hAnsi="Verdana"/>
                <w:color w:val="000000" w:themeColor="text1"/>
              </w:rPr>
              <w:t>Practice of utilizing the most cost-efficient way to treat a member via protocol that calls for using one therapy before proceeding to something more expensive or difficult to use. </w:t>
            </w:r>
            <w:r>
              <w:rPr>
                <w:rFonts w:ascii="Verdana" w:hAnsi="Verdana"/>
                <w:color w:val="000000" w:themeColor="text1"/>
              </w:rPr>
              <w:t xml:space="preserve">  </w:t>
            </w:r>
            <w:r w:rsidR="00C71E10" w:rsidRPr="00F06056">
              <w:rPr>
                <w:rFonts w:ascii="Verdana" w:hAnsi="Verdana"/>
                <w:color w:val="000000" w:themeColor="text1"/>
              </w:rPr>
              <w:t>For example, this is the practice of initially treating a member with a lower cost, similarly effective antibiotic before trying a more expensive, yet no more effective one.</w:t>
            </w:r>
            <w:r w:rsidR="00BD54DA" w:rsidRPr="00F06056">
              <w:rPr>
                <w:rFonts w:ascii="Verdana" w:hAnsi="Verdana"/>
                <w:color w:val="000000" w:themeColor="text1"/>
              </w:rPr>
              <w:t xml:space="preserve"> </w:t>
            </w:r>
            <w:r w:rsidR="006C6C7A" w:rsidRPr="006C6C7A">
              <w:rPr>
                <w:rFonts w:ascii="Verdana" w:hAnsi="Verdana" w:cs="Arial"/>
                <w:color w:val="111111"/>
              </w:rPr>
              <w:t xml:space="preserve">If you have a unique medical situation where the plan medicine </w:t>
            </w:r>
            <w:r w:rsidR="00B306AD" w:rsidRPr="006C6C7A">
              <w:rPr>
                <w:rFonts w:ascii="Verdana" w:hAnsi="Verdana" w:cs="Arial"/>
                <w:color w:val="111111"/>
              </w:rPr>
              <w:t>does not</w:t>
            </w:r>
            <w:r w:rsidR="006C6C7A" w:rsidRPr="006C6C7A">
              <w:rPr>
                <w:rFonts w:ascii="Verdana" w:hAnsi="Verdana" w:cs="Arial"/>
                <w:color w:val="111111"/>
              </w:rPr>
              <w:t xml:space="preserve"> work well for you, your doctor must contact CVS/</w:t>
            </w:r>
            <w:r w:rsidR="0005314E">
              <w:rPr>
                <w:rFonts w:ascii="Verdana" w:hAnsi="Verdana" w:cs="Arial"/>
                <w:color w:val="111111"/>
              </w:rPr>
              <w:t>C</w:t>
            </w:r>
            <w:r w:rsidR="006C6C7A" w:rsidRPr="006C6C7A">
              <w:rPr>
                <w:rFonts w:ascii="Verdana" w:hAnsi="Verdana" w:cs="Arial"/>
                <w:color w:val="111111"/>
              </w:rPr>
              <w:t>aremark and confirm that a specific medicine is clinically necessary for your condition</w:t>
            </w:r>
            <w:r w:rsidR="0005314E">
              <w:rPr>
                <w:rFonts w:ascii="Verdana" w:hAnsi="Verdana" w:cs="Arial"/>
                <w:color w:val="111111"/>
              </w:rPr>
              <w:t>.</w:t>
            </w:r>
          </w:p>
          <w:p w14:paraId="1FB4D67C" w14:textId="5E81A764" w:rsidR="006C6C7A" w:rsidRDefault="006C6C7A" w:rsidP="00904D74">
            <w:pPr>
              <w:numPr>
                <w:ilvl w:val="0"/>
                <w:numId w:val="45"/>
              </w:numPr>
              <w:spacing w:before="120" w:after="120"/>
              <w:textAlignment w:val="baseline"/>
              <w:rPr>
                <w:rFonts w:ascii="Verdana" w:hAnsi="Verdana" w:cs="Arial"/>
                <w:color w:val="111111"/>
              </w:rPr>
            </w:pPr>
            <w:r w:rsidRPr="00FA645D">
              <w:rPr>
                <w:rStyle w:val="Emphasis"/>
                <w:rFonts w:ascii="Verdana" w:hAnsi="Verdana" w:cs="Arial"/>
                <w:b/>
                <w:bCs/>
                <w:i w:val="0"/>
                <w:color w:val="111111"/>
                <w:bdr w:val="none" w:sz="0" w:space="0" w:color="auto" w:frame="1"/>
              </w:rPr>
              <w:t>Quantity Limit (QL):</w:t>
            </w:r>
            <w:r w:rsidRPr="00FA645D">
              <w:rPr>
                <w:rFonts w:ascii="Verdana" w:hAnsi="Verdana" w:cs="Arial"/>
                <w:color w:val="111111"/>
              </w:rPr>
              <w:t> This means that the plan limits the amount of a specific medicine that you can fill in a 30-day or 90-day period</w:t>
            </w:r>
            <w:r w:rsidR="0005314E">
              <w:rPr>
                <w:rFonts w:ascii="Verdana" w:hAnsi="Verdana" w:cs="Arial"/>
                <w:color w:val="111111"/>
              </w:rPr>
              <w:t>.</w:t>
            </w:r>
            <w:r w:rsidR="00F04A3A">
              <w:rPr>
                <w:rFonts w:ascii="Verdana" w:hAnsi="Verdana" w:cs="Arial"/>
                <w:color w:val="111111"/>
              </w:rPr>
              <w:t xml:space="preserve"> </w:t>
            </w:r>
          </w:p>
          <w:p w14:paraId="779504DF" w14:textId="77777777" w:rsidR="006C6C7A" w:rsidRPr="00FA645D" w:rsidRDefault="006C6C7A" w:rsidP="00904D74">
            <w:pPr>
              <w:numPr>
                <w:ilvl w:val="0"/>
                <w:numId w:val="45"/>
              </w:numPr>
              <w:spacing w:before="120" w:after="120"/>
              <w:textAlignment w:val="baseline"/>
              <w:rPr>
                <w:rFonts w:ascii="Verdana" w:hAnsi="Verdana" w:cs="Arial"/>
                <w:color w:val="111111"/>
              </w:rPr>
            </w:pPr>
            <w:r w:rsidRPr="00FA645D">
              <w:rPr>
                <w:rStyle w:val="Emphasis"/>
                <w:rFonts w:ascii="Verdana" w:hAnsi="Verdana" w:cs="Arial"/>
                <w:b/>
                <w:bCs/>
                <w:i w:val="0"/>
                <w:color w:val="111111"/>
                <w:bdr w:val="none" w:sz="0" w:space="0" w:color="auto" w:frame="1"/>
              </w:rPr>
              <w:t>Quantity Limit with Post-Limit PA (QL, PA):</w:t>
            </w:r>
            <w:r w:rsidRPr="00FA645D">
              <w:rPr>
                <w:rFonts w:ascii="Verdana" w:hAnsi="Verdana" w:cs="Arial"/>
                <w:color w:val="111111"/>
              </w:rPr>
              <w:t> This means that:</w:t>
            </w:r>
          </w:p>
          <w:p w14:paraId="2AE8D733" w14:textId="531E2E44" w:rsidR="006C6C7A" w:rsidRPr="006C6C7A" w:rsidRDefault="006C6C7A" w:rsidP="000A5D94">
            <w:pPr>
              <w:pStyle w:val="ListParagraph"/>
              <w:numPr>
                <w:ilvl w:val="1"/>
                <w:numId w:val="45"/>
              </w:numPr>
              <w:spacing w:before="120" w:after="120"/>
              <w:textAlignment w:val="baseline"/>
              <w:rPr>
                <w:rFonts w:ascii="Verdana" w:hAnsi="Verdana" w:cs="Arial"/>
                <w:color w:val="111111"/>
              </w:rPr>
            </w:pPr>
            <w:r w:rsidRPr="006C6C7A">
              <w:rPr>
                <w:rFonts w:ascii="Verdana" w:hAnsi="Verdana" w:cs="Arial"/>
                <w:color w:val="111111"/>
              </w:rPr>
              <w:t>The plan limits the amount of a specific medicine in a 30-day or 90-day period</w:t>
            </w:r>
            <w:r w:rsidR="0005314E">
              <w:rPr>
                <w:rFonts w:ascii="Verdana" w:hAnsi="Verdana" w:cs="Arial"/>
                <w:color w:val="111111"/>
              </w:rPr>
              <w:t>.</w:t>
            </w:r>
          </w:p>
          <w:p w14:paraId="665377D7" w14:textId="77777777" w:rsidR="006C6C7A" w:rsidRPr="00580B7A" w:rsidRDefault="006C6C7A" w:rsidP="000A5D94">
            <w:pPr>
              <w:pStyle w:val="ListParagraph"/>
              <w:numPr>
                <w:ilvl w:val="1"/>
                <w:numId w:val="45"/>
              </w:numPr>
              <w:spacing w:before="120" w:after="120"/>
              <w:rPr>
                <w:rFonts w:ascii="Verdana" w:hAnsi="Verdana" w:cs="Arial"/>
                <w:color w:val="111111"/>
                <w:shd w:val="clear" w:color="auto" w:fill="FFFFFF"/>
              </w:rPr>
            </w:pPr>
            <w:r w:rsidRPr="006C6C7A">
              <w:rPr>
                <w:rFonts w:ascii="Verdana" w:hAnsi="Verdana" w:cs="Arial"/>
                <w:color w:val="111111"/>
              </w:rPr>
              <w:t>If you have a unique medical situation that requires you to take an amount larger than the limit, your doctor can contact CVS/</w:t>
            </w:r>
            <w:r w:rsidR="00C629AA">
              <w:rPr>
                <w:rFonts w:ascii="Verdana" w:hAnsi="Verdana" w:cs="Arial"/>
                <w:color w:val="111111"/>
              </w:rPr>
              <w:t>C</w:t>
            </w:r>
            <w:r w:rsidRPr="006C6C7A">
              <w:rPr>
                <w:rFonts w:ascii="Verdana" w:hAnsi="Verdana" w:cs="Arial"/>
                <w:color w:val="111111"/>
              </w:rPr>
              <w:t>aremark and confirm that a larger amount of medicine is clinically necessary for your condition.</w:t>
            </w:r>
          </w:p>
          <w:p w14:paraId="32F2E49B" w14:textId="146662EE" w:rsidR="00904D74" w:rsidRPr="007203EB" w:rsidRDefault="00904D74" w:rsidP="000A5D94">
            <w:pPr>
              <w:spacing w:before="120" w:after="120"/>
              <w:ind w:left="1440"/>
              <w:textAlignment w:val="baseline"/>
              <w:rPr>
                <w:rFonts w:ascii="Verdana" w:hAnsi="Verdana" w:cs="Arial"/>
                <w:color w:val="111111"/>
              </w:rPr>
            </w:pPr>
            <w:r w:rsidRPr="007203EB">
              <w:rPr>
                <w:rStyle w:val="Emphasis"/>
                <w:rFonts w:ascii="Verdana" w:hAnsi="Verdana" w:cs="Arial"/>
                <w:b/>
                <w:bCs/>
                <w:i w:val="0"/>
                <w:color w:val="111111"/>
                <w:bdr w:val="none" w:sz="0" w:space="0" w:color="auto" w:frame="1"/>
              </w:rPr>
              <w:t>N</w:t>
            </w:r>
            <w:r w:rsidR="007203EB" w:rsidRPr="007203EB">
              <w:rPr>
                <w:rStyle w:val="Emphasis"/>
                <w:rFonts w:ascii="Verdana" w:hAnsi="Verdana" w:cs="Arial"/>
                <w:b/>
                <w:bCs/>
                <w:i w:val="0"/>
                <w:color w:val="111111"/>
                <w:bdr w:val="none" w:sz="0" w:space="0" w:color="auto" w:frame="1"/>
              </w:rPr>
              <w:t>o</w:t>
            </w:r>
            <w:r w:rsidR="007203EB" w:rsidRPr="00580B7A">
              <w:rPr>
                <w:rStyle w:val="Emphasis"/>
                <w:rFonts w:ascii="Verdana" w:hAnsi="Verdana" w:cs="Arial"/>
                <w:b/>
                <w:bCs/>
                <w:i w:val="0"/>
                <w:color w:val="111111"/>
                <w:bdr w:val="none" w:sz="0" w:space="0" w:color="auto" w:frame="1"/>
              </w:rPr>
              <w:t>te</w:t>
            </w:r>
            <w:r w:rsidR="00E83DC3">
              <w:rPr>
                <w:rStyle w:val="Emphasis"/>
                <w:rFonts w:ascii="Verdana" w:hAnsi="Verdana" w:cs="Arial"/>
                <w:b/>
                <w:bCs/>
                <w:i w:val="0"/>
                <w:color w:val="111111"/>
                <w:bdr w:val="none" w:sz="0" w:space="0" w:color="auto" w:frame="1"/>
              </w:rPr>
              <w:t xml:space="preserve">: </w:t>
            </w:r>
            <w:r w:rsidRPr="00580B7A">
              <w:rPr>
                <w:rStyle w:val="Emphasis"/>
                <w:rFonts w:ascii="Verdana" w:hAnsi="Verdana" w:cs="Arial"/>
                <w:i w:val="0"/>
                <w:color w:val="111111"/>
                <w:bdr w:val="none" w:sz="0" w:space="0" w:color="auto" w:frame="1"/>
              </w:rPr>
              <w:t>The ACA does not dictate any quantity that is set by the plan and</w:t>
            </w:r>
            <w:r w:rsidR="000A5D94">
              <w:rPr>
                <w:rStyle w:val="Emphasis"/>
                <w:rFonts w:ascii="Verdana" w:hAnsi="Verdana" w:cs="Arial"/>
                <w:i w:val="0"/>
                <w:color w:val="111111"/>
                <w:bdr w:val="none" w:sz="0" w:space="0" w:color="auto" w:frame="1"/>
              </w:rPr>
              <w:t>/</w:t>
            </w:r>
            <w:r w:rsidRPr="00580B7A">
              <w:rPr>
                <w:rStyle w:val="Emphasis"/>
                <w:rFonts w:ascii="Verdana" w:hAnsi="Verdana" w:cs="Arial"/>
                <w:i w:val="0"/>
                <w:color w:val="111111"/>
                <w:bdr w:val="none" w:sz="0" w:space="0" w:color="auto" w:frame="1"/>
              </w:rPr>
              <w:t>or the FDA.</w:t>
            </w:r>
            <w:r w:rsidRPr="007203EB">
              <w:rPr>
                <w:rFonts w:ascii="Verdana" w:hAnsi="Verdana" w:cs="Arial"/>
                <w:color w:val="111111"/>
              </w:rPr>
              <w:t xml:space="preserve"> </w:t>
            </w:r>
          </w:p>
          <w:p w14:paraId="4194807E" w14:textId="0733B92C" w:rsidR="00904D74" w:rsidRPr="006C6C7A" w:rsidRDefault="00904D74" w:rsidP="00580B7A">
            <w:pPr>
              <w:pStyle w:val="ListParagraph"/>
              <w:spacing w:before="120" w:after="120"/>
              <w:rPr>
                <w:rFonts w:ascii="Verdana" w:hAnsi="Verdana" w:cs="Arial"/>
                <w:color w:val="111111"/>
                <w:shd w:val="clear" w:color="auto" w:fill="FFFFFF"/>
              </w:rPr>
            </w:pPr>
          </w:p>
        </w:tc>
      </w:tr>
    </w:tbl>
    <w:p w14:paraId="7180C691" w14:textId="77777777" w:rsidR="00616C57" w:rsidRDefault="00616C57" w:rsidP="00450330">
      <w:pPr>
        <w:pStyle w:val="Heading3"/>
        <w:spacing w:before="0" w:after="0"/>
      </w:pPr>
    </w:p>
    <w:p w14:paraId="031C10B8" w14:textId="243C426D" w:rsidR="00264991" w:rsidRDefault="00264991" w:rsidP="00264991">
      <w:pPr>
        <w:pStyle w:val="Heading3"/>
        <w:spacing w:before="120" w:after="120"/>
        <w:rPr>
          <w:color w:val="000000"/>
        </w:rPr>
      </w:pPr>
      <w:hyperlink r:id="rId25" w:history="1">
        <w:bookmarkStart w:id="10" w:name="_Toc201214736"/>
        <w:r w:rsidRPr="007B4371">
          <w:rPr>
            <w:rStyle w:val="Hyperlink"/>
          </w:rPr>
          <w:t>Value Formulary</w:t>
        </w:r>
        <w:r w:rsidR="004767D4">
          <w:rPr>
            <w:rStyle w:val="Hyperlink"/>
          </w:rPr>
          <w:t xml:space="preserve"> </w:t>
        </w:r>
        <w:r w:rsidRPr="00264991">
          <w:rPr>
            <w:rStyle w:val="Hyperlink"/>
          </w:rPr>
          <w:t>Chart</w:t>
        </w:r>
      </w:hyperlink>
      <w:r w:rsidR="00363F0A">
        <w:t xml:space="preserve"> </w:t>
      </w:r>
      <w:r>
        <w:t>Drug Lists</w:t>
      </w:r>
      <w:bookmarkEnd w:id="10"/>
      <w:r>
        <w:t xml:space="preserve"> </w:t>
      </w:r>
    </w:p>
    <w:p w14:paraId="66BA0AEE" w14:textId="2538D14D" w:rsidR="00264991" w:rsidRDefault="00264991" w:rsidP="00264991">
      <w:pPr>
        <w:rPr>
          <w:rFonts w:ascii="Verdana" w:hAnsi="Verdana"/>
        </w:rPr>
      </w:pPr>
      <w:r>
        <w:rPr>
          <w:rFonts w:ascii="Verdana" w:hAnsi="Verdana"/>
          <w:color w:val="000000"/>
        </w:rPr>
        <w:t>The above hyperlink provides information related to Value Formulary</w:t>
      </w:r>
      <w:r w:rsidR="004767D4">
        <w:rPr>
          <w:rFonts w:ascii="Verdana" w:hAnsi="Verdana"/>
          <w:color w:val="000000"/>
        </w:rPr>
        <w:t xml:space="preserve"> </w:t>
      </w:r>
      <w:r>
        <w:rPr>
          <w:rFonts w:ascii="Verdana" w:hAnsi="Verdana"/>
          <w:color w:val="000000"/>
        </w:rPr>
        <w:t>Chart. This is the same information as our members can view and this hyperlink is provided in our member letters.</w:t>
      </w:r>
      <w:r>
        <w:rPr>
          <w:color w:val="000000"/>
        </w:rPr>
        <w:t xml:space="preserve">  </w:t>
      </w:r>
      <w:r>
        <w:rPr>
          <w:rFonts w:ascii="Verdana" w:hAnsi="Verdana"/>
        </w:rPr>
        <w:t>Refer to as needed:</w:t>
      </w:r>
    </w:p>
    <w:p w14:paraId="0A422D20" w14:textId="77777777" w:rsidR="00264991" w:rsidRDefault="00264991" w:rsidP="00264991">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264991" w14:paraId="4F6CA1FD" w14:textId="77777777" w:rsidTr="00EE12E2">
        <w:tc>
          <w:tcPr>
            <w:tcW w:w="1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C9D4E1" w14:textId="77777777" w:rsidR="00264991" w:rsidRDefault="00264991">
            <w:pPr>
              <w:spacing w:before="120" w:after="120"/>
              <w:jc w:val="center"/>
              <w:rPr>
                <w:rFonts w:ascii="Verdana" w:hAnsi="Verdana"/>
                <w:b/>
                <w:bCs/>
                <w:color w:val="000000"/>
              </w:rPr>
            </w:pPr>
            <w:r>
              <w:rPr>
                <w:rFonts w:ascii="Verdana" w:hAnsi="Verdana"/>
                <w:b/>
                <w:bCs/>
                <w:color w:val="000000"/>
              </w:rPr>
              <w:t>Site Features</w:t>
            </w:r>
          </w:p>
        </w:tc>
        <w:tc>
          <w:tcPr>
            <w:tcW w:w="398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F894AF" w14:textId="77777777" w:rsidR="00264991" w:rsidRDefault="00264991">
            <w:pPr>
              <w:spacing w:before="120" w:after="120"/>
              <w:jc w:val="center"/>
              <w:rPr>
                <w:rFonts w:ascii="Verdana" w:hAnsi="Verdana"/>
                <w:b/>
                <w:bCs/>
                <w:color w:val="000000"/>
              </w:rPr>
            </w:pPr>
            <w:r>
              <w:rPr>
                <w:rFonts w:ascii="Verdana" w:hAnsi="Verdana"/>
                <w:b/>
                <w:bCs/>
                <w:color w:val="000000"/>
              </w:rPr>
              <w:t>Description</w:t>
            </w:r>
          </w:p>
        </w:tc>
      </w:tr>
      <w:tr w:rsidR="00264991" w14:paraId="406AE019" w14:textId="77777777" w:rsidTr="00EE12E2">
        <w:tc>
          <w:tcPr>
            <w:tcW w:w="1019" w:type="pct"/>
            <w:tcBorders>
              <w:top w:val="single" w:sz="4" w:space="0" w:color="auto"/>
              <w:left w:val="single" w:sz="4" w:space="0" w:color="auto"/>
              <w:bottom w:val="single" w:sz="4" w:space="0" w:color="auto"/>
              <w:right w:val="single" w:sz="4" w:space="0" w:color="auto"/>
            </w:tcBorders>
            <w:hideMark/>
          </w:tcPr>
          <w:p w14:paraId="158F4B64" w14:textId="1E071CE4" w:rsidR="00264991" w:rsidRDefault="00264991">
            <w:pPr>
              <w:spacing w:before="120" w:after="120"/>
              <w:rPr>
                <w:rFonts w:ascii="Verdana" w:hAnsi="Verdana"/>
                <w:b/>
                <w:bCs/>
                <w:color w:val="000000"/>
              </w:rPr>
            </w:pPr>
            <w:r>
              <w:rPr>
                <w:rFonts w:ascii="Verdana" w:hAnsi="Verdana"/>
                <w:b/>
                <w:bCs/>
                <w:color w:val="000000"/>
              </w:rPr>
              <w:t>What is Value Formulary</w:t>
            </w:r>
            <w:r w:rsidR="003A6684">
              <w:rPr>
                <w:rFonts w:ascii="Verdana" w:hAnsi="Verdana"/>
                <w:b/>
                <w:bCs/>
                <w:color w:val="000000"/>
              </w:rPr>
              <w:t xml:space="preserve"> </w:t>
            </w:r>
            <w:r w:rsidR="00580560">
              <w:rPr>
                <w:rFonts w:ascii="Verdana" w:hAnsi="Verdana"/>
                <w:b/>
                <w:bCs/>
                <w:color w:val="000000"/>
              </w:rPr>
              <w:t>Chart</w:t>
            </w:r>
            <w:r w:rsidR="00E27622">
              <w:rPr>
                <w:rFonts w:ascii="Verdana" w:hAnsi="Verdana"/>
                <w:b/>
                <w:bCs/>
                <w:color w:val="000000"/>
              </w:rPr>
              <w:t xml:space="preserve">? </w:t>
            </w:r>
          </w:p>
        </w:tc>
        <w:tc>
          <w:tcPr>
            <w:tcW w:w="3981" w:type="pct"/>
            <w:tcBorders>
              <w:top w:val="single" w:sz="4" w:space="0" w:color="auto"/>
              <w:left w:val="single" w:sz="4" w:space="0" w:color="auto"/>
              <w:bottom w:val="single" w:sz="4" w:space="0" w:color="auto"/>
              <w:right w:val="single" w:sz="4" w:space="0" w:color="auto"/>
            </w:tcBorders>
            <w:hideMark/>
          </w:tcPr>
          <w:p w14:paraId="55CC20CA" w14:textId="0FC24919" w:rsidR="008E45C2" w:rsidRDefault="00264991">
            <w:pPr>
              <w:spacing w:before="120" w:after="120"/>
              <w:rPr>
                <w:rFonts w:ascii="Verdana" w:hAnsi="Verdana" w:cs="Arial"/>
                <w:color w:val="111111"/>
                <w:shd w:val="clear" w:color="auto" w:fill="FFFFFF"/>
              </w:rPr>
            </w:pPr>
            <w:r>
              <w:rPr>
                <w:rFonts w:ascii="Verdana" w:hAnsi="Verdana" w:cs="Arial"/>
                <w:color w:val="111111"/>
                <w:shd w:val="clear" w:color="auto" w:fill="FFFFFF"/>
              </w:rPr>
              <w:t>Value Formulary (VF)</w:t>
            </w:r>
            <w:r w:rsidR="008E45C2">
              <w:rPr>
                <w:rFonts w:ascii="Verdana" w:hAnsi="Verdana" w:cs="Arial"/>
                <w:color w:val="111111"/>
                <w:shd w:val="clear" w:color="auto" w:fill="FFFFFF"/>
              </w:rPr>
              <w:t>-Chart</w:t>
            </w:r>
            <w:r>
              <w:rPr>
                <w:rFonts w:ascii="Verdana" w:hAnsi="Verdana" w:cs="Arial"/>
                <w:color w:val="111111"/>
                <w:shd w:val="clear" w:color="auto" w:fill="FFFFFF"/>
              </w:rPr>
              <w:t xml:space="preserve"> is a managed formulary </w:t>
            </w:r>
            <w:r w:rsidR="008E45C2" w:rsidRPr="008E45C2">
              <w:rPr>
                <w:rFonts w:ascii="Verdana" w:hAnsi="Verdana" w:cs="Arial"/>
                <w:color w:val="111111"/>
                <w:shd w:val="clear" w:color="auto" w:fill="FFFFFF"/>
              </w:rPr>
              <w:t>used by federally funded government business clients</w:t>
            </w:r>
            <w:r w:rsidR="006750F0">
              <w:rPr>
                <w:rFonts w:ascii="Verdana" w:hAnsi="Verdana" w:cs="Arial"/>
                <w:color w:val="111111"/>
                <w:shd w:val="clear" w:color="auto" w:fill="FFFFFF"/>
              </w:rPr>
              <w:t>.</w:t>
            </w:r>
          </w:p>
          <w:p w14:paraId="354C050F" w14:textId="49693945" w:rsidR="00264991" w:rsidRDefault="006750F0">
            <w:pPr>
              <w:spacing w:before="120" w:after="120"/>
              <w:rPr>
                <w:rFonts w:ascii="Verdana" w:hAnsi="Verdana"/>
                <w:b/>
                <w:bCs/>
                <w:color w:val="000000"/>
                <w:u w:val="single"/>
              </w:rPr>
            </w:pPr>
            <w:r>
              <w:rPr>
                <w:rFonts w:ascii="Verdana" w:hAnsi="Verdana" w:cs="Arial"/>
                <w:color w:val="111111"/>
                <w:shd w:val="clear" w:color="auto" w:fill="FFFFFF"/>
              </w:rPr>
              <w:t>It</w:t>
            </w:r>
            <w:r w:rsidR="00264991">
              <w:rPr>
                <w:rFonts w:ascii="Verdana" w:hAnsi="Verdana" w:cs="Arial"/>
                <w:color w:val="111111"/>
                <w:shd w:val="clear" w:color="auto" w:fill="FFFFFF"/>
              </w:rPr>
              <w:t xml:space="preserve"> includes most generics and some brands. Certain brand medicines are not part of the Value Formulary.  Utilization Management programs are included in the formulary (Prior Authorization, Step Therapy, Quantity Limits).   </w:t>
            </w:r>
          </w:p>
        </w:tc>
      </w:tr>
      <w:tr w:rsidR="00264991" w14:paraId="71C10377" w14:textId="77777777" w:rsidTr="00EE12E2">
        <w:tc>
          <w:tcPr>
            <w:tcW w:w="1019" w:type="pct"/>
            <w:tcBorders>
              <w:top w:val="single" w:sz="4" w:space="0" w:color="auto"/>
              <w:left w:val="single" w:sz="4" w:space="0" w:color="auto"/>
              <w:bottom w:val="single" w:sz="4" w:space="0" w:color="auto"/>
              <w:right w:val="single" w:sz="4" w:space="0" w:color="auto"/>
            </w:tcBorders>
            <w:hideMark/>
          </w:tcPr>
          <w:p w14:paraId="5F23FC24" w14:textId="77777777" w:rsidR="00264991" w:rsidRDefault="00264991">
            <w:pPr>
              <w:spacing w:before="120" w:after="120"/>
              <w:rPr>
                <w:rFonts w:ascii="Verdana" w:hAnsi="Verdana"/>
                <w:b/>
                <w:bCs/>
                <w:color w:val="000000"/>
              </w:rPr>
            </w:pPr>
            <w:r>
              <w:rPr>
                <w:rFonts w:ascii="Verdana" w:hAnsi="Verdana"/>
                <w:b/>
                <w:bCs/>
                <w:color w:val="000000"/>
              </w:rPr>
              <w:t>Current and Next Quarter Documents</w:t>
            </w:r>
          </w:p>
        </w:tc>
        <w:tc>
          <w:tcPr>
            <w:tcW w:w="3981" w:type="pct"/>
            <w:tcBorders>
              <w:top w:val="single" w:sz="4" w:space="0" w:color="auto"/>
              <w:left w:val="single" w:sz="4" w:space="0" w:color="auto"/>
              <w:bottom w:val="single" w:sz="4" w:space="0" w:color="auto"/>
              <w:right w:val="single" w:sz="4" w:space="0" w:color="auto"/>
            </w:tcBorders>
            <w:hideMark/>
          </w:tcPr>
          <w:p w14:paraId="028CE1D9" w14:textId="77777777" w:rsidR="00264991" w:rsidRDefault="00264991">
            <w:pPr>
              <w:spacing w:before="120" w:after="120"/>
              <w:rPr>
                <w:rFonts w:ascii="Verdana" w:hAnsi="Verdana" w:cs="Arial"/>
                <w:color w:val="111111"/>
                <w:shd w:val="clear" w:color="auto" w:fill="FFFFFF"/>
              </w:rPr>
            </w:pPr>
            <w:r>
              <w:rPr>
                <w:rFonts w:ascii="Verdana" w:hAnsi="Verdana" w:cs="Arial"/>
                <w:color w:val="111111"/>
                <w:shd w:val="clear" w:color="auto" w:fill="FFFFFF"/>
              </w:rPr>
              <w:t xml:space="preserve">The list provides hyperlinks to current and next quarter’s medications covered under your plan.    </w:t>
            </w:r>
          </w:p>
        </w:tc>
      </w:tr>
      <w:tr w:rsidR="00264991" w14:paraId="257E6CC4" w14:textId="77777777" w:rsidTr="00EE12E2">
        <w:tc>
          <w:tcPr>
            <w:tcW w:w="1019" w:type="pct"/>
            <w:tcBorders>
              <w:top w:val="single" w:sz="4" w:space="0" w:color="auto"/>
              <w:left w:val="single" w:sz="4" w:space="0" w:color="auto"/>
              <w:bottom w:val="single" w:sz="4" w:space="0" w:color="auto"/>
              <w:right w:val="single" w:sz="4" w:space="0" w:color="auto"/>
            </w:tcBorders>
            <w:hideMark/>
          </w:tcPr>
          <w:p w14:paraId="14AEF0EF" w14:textId="77777777" w:rsidR="00264991" w:rsidRDefault="00264991">
            <w:pPr>
              <w:spacing w:before="120" w:after="120"/>
              <w:rPr>
                <w:rFonts w:ascii="Verdana" w:hAnsi="Verdana"/>
                <w:b/>
                <w:bCs/>
                <w:color w:val="000000"/>
              </w:rPr>
            </w:pPr>
            <w:r>
              <w:rPr>
                <w:rFonts w:ascii="Verdana" w:hAnsi="Verdana"/>
                <w:b/>
                <w:bCs/>
                <w:color w:val="000000"/>
              </w:rPr>
              <w:t>View Quick Reference List</w:t>
            </w:r>
          </w:p>
        </w:tc>
        <w:tc>
          <w:tcPr>
            <w:tcW w:w="3981" w:type="pct"/>
            <w:tcBorders>
              <w:top w:val="single" w:sz="4" w:space="0" w:color="auto"/>
              <w:left w:val="single" w:sz="4" w:space="0" w:color="auto"/>
              <w:bottom w:val="single" w:sz="4" w:space="0" w:color="auto"/>
              <w:right w:val="single" w:sz="4" w:space="0" w:color="auto"/>
            </w:tcBorders>
            <w:hideMark/>
          </w:tcPr>
          <w:p w14:paraId="165DBF3E" w14:textId="77777777" w:rsidR="00264991" w:rsidRPr="00D71770" w:rsidRDefault="00264991">
            <w:pPr>
              <w:spacing w:before="120" w:after="120"/>
              <w:rPr>
                <w:rStyle w:val="Emphasis"/>
                <w:rFonts w:cs="Arial"/>
                <w:i w:val="0"/>
                <w:iCs w:val="0"/>
                <w:color w:val="111111"/>
                <w:shd w:val="clear" w:color="auto" w:fill="FFFFFF"/>
              </w:rPr>
            </w:pPr>
            <w:r w:rsidRPr="00D71770">
              <w:rPr>
                <w:rStyle w:val="Emphasis"/>
                <w:rFonts w:ascii="Verdana" w:hAnsi="Verdana" w:cs="Arial"/>
                <w:i w:val="0"/>
                <w:iCs w:val="0"/>
                <w:color w:val="111111"/>
                <w:shd w:val="clear" w:color="auto" w:fill="FFFFFF"/>
              </w:rPr>
              <w:t>Value Formulary Quick Reference List is a shortened version of the Prescribing Guide.</w:t>
            </w:r>
          </w:p>
        </w:tc>
      </w:tr>
      <w:tr w:rsidR="00264991" w14:paraId="463A5096" w14:textId="77777777" w:rsidTr="00EE12E2">
        <w:tc>
          <w:tcPr>
            <w:tcW w:w="1019" w:type="pct"/>
            <w:tcBorders>
              <w:top w:val="single" w:sz="4" w:space="0" w:color="auto"/>
              <w:left w:val="single" w:sz="4" w:space="0" w:color="auto"/>
              <w:bottom w:val="single" w:sz="4" w:space="0" w:color="auto"/>
              <w:right w:val="single" w:sz="4" w:space="0" w:color="auto"/>
            </w:tcBorders>
            <w:hideMark/>
          </w:tcPr>
          <w:p w14:paraId="7E1F5A5D" w14:textId="2B7AFA8E" w:rsidR="00264991" w:rsidRDefault="00264991">
            <w:pPr>
              <w:spacing w:before="120" w:after="120"/>
              <w:rPr>
                <w:b/>
                <w:color w:val="000000"/>
              </w:rPr>
            </w:pPr>
            <w:r>
              <w:rPr>
                <w:rFonts w:ascii="Verdana" w:hAnsi="Verdana"/>
                <w:b/>
                <w:color w:val="000000"/>
              </w:rPr>
              <w:t>Advanced Control Specialty Formulary</w:t>
            </w:r>
            <w:r w:rsidR="00217F11">
              <w:rPr>
                <w:rFonts w:ascii="Verdana" w:hAnsi="Verdana"/>
                <w:b/>
                <w:color w:val="000000"/>
              </w:rPr>
              <w:t xml:space="preserve"> Chart</w:t>
            </w:r>
            <w:r>
              <w:rPr>
                <w:rFonts w:ascii="Verdana" w:hAnsi="Verdana"/>
                <w:b/>
                <w:color w:val="000000"/>
              </w:rPr>
              <w:t xml:space="preserve"> Drug List</w:t>
            </w:r>
          </w:p>
        </w:tc>
        <w:tc>
          <w:tcPr>
            <w:tcW w:w="3981" w:type="pct"/>
            <w:tcBorders>
              <w:top w:val="single" w:sz="4" w:space="0" w:color="auto"/>
              <w:left w:val="single" w:sz="4" w:space="0" w:color="auto"/>
              <w:bottom w:val="single" w:sz="4" w:space="0" w:color="auto"/>
              <w:right w:val="single" w:sz="4" w:space="0" w:color="auto"/>
            </w:tcBorders>
            <w:hideMark/>
          </w:tcPr>
          <w:p w14:paraId="13DAA6B6" w14:textId="56200B6C" w:rsidR="00264991" w:rsidRDefault="00264991">
            <w:pPr>
              <w:spacing w:before="120" w:after="120"/>
              <w:rPr>
                <w:rFonts w:ascii="Verdana" w:hAnsi="Verdana" w:cs="Arial"/>
                <w:color w:val="111111"/>
                <w:shd w:val="clear" w:color="auto" w:fill="FFFFFF"/>
              </w:rPr>
            </w:pPr>
            <w:r>
              <w:rPr>
                <w:rFonts w:ascii="Verdana" w:hAnsi="Verdana" w:cs="Arial"/>
                <w:color w:val="111111"/>
                <w:shd w:val="clear" w:color="auto" w:fill="FFFFFF"/>
              </w:rPr>
              <w:t>Specialty Medications follow Advanced Control Specialty Formulary</w:t>
            </w:r>
            <w:r w:rsidR="00217F11" w:rsidRPr="003F338C">
              <w:rPr>
                <w:rFonts w:ascii="Verdana" w:hAnsi="Verdana" w:cs="Arial"/>
                <w:color w:val="111111"/>
                <w:shd w:val="clear" w:color="auto" w:fill="FFFFFF"/>
              </w:rPr>
              <w:t xml:space="preserve"> Chart</w:t>
            </w:r>
            <w:r>
              <w:rPr>
                <w:rFonts w:ascii="Verdana" w:hAnsi="Verdana" w:cs="Arial"/>
                <w:color w:val="111111"/>
                <w:shd w:val="clear" w:color="auto" w:fill="FFFFFF"/>
              </w:rPr>
              <w:t xml:space="preserve"> guidelines.  This document lists medications that are covered </w:t>
            </w:r>
            <w:r w:rsidR="003543EE">
              <w:rPr>
                <w:rFonts w:ascii="Verdana" w:hAnsi="Verdana" w:cs="Arial"/>
                <w:color w:val="111111"/>
                <w:shd w:val="clear" w:color="auto" w:fill="FFFFFF"/>
              </w:rPr>
              <w:t>and</w:t>
            </w:r>
            <w:r>
              <w:rPr>
                <w:rFonts w:ascii="Verdana" w:hAnsi="Verdana" w:cs="Arial"/>
                <w:color w:val="111111"/>
                <w:shd w:val="clear" w:color="auto" w:fill="FFFFFF"/>
              </w:rPr>
              <w:t xml:space="preserve"> identifies medications that are not covered.</w:t>
            </w:r>
          </w:p>
        </w:tc>
      </w:tr>
      <w:tr w:rsidR="00264991" w14:paraId="6B4CF9E6" w14:textId="77777777" w:rsidTr="00EE12E2">
        <w:tc>
          <w:tcPr>
            <w:tcW w:w="1019" w:type="pct"/>
            <w:tcBorders>
              <w:top w:val="single" w:sz="4" w:space="0" w:color="auto"/>
              <w:left w:val="single" w:sz="4" w:space="0" w:color="auto"/>
              <w:bottom w:val="single" w:sz="4" w:space="0" w:color="auto"/>
              <w:right w:val="single" w:sz="4" w:space="0" w:color="auto"/>
            </w:tcBorders>
            <w:hideMark/>
          </w:tcPr>
          <w:p w14:paraId="4632545F" w14:textId="77777777" w:rsidR="00264991" w:rsidRDefault="00264991">
            <w:pPr>
              <w:spacing w:before="120" w:after="120"/>
              <w:rPr>
                <w:rFonts w:ascii="Verdana" w:hAnsi="Verdana"/>
                <w:b/>
                <w:color w:val="000000"/>
              </w:rPr>
            </w:pPr>
            <w:r>
              <w:rPr>
                <w:rFonts w:ascii="Verdana" w:hAnsi="Verdana"/>
                <w:b/>
                <w:color w:val="000000"/>
              </w:rPr>
              <w:t>Non-Listed Medicines</w:t>
            </w:r>
          </w:p>
        </w:tc>
        <w:tc>
          <w:tcPr>
            <w:tcW w:w="3981" w:type="pct"/>
            <w:tcBorders>
              <w:top w:val="single" w:sz="4" w:space="0" w:color="auto"/>
              <w:left w:val="single" w:sz="4" w:space="0" w:color="auto"/>
              <w:bottom w:val="single" w:sz="4" w:space="0" w:color="auto"/>
              <w:right w:val="single" w:sz="4" w:space="0" w:color="auto"/>
            </w:tcBorders>
            <w:hideMark/>
          </w:tcPr>
          <w:p w14:paraId="13DB9E1A" w14:textId="18B440A0" w:rsidR="00264991" w:rsidRDefault="00264991">
            <w:pPr>
              <w:spacing w:before="120" w:after="120"/>
              <w:rPr>
                <w:rFonts w:ascii="Verdana" w:hAnsi="Verdana"/>
                <w:color w:val="000000"/>
              </w:rPr>
            </w:pPr>
            <w:r>
              <w:rPr>
                <w:rFonts w:ascii="Verdana" w:hAnsi="Verdana" w:cs="Arial"/>
                <w:color w:val="111111"/>
                <w:shd w:val="clear" w:color="auto" w:fill="FFFFFF"/>
              </w:rPr>
              <w:t>Certain brand medicines are not part of Value Formulary</w:t>
            </w:r>
            <w:r w:rsidR="00E42B3F">
              <w:rPr>
                <w:rFonts w:ascii="Verdana" w:hAnsi="Verdana" w:cs="Arial"/>
                <w:color w:val="111111"/>
                <w:shd w:val="clear" w:color="auto" w:fill="FFFFFF"/>
              </w:rPr>
              <w:t xml:space="preserve"> Chart</w:t>
            </w:r>
            <w:r>
              <w:rPr>
                <w:rFonts w:ascii="Verdana" w:hAnsi="Verdana" w:cs="Arial"/>
                <w:color w:val="111111"/>
                <w:shd w:val="clear" w:color="auto" w:fill="FFFFFF"/>
              </w:rPr>
              <w:t xml:space="preserve">.  This document lists some of the </w:t>
            </w:r>
            <w:r w:rsidR="003543EE">
              <w:rPr>
                <w:rFonts w:ascii="Verdana" w:hAnsi="Verdana" w:cs="Arial"/>
                <w:color w:val="111111"/>
                <w:shd w:val="clear" w:color="auto" w:fill="FFFFFF"/>
              </w:rPr>
              <w:t>most used</w:t>
            </w:r>
            <w:r>
              <w:rPr>
                <w:rFonts w:ascii="Verdana" w:hAnsi="Verdana" w:cs="Arial"/>
                <w:color w:val="111111"/>
                <w:shd w:val="clear" w:color="auto" w:fill="FFFFFF"/>
              </w:rPr>
              <w:t xml:space="preserve"> brand medications that are not covered and alternatives are provided for those products.</w:t>
            </w:r>
          </w:p>
        </w:tc>
      </w:tr>
      <w:tr w:rsidR="00264991" w14:paraId="3391E3DF" w14:textId="77777777" w:rsidTr="00EE12E2">
        <w:tc>
          <w:tcPr>
            <w:tcW w:w="1019" w:type="pct"/>
            <w:tcBorders>
              <w:top w:val="single" w:sz="4" w:space="0" w:color="auto"/>
              <w:left w:val="single" w:sz="4" w:space="0" w:color="auto"/>
              <w:bottom w:val="single" w:sz="4" w:space="0" w:color="auto"/>
              <w:right w:val="single" w:sz="4" w:space="0" w:color="auto"/>
            </w:tcBorders>
            <w:hideMark/>
          </w:tcPr>
          <w:p w14:paraId="031BDE13" w14:textId="77777777" w:rsidR="00264991" w:rsidRDefault="00264991">
            <w:pPr>
              <w:spacing w:before="120" w:after="120"/>
              <w:rPr>
                <w:rFonts w:ascii="Verdana" w:hAnsi="Verdana"/>
                <w:b/>
                <w:color w:val="000000"/>
              </w:rPr>
            </w:pPr>
            <w:r>
              <w:rPr>
                <w:rFonts w:ascii="Verdana" w:hAnsi="Verdana"/>
                <w:b/>
                <w:color w:val="000000"/>
              </w:rPr>
              <w:t>Medicines with Clinical Requirements</w:t>
            </w:r>
          </w:p>
        </w:tc>
        <w:tc>
          <w:tcPr>
            <w:tcW w:w="3981" w:type="pct"/>
            <w:tcBorders>
              <w:top w:val="single" w:sz="4" w:space="0" w:color="auto"/>
              <w:left w:val="single" w:sz="4" w:space="0" w:color="auto"/>
              <w:bottom w:val="single" w:sz="4" w:space="0" w:color="auto"/>
              <w:right w:val="single" w:sz="4" w:space="0" w:color="auto"/>
            </w:tcBorders>
            <w:hideMark/>
          </w:tcPr>
          <w:p w14:paraId="5F233992" w14:textId="77777777" w:rsidR="00264991" w:rsidRPr="002B2337" w:rsidRDefault="00264991" w:rsidP="00903F65">
            <w:pPr>
              <w:numPr>
                <w:ilvl w:val="0"/>
                <w:numId w:val="53"/>
              </w:numPr>
              <w:spacing w:before="120" w:after="120"/>
              <w:textAlignment w:val="baseline"/>
              <w:rPr>
                <w:rFonts w:ascii="Verdana" w:hAnsi="Verdana" w:cs="Arial"/>
                <w:color w:val="111111"/>
              </w:rPr>
            </w:pPr>
            <w:r w:rsidRPr="00435F40">
              <w:rPr>
                <w:rStyle w:val="Emphasis"/>
                <w:rFonts w:ascii="Verdana" w:hAnsi="Verdana" w:cs="Arial"/>
                <w:b/>
                <w:bCs/>
                <w:i w:val="0"/>
                <w:iCs w:val="0"/>
                <w:color w:val="111111"/>
                <w:bdr w:val="none" w:sz="0" w:space="0" w:color="auto" w:frame="1"/>
              </w:rPr>
              <w:t>Prior Authorization (PA):</w:t>
            </w:r>
            <w:r w:rsidRPr="002B2337">
              <w:rPr>
                <w:rFonts w:ascii="Verdana" w:hAnsi="Verdana" w:cs="Arial"/>
                <w:color w:val="111111"/>
              </w:rPr>
              <w:t> This means that your doctor must contact CVS/Caremark and confirm that a specific medicine meets plan guidelines for covering your condition.</w:t>
            </w:r>
          </w:p>
          <w:p w14:paraId="6564787F" w14:textId="77777777" w:rsidR="00264991" w:rsidRPr="002B2337" w:rsidRDefault="00264991" w:rsidP="00903F65">
            <w:pPr>
              <w:numPr>
                <w:ilvl w:val="0"/>
                <w:numId w:val="53"/>
              </w:numPr>
              <w:spacing w:before="120" w:after="120"/>
              <w:textAlignment w:val="baseline"/>
              <w:rPr>
                <w:rFonts w:ascii="Verdana" w:hAnsi="Verdana" w:cs="Arial"/>
                <w:color w:val="111111"/>
              </w:rPr>
            </w:pPr>
            <w:r w:rsidRPr="00435F40">
              <w:rPr>
                <w:rStyle w:val="Emphasis"/>
                <w:rFonts w:ascii="Verdana" w:hAnsi="Verdana" w:cs="Arial"/>
                <w:b/>
                <w:bCs/>
                <w:i w:val="0"/>
                <w:iCs w:val="0"/>
                <w:color w:val="111111"/>
                <w:bdr w:val="none" w:sz="0" w:space="0" w:color="auto" w:frame="1"/>
              </w:rPr>
              <w:t xml:space="preserve">Step Therapy with Post-Step Prior Authorization (ST, PA), </w:t>
            </w:r>
            <w:r w:rsidRPr="00435F40">
              <w:rPr>
                <w:rStyle w:val="Emphasis"/>
                <w:rFonts w:ascii="Verdana" w:hAnsi="Verdana" w:cs="Arial"/>
                <w:i w:val="0"/>
                <w:iCs w:val="0"/>
                <w:color w:val="111111"/>
                <w:bdr w:val="none" w:sz="0" w:space="0" w:color="auto" w:frame="1"/>
              </w:rPr>
              <w:t>t</w:t>
            </w:r>
            <w:r w:rsidRPr="002B2337">
              <w:rPr>
                <w:rFonts w:ascii="Verdana" w:hAnsi="Verdana" w:cs="Arial"/>
                <w:color w:val="111111"/>
              </w:rPr>
              <w:t>his means that:</w:t>
            </w:r>
          </w:p>
          <w:p w14:paraId="5A6F848A" w14:textId="77777777" w:rsidR="00264991" w:rsidRPr="002B2337" w:rsidRDefault="00264991" w:rsidP="00EE12E2">
            <w:pPr>
              <w:pStyle w:val="ListParagraph"/>
              <w:numPr>
                <w:ilvl w:val="1"/>
                <w:numId w:val="53"/>
              </w:numPr>
              <w:spacing w:before="120" w:after="120"/>
              <w:textAlignment w:val="baseline"/>
              <w:rPr>
                <w:rFonts w:ascii="Verdana" w:hAnsi="Verdana" w:cs="Arial"/>
                <w:color w:val="111111"/>
              </w:rPr>
            </w:pPr>
            <w:r w:rsidRPr="002B2337">
              <w:rPr>
                <w:rFonts w:ascii="Verdana" w:hAnsi="Verdana" w:cs="Arial"/>
                <w:color w:val="111111"/>
              </w:rPr>
              <w:t>You must try a plan medicine before being able to able to take a higher-cost medicine.</w:t>
            </w:r>
          </w:p>
          <w:p w14:paraId="033C8B43" w14:textId="4E83122E" w:rsidR="00264991" w:rsidRPr="002B2337" w:rsidRDefault="00264991" w:rsidP="00EE12E2">
            <w:pPr>
              <w:pStyle w:val="ListParagraph"/>
              <w:numPr>
                <w:ilvl w:val="1"/>
                <w:numId w:val="53"/>
              </w:numPr>
              <w:spacing w:before="120" w:after="120"/>
              <w:textAlignment w:val="baseline"/>
              <w:rPr>
                <w:rFonts w:ascii="Verdana" w:hAnsi="Verdana" w:cs="Arial"/>
                <w:color w:val="111111"/>
              </w:rPr>
            </w:pPr>
            <w:r w:rsidRPr="002B2337">
              <w:rPr>
                <w:rFonts w:ascii="Verdana" w:hAnsi="Verdana" w:cs="Arial"/>
                <w:color w:val="111111"/>
              </w:rPr>
              <w:t xml:space="preserve">If you have a unique medical situation where the plan medicine </w:t>
            </w:r>
            <w:r w:rsidR="003E2EBA" w:rsidRPr="002B2337">
              <w:rPr>
                <w:rFonts w:ascii="Verdana" w:hAnsi="Verdana" w:cs="Arial"/>
                <w:color w:val="111111"/>
              </w:rPr>
              <w:t>does not</w:t>
            </w:r>
            <w:r w:rsidRPr="002B2337">
              <w:rPr>
                <w:rFonts w:ascii="Verdana" w:hAnsi="Verdana" w:cs="Arial"/>
                <w:color w:val="111111"/>
              </w:rPr>
              <w:t xml:space="preserve"> work well for you, your doctor must contact CVS/Caremark and confirm that a specific medicine is clinically necessary for your condition.</w:t>
            </w:r>
          </w:p>
          <w:p w14:paraId="44B736BF" w14:textId="77777777" w:rsidR="00264991" w:rsidRPr="002B2337" w:rsidRDefault="00264991" w:rsidP="00903F65">
            <w:pPr>
              <w:numPr>
                <w:ilvl w:val="0"/>
                <w:numId w:val="53"/>
              </w:numPr>
              <w:spacing w:before="120" w:after="120"/>
              <w:textAlignment w:val="baseline"/>
              <w:rPr>
                <w:rFonts w:ascii="Verdana" w:hAnsi="Verdana" w:cs="Arial"/>
                <w:color w:val="111111"/>
              </w:rPr>
            </w:pPr>
            <w:r w:rsidRPr="00435F40">
              <w:rPr>
                <w:rStyle w:val="Emphasis"/>
                <w:rFonts w:ascii="Verdana" w:hAnsi="Verdana" w:cs="Arial"/>
                <w:b/>
                <w:bCs/>
                <w:i w:val="0"/>
                <w:iCs w:val="0"/>
                <w:color w:val="111111"/>
                <w:bdr w:val="none" w:sz="0" w:space="0" w:color="auto" w:frame="1"/>
              </w:rPr>
              <w:t>Quantity Limit (QL):</w:t>
            </w:r>
            <w:r w:rsidRPr="002B2337">
              <w:rPr>
                <w:rFonts w:ascii="Verdana" w:hAnsi="Verdana" w:cs="Arial"/>
                <w:color w:val="111111"/>
              </w:rPr>
              <w:t> This means that the plan limits the amount of a specific medicine that you can fill in a 30-day or 90-day period.</w:t>
            </w:r>
          </w:p>
          <w:p w14:paraId="43BC1A13" w14:textId="77777777" w:rsidR="00264991" w:rsidRDefault="00264991" w:rsidP="00903F65">
            <w:pPr>
              <w:numPr>
                <w:ilvl w:val="0"/>
                <w:numId w:val="53"/>
              </w:numPr>
              <w:spacing w:before="120" w:after="120"/>
              <w:textAlignment w:val="baseline"/>
              <w:rPr>
                <w:rFonts w:ascii="Verdana" w:hAnsi="Verdana" w:cs="Arial"/>
                <w:color w:val="111111"/>
              </w:rPr>
            </w:pPr>
            <w:r w:rsidRPr="00435F40">
              <w:rPr>
                <w:rStyle w:val="Emphasis"/>
                <w:rFonts w:ascii="Verdana" w:hAnsi="Verdana" w:cs="Arial"/>
                <w:b/>
                <w:bCs/>
                <w:i w:val="0"/>
                <w:iCs w:val="0"/>
                <w:color w:val="111111"/>
                <w:bdr w:val="none" w:sz="0" w:space="0" w:color="auto" w:frame="1"/>
              </w:rPr>
              <w:t>Quantity Limit with Post-Limit PA (QL, PA):</w:t>
            </w:r>
            <w:r w:rsidRPr="002B2337">
              <w:rPr>
                <w:rFonts w:ascii="Verdana" w:hAnsi="Verdana" w:cs="Arial"/>
                <w:color w:val="111111"/>
              </w:rPr>
              <w:t> This</w:t>
            </w:r>
            <w:r>
              <w:rPr>
                <w:rFonts w:ascii="Verdana" w:hAnsi="Verdana" w:cs="Arial"/>
                <w:color w:val="111111"/>
              </w:rPr>
              <w:t xml:space="preserve"> means that:</w:t>
            </w:r>
          </w:p>
          <w:p w14:paraId="22412FD5" w14:textId="77777777" w:rsidR="00264991" w:rsidRDefault="00264991" w:rsidP="00EE12E2">
            <w:pPr>
              <w:pStyle w:val="ListParagraph"/>
              <w:numPr>
                <w:ilvl w:val="1"/>
                <w:numId w:val="53"/>
              </w:numPr>
              <w:spacing w:before="120" w:after="120"/>
              <w:textAlignment w:val="baseline"/>
              <w:rPr>
                <w:rFonts w:ascii="Verdana" w:hAnsi="Verdana" w:cs="Arial"/>
                <w:color w:val="111111"/>
              </w:rPr>
            </w:pPr>
            <w:r>
              <w:rPr>
                <w:rFonts w:ascii="Verdana" w:hAnsi="Verdana" w:cs="Arial"/>
                <w:color w:val="111111"/>
              </w:rPr>
              <w:t>The plan limits the amount of a specific medicine in a 30-day or 90-day period.</w:t>
            </w:r>
          </w:p>
          <w:p w14:paraId="2615EA35" w14:textId="77777777" w:rsidR="00264991" w:rsidRPr="00580B7A" w:rsidRDefault="00264991" w:rsidP="00EE12E2">
            <w:pPr>
              <w:pStyle w:val="ListParagraph"/>
              <w:numPr>
                <w:ilvl w:val="1"/>
                <w:numId w:val="53"/>
              </w:numPr>
              <w:spacing w:before="120" w:after="120"/>
              <w:rPr>
                <w:rFonts w:ascii="Verdana" w:hAnsi="Verdana" w:cs="Arial"/>
                <w:color w:val="111111"/>
                <w:shd w:val="clear" w:color="auto" w:fill="FFFFFF"/>
              </w:rPr>
            </w:pPr>
            <w:r>
              <w:rPr>
                <w:rFonts w:ascii="Verdana" w:hAnsi="Verdana" w:cs="Arial"/>
                <w:color w:val="111111"/>
              </w:rPr>
              <w:t>If you have a unique medical situation that requires you to take an amount larger than the limit, your doctor can contact CVS/Caremark and confirm that a larger amount of medicine is clinically necessary for your condition.</w:t>
            </w:r>
          </w:p>
          <w:p w14:paraId="3668951C" w14:textId="2E05649B" w:rsidR="007203EB" w:rsidRPr="007203EB" w:rsidRDefault="007203EB" w:rsidP="00EE12E2">
            <w:pPr>
              <w:spacing w:before="120" w:after="120"/>
              <w:ind w:left="1440"/>
              <w:textAlignment w:val="baseline"/>
              <w:rPr>
                <w:rFonts w:ascii="Verdana" w:hAnsi="Verdana" w:cs="Arial"/>
                <w:color w:val="111111"/>
              </w:rPr>
            </w:pPr>
            <w:r w:rsidRPr="007203EB">
              <w:rPr>
                <w:rStyle w:val="Emphasis"/>
                <w:rFonts w:ascii="Verdana" w:hAnsi="Verdana" w:cs="Arial"/>
                <w:b/>
                <w:bCs/>
                <w:i w:val="0"/>
                <w:color w:val="111111"/>
                <w:bdr w:val="none" w:sz="0" w:space="0" w:color="auto" w:frame="1"/>
              </w:rPr>
              <w:t>No</w:t>
            </w:r>
            <w:r w:rsidRPr="000227F5">
              <w:rPr>
                <w:rStyle w:val="Emphasis"/>
                <w:rFonts w:ascii="Verdana" w:hAnsi="Verdana" w:cs="Arial"/>
                <w:b/>
                <w:bCs/>
                <w:i w:val="0"/>
                <w:color w:val="111111"/>
                <w:bdr w:val="none" w:sz="0" w:space="0" w:color="auto" w:frame="1"/>
              </w:rPr>
              <w:t>te</w:t>
            </w:r>
            <w:r w:rsidR="00E83DC3">
              <w:rPr>
                <w:rStyle w:val="Emphasis"/>
                <w:rFonts w:ascii="Verdana" w:hAnsi="Verdana" w:cs="Arial"/>
                <w:b/>
                <w:bCs/>
                <w:i w:val="0"/>
                <w:color w:val="111111"/>
                <w:bdr w:val="none" w:sz="0" w:space="0" w:color="auto" w:frame="1"/>
              </w:rPr>
              <w:t xml:space="preserve">: </w:t>
            </w:r>
            <w:r w:rsidRPr="000227F5">
              <w:rPr>
                <w:rStyle w:val="Emphasis"/>
                <w:rFonts w:ascii="Verdana" w:hAnsi="Verdana" w:cs="Arial"/>
                <w:i w:val="0"/>
                <w:color w:val="111111"/>
                <w:bdr w:val="none" w:sz="0" w:space="0" w:color="auto" w:frame="1"/>
              </w:rPr>
              <w:t>The ACA does not dictate any quantity that is set by the plan and</w:t>
            </w:r>
            <w:r w:rsidR="00EE12E2">
              <w:rPr>
                <w:rStyle w:val="Emphasis"/>
                <w:rFonts w:ascii="Verdana" w:hAnsi="Verdana" w:cs="Arial"/>
                <w:i w:val="0"/>
                <w:color w:val="111111"/>
                <w:bdr w:val="none" w:sz="0" w:space="0" w:color="auto" w:frame="1"/>
              </w:rPr>
              <w:t>/</w:t>
            </w:r>
            <w:r w:rsidRPr="000227F5">
              <w:rPr>
                <w:rStyle w:val="Emphasis"/>
                <w:rFonts w:ascii="Verdana" w:hAnsi="Verdana" w:cs="Arial"/>
                <w:i w:val="0"/>
                <w:color w:val="111111"/>
                <w:bdr w:val="none" w:sz="0" w:space="0" w:color="auto" w:frame="1"/>
              </w:rPr>
              <w:t>or the FDA.</w:t>
            </w:r>
            <w:r w:rsidRPr="007203EB">
              <w:rPr>
                <w:rFonts w:ascii="Verdana" w:hAnsi="Verdana" w:cs="Arial"/>
                <w:color w:val="111111"/>
              </w:rPr>
              <w:t xml:space="preserve"> </w:t>
            </w:r>
          </w:p>
          <w:p w14:paraId="163053FB" w14:textId="3824C6CE" w:rsidR="00903F65" w:rsidRDefault="00903F65" w:rsidP="003A6684">
            <w:pPr>
              <w:spacing w:before="120" w:after="120"/>
              <w:ind w:left="720"/>
              <w:textAlignment w:val="baseline"/>
              <w:rPr>
                <w:rFonts w:ascii="Verdana" w:hAnsi="Verdana" w:cs="Arial"/>
                <w:color w:val="111111"/>
              </w:rPr>
            </w:pPr>
          </w:p>
          <w:p w14:paraId="39D4CB8E" w14:textId="5A165709" w:rsidR="00903F65" w:rsidRPr="00580B7A" w:rsidRDefault="00903F65" w:rsidP="00580B7A">
            <w:pPr>
              <w:spacing w:before="120" w:after="120"/>
              <w:rPr>
                <w:rFonts w:ascii="Verdana" w:hAnsi="Verdana" w:cs="Arial"/>
                <w:color w:val="111111"/>
                <w:shd w:val="clear" w:color="auto" w:fill="FFFFFF"/>
              </w:rPr>
            </w:pPr>
          </w:p>
        </w:tc>
      </w:tr>
    </w:tbl>
    <w:p w14:paraId="7EDFC151" w14:textId="77777777" w:rsidR="00264991" w:rsidRDefault="00264991" w:rsidP="00264991">
      <w:pPr>
        <w:pStyle w:val="Heading3"/>
        <w:spacing w:before="0" w:after="0"/>
      </w:pPr>
    </w:p>
    <w:p w14:paraId="744E99E4" w14:textId="3442E1FB" w:rsidR="002E1B10" w:rsidRDefault="003D4800" w:rsidP="00450330">
      <w:pPr>
        <w:pStyle w:val="Heading3"/>
        <w:spacing w:before="120" w:after="120"/>
        <w:rPr>
          <w:rFonts w:cs="Times New Roman"/>
          <w:b w:val="0"/>
          <w:bCs w:val="0"/>
          <w:color w:val="0000FF"/>
          <w:szCs w:val="24"/>
          <w:u w:val="single"/>
        </w:rPr>
      </w:pPr>
      <w:hyperlink r:id="rId26" w:history="1">
        <w:bookmarkStart w:id="11" w:name="_Toc7503899"/>
        <w:bookmarkStart w:id="12" w:name="_Toc201214737"/>
        <w:r>
          <w:rPr>
            <w:rStyle w:val="Hyperlink"/>
          </w:rPr>
          <w:t>Standard Control Formulary (SCF) Performance Drug List</w:t>
        </w:r>
        <w:bookmarkEnd w:id="12"/>
        <w:r>
          <w:rPr>
            <w:rStyle w:val="Hyperlink"/>
          </w:rPr>
          <w:t xml:space="preserve"> </w:t>
        </w:r>
      </w:hyperlink>
      <w:bookmarkEnd w:id="11"/>
    </w:p>
    <w:p w14:paraId="0672C248" w14:textId="1129DF56" w:rsidR="008960F3" w:rsidRPr="001C410A" w:rsidRDefault="008960F3" w:rsidP="00450330">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2C53BD" w:rsidRPr="001B0D90" w14:paraId="14410BBC" w14:textId="77777777" w:rsidTr="00650C34">
        <w:tc>
          <w:tcPr>
            <w:tcW w:w="1019" w:type="pct"/>
            <w:shd w:val="clear" w:color="auto" w:fill="D9D9D9" w:themeFill="background1" w:themeFillShade="D9"/>
          </w:tcPr>
          <w:p w14:paraId="7B9400C5" w14:textId="77777777" w:rsidR="002C53BD" w:rsidRPr="00AE157D" w:rsidRDefault="002C53BD" w:rsidP="00450330">
            <w:pPr>
              <w:spacing w:before="120" w:after="120"/>
              <w:jc w:val="center"/>
              <w:rPr>
                <w:rFonts w:ascii="Verdana" w:hAnsi="Verdana"/>
                <w:b/>
                <w:bCs/>
                <w:color w:val="000000"/>
              </w:rPr>
            </w:pPr>
            <w:r>
              <w:rPr>
                <w:rFonts w:ascii="Verdana" w:hAnsi="Verdana"/>
                <w:b/>
                <w:bCs/>
                <w:color w:val="000000"/>
              </w:rPr>
              <w:t>Site Features</w:t>
            </w:r>
          </w:p>
        </w:tc>
        <w:tc>
          <w:tcPr>
            <w:tcW w:w="3981" w:type="pct"/>
            <w:shd w:val="clear" w:color="auto" w:fill="D9D9D9" w:themeFill="background1" w:themeFillShade="D9"/>
          </w:tcPr>
          <w:p w14:paraId="77EE83BE" w14:textId="77777777" w:rsidR="002C53BD" w:rsidRPr="001B0D90" w:rsidRDefault="002C53BD" w:rsidP="00450330">
            <w:pPr>
              <w:spacing w:before="120" w:after="120"/>
              <w:jc w:val="center"/>
              <w:rPr>
                <w:rFonts w:ascii="Verdana" w:hAnsi="Verdana"/>
                <w:b/>
                <w:bCs/>
                <w:color w:val="000000"/>
              </w:rPr>
            </w:pPr>
            <w:r w:rsidRPr="001B0D90">
              <w:rPr>
                <w:rFonts w:ascii="Verdana" w:hAnsi="Verdana"/>
                <w:b/>
                <w:bCs/>
                <w:color w:val="000000"/>
              </w:rPr>
              <w:t>Description</w:t>
            </w:r>
          </w:p>
        </w:tc>
      </w:tr>
      <w:tr w:rsidR="00700ECD" w:rsidRPr="001B0D90" w14:paraId="777104F1" w14:textId="77777777" w:rsidTr="00984BE8">
        <w:tc>
          <w:tcPr>
            <w:tcW w:w="1019" w:type="pct"/>
            <w:shd w:val="clear" w:color="auto" w:fill="auto"/>
          </w:tcPr>
          <w:p w14:paraId="5124231C" w14:textId="0FFCD072" w:rsidR="00700ECD" w:rsidRDefault="00700ECD" w:rsidP="00450330">
            <w:pPr>
              <w:spacing w:before="120" w:after="120"/>
              <w:rPr>
                <w:rFonts w:ascii="Verdana" w:hAnsi="Verdana"/>
                <w:b/>
                <w:bCs/>
                <w:color w:val="000000"/>
              </w:rPr>
            </w:pPr>
            <w:r>
              <w:rPr>
                <w:rFonts w:ascii="Verdana" w:hAnsi="Verdana"/>
                <w:b/>
                <w:bCs/>
                <w:color w:val="000000"/>
              </w:rPr>
              <w:t>What is Standard Control Formulary with Exclusions</w:t>
            </w:r>
            <w:r w:rsidR="00E27622">
              <w:rPr>
                <w:rFonts w:ascii="Verdana" w:hAnsi="Verdana"/>
                <w:b/>
                <w:bCs/>
                <w:color w:val="000000"/>
              </w:rPr>
              <w:t xml:space="preserve">? </w:t>
            </w:r>
          </w:p>
        </w:tc>
        <w:tc>
          <w:tcPr>
            <w:tcW w:w="3981" w:type="pct"/>
            <w:shd w:val="clear" w:color="auto" w:fill="auto"/>
          </w:tcPr>
          <w:p w14:paraId="7263BDB0" w14:textId="118950DE" w:rsidR="00700ECD" w:rsidRPr="001B0D90" w:rsidRDefault="00C34947" w:rsidP="00450330">
            <w:pPr>
              <w:spacing w:before="120" w:after="120"/>
              <w:rPr>
                <w:rFonts w:ascii="Verdana" w:hAnsi="Verdana"/>
                <w:color w:val="000000"/>
              </w:rPr>
            </w:pPr>
            <w:r w:rsidRPr="00C34947">
              <w:rPr>
                <w:rFonts w:ascii="Verdana" w:hAnsi="Verdana"/>
                <w:color w:val="000000"/>
              </w:rPr>
              <w:t xml:space="preserve">The Standard Control Formulary (SCF) is the introduction to CVS Commercial Template Formulary offerings that utilize drug </w:t>
            </w:r>
            <w:r w:rsidR="00DF1F75">
              <w:rPr>
                <w:rFonts w:ascii="Verdana" w:hAnsi="Verdana"/>
                <w:color w:val="000000"/>
              </w:rPr>
              <w:t>exclusions</w:t>
            </w:r>
            <w:r w:rsidR="00FC56EC">
              <w:rPr>
                <w:rFonts w:ascii="Verdana" w:hAnsi="Verdana"/>
                <w:color w:val="000000"/>
              </w:rPr>
              <w:t xml:space="preserve"> for drug class management</w:t>
            </w:r>
            <w:r w:rsidRPr="00C34947">
              <w:rPr>
                <w:rFonts w:ascii="Verdana" w:hAnsi="Verdana"/>
                <w:color w:val="000000"/>
              </w:rPr>
              <w:t xml:space="preserve">.  SCF focuses on clinically appropriate medications through targeted drug class evaluation.  </w:t>
            </w:r>
          </w:p>
        </w:tc>
      </w:tr>
      <w:tr w:rsidR="002C53BD" w:rsidRPr="001B0D90" w14:paraId="3597BBAF" w14:textId="77777777" w:rsidTr="00984BE8">
        <w:tc>
          <w:tcPr>
            <w:tcW w:w="1019" w:type="pct"/>
            <w:shd w:val="clear" w:color="auto" w:fill="auto"/>
          </w:tcPr>
          <w:p w14:paraId="1E6BDA94" w14:textId="77777777" w:rsidR="002C53BD" w:rsidRDefault="002C53BD" w:rsidP="00450330">
            <w:pPr>
              <w:spacing w:before="120" w:after="120"/>
              <w:rPr>
                <w:rFonts w:ascii="Verdana" w:hAnsi="Verdana"/>
                <w:b/>
                <w:bCs/>
                <w:color w:val="000000"/>
              </w:rPr>
            </w:pPr>
            <w:r>
              <w:rPr>
                <w:rFonts w:ascii="Verdana" w:hAnsi="Verdana"/>
                <w:b/>
                <w:bCs/>
                <w:color w:val="000000"/>
              </w:rPr>
              <w:t>Current List</w:t>
            </w:r>
          </w:p>
          <w:p w14:paraId="2AAD2AD8" w14:textId="77777777" w:rsidR="002C53BD" w:rsidRPr="001B0D90" w:rsidRDefault="002C53BD" w:rsidP="00450330">
            <w:pPr>
              <w:spacing w:before="120" w:after="120"/>
              <w:rPr>
                <w:rFonts w:ascii="Verdana" w:hAnsi="Verdana"/>
                <w:b/>
                <w:bCs/>
                <w:color w:val="000000"/>
              </w:rPr>
            </w:pPr>
            <w:r>
              <w:rPr>
                <w:rFonts w:ascii="Verdana" w:hAnsi="Verdana"/>
                <w:b/>
                <w:bCs/>
                <w:color w:val="000000"/>
              </w:rPr>
              <w:t>Next Quarter’s List</w:t>
            </w:r>
          </w:p>
        </w:tc>
        <w:tc>
          <w:tcPr>
            <w:tcW w:w="3981" w:type="pct"/>
            <w:shd w:val="clear" w:color="auto" w:fill="auto"/>
          </w:tcPr>
          <w:p w14:paraId="50517A75" w14:textId="2F5C5636" w:rsidR="002C53BD" w:rsidRDefault="002C53BD" w:rsidP="00450330">
            <w:pPr>
              <w:spacing w:before="120" w:after="120"/>
              <w:rPr>
                <w:rFonts w:ascii="Verdana" w:hAnsi="Verdana"/>
                <w:color w:val="000000"/>
              </w:rPr>
            </w:pPr>
            <w:r w:rsidRPr="001B0D90">
              <w:rPr>
                <w:rFonts w:ascii="Verdana" w:hAnsi="Verdana"/>
                <w:color w:val="000000"/>
              </w:rPr>
              <w:t xml:space="preserve">The </w:t>
            </w:r>
            <w:r w:rsidRPr="00ED5D3C">
              <w:rPr>
                <w:rFonts w:ascii="Verdana" w:hAnsi="Verdana"/>
                <w:color w:val="000000"/>
              </w:rPr>
              <w:t>list</w:t>
            </w:r>
            <w:r w:rsidRPr="001B0D90">
              <w:rPr>
                <w:rFonts w:ascii="Verdana" w:hAnsi="Verdana"/>
                <w:b/>
                <w:bCs/>
                <w:color w:val="000000"/>
              </w:rPr>
              <w:t xml:space="preserve"> </w:t>
            </w:r>
            <w:r>
              <w:rPr>
                <w:rFonts w:ascii="Verdana" w:hAnsi="Verdana"/>
                <w:color w:val="000000"/>
              </w:rPr>
              <w:t>provides hyperlinks</w:t>
            </w:r>
            <w:r w:rsidR="00773D74">
              <w:rPr>
                <w:rFonts w:ascii="Verdana" w:hAnsi="Verdana"/>
                <w:color w:val="000000"/>
              </w:rPr>
              <w:t xml:space="preserve"> to</w:t>
            </w:r>
            <w:r>
              <w:rPr>
                <w:rFonts w:ascii="Verdana" w:hAnsi="Verdana"/>
                <w:color w:val="000000"/>
              </w:rPr>
              <w:t xml:space="preserve"> current and next quarter’s formulary information.   This is a guide with select therapeutic categories for clients, plan members and health care providers. Generics should be considered the first line of prescribing.  </w:t>
            </w:r>
          </w:p>
          <w:p w14:paraId="20FBCBC2" w14:textId="77777777" w:rsidR="001D0305" w:rsidRDefault="002C53BD" w:rsidP="001D0305">
            <w:pPr>
              <w:rPr>
                <w:rFonts w:ascii="Verdana" w:hAnsi="Verdana"/>
                <w:color w:val="000000"/>
              </w:rPr>
            </w:pPr>
            <w:r>
              <w:rPr>
                <w:rFonts w:ascii="Verdana" w:hAnsi="Verdana"/>
                <w:color w:val="000000"/>
              </w:rPr>
              <w:t xml:space="preserve">If there is no generic available, there may be more than one brand-name medicine to treat a condition.  </w:t>
            </w:r>
          </w:p>
          <w:p w14:paraId="6BFF5861" w14:textId="77777777" w:rsidR="001D0305" w:rsidRDefault="001D0305" w:rsidP="001D0305">
            <w:pPr>
              <w:rPr>
                <w:rFonts w:ascii="Verdana" w:hAnsi="Verdana"/>
                <w:color w:val="000000"/>
              </w:rPr>
            </w:pPr>
          </w:p>
          <w:p w14:paraId="60D3BA1C" w14:textId="6F5BD716" w:rsidR="002C53BD" w:rsidRPr="001B0D90" w:rsidRDefault="001D0305" w:rsidP="003F338C">
            <w:pPr>
              <w:rPr>
                <w:rFonts w:ascii="Verdana" w:hAnsi="Verdana"/>
                <w:b/>
                <w:bCs/>
                <w:color w:val="000000"/>
              </w:rPr>
            </w:pPr>
            <w:r w:rsidRPr="00ED5D3C">
              <w:rPr>
                <w:rFonts w:ascii="Verdana" w:hAnsi="Verdana"/>
                <w:b/>
                <w:bCs/>
              </w:rPr>
              <w:t>To view Exclusions</w:t>
            </w:r>
            <w:r w:rsidR="00E83DC3" w:rsidRPr="00ED5D3C">
              <w:rPr>
                <w:rFonts w:ascii="Verdana" w:hAnsi="Verdana"/>
                <w:b/>
                <w:bCs/>
              </w:rPr>
              <w:t>:</w:t>
            </w:r>
            <w:r w:rsidR="00E83DC3">
              <w:rPr>
                <w:rFonts w:ascii="Verdana" w:hAnsi="Verdana"/>
              </w:rPr>
              <w:t xml:space="preserve"> </w:t>
            </w:r>
            <w:r w:rsidRPr="001C410A">
              <w:rPr>
                <w:rFonts w:ascii="Verdana" w:hAnsi="Verdana"/>
              </w:rPr>
              <w:t>Refer to the last page.</w:t>
            </w:r>
          </w:p>
        </w:tc>
      </w:tr>
    </w:tbl>
    <w:p w14:paraId="1907F78D" w14:textId="77777777" w:rsidR="00616C57" w:rsidRDefault="00616C57" w:rsidP="00450330">
      <w:pPr>
        <w:pStyle w:val="Heading3"/>
        <w:spacing w:before="120" w:after="120"/>
      </w:pPr>
    </w:p>
    <w:p w14:paraId="344D6E33" w14:textId="7BD70AC6" w:rsidR="00DA0E24" w:rsidRDefault="00DA0E24" w:rsidP="00DA0E24">
      <w:pPr>
        <w:pStyle w:val="Heading3"/>
        <w:spacing w:before="120" w:after="120"/>
        <w:rPr>
          <w:rFonts w:cs="Times New Roman"/>
          <w:b w:val="0"/>
          <w:bCs w:val="0"/>
          <w:color w:val="0000FF"/>
          <w:szCs w:val="24"/>
          <w:u w:val="single"/>
        </w:rPr>
      </w:pPr>
      <w:hyperlink r:id="rId27" w:history="1">
        <w:bookmarkStart w:id="13" w:name="_Toc201214738"/>
        <w:r>
          <w:rPr>
            <w:rStyle w:val="Hyperlink"/>
          </w:rPr>
          <w:t>Standard Control Formulary Chart (SCF-Chart) Performance Drug List</w:t>
        </w:r>
        <w:bookmarkEnd w:id="13"/>
        <w:r>
          <w:rPr>
            <w:rStyle w:val="Hyperlink"/>
          </w:rPr>
          <w:t xml:space="preserve"> </w:t>
        </w:r>
      </w:hyperlink>
    </w:p>
    <w:p w14:paraId="198976B1" w14:textId="77777777" w:rsidR="00DA0E24" w:rsidRDefault="00DA0E24" w:rsidP="00DA0E24">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DA0E24" w14:paraId="707DA7B8" w14:textId="77777777" w:rsidTr="00650C34">
        <w:tc>
          <w:tcPr>
            <w:tcW w:w="1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9B27D0" w14:textId="77777777" w:rsidR="00DA0E24" w:rsidRDefault="00DA0E24">
            <w:pPr>
              <w:spacing w:before="120" w:after="120"/>
              <w:jc w:val="center"/>
              <w:rPr>
                <w:rFonts w:ascii="Verdana" w:hAnsi="Verdana"/>
                <w:b/>
                <w:bCs/>
                <w:color w:val="000000"/>
              </w:rPr>
            </w:pPr>
            <w:r>
              <w:rPr>
                <w:rFonts w:ascii="Verdana" w:hAnsi="Verdana"/>
                <w:b/>
                <w:bCs/>
                <w:color w:val="000000"/>
              </w:rPr>
              <w:t>Site Features</w:t>
            </w:r>
          </w:p>
        </w:tc>
        <w:tc>
          <w:tcPr>
            <w:tcW w:w="398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53234A" w14:textId="77777777" w:rsidR="00DA0E24" w:rsidRDefault="00DA0E24">
            <w:pPr>
              <w:spacing w:before="120" w:after="120"/>
              <w:jc w:val="center"/>
              <w:rPr>
                <w:rFonts w:ascii="Verdana" w:hAnsi="Verdana"/>
                <w:b/>
                <w:bCs/>
                <w:color w:val="000000"/>
              </w:rPr>
            </w:pPr>
            <w:r>
              <w:rPr>
                <w:rFonts w:ascii="Verdana" w:hAnsi="Verdana"/>
                <w:b/>
                <w:bCs/>
                <w:color w:val="000000"/>
              </w:rPr>
              <w:t>Description</w:t>
            </w:r>
          </w:p>
        </w:tc>
      </w:tr>
      <w:tr w:rsidR="00DA0E24" w14:paraId="1D2AC9F5" w14:textId="77777777" w:rsidTr="00DA0E24">
        <w:tc>
          <w:tcPr>
            <w:tcW w:w="1019" w:type="pct"/>
            <w:tcBorders>
              <w:top w:val="single" w:sz="4" w:space="0" w:color="auto"/>
              <w:left w:val="single" w:sz="4" w:space="0" w:color="auto"/>
              <w:bottom w:val="single" w:sz="4" w:space="0" w:color="auto"/>
              <w:right w:val="single" w:sz="4" w:space="0" w:color="auto"/>
            </w:tcBorders>
            <w:hideMark/>
          </w:tcPr>
          <w:p w14:paraId="1F9835E2" w14:textId="6B3BFB6F" w:rsidR="00DA0E24" w:rsidRDefault="00DA0E24">
            <w:pPr>
              <w:spacing w:before="120" w:after="120"/>
              <w:rPr>
                <w:rFonts w:ascii="Verdana" w:hAnsi="Verdana"/>
                <w:b/>
                <w:bCs/>
                <w:color w:val="000000"/>
              </w:rPr>
            </w:pPr>
            <w:r>
              <w:rPr>
                <w:rFonts w:ascii="Verdana" w:hAnsi="Verdana"/>
                <w:b/>
                <w:bCs/>
                <w:color w:val="000000"/>
              </w:rPr>
              <w:t>What is Standard Control Formulary</w:t>
            </w:r>
            <w:r w:rsidR="006F4425">
              <w:rPr>
                <w:rFonts w:ascii="Verdana" w:hAnsi="Verdana"/>
                <w:b/>
                <w:bCs/>
                <w:color w:val="000000"/>
              </w:rPr>
              <w:t xml:space="preserve"> Chart</w:t>
            </w:r>
            <w:r w:rsidR="00C96C76">
              <w:rPr>
                <w:rFonts w:ascii="Verdana" w:hAnsi="Verdana"/>
                <w:b/>
                <w:bCs/>
                <w:color w:val="000000"/>
              </w:rPr>
              <w:t xml:space="preserve">? </w:t>
            </w:r>
          </w:p>
        </w:tc>
        <w:tc>
          <w:tcPr>
            <w:tcW w:w="3981" w:type="pct"/>
            <w:tcBorders>
              <w:top w:val="single" w:sz="4" w:space="0" w:color="auto"/>
              <w:left w:val="single" w:sz="4" w:space="0" w:color="auto"/>
              <w:bottom w:val="single" w:sz="4" w:space="0" w:color="auto"/>
              <w:right w:val="single" w:sz="4" w:space="0" w:color="auto"/>
            </w:tcBorders>
            <w:hideMark/>
          </w:tcPr>
          <w:p w14:paraId="7494498D" w14:textId="03C55182" w:rsidR="006F4425" w:rsidRDefault="00DA0E24">
            <w:pPr>
              <w:spacing w:before="120" w:after="120"/>
              <w:rPr>
                <w:rFonts w:ascii="Verdana" w:hAnsi="Verdana"/>
                <w:color w:val="000000"/>
              </w:rPr>
            </w:pPr>
            <w:r>
              <w:rPr>
                <w:rFonts w:ascii="Verdana" w:hAnsi="Verdana"/>
                <w:color w:val="000000"/>
              </w:rPr>
              <w:t>Standard Control Formulary</w:t>
            </w:r>
            <w:r w:rsidR="006F4425">
              <w:rPr>
                <w:rFonts w:ascii="Verdana" w:hAnsi="Verdana"/>
                <w:color w:val="000000"/>
              </w:rPr>
              <w:t xml:space="preserve"> Chart</w:t>
            </w:r>
            <w:r>
              <w:rPr>
                <w:rFonts w:ascii="Verdana" w:hAnsi="Verdana"/>
                <w:color w:val="000000"/>
              </w:rPr>
              <w:t xml:space="preserve"> (SCF</w:t>
            </w:r>
            <w:r w:rsidR="006F4425">
              <w:rPr>
                <w:rFonts w:ascii="Verdana" w:hAnsi="Verdana"/>
                <w:color w:val="000000"/>
              </w:rPr>
              <w:t>-Chart</w:t>
            </w:r>
            <w:r>
              <w:rPr>
                <w:rFonts w:ascii="Verdana" w:hAnsi="Verdana"/>
                <w:color w:val="000000"/>
              </w:rPr>
              <w:t xml:space="preserve">) is </w:t>
            </w:r>
            <w:r w:rsidR="006F4425">
              <w:rPr>
                <w:rFonts w:ascii="Verdana" w:hAnsi="Verdana" w:cs="Arial"/>
                <w:color w:val="111111"/>
                <w:shd w:val="clear" w:color="auto" w:fill="FFFFFF"/>
              </w:rPr>
              <w:t>a managed formulary used by federally funded government business clients.</w:t>
            </w:r>
          </w:p>
          <w:p w14:paraId="2D57D247" w14:textId="04F3EF20" w:rsidR="00DA0E24" w:rsidRDefault="006F4425">
            <w:pPr>
              <w:spacing w:before="120" w:after="120"/>
              <w:rPr>
                <w:rFonts w:ascii="Verdana" w:hAnsi="Verdana"/>
                <w:color w:val="000000"/>
              </w:rPr>
            </w:pPr>
            <w:r>
              <w:rPr>
                <w:rFonts w:ascii="Verdana" w:hAnsi="Verdana"/>
                <w:color w:val="000000"/>
              </w:rPr>
              <w:t xml:space="preserve">It is </w:t>
            </w:r>
            <w:r w:rsidR="00DA0E24">
              <w:rPr>
                <w:rFonts w:ascii="Verdana" w:hAnsi="Verdana"/>
                <w:color w:val="000000"/>
              </w:rPr>
              <w:t xml:space="preserve">the introduction to CVS Commercial Template Formulary offerings that utilize drug exclusions for drug class management.  SCF focuses on clinically appropriate medications through targeted drug class evaluation.  </w:t>
            </w:r>
          </w:p>
        </w:tc>
      </w:tr>
      <w:tr w:rsidR="00DA0E24" w14:paraId="4BF37C50" w14:textId="77777777" w:rsidTr="00DA0E24">
        <w:tc>
          <w:tcPr>
            <w:tcW w:w="1019" w:type="pct"/>
            <w:tcBorders>
              <w:top w:val="single" w:sz="4" w:space="0" w:color="auto"/>
              <w:left w:val="single" w:sz="4" w:space="0" w:color="auto"/>
              <w:bottom w:val="single" w:sz="4" w:space="0" w:color="auto"/>
              <w:right w:val="single" w:sz="4" w:space="0" w:color="auto"/>
            </w:tcBorders>
            <w:hideMark/>
          </w:tcPr>
          <w:p w14:paraId="0D927F85" w14:textId="77777777" w:rsidR="00DA0E24" w:rsidRDefault="00DA0E24">
            <w:pPr>
              <w:spacing w:before="120" w:after="120"/>
              <w:rPr>
                <w:rFonts w:ascii="Verdana" w:hAnsi="Verdana"/>
                <w:b/>
                <w:bCs/>
                <w:color w:val="000000"/>
              </w:rPr>
            </w:pPr>
            <w:r>
              <w:rPr>
                <w:rFonts w:ascii="Verdana" w:hAnsi="Verdana"/>
                <w:b/>
                <w:bCs/>
                <w:color w:val="000000"/>
              </w:rPr>
              <w:t>Current List</w:t>
            </w:r>
          </w:p>
          <w:p w14:paraId="4832B7AE" w14:textId="77777777" w:rsidR="00DA0E24" w:rsidRDefault="00DA0E24">
            <w:pPr>
              <w:spacing w:before="120" w:after="120"/>
              <w:rPr>
                <w:rFonts w:ascii="Verdana" w:hAnsi="Verdana"/>
                <w:b/>
                <w:bCs/>
                <w:color w:val="000000"/>
              </w:rPr>
            </w:pPr>
            <w:r>
              <w:rPr>
                <w:rFonts w:ascii="Verdana" w:hAnsi="Verdana"/>
                <w:b/>
                <w:bCs/>
                <w:color w:val="000000"/>
              </w:rPr>
              <w:t>Next Quarter’s List</w:t>
            </w:r>
          </w:p>
        </w:tc>
        <w:tc>
          <w:tcPr>
            <w:tcW w:w="3981" w:type="pct"/>
            <w:tcBorders>
              <w:top w:val="single" w:sz="4" w:space="0" w:color="auto"/>
              <w:left w:val="single" w:sz="4" w:space="0" w:color="auto"/>
              <w:bottom w:val="single" w:sz="4" w:space="0" w:color="auto"/>
              <w:right w:val="single" w:sz="4" w:space="0" w:color="auto"/>
            </w:tcBorders>
          </w:tcPr>
          <w:p w14:paraId="5CBD680C" w14:textId="729B08F9" w:rsidR="00DA0E24" w:rsidRDefault="00DA0E24">
            <w:pPr>
              <w:spacing w:before="120" w:after="120"/>
              <w:rPr>
                <w:rFonts w:ascii="Verdana" w:hAnsi="Verdana"/>
                <w:color w:val="000000"/>
              </w:rPr>
            </w:pPr>
            <w:r>
              <w:rPr>
                <w:rFonts w:ascii="Verdana" w:hAnsi="Verdana"/>
                <w:color w:val="000000"/>
              </w:rPr>
              <w:t xml:space="preserve">The </w:t>
            </w:r>
            <w:r w:rsidRPr="00155B85">
              <w:rPr>
                <w:rFonts w:ascii="Verdana" w:hAnsi="Verdana"/>
                <w:color w:val="000000"/>
              </w:rPr>
              <w:t>list</w:t>
            </w:r>
            <w:r>
              <w:rPr>
                <w:rFonts w:ascii="Verdana" w:hAnsi="Verdana"/>
                <w:b/>
                <w:bCs/>
                <w:color w:val="000000"/>
              </w:rPr>
              <w:t xml:space="preserve"> </w:t>
            </w:r>
            <w:r>
              <w:rPr>
                <w:rFonts w:ascii="Verdana" w:hAnsi="Verdana"/>
                <w:color w:val="000000"/>
              </w:rPr>
              <w:t>provides hyperlinks</w:t>
            </w:r>
            <w:r w:rsidR="002711A3">
              <w:rPr>
                <w:rFonts w:ascii="Verdana" w:hAnsi="Verdana"/>
                <w:color w:val="000000"/>
              </w:rPr>
              <w:t xml:space="preserve"> to</w:t>
            </w:r>
            <w:r>
              <w:rPr>
                <w:rFonts w:ascii="Verdana" w:hAnsi="Verdana"/>
                <w:color w:val="000000"/>
              </w:rPr>
              <w:t xml:space="preserve"> current and next quarter’s formulary information.   This is a guide with select therapeutic categories for clients, plan members and health care providers. Generics should be considered the first line of prescribing.  </w:t>
            </w:r>
          </w:p>
          <w:p w14:paraId="694D8C64" w14:textId="77777777" w:rsidR="00DA0E24" w:rsidRDefault="00DA0E24">
            <w:pPr>
              <w:rPr>
                <w:rFonts w:ascii="Verdana" w:hAnsi="Verdana"/>
                <w:color w:val="000000"/>
              </w:rPr>
            </w:pPr>
            <w:r>
              <w:rPr>
                <w:rFonts w:ascii="Verdana" w:hAnsi="Verdana"/>
                <w:color w:val="000000"/>
              </w:rPr>
              <w:t xml:space="preserve">If there is no generic available, there may be more than one brand-name medicine to treat a condition.  </w:t>
            </w:r>
          </w:p>
          <w:p w14:paraId="5F0FD814" w14:textId="77777777" w:rsidR="00DA0E24" w:rsidRDefault="00DA0E24">
            <w:pPr>
              <w:rPr>
                <w:rFonts w:ascii="Verdana" w:hAnsi="Verdana"/>
                <w:color w:val="000000"/>
              </w:rPr>
            </w:pPr>
          </w:p>
          <w:p w14:paraId="7DE16BDA" w14:textId="7E8F5865" w:rsidR="00DA0E24" w:rsidRDefault="00DA0E24">
            <w:pPr>
              <w:rPr>
                <w:rFonts w:ascii="Verdana" w:hAnsi="Verdana"/>
                <w:b/>
                <w:bCs/>
                <w:color w:val="000000"/>
              </w:rPr>
            </w:pPr>
            <w:r>
              <w:rPr>
                <w:rFonts w:ascii="Verdana" w:hAnsi="Verdana"/>
              </w:rPr>
              <w:t>To view Exclusions</w:t>
            </w:r>
            <w:r w:rsidR="00E83DC3">
              <w:rPr>
                <w:rFonts w:ascii="Verdana" w:hAnsi="Verdana"/>
              </w:rPr>
              <w:t xml:space="preserve">: </w:t>
            </w:r>
            <w:r>
              <w:rPr>
                <w:rFonts w:ascii="Verdana" w:hAnsi="Verdana"/>
              </w:rPr>
              <w:t>Refer to the last page.</w:t>
            </w:r>
          </w:p>
        </w:tc>
      </w:tr>
    </w:tbl>
    <w:p w14:paraId="56B2C01B" w14:textId="77777777" w:rsidR="006E677F" w:rsidRDefault="006E677F">
      <w:pPr>
        <w:rPr>
          <w:rFonts w:ascii="Verdana" w:hAnsi="Verdana" w:cs="Arial"/>
          <w:b/>
          <w:bCs/>
          <w:szCs w:val="26"/>
        </w:rPr>
      </w:pPr>
      <w:r>
        <w:br w:type="page"/>
      </w:r>
    </w:p>
    <w:p w14:paraId="61B0A0EE" w14:textId="2B65C234" w:rsidR="00BC6926" w:rsidRDefault="00F0106F" w:rsidP="00450330">
      <w:pPr>
        <w:pStyle w:val="Heading3"/>
        <w:spacing w:before="120" w:after="120"/>
        <w:rPr>
          <w:color w:val="000000"/>
        </w:rPr>
      </w:pPr>
      <w:hyperlink r:id="rId28" w:history="1">
        <w:bookmarkStart w:id="14" w:name="_Toc96525645"/>
        <w:bookmarkStart w:id="15" w:name="_Toc201214739"/>
        <w:r>
          <w:rPr>
            <w:rStyle w:val="Hyperlink"/>
          </w:rPr>
          <w:t>Standard Control Formulary (SCF) Prior Authorization</w:t>
        </w:r>
      </w:hyperlink>
      <w:r w:rsidR="00D14279">
        <w:t xml:space="preserve"> Drug Lists</w:t>
      </w:r>
      <w:bookmarkEnd w:id="14"/>
      <w:bookmarkEnd w:id="15"/>
    </w:p>
    <w:p w14:paraId="4288A3CA" w14:textId="77777777" w:rsidR="00945D9F" w:rsidRDefault="005E2211" w:rsidP="00945D9F">
      <w:pPr>
        <w:rPr>
          <w:rFonts w:ascii="Verdana" w:hAnsi="Verdana"/>
        </w:rPr>
      </w:pPr>
      <w:r w:rsidRPr="008536A9">
        <w:rPr>
          <w:rFonts w:ascii="Verdana" w:hAnsi="Verdana"/>
        </w:rPr>
        <w:t xml:space="preserve">The above hyperlink provides information related to Standard Formulary. This is the same information as our members </w:t>
      </w:r>
      <w:r w:rsidR="00C041FD" w:rsidRPr="008536A9">
        <w:rPr>
          <w:rFonts w:ascii="Verdana" w:hAnsi="Verdana"/>
        </w:rPr>
        <w:t>can</w:t>
      </w:r>
      <w:r w:rsidRPr="008536A9">
        <w:rPr>
          <w:rFonts w:ascii="Verdana" w:hAnsi="Verdana"/>
        </w:rPr>
        <w:t xml:space="preserve"> view and this hyperlink is provided in our member letters.</w:t>
      </w:r>
      <w:r w:rsidR="00945D9F">
        <w:rPr>
          <w:rFonts w:ascii="Verdana" w:hAnsi="Verdana"/>
        </w:rPr>
        <w:t xml:space="preserve">  Refer to as needed:</w:t>
      </w:r>
    </w:p>
    <w:p w14:paraId="501AB9F4" w14:textId="0F0065CF" w:rsidR="005E2211" w:rsidRPr="005E2211" w:rsidRDefault="005E2211" w:rsidP="00450330">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D14279" w:rsidRPr="001B0D90" w14:paraId="77AC23B3" w14:textId="77777777" w:rsidTr="00650C34">
        <w:tc>
          <w:tcPr>
            <w:tcW w:w="1019" w:type="pct"/>
            <w:shd w:val="clear" w:color="auto" w:fill="D9D9D9" w:themeFill="background1" w:themeFillShade="D9"/>
          </w:tcPr>
          <w:p w14:paraId="2C5CAA45" w14:textId="77777777" w:rsidR="00D14279" w:rsidRPr="00AE157D" w:rsidRDefault="00D14279" w:rsidP="00450330">
            <w:pPr>
              <w:spacing w:before="120" w:after="120"/>
              <w:jc w:val="center"/>
              <w:rPr>
                <w:rFonts w:ascii="Verdana" w:hAnsi="Verdana"/>
                <w:b/>
                <w:bCs/>
                <w:color w:val="000000"/>
              </w:rPr>
            </w:pPr>
            <w:r>
              <w:rPr>
                <w:rFonts w:ascii="Verdana" w:hAnsi="Verdana"/>
                <w:b/>
                <w:bCs/>
                <w:color w:val="000000"/>
              </w:rPr>
              <w:t>Site Features</w:t>
            </w:r>
          </w:p>
        </w:tc>
        <w:tc>
          <w:tcPr>
            <w:tcW w:w="3981" w:type="pct"/>
            <w:shd w:val="clear" w:color="auto" w:fill="D9D9D9" w:themeFill="background1" w:themeFillShade="D9"/>
          </w:tcPr>
          <w:p w14:paraId="79FCF0BB" w14:textId="77777777" w:rsidR="00D14279" w:rsidRPr="001B0D90" w:rsidRDefault="00D14279" w:rsidP="00450330">
            <w:pPr>
              <w:spacing w:before="120" w:after="120"/>
              <w:jc w:val="center"/>
              <w:rPr>
                <w:rFonts w:ascii="Verdana" w:hAnsi="Verdana"/>
                <w:b/>
                <w:bCs/>
                <w:color w:val="000000"/>
              </w:rPr>
            </w:pPr>
            <w:r w:rsidRPr="001B0D90">
              <w:rPr>
                <w:rFonts w:ascii="Verdana" w:hAnsi="Verdana"/>
                <w:b/>
                <w:bCs/>
                <w:color w:val="000000"/>
              </w:rPr>
              <w:t>Description</w:t>
            </w:r>
          </w:p>
        </w:tc>
      </w:tr>
      <w:tr w:rsidR="00C415AD" w:rsidRPr="001B0D90" w14:paraId="60ED6770" w14:textId="77777777" w:rsidTr="00984BE8">
        <w:tc>
          <w:tcPr>
            <w:tcW w:w="1019" w:type="pct"/>
            <w:shd w:val="clear" w:color="auto" w:fill="auto"/>
          </w:tcPr>
          <w:p w14:paraId="3AB09861" w14:textId="086D232E" w:rsidR="00C415AD" w:rsidRDefault="00DF1F75" w:rsidP="00450330">
            <w:pPr>
              <w:spacing w:before="120" w:after="120"/>
              <w:rPr>
                <w:rFonts w:ascii="Verdana" w:hAnsi="Verdana"/>
                <w:b/>
                <w:bCs/>
                <w:color w:val="000000"/>
              </w:rPr>
            </w:pPr>
            <w:r>
              <w:rPr>
                <w:rFonts w:ascii="Verdana" w:hAnsi="Verdana"/>
                <w:b/>
                <w:bCs/>
                <w:color w:val="000000"/>
              </w:rPr>
              <w:t>What is Standard Control Formulary with PA</w:t>
            </w:r>
            <w:r w:rsidR="00C96C76">
              <w:rPr>
                <w:rFonts w:ascii="Verdana" w:hAnsi="Verdana"/>
                <w:b/>
                <w:bCs/>
                <w:color w:val="000000"/>
              </w:rPr>
              <w:t xml:space="preserve">? </w:t>
            </w:r>
          </w:p>
        </w:tc>
        <w:tc>
          <w:tcPr>
            <w:tcW w:w="3981" w:type="pct"/>
            <w:shd w:val="clear" w:color="auto" w:fill="auto"/>
          </w:tcPr>
          <w:p w14:paraId="23D296BC" w14:textId="5FE820C5" w:rsidR="00C415AD" w:rsidRPr="001B0D90" w:rsidRDefault="00DF1F75" w:rsidP="00450330">
            <w:pPr>
              <w:spacing w:before="120" w:after="120"/>
              <w:rPr>
                <w:rFonts w:ascii="Verdana" w:hAnsi="Verdana"/>
                <w:color w:val="000000"/>
              </w:rPr>
            </w:pPr>
            <w:r>
              <w:rPr>
                <w:rFonts w:ascii="Verdana" w:hAnsi="Verdana"/>
                <w:color w:val="000000"/>
              </w:rPr>
              <w:t xml:space="preserve">The Standard Control Formulary (SCF) is the introduction to CVS Commercial Template Formulary offerings that utilize </w:t>
            </w:r>
            <w:r w:rsidR="00E97C06">
              <w:rPr>
                <w:rFonts w:ascii="Verdana" w:hAnsi="Verdana"/>
                <w:color w:val="000000"/>
              </w:rPr>
              <w:t>Prior Authorization (PA) for drug class management</w:t>
            </w:r>
            <w:r>
              <w:rPr>
                <w:rFonts w:ascii="Verdana" w:hAnsi="Verdana"/>
                <w:color w:val="000000"/>
              </w:rPr>
              <w:t xml:space="preserve">.  SCF focuses on clinically appropriate medications through targeted drug class evaluation.  </w:t>
            </w:r>
          </w:p>
        </w:tc>
      </w:tr>
      <w:tr w:rsidR="00D14279" w:rsidRPr="001B0D90" w14:paraId="45FEA3FF" w14:textId="77777777" w:rsidTr="00984BE8">
        <w:tc>
          <w:tcPr>
            <w:tcW w:w="1019" w:type="pct"/>
            <w:shd w:val="clear" w:color="auto" w:fill="auto"/>
          </w:tcPr>
          <w:p w14:paraId="21E28E47" w14:textId="77777777" w:rsidR="00D14279" w:rsidRDefault="0029137D" w:rsidP="00450330">
            <w:pPr>
              <w:spacing w:before="120" w:after="120"/>
              <w:rPr>
                <w:rFonts w:ascii="Verdana" w:hAnsi="Verdana"/>
                <w:b/>
                <w:bCs/>
                <w:color w:val="000000"/>
              </w:rPr>
            </w:pPr>
            <w:r>
              <w:rPr>
                <w:rFonts w:ascii="Verdana" w:hAnsi="Verdana"/>
                <w:b/>
                <w:bCs/>
                <w:color w:val="000000"/>
              </w:rPr>
              <w:t>Current Drug list</w:t>
            </w:r>
          </w:p>
          <w:p w14:paraId="0B790433" w14:textId="77777777" w:rsidR="0029137D" w:rsidRPr="001B0D90" w:rsidRDefault="0029137D" w:rsidP="00450330">
            <w:pPr>
              <w:spacing w:before="120" w:after="120"/>
              <w:rPr>
                <w:rFonts w:ascii="Verdana" w:hAnsi="Verdana"/>
                <w:b/>
                <w:bCs/>
                <w:color w:val="000000"/>
              </w:rPr>
            </w:pPr>
            <w:r>
              <w:rPr>
                <w:rFonts w:ascii="Verdana" w:hAnsi="Verdana"/>
                <w:b/>
                <w:bCs/>
                <w:color w:val="000000"/>
              </w:rPr>
              <w:t>Next Quarter’s Drug List</w:t>
            </w:r>
          </w:p>
        </w:tc>
        <w:tc>
          <w:tcPr>
            <w:tcW w:w="3981" w:type="pct"/>
            <w:shd w:val="clear" w:color="auto" w:fill="auto"/>
          </w:tcPr>
          <w:p w14:paraId="3CA2DA2A" w14:textId="44C022DD" w:rsidR="0029137D" w:rsidRDefault="0029137D" w:rsidP="00450330">
            <w:pPr>
              <w:spacing w:before="120" w:after="120"/>
              <w:rPr>
                <w:rFonts w:ascii="Verdana" w:hAnsi="Verdana"/>
                <w:color w:val="000000"/>
              </w:rPr>
            </w:pPr>
            <w:r w:rsidRPr="001B0D90">
              <w:rPr>
                <w:rFonts w:ascii="Verdana" w:hAnsi="Verdana"/>
                <w:color w:val="000000"/>
              </w:rPr>
              <w:t xml:space="preserve">The </w:t>
            </w:r>
            <w:r w:rsidRPr="00155B85">
              <w:rPr>
                <w:rFonts w:ascii="Verdana" w:hAnsi="Verdana"/>
                <w:color w:val="000000"/>
              </w:rPr>
              <w:t>list</w:t>
            </w:r>
            <w:r w:rsidRPr="001B0D90">
              <w:rPr>
                <w:rFonts w:ascii="Verdana" w:hAnsi="Verdana"/>
                <w:b/>
                <w:bCs/>
                <w:color w:val="000000"/>
              </w:rPr>
              <w:t xml:space="preserve"> </w:t>
            </w:r>
            <w:r>
              <w:rPr>
                <w:rFonts w:ascii="Verdana" w:hAnsi="Verdana"/>
                <w:color w:val="000000"/>
              </w:rPr>
              <w:t>provides hyperlinks</w:t>
            </w:r>
            <w:r w:rsidR="002711A3">
              <w:rPr>
                <w:rFonts w:ascii="Verdana" w:hAnsi="Verdana"/>
                <w:color w:val="000000"/>
              </w:rPr>
              <w:t xml:space="preserve"> to</w:t>
            </w:r>
            <w:r>
              <w:rPr>
                <w:rFonts w:ascii="Verdana" w:hAnsi="Verdana"/>
                <w:color w:val="000000"/>
              </w:rPr>
              <w:t xml:space="preserve"> current and next quarter’s formulary information.   This is a guide with select therapeutic categories for clients, plan members and health care providers. Generics should be considered the first line of prescribing.  </w:t>
            </w:r>
          </w:p>
          <w:p w14:paraId="4E985B98" w14:textId="77777777" w:rsidR="00D14279" w:rsidRPr="001B0D90" w:rsidRDefault="0029137D" w:rsidP="00450330">
            <w:pPr>
              <w:spacing w:before="120" w:after="120"/>
              <w:rPr>
                <w:rFonts w:ascii="Verdana" w:hAnsi="Verdana"/>
                <w:b/>
                <w:bCs/>
                <w:color w:val="000000"/>
              </w:rPr>
            </w:pPr>
            <w:r>
              <w:rPr>
                <w:rFonts w:ascii="Verdana" w:hAnsi="Verdana"/>
                <w:color w:val="000000"/>
              </w:rPr>
              <w:t xml:space="preserve">If there is no generic available, there may be more than one brand-name medicine to treat a condition.  </w:t>
            </w:r>
          </w:p>
        </w:tc>
      </w:tr>
    </w:tbl>
    <w:p w14:paraId="54E635F1" w14:textId="77777777" w:rsidR="00616C57" w:rsidRDefault="00616C57" w:rsidP="00450330">
      <w:pPr>
        <w:pStyle w:val="Heading3"/>
        <w:spacing w:before="0" w:after="0"/>
      </w:pPr>
    </w:p>
    <w:p w14:paraId="1EB04342" w14:textId="4D4F28F0" w:rsidR="00BC6926" w:rsidRDefault="00E06E8E" w:rsidP="00450330">
      <w:pPr>
        <w:pStyle w:val="Heading3"/>
        <w:spacing w:before="120" w:after="120"/>
      </w:pPr>
      <w:hyperlink r:id="rId29" w:history="1">
        <w:bookmarkStart w:id="16" w:name="_Toc96525646"/>
        <w:bookmarkStart w:id="17" w:name="_Toc201214740"/>
        <w:r>
          <w:rPr>
            <w:rStyle w:val="Hyperlink"/>
          </w:rPr>
          <w:t>Advanced Control Specialty Formulary (ACSF) and Standard Control with/ACSF</w:t>
        </w:r>
        <w:r w:rsidRPr="003543EE">
          <w:rPr>
            <w:rStyle w:val="Hyperlink"/>
            <w:u w:val="none"/>
          </w:rPr>
          <w:t xml:space="preserve"> </w:t>
        </w:r>
      </w:hyperlink>
      <w:r w:rsidR="00821FB3">
        <w:t xml:space="preserve"> Drug Lists</w:t>
      </w:r>
      <w:bookmarkEnd w:id="16"/>
      <w:bookmarkEnd w:id="17"/>
      <w:r w:rsidR="00E4003E">
        <w:t xml:space="preserve"> </w:t>
      </w:r>
    </w:p>
    <w:p w14:paraId="5535C1DF" w14:textId="77777777" w:rsidR="00945D9F" w:rsidRPr="00945D9F" w:rsidRDefault="00945D9F" w:rsidP="00945D9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5"/>
        <w:gridCol w:w="10365"/>
      </w:tblGrid>
      <w:tr w:rsidR="009321D0" w:rsidRPr="001B0D90" w14:paraId="2451E31B" w14:textId="77777777" w:rsidTr="00650C34">
        <w:tc>
          <w:tcPr>
            <w:tcW w:w="998" w:type="pct"/>
            <w:shd w:val="clear" w:color="auto" w:fill="D9D9D9" w:themeFill="background1" w:themeFillShade="D9"/>
          </w:tcPr>
          <w:p w14:paraId="6B10F33F" w14:textId="77777777" w:rsidR="009321D0" w:rsidRPr="00AE157D" w:rsidRDefault="00E4003E" w:rsidP="00450330">
            <w:pPr>
              <w:spacing w:before="120" w:after="120"/>
              <w:jc w:val="center"/>
              <w:rPr>
                <w:rFonts w:ascii="Verdana" w:hAnsi="Verdana"/>
                <w:b/>
                <w:bCs/>
                <w:color w:val="000000"/>
              </w:rPr>
            </w:pPr>
            <w:r>
              <w:rPr>
                <w:rFonts w:ascii="Verdana" w:hAnsi="Verdana"/>
                <w:b/>
                <w:bCs/>
                <w:color w:val="000000"/>
              </w:rPr>
              <w:t>Site Features</w:t>
            </w:r>
          </w:p>
        </w:tc>
        <w:tc>
          <w:tcPr>
            <w:tcW w:w="4002" w:type="pct"/>
            <w:shd w:val="clear" w:color="auto" w:fill="D9D9D9" w:themeFill="background1" w:themeFillShade="D9"/>
          </w:tcPr>
          <w:p w14:paraId="0450A18A" w14:textId="77777777" w:rsidR="009321D0" w:rsidRPr="001B0D90" w:rsidRDefault="009321D0" w:rsidP="00450330">
            <w:pPr>
              <w:spacing w:before="120" w:after="120"/>
              <w:jc w:val="center"/>
              <w:rPr>
                <w:rFonts w:ascii="Verdana" w:hAnsi="Verdana"/>
                <w:b/>
                <w:bCs/>
                <w:color w:val="000000"/>
              </w:rPr>
            </w:pPr>
            <w:r w:rsidRPr="001B0D90">
              <w:rPr>
                <w:rFonts w:ascii="Verdana" w:hAnsi="Verdana"/>
                <w:b/>
                <w:bCs/>
                <w:color w:val="000000"/>
              </w:rPr>
              <w:t>Description</w:t>
            </w:r>
          </w:p>
        </w:tc>
      </w:tr>
      <w:tr w:rsidR="00454DE3" w:rsidRPr="001B0D90" w14:paraId="43ECBF99" w14:textId="77777777" w:rsidTr="00984BE8">
        <w:tc>
          <w:tcPr>
            <w:tcW w:w="998" w:type="pct"/>
            <w:shd w:val="clear" w:color="auto" w:fill="auto"/>
          </w:tcPr>
          <w:p w14:paraId="71ECBEC5" w14:textId="5FFE9420" w:rsidR="00454DE3" w:rsidRDefault="00317EA7" w:rsidP="00450330">
            <w:pPr>
              <w:spacing w:before="120" w:after="120"/>
              <w:rPr>
                <w:rFonts w:ascii="Verdana" w:hAnsi="Verdana"/>
                <w:b/>
                <w:bCs/>
                <w:color w:val="000000"/>
              </w:rPr>
            </w:pPr>
            <w:r>
              <w:rPr>
                <w:rFonts w:ascii="Verdana" w:hAnsi="Verdana"/>
                <w:b/>
                <w:bCs/>
                <w:color w:val="000000"/>
              </w:rPr>
              <w:t>What is Advanced Control Specialty Formulary</w:t>
            </w:r>
            <w:r w:rsidR="00C96C76">
              <w:rPr>
                <w:rFonts w:ascii="Verdana" w:hAnsi="Verdana"/>
                <w:b/>
                <w:bCs/>
                <w:color w:val="000000"/>
              </w:rPr>
              <w:t xml:space="preserve">? </w:t>
            </w:r>
          </w:p>
        </w:tc>
        <w:tc>
          <w:tcPr>
            <w:tcW w:w="4002" w:type="pct"/>
            <w:shd w:val="clear" w:color="auto" w:fill="auto"/>
          </w:tcPr>
          <w:p w14:paraId="225F7A8A" w14:textId="58F36EEF" w:rsidR="00454DE3" w:rsidRPr="001B0D90" w:rsidRDefault="00317EA7">
            <w:pPr>
              <w:spacing w:before="120" w:after="120"/>
              <w:rPr>
                <w:rFonts w:ascii="Verdana" w:hAnsi="Verdana"/>
                <w:color w:val="000000"/>
              </w:rPr>
            </w:pPr>
            <w:r w:rsidRPr="00317EA7">
              <w:rPr>
                <w:rFonts w:ascii="Verdana" w:hAnsi="Verdana"/>
                <w:color w:val="000000"/>
              </w:rPr>
              <w:t>Advanced Control Specialty Formulary is an effective and comprehensive approach to</w:t>
            </w:r>
            <w:r w:rsidR="001A1531">
              <w:rPr>
                <w:rFonts w:ascii="Verdana" w:hAnsi="Verdana"/>
                <w:color w:val="000000"/>
              </w:rPr>
              <w:t xml:space="preserve"> </w:t>
            </w:r>
            <w:r w:rsidRPr="00317EA7">
              <w:rPr>
                <w:rFonts w:ascii="Verdana" w:hAnsi="Verdana"/>
                <w:color w:val="000000"/>
              </w:rPr>
              <w:t>specialty trend management.</w:t>
            </w:r>
            <w:r>
              <w:rPr>
                <w:rFonts w:ascii="Verdana" w:hAnsi="Verdana"/>
                <w:color w:val="000000"/>
              </w:rPr>
              <w:t xml:space="preserve"> This is not a standalone </w:t>
            </w:r>
            <w:r w:rsidR="00E661F9">
              <w:rPr>
                <w:rFonts w:ascii="Verdana" w:hAnsi="Verdana"/>
                <w:color w:val="000000"/>
              </w:rPr>
              <w:t>formulary but</w:t>
            </w:r>
            <w:r>
              <w:rPr>
                <w:rFonts w:ascii="Verdana" w:hAnsi="Verdana"/>
                <w:color w:val="000000"/>
              </w:rPr>
              <w:t xml:space="preserve"> may be added to a custom formulary or to Standard Opt Out, Standard Control Formulary or Basic Control Formulary.</w:t>
            </w:r>
          </w:p>
        </w:tc>
      </w:tr>
      <w:tr w:rsidR="00D14279" w:rsidRPr="001B0D90" w14:paraId="06F12A12" w14:textId="77777777" w:rsidTr="00984BE8">
        <w:tc>
          <w:tcPr>
            <w:tcW w:w="998" w:type="pct"/>
            <w:shd w:val="clear" w:color="auto" w:fill="auto"/>
          </w:tcPr>
          <w:p w14:paraId="74825095" w14:textId="0302F580" w:rsidR="009321D0" w:rsidRPr="001B0D90" w:rsidRDefault="00E4003E" w:rsidP="00450330">
            <w:pPr>
              <w:spacing w:before="120" w:after="120"/>
              <w:rPr>
                <w:rFonts w:ascii="Verdana" w:hAnsi="Verdana"/>
                <w:b/>
                <w:bCs/>
                <w:color w:val="000000"/>
              </w:rPr>
            </w:pPr>
            <w:r>
              <w:rPr>
                <w:rFonts w:ascii="Verdana" w:hAnsi="Verdana"/>
                <w:b/>
                <w:bCs/>
                <w:color w:val="000000"/>
              </w:rPr>
              <w:t>Advanced Control Specialty Formulary</w:t>
            </w:r>
            <w:r w:rsidR="005C3B3D">
              <w:rPr>
                <w:rFonts w:ascii="Verdana" w:hAnsi="Verdana"/>
                <w:b/>
                <w:bCs/>
                <w:color w:val="000000"/>
              </w:rPr>
              <w:t xml:space="preserve"> </w:t>
            </w:r>
            <w:r w:rsidR="00317EA7">
              <w:rPr>
                <w:rFonts w:ascii="Verdana" w:hAnsi="Verdana"/>
                <w:b/>
                <w:bCs/>
                <w:color w:val="000000"/>
              </w:rPr>
              <w:t xml:space="preserve">Drug List </w:t>
            </w:r>
            <w:r w:rsidR="005C3B3D">
              <w:rPr>
                <w:rFonts w:ascii="Verdana" w:hAnsi="Verdana"/>
                <w:b/>
                <w:bCs/>
                <w:color w:val="000000"/>
              </w:rPr>
              <w:t>(ACSF)</w:t>
            </w:r>
          </w:p>
        </w:tc>
        <w:tc>
          <w:tcPr>
            <w:tcW w:w="4002" w:type="pct"/>
            <w:shd w:val="clear" w:color="auto" w:fill="auto"/>
          </w:tcPr>
          <w:p w14:paraId="465A52CC" w14:textId="4D076BCD" w:rsidR="009321D0" w:rsidRDefault="009321D0" w:rsidP="00450330">
            <w:pPr>
              <w:spacing w:before="120" w:after="120"/>
              <w:rPr>
                <w:rFonts w:ascii="Verdana" w:hAnsi="Verdana"/>
                <w:color w:val="000000"/>
              </w:rPr>
            </w:pPr>
            <w:r w:rsidRPr="001B0D90">
              <w:rPr>
                <w:rFonts w:ascii="Verdana" w:hAnsi="Verdana"/>
                <w:color w:val="000000"/>
              </w:rPr>
              <w:t xml:space="preserve">The </w:t>
            </w:r>
            <w:r w:rsidR="00D14279" w:rsidRPr="0053686E">
              <w:rPr>
                <w:rFonts w:ascii="Verdana" w:hAnsi="Verdana"/>
                <w:color w:val="000000"/>
              </w:rPr>
              <w:t>list</w:t>
            </w:r>
            <w:r w:rsidRPr="001B0D90">
              <w:rPr>
                <w:rFonts w:ascii="Verdana" w:hAnsi="Verdana"/>
                <w:b/>
                <w:bCs/>
                <w:color w:val="000000"/>
              </w:rPr>
              <w:t xml:space="preserve"> </w:t>
            </w:r>
            <w:r w:rsidR="00E4003E">
              <w:rPr>
                <w:rFonts w:ascii="Verdana" w:hAnsi="Verdana"/>
                <w:color w:val="000000"/>
              </w:rPr>
              <w:t>provides</w:t>
            </w:r>
            <w:r w:rsidR="00D14279">
              <w:rPr>
                <w:rFonts w:ascii="Verdana" w:hAnsi="Verdana"/>
                <w:color w:val="000000"/>
              </w:rPr>
              <w:t xml:space="preserve"> hyperlinks</w:t>
            </w:r>
            <w:r w:rsidR="00483B86">
              <w:rPr>
                <w:rFonts w:ascii="Verdana" w:hAnsi="Verdana"/>
                <w:color w:val="000000"/>
              </w:rPr>
              <w:t xml:space="preserve"> to</w:t>
            </w:r>
            <w:r w:rsidR="00E4003E">
              <w:rPr>
                <w:rFonts w:ascii="Verdana" w:hAnsi="Verdana"/>
                <w:color w:val="000000"/>
              </w:rPr>
              <w:t xml:space="preserve"> current and next quarter’s formulary information.   This is a guide with select therapeutic categories for clients, plan members and health care providers. Generics should be considered the first line of prescribing.  </w:t>
            </w:r>
          </w:p>
          <w:p w14:paraId="122740E4" w14:textId="77777777" w:rsidR="009321D0" w:rsidRPr="001B0D90" w:rsidRDefault="00E4003E" w:rsidP="00450330">
            <w:pPr>
              <w:spacing w:before="120" w:after="120"/>
              <w:rPr>
                <w:rFonts w:ascii="Verdana" w:hAnsi="Verdana"/>
                <w:b/>
                <w:bCs/>
                <w:color w:val="000000"/>
              </w:rPr>
            </w:pPr>
            <w:r>
              <w:rPr>
                <w:rFonts w:ascii="Verdana" w:hAnsi="Verdana"/>
                <w:color w:val="000000"/>
              </w:rPr>
              <w:t xml:space="preserve">If there is no generic available, there may be more than one brand-name medicine to treat a condition.  </w:t>
            </w:r>
          </w:p>
        </w:tc>
      </w:tr>
      <w:tr w:rsidR="009321D0" w:rsidRPr="001B0D90" w14:paraId="1FC9430E" w14:textId="77777777" w:rsidTr="00984BE8">
        <w:tc>
          <w:tcPr>
            <w:tcW w:w="998" w:type="pct"/>
            <w:shd w:val="clear" w:color="auto" w:fill="auto"/>
          </w:tcPr>
          <w:p w14:paraId="6CE7B3B4" w14:textId="77777777" w:rsidR="009321D0" w:rsidRPr="001B0D90" w:rsidRDefault="00D14279" w:rsidP="00450330">
            <w:pPr>
              <w:spacing w:before="120" w:after="120"/>
              <w:rPr>
                <w:rFonts w:ascii="Verdana" w:hAnsi="Verdana"/>
                <w:b/>
                <w:bCs/>
                <w:color w:val="000000"/>
              </w:rPr>
            </w:pPr>
            <w:r>
              <w:rPr>
                <w:rFonts w:ascii="Verdana" w:hAnsi="Verdana"/>
                <w:b/>
                <w:bCs/>
                <w:color w:val="000000"/>
              </w:rPr>
              <w:t>Performance Drug List for Clients with Advanced Control Specialty</w:t>
            </w:r>
          </w:p>
        </w:tc>
        <w:tc>
          <w:tcPr>
            <w:tcW w:w="4002" w:type="pct"/>
            <w:shd w:val="clear" w:color="auto" w:fill="auto"/>
          </w:tcPr>
          <w:p w14:paraId="0FE5DEF4" w14:textId="58E5E93F" w:rsidR="00D14279" w:rsidRDefault="00D14279" w:rsidP="00450330">
            <w:pPr>
              <w:spacing w:before="120" w:after="120"/>
              <w:rPr>
                <w:rFonts w:ascii="Verdana" w:hAnsi="Verdana"/>
                <w:color w:val="000000"/>
              </w:rPr>
            </w:pPr>
            <w:r w:rsidRPr="001B0D90">
              <w:rPr>
                <w:rFonts w:ascii="Verdana" w:hAnsi="Verdana"/>
                <w:color w:val="000000"/>
              </w:rPr>
              <w:t xml:space="preserve">The </w:t>
            </w:r>
            <w:r w:rsidRPr="0053686E">
              <w:rPr>
                <w:rFonts w:ascii="Verdana" w:hAnsi="Verdana"/>
                <w:color w:val="000000"/>
              </w:rPr>
              <w:t>list</w:t>
            </w:r>
            <w:r w:rsidR="00E87E61" w:rsidRPr="0053686E">
              <w:rPr>
                <w:rFonts w:ascii="Verdana" w:hAnsi="Verdana"/>
                <w:color w:val="000000"/>
              </w:rPr>
              <w:t xml:space="preserve"> is for </w:t>
            </w:r>
            <w:r w:rsidR="00E87E61" w:rsidRPr="0053686E">
              <w:rPr>
                <w:rFonts w:ascii="Verdana" w:hAnsi="Verdana"/>
                <w:b/>
                <w:bCs/>
                <w:color w:val="000000"/>
              </w:rPr>
              <w:t>Standard Control Formulary (</w:t>
            </w:r>
            <w:r w:rsidR="005C3B3D" w:rsidRPr="0053686E">
              <w:rPr>
                <w:rFonts w:ascii="Verdana" w:hAnsi="Verdana"/>
                <w:b/>
                <w:bCs/>
                <w:color w:val="000000"/>
              </w:rPr>
              <w:t>SCF)</w:t>
            </w:r>
            <w:r w:rsidR="005C3B3D" w:rsidRPr="0053686E">
              <w:rPr>
                <w:rFonts w:ascii="Verdana" w:hAnsi="Verdana"/>
                <w:color w:val="000000"/>
              </w:rPr>
              <w:t xml:space="preserve"> </w:t>
            </w:r>
            <w:r w:rsidR="00E87E61">
              <w:rPr>
                <w:rFonts w:ascii="Verdana" w:hAnsi="Verdana"/>
                <w:b/>
                <w:bCs/>
                <w:color w:val="000000"/>
              </w:rPr>
              <w:t>with ACSF</w:t>
            </w:r>
            <w:r w:rsidRPr="001B0D90">
              <w:rPr>
                <w:rFonts w:ascii="Verdana" w:hAnsi="Verdana"/>
                <w:b/>
                <w:bCs/>
                <w:color w:val="000000"/>
              </w:rPr>
              <w:t xml:space="preserve"> </w:t>
            </w:r>
            <w:r>
              <w:rPr>
                <w:rFonts w:ascii="Verdana" w:hAnsi="Verdana"/>
                <w:color w:val="000000"/>
              </w:rPr>
              <w:t xml:space="preserve">provides hyperlinks to current and next quarter’s formulary information and is a guide within select therapeutic categories for clients, plan members and health care providers. Generics should be considered the first line of prescribing.  </w:t>
            </w:r>
          </w:p>
          <w:p w14:paraId="00A6F31D" w14:textId="77777777" w:rsidR="009321D0" w:rsidRPr="001B0D90" w:rsidRDefault="00D14279" w:rsidP="00450330">
            <w:pPr>
              <w:spacing w:before="120" w:after="120"/>
              <w:rPr>
                <w:rFonts w:ascii="Verdana" w:hAnsi="Verdana"/>
                <w:b/>
                <w:bCs/>
                <w:color w:val="000000"/>
              </w:rPr>
            </w:pPr>
            <w:r>
              <w:rPr>
                <w:rFonts w:ascii="Verdana" w:hAnsi="Verdana"/>
                <w:color w:val="000000"/>
              </w:rPr>
              <w:t xml:space="preserve">If there is no generic available, there may be more than one brand-name medicine to treat a condition.  </w:t>
            </w:r>
          </w:p>
        </w:tc>
      </w:tr>
    </w:tbl>
    <w:p w14:paraId="071E2750" w14:textId="77777777" w:rsidR="00616C57" w:rsidRDefault="00616C57" w:rsidP="00450330">
      <w:pPr>
        <w:pStyle w:val="Heading3"/>
        <w:spacing w:before="0" w:after="0"/>
      </w:pPr>
      <w:bookmarkStart w:id="18" w:name="_Toc475026985"/>
      <w:bookmarkStart w:id="19" w:name="_Toc476060472"/>
    </w:p>
    <w:p w14:paraId="125E474B" w14:textId="4F865826" w:rsidR="000648D6" w:rsidRDefault="000648D6" w:rsidP="000648D6">
      <w:pPr>
        <w:pStyle w:val="Heading3"/>
        <w:spacing w:before="120" w:after="120"/>
      </w:pPr>
      <w:hyperlink r:id="rId30" w:history="1">
        <w:bookmarkStart w:id="20" w:name="_Toc201214741"/>
        <w:r>
          <w:rPr>
            <w:rStyle w:val="Hyperlink"/>
          </w:rPr>
          <w:t>Advanced Control Specialty Formulary Chart (ACSF-Chart) and Standard Control</w:t>
        </w:r>
        <w:r w:rsidR="004767D4">
          <w:rPr>
            <w:rStyle w:val="Hyperlink"/>
          </w:rPr>
          <w:t xml:space="preserve"> </w:t>
        </w:r>
        <w:r w:rsidR="001A1531">
          <w:rPr>
            <w:rStyle w:val="Hyperlink"/>
          </w:rPr>
          <w:t>Chart</w:t>
        </w:r>
        <w:r>
          <w:rPr>
            <w:rStyle w:val="Hyperlink"/>
          </w:rPr>
          <w:t xml:space="preserve"> with/ACSF</w:t>
        </w:r>
      </w:hyperlink>
      <w:r>
        <w:t xml:space="preserve"> Drug Lists</w:t>
      </w:r>
      <w:bookmarkEnd w:id="20"/>
      <w:r>
        <w:t xml:space="preserve"> </w:t>
      </w:r>
    </w:p>
    <w:p w14:paraId="45E1B5F4" w14:textId="77777777" w:rsidR="000648D6" w:rsidRDefault="000648D6" w:rsidP="000648D6">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5"/>
        <w:gridCol w:w="10365"/>
      </w:tblGrid>
      <w:tr w:rsidR="000648D6" w14:paraId="2D653852" w14:textId="77777777" w:rsidTr="00650C34">
        <w:tc>
          <w:tcPr>
            <w:tcW w:w="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81AC8C" w14:textId="77777777" w:rsidR="000648D6" w:rsidRDefault="000648D6">
            <w:pPr>
              <w:spacing w:before="120" w:after="120"/>
              <w:jc w:val="center"/>
              <w:rPr>
                <w:rFonts w:ascii="Verdana" w:hAnsi="Verdana"/>
                <w:b/>
                <w:bCs/>
                <w:color w:val="000000"/>
              </w:rPr>
            </w:pPr>
            <w:r>
              <w:rPr>
                <w:rFonts w:ascii="Verdana" w:hAnsi="Verdana"/>
                <w:b/>
                <w:bCs/>
                <w:color w:val="000000"/>
              </w:rPr>
              <w:t>Site Features</w:t>
            </w:r>
          </w:p>
        </w:tc>
        <w:tc>
          <w:tcPr>
            <w:tcW w:w="40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C54E99" w14:textId="77777777" w:rsidR="000648D6" w:rsidRDefault="000648D6">
            <w:pPr>
              <w:spacing w:before="120" w:after="120"/>
              <w:jc w:val="center"/>
              <w:rPr>
                <w:rFonts w:ascii="Verdana" w:hAnsi="Verdana"/>
                <w:b/>
                <w:bCs/>
                <w:color w:val="000000"/>
              </w:rPr>
            </w:pPr>
            <w:r>
              <w:rPr>
                <w:rFonts w:ascii="Verdana" w:hAnsi="Verdana"/>
                <w:b/>
                <w:bCs/>
                <w:color w:val="000000"/>
              </w:rPr>
              <w:t>Description</w:t>
            </w:r>
          </w:p>
        </w:tc>
      </w:tr>
      <w:tr w:rsidR="000648D6" w14:paraId="345E6DBF" w14:textId="77777777" w:rsidTr="000648D6">
        <w:tc>
          <w:tcPr>
            <w:tcW w:w="998" w:type="pct"/>
            <w:tcBorders>
              <w:top w:val="single" w:sz="4" w:space="0" w:color="auto"/>
              <w:left w:val="single" w:sz="4" w:space="0" w:color="auto"/>
              <w:bottom w:val="single" w:sz="4" w:space="0" w:color="auto"/>
              <w:right w:val="single" w:sz="4" w:space="0" w:color="auto"/>
            </w:tcBorders>
            <w:hideMark/>
          </w:tcPr>
          <w:p w14:paraId="1F2E7BA1" w14:textId="6F6B5FF5" w:rsidR="000648D6" w:rsidRDefault="000648D6">
            <w:pPr>
              <w:spacing w:before="120" w:after="120"/>
              <w:rPr>
                <w:rFonts w:ascii="Verdana" w:hAnsi="Verdana"/>
                <w:b/>
                <w:bCs/>
                <w:color w:val="000000"/>
              </w:rPr>
            </w:pPr>
            <w:r>
              <w:rPr>
                <w:rFonts w:ascii="Verdana" w:hAnsi="Verdana"/>
                <w:b/>
                <w:bCs/>
                <w:color w:val="000000"/>
              </w:rPr>
              <w:t>What is Advanced Control Specialty Formulary</w:t>
            </w:r>
            <w:r w:rsidR="00453B3F">
              <w:rPr>
                <w:rFonts w:ascii="Verdana" w:hAnsi="Verdana"/>
                <w:b/>
                <w:bCs/>
                <w:color w:val="000000"/>
              </w:rPr>
              <w:t xml:space="preserve"> Chart</w:t>
            </w:r>
            <w:r w:rsidR="00C96C76">
              <w:rPr>
                <w:rFonts w:ascii="Verdana" w:hAnsi="Verdana"/>
                <w:b/>
                <w:bCs/>
                <w:color w:val="000000"/>
              </w:rPr>
              <w:t xml:space="preserve">? </w:t>
            </w:r>
          </w:p>
        </w:tc>
        <w:tc>
          <w:tcPr>
            <w:tcW w:w="4002" w:type="pct"/>
            <w:tcBorders>
              <w:top w:val="single" w:sz="4" w:space="0" w:color="auto"/>
              <w:left w:val="single" w:sz="4" w:space="0" w:color="auto"/>
              <w:bottom w:val="single" w:sz="4" w:space="0" w:color="auto"/>
              <w:right w:val="single" w:sz="4" w:space="0" w:color="auto"/>
            </w:tcBorders>
            <w:hideMark/>
          </w:tcPr>
          <w:p w14:paraId="759C33FE" w14:textId="23F05B75" w:rsidR="001A1531" w:rsidRDefault="000648D6">
            <w:pPr>
              <w:spacing w:before="120" w:after="120"/>
              <w:rPr>
                <w:rFonts w:ascii="Verdana" w:hAnsi="Verdana"/>
                <w:color w:val="000000"/>
              </w:rPr>
            </w:pPr>
            <w:r>
              <w:rPr>
                <w:rFonts w:ascii="Verdana" w:hAnsi="Verdana"/>
                <w:color w:val="000000"/>
              </w:rPr>
              <w:t>Advanced Control Specialty Formulary</w:t>
            </w:r>
            <w:r w:rsidR="001A1531">
              <w:rPr>
                <w:rFonts w:ascii="Verdana" w:hAnsi="Verdana"/>
                <w:color w:val="000000"/>
              </w:rPr>
              <w:t xml:space="preserve"> Chart</w:t>
            </w:r>
            <w:r w:rsidR="001A1531">
              <w:t xml:space="preserve"> </w:t>
            </w:r>
            <w:r w:rsidR="001A1531" w:rsidRPr="001A1531">
              <w:rPr>
                <w:rFonts w:ascii="Verdana" w:hAnsi="Verdana"/>
                <w:color w:val="000000"/>
              </w:rPr>
              <w:t>is a managed formulary used by federally funded government business clients</w:t>
            </w:r>
            <w:r w:rsidR="001A1531">
              <w:rPr>
                <w:rFonts w:ascii="Verdana" w:hAnsi="Verdana"/>
                <w:color w:val="000000"/>
              </w:rPr>
              <w:t>.</w:t>
            </w:r>
          </w:p>
          <w:p w14:paraId="04B87B4A" w14:textId="5918B2AF" w:rsidR="000648D6" w:rsidRDefault="001A1531">
            <w:pPr>
              <w:spacing w:before="120" w:after="120"/>
              <w:rPr>
                <w:rFonts w:ascii="Verdana" w:hAnsi="Verdana"/>
                <w:color w:val="000000"/>
              </w:rPr>
            </w:pPr>
            <w:r>
              <w:rPr>
                <w:rFonts w:ascii="Verdana" w:hAnsi="Verdana"/>
                <w:color w:val="000000"/>
              </w:rPr>
              <w:t>It</w:t>
            </w:r>
            <w:r w:rsidR="000648D6">
              <w:rPr>
                <w:rFonts w:ascii="Verdana" w:hAnsi="Verdana"/>
                <w:color w:val="000000"/>
              </w:rPr>
              <w:t xml:space="preserve"> is an effective and comprehensive approach to</w:t>
            </w:r>
            <w:r>
              <w:rPr>
                <w:rFonts w:ascii="Verdana" w:hAnsi="Verdana"/>
                <w:color w:val="000000"/>
              </w:rPr>
              <w:t xml:space="preserve"> </w:t>
            </w:r>
            <w:r w:rsidR="000648D6">
              <w:rPr>
                <w:rFonts w:ascii="Verdana" w:hAnsi="Verdana"/>
                <w:color w:val="000000"/>
              </w:rPr>
              <w:t>specialty trend management. This is not a standalone formulary but may be added to a custom formulary or to Standard Opt Out</w:t>
            </w:r>
            <w:r w:rsidR="009D252B">
              <w:rPr>
                <w:rFonts w:ascii="Verdana" w:hAnsi="Verdana"/>
                <w:color w:val="000000"/>
              </w:rPr>
              <w:t>- Chart or</w:t>
            </w:r>
            <w:r w:rsidR="000648D6">
              <w:rPr>
                <w:rFonts w:ascii="Verdana" w:hAnsi="Verdana"/>
                <w:color w:val="000000"/>
              </w:rPr>
              <w:t xml:space="preserve"> Standard Control Formulary</w:t>
            </w:r>
            <w:r w:rsidR="009D252B">
              <w:rPr>
                <w:rFonts w:ascii="Verdana" w:hAnsi="Verdana"/>
                <w:color w:val="000000"/>
              </w:rPr>
              <w:t>-Chart</w:t>
            </w:r>
            <w:r w:rsidR="000648D6">
              <w:rPr>
                <w:rFonts w:ascii="Verdana" w:hAnsi="Verdana"/>
                <w:color w:val="000000"/>
              </w:rPr>
              <w:t>.</w:t>
            </w:r>
          </w:p>
        </w:tc>
      </w:tr>
      <w:tr w:rsidR="000648D6" w14:paraId="5A67009D" w14:textId="77777777" w:rsidTr="000648D6">
        <w:tc>
          <w:tcPr>
            <w:tcW w:w="998" w:type="pct"/>
            <w:tcBorders>
              <w:top w:val="single" w:sz="4" w:space="0" w:color="auto"/>
              <w:left w:val="single" w:sz="4" w:space="0" w:color="auto"/>
              <w:bottom w:val="single" w:sz="4" w:space="0" w:color="auto"/>
              <w:right w:val="single" w:sz="4" w:space="0" w:color="auto"/>
            </w:tcBorders>
            <w:hideMark/>
          </w:tcPr>
          <w:p w14:paraId="25A50424" w14:textId="0D800F8C" w:rsidR="000648D6" w:rsidRDefault="000648D6">
            <w:pPr>
              <w:spacing w:before="120" w:after="120"/>
              <w:rPr>
                <w:rFonts w:ascii="Verdana" w:hAnsi="Verdana"/>
                <w:b/>
                <w:bCs/>
                <w:color w:val="000000"/>
              </w:rPr>
            </w:pPr>
            <w:r>
              <w:rPr>
                <w:rFonts w:ascii="Verdana" w:hAnsi="Verdana"/>
                <w:b/>
                <w:bCs/>
                <w:color w:val="000000"/>
              </w:rPr>
              <w:t>Advanced Control Specialty Formulary Drug List</w:t>
            </w:r>
            <w:r w:rsidR="004767D4">
              <w:rPr>
                <w:rFonts w:ascii="Verdana" w:hAnsi="Verdana"/>
                <w:b/>
                <w:bCs/>
                <w:color w:val="000000"/>
              </w:rPr>
              <w:t xml:space="preserve"> </w:t>
            </w:r>
            <w:r w:rsidR="00453B3F">
              <w:rPr>
                <w:rFonts w:ascii="Verdana" w:hAnsi="Verdana"/>
                <w:b/>
                <w:bCs/>
                <w:color w:val="000000"/>
              </w:rPr>
              <w:t>Chart</w:t>
            </w:r>
            <w:r>
              <w:rPr>
                <w:rFonts w:ascii="Verdana" w:hAnsi="Verdana"/>
                <w:b/>
                <w:bCs/>
                <w:color w:val="000000"/>
              </w:rPr>
              <w:t xml:space="preserve"> (ACSF</w:t>
            </w:r>
            <w:r w:rsidR="00453B3F">
              <w:rPr>
                <w:rFonts w:ascii="Verdana" w:hAnsi="Verdana"/>
                <w:b/>
                <w:bCs/>
                <w:color w:val="000000"/>
              </w:rPr>
              <w:t>- Chart</w:t>
            </w:r>
            <w:r>
              <w:rPr>
                <w:rFonts w:ascii="Verdana" w:hAnsi="Verdana"/>
                <w:b/>
                <w:bCs/>
                <w:color w:val="000000"/>
              </w:rPr>
              <w:t>)</w:t>
            </w:r>
          </w:p>
        </w:tc>
        <w:tc>
          <w:tcPr>
            <w:tcW w:w="4002" w:type="pct"/>
            <w:tcBorders>
              <w:top w:val="single" w:sz="4" w:space="0" w:color="auto"/>
              <w:left w:val="single" w:sz="4" w:space="0" w:color="auto"/>
              <w:bottom w:val="single" w:sz="4" w:space="0" w:color="auto"/>
              <w:right w:val="single" w:sz="4" w:space="0" w:color="auto"/>
            </w:tcBorders>
            <w:hideMark/>
          </w:tcPr>
          <w:p w14:paraId="469CA50E" w14:textId="3E54DC9D" w:rsidR="000648D6" w:rsidRDefault="000648D6">
            <w:pPr>
              <w:spacing w:before="120" w:after="120"/>
              <w:rPr>
                <w:rFonts w:ascii="Verdana" w:hAnsi="Verdana"/>
                <w:color w:val="000000"/>
              </w:rPr>
            </w:pPr>
            <w:r>
              <w:rPr>
                <w:rFonts w:ascii="Verdana" w:hAnsi="Verdana"/>
                <w:color w:val="000000"/>
              </w:rPr>
              <w:t xml:space="preserve">The </w:t>
            </w:r>
            <w:r w:rsidRPr="0053686E">
              <w:rPr>
                <w:rFonts w:ascii="Verdana" w:hAnsi="Verdana"/>
                <w:color w:val="000000"/>
              </w:rPr>
              <w:t>list</w:t>
            </w:r>
            <w:r>
              <w:rPr>
                <w:rFonts w:ascii="Verdana" w:hAnsi="Verdana"/>
                <w:b/>
                <w:bCs/>
                <w:color w:val="000000"/>
              </w:rPr>
              <w:t xml:space="preserve"> </w:t>
            </w:r>
            <w:r>
              <w:rPr>
                <w:rFonts w:ascii="Verdana" w:hAnsi="Verdana"/>
                <w:color w:val="000000"/>
              </w:rPr>
              <w:t>provides hyperlinks</w:t>
            </w:r>
            <w:r w:rsidR="00653E0B">
              <w:rPr>
                <w:rFonts w:ascii="Verdana" w:hAnsi="Verdana"/>
                <w:color w:val="000000"/>
              </w:rPr>
              <w:t xml:space="preserve"> to</w:t>
            </w:r>
            <w:r>
              <w:rPr>
                <w:rFonts w:ascii="Verdana" w:hAnsi="Verdana"/>
                <w:color w:val="000000"/>
              </w:rPr>
              <w:t xml:space="preserve"> current and next quarter’s formulary information.   This is a guide with select therapeutic categories for clients, plan members and health care providers. Generics should be considered the first line of prescribing.  </w:t>
            </w:r>
          </w:p>
          <w:p w14:paraId="0274EAF9" w14:textId="77777777" w:rsidR="000648D6" w:rsidRDefault="000648D6">
            <w:pPr>
              <w:spacing w:before="120" w:after="120"/>
              <w:rPr>
                <w:rFonts w:ascii="Verdana" w:hAnsi="Verdana"/>
                <w:b/>
                <w:bCs/>
                <w:color w:val="000000"/>
              </w:rPr>
            </w:pPr>
            <w:r>
              <w:rPr>
                <w:rFonts w:ascii="Verdana" w:hAnsi="Verdana"/>
                <w:color w:val="000000"/>
              </w:rPr>
              <w:t xml:space="preserve">If there is no generic available, there may be more than one brand-name medicine to treat a condition.  </w:t>
            </w:r>
          </w:p>
        </w:tc>
      </w:tr>
      <w:tr w:rsidR="000648D6" w14:paraId="6708910D" w14:textId="77777777" w:rsidTr="000648D6">
        <w:tc>
          <w:tcPr>
            <w:tcW w:w="998" w:type="pct"/>
            <w:tcBorders>
              <w:top w:val="single" w:sz="4" w:space="0" w:color="auto"/>
              <w:left w:val="single" w:sz="4" w:space="0" w:color="auto"/>
              <w:bottom w:val="single" w:sz="4" w:space="0" w:color="auto"/>
              <w:right w:val="single" w:sz="4" w:space="0" w:color="auto"/>
            </w:tcBorders>
            <w:hideMark/>
          </w:tcPr>
          <w:p w14:paraId="3C8F5CAE" w14:textId="49EB0B2E" w:rsidR="000648D6" w:rsidRDefault="000648D6">
            <w:pPr>
              <w:spacing w:before="120" w:after="120"/>
              <w:rPr>
                <w:rFonts w:ascii="Verdana" w:hAnsi="Verdana"/>
                <w:b/>
                <w:bCs/>
                <w:color w:val="000000"/>
              </w:rPr>
            </w:pPr>
            <w:r>
              <w:rPr>
                <w:rFonts w:ascii="Verdana" w:hAnsi="Verdana"/>
                <w:b/>
                <w:bCs/>
                <w:color w:val="000000"/>
              </w:rPr>
              <w:t>Performance Drug List for Clients with Advanced Control Specialty</w:t>
            </w:r>
            <w:r w:rsidR="004767D4">
              <w:rPr>
                <w:rFonts w:ascii="Verdana" w:hAnsi="Verdana"/>
                <w:b/>
                <w:bCs/>
                <w:color w:val="000000"/>
              </w:rPr>
              <w:t xml:space="preserve"> </w:t>
            </w:r>
            <w:r w:rsidR="00453B3F">
              <w:rPr>
                <w:rFonts w:ascii="Verdana" w:hAnsi="Verdana"/>
                <w:b/>
                <w:bCs/>
                <w:color w:val="000000"/>
              </w:rPr>
              <w:t>Chart</w:t>
            </w:r>
          </w:p>
        </w:tc>
        <w:tc>
          <w:tcPr>
            <w:tcW w:w="4002" w:type="pct"/>
            <w:tcBorders>
              <w:top w:val="single" w:sz="4" w:space="0" w:color="auto"/>
              <w:left w:val="single" w:sz="4" w:space="0" w:color="auto"/>
              <w:bottom w:val="single" w:sz="4" w:space="0" w:color="auto"/>
              <w:right w:val="single" w:sz="4" w:space="0" w:color="auto"/>
            </w:tcBorders>
            <w:hideMark/>
          </w:tcPr>
          <w:p w14:paraId="62E3614A" w14:textId="60BCA9F4" w:rsidR="000648D6" w:rsidRDefault="000648D6">
            <w:pPr>
              <w:spacing w:before="120" w:after="120"/>
              <w:rPr>
                <w:rFonts w:ascii="Verdana" w:hAnsi="Verdana"/>
                <w:color w:val="000000"/>
              </w:rPr>
            </w:pPr>
            <w:r>
              <w:rPr>
                <w:rFonts w:ascii="Verdana" w:hAnsi="Verdana"/>
                <w:color w:val="000000"/>
              </w:rPr>
              <w:t xml:space="preserve">The </w:t>
            </w:r>
            <w:r w:rsidRPr="0053686E">
              <w:rPr>
                <w:rFonts w:ascii="Verdana" w:hAnsi="Verdana"/>
                <w:color w:val="000000"/>
              </w:rPr>
              <w:t>list is for</w:t>
            </w:r>
            <w:r>
              <w:rPr>
                <w:rFonts w:ascii="Verdana" w:hAnsi="Verdana"/>
                <w:b/>
                <w:bCs/>
                <w:color w:val="000000"/>
              </w:rPr>
              <w:t xml:space="preserve"> Standard Control Formulary (SCF) with ACSF</w:t>
            </w:r>
            <w:r w:rsidR="004767D4">
              <w:rPr>
                <w:rFonts w:ascii="Verdana" w:hAnsi="Verdana"/>
                <w:b/>
                <w:bCs/>
                <w:color w:val="000000"/>
              </w:rPr>
              <w:t>-</w:t>
            </w:r>
            <w:r w:rsidR="00453B3F">
              <w:rPr>
                <w:rFonts w:ascii="Verdana" w:hAnsi="Verdana"/>
                <w:b/>
                <w:bCs/>
                <w:color w:val="000000"/>
              </w:rPr>
              <w:t>Chart</w:t>
            </w:r>
            <w:r>
              <w:rPr>
                <w:rFonts w:ascii="Verdana" w:hAnsi="Verdana"/>
                <w:b/>
                <w:bCs/>
                <w:color w:val="000000"/>
              </w:rPr>
              <w:t xml:space="preserve"> </w:t>
            </w:r>
            <w:r>
              <w:rPr>
                <w:rFonts w:ascii="Verdana" w:hAnsi="Verdana"/>
                <w:color w:val="000000"/>
              </w:rPr>
              <w:t xml:space="preserve">provides hyperlinks to current and next quarter’s formulary information and is a guide within select therapeutic categories for clients, plan members and health care providers. Generics should be considered the first line of prescribing.  </w:t>
            </w:r>
          </w:p>
          <w:p w14:paraId="48184B2B" w14:textId="77777777" w:rsidR="000648D6" w:rsidRDefault="000648D6">
            <w:pPr>
              <w:spacing w:before="120" w:after="120"/>
              <w:rPr>
                <w:rFonts w:ascii="Verdana" w:hAnsi="Verdana"/>
                <w:b/>
                <w:bCs/>
                <w:color w:val="000000"/>
              </w:rPr>
            </w:pPr>
            <w:r>
              <w:rPr>
                <w:rFonts w:ascii="Verdana" w:hAnsi="Verdana"/>
                <w:color w:val="000000"/>
              </w:rPr>
              <w:t xml:space="preserve">If there is no generic available, there may be more than one brand-name medicine to treat a condition.  </w:t>
            </w:r>
          </w:p>
        </w:tc>
      </w:tr>
    </w:tbl>
    <w:p w14:paraId="735068BA" w14:textId="4EB19728" w:rsidR="006E677F" w:rsidRDefault="006E677F">
      <w:pPr>
        <w:rPr>
          <w:rFonts w:ascii="Verdana" w:hAnsi="Verdana" w:cs="Arial"/>
          <w:b/>
          <w:bCs/>
          <w:szCs w:val="26"/>
        </w:rPr>
      </w:pPr>
    </w:p>
    <w:p w14:paraId="2AD6E205" w14:textId="583ED638" w:rsidR="00BC6926" w:rsidRDefault="00A71F1E" w:rsidP="00450330">
      <w:pPr>
        <w:pStyle w:val="Heading3"/>
        <w:spacing w:before="120" w:after="120"/>
      </w:pPr>
      <w:hyperlink r:id="rId31" w:history="1">
        <w:bookmarkStart w:id="21" w:name="_Toc201214742"/>
        <w:r>
          <w:rPr>
            <w:rStyle w:val="Hyperlink"/>
          </w:rPr>
          <w:t>Standard Opt Out (SOO) no ACSF Drug Lists</w:t>
        </w:r>
        <w:bookmarkEnd w:id="21"/>
      </w:hyperlink>
      <w:r w:rsidR="00D14279">
        <w:t xml:space="preserve"> </w:t>
      </w:r>
      <w:r w:rsidR="00BC6926">
        <w:t xml:space="preserve"> </w:t>
      </w:r>
    </w:p>
    <w:p w14:paraId="340C215D" w14:textId="77777777" w:rsidR="00945D9F" w:rsidRPr="00945D9F" w:rsidRDefault="00945D9F" w:rsidP="00945D9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D14279" w:rsidRPr="001B0D90" w14:paraId="4FEA6ED6" w14:textId="77777777" w:rsidTr="00650C34">
        <w:tc>
          <w:tcPr>
            <w:tcW w:w="1019" w:type="pct"/>
            <w:shd w:val="clear" w:color="auto" w:fill="D9D9D9" w:themeFill="background1" w:themeFillShade="D9"/>
          </w:tcPr>
          <w:p w14:paraId="10A9B39F" w14:textId="77777777" w:rsidR="00D14279" w:rsidRPr="00AE157D" w:rsidRDefault="005E2211" w:rsidP="00450330">
            <w:pPr>
              <w:spacing w:before="120" w:after="120"/>
              <w:jc w:val="center"/>
              <w:rPr>
                <w:rFonts w:ascii="Verdana" w:hAnsi="Verdana"/>
                <w:b/>
                <w:bCs/>
                <w:color w:val="000000"/>
              </w:rPr>
            </w:pPr>
            <w:r>
              <w:rPr>
                <w:color w:val="000000"/>
              </w:rPr>
              <w:t xml:space="preserve"> </w:t>
            </w:r>
            <w:r w:rsidR="00D14279">
              <w:rPr>
                <w:rFonts w:ascii="Verdana" w:hAnsi="Verdana"/>
                <w:b/>
                <w:bCs/>
                <w:color w:val="000000"/>
              </w:rPr>
              <w:t>Site Features</w:t>
            </w:r>
          </w:p>
        </w:tc>
        <w:tc>
          <w:tcPr>
            <w:tcW w:w="3981" w:type="pct"/>
            <w:shd w:val="clear" w:color="auto" w:fill="D9D9D9" w:themeFill="background1" w:themeFillShade="D9"/>
          </w:tcPr>
          <w:p w14:paraId="595C95C4" w14:textId="77777777" w:rsidR="00D14279" w:rsidRPr="001B0D90" w:rsidRDefault="00D14279" w:rsidP="00450330">
            <w:pPr>
              <w:spacing w:before="120" w:after="120"/>
              <w:jc w:val="center"/>
              <w:rPr>
                <w:rFonts w:ascii="Verdana" w:hAnsi="Verdana"/>
                <w:b/>
                <w:bCs/>
                <w:color w:val="000000"/>
              </w:rPr>
            </w:pPr>
            <w:r w:rsidRPr="001B0D90">
              <w:rPr>
                <w:rFonts w:ascii="Verdana" w:hAnsi="Verdana"/>
                <w:b/>
                <w:bCs/>
                <w:color w:val="000000"/>
              </w:rPr>
              <w:t>Description</w:t>
            </w:r>
          </w:p>
        </w:tc>
      </w:tr>
      <w:tr w:rsidR="00A71F1E" w:rsidRPr="001B0D90" w14:paraId="04E23892" w14:textId="77777777" w:rsidTr="00984BE8">
        <w:tc>
          <w:tcPr>
            <w:tcW w:w="1019" w:type="pct"/>
            <w:shd w:val="clear" w:color="auto" w:fill="auto"/>
          </w:tcPr>
          <w:p w14:paraId="2FC4DD6D" w14:textId="7D168E65" w:rsidR="00A71F1E" w:rsidRDefault="00A71F1E" w:rsidP="00450330">
            <w:pPr>
              <w:spacing w:before="120" w:after="120"/>
              <w:rPr>
                <w:rFonts w:ascii="Verdana" w:hAnsi="Verdana"/>
                <w:b/>
                <w:bCs/>
                <w:color w:val="000000"/>
              </w:rPr>
            </w:pPr>
            <w:bookmarkStart w:id="22" w:name="_Hlk106301640"/>
            <w:r>
              <w:rPr>
                <w:rFonts w:ascii="Verdana" w:hAnsi="Verdana"/>
                <w:b/>
                <w:bCs/>
                <w:color w:val="000000"/>
              </w:rPr>
              <w:t>What is Standard Opt-Out Formulary</w:t>
            </w:r>
            <w:r w:rsidR="00C96C76">
              <w:rPr>
                <w:rFonts w:ascii="Verdana" w:hAnsi="Verdana"/>
                <w:b/>
                <w:bCs/>
                <w:color w:val="000000"/>
              </w:rPr>
              <w:t xml:space="preserve">? </w:t>
            </w:r>
          </w:p>
        </w:tc>
        <w:tc>
          <w:tcPr>
            <w:tcW w:w="3981" w:type="pct"/>
            <w:shd w:val="clear" w:color="auto" w:fill="auto"/>
          </w:tcPr>
          <w:p w14:paraId="2E6F74D7" w14:textId="7E84B5B4" w:rsidR="00A71F1E" w:rsidRPr="001B0D90" w:rsidRDefault="00813B85" w:rsidP="00450330">
            <w:pPr>
              <w:spacing w:before="120" w:after="120"/>
              <w:rPr>
                <w:rFonts w:ascii="Verdana" w:hAnsi="Verdana"/>
                <w:color w:val="000000"/>
              </w:rPr>
            </w:pPr>
            <w:r>
              <w:rPr>
                <w:rFonts w:ascii="Verdana" w:hAnsi="Verdana"/>
                <w:color w:val="000000"/>
              </w:rPr>
              <w:t>Standard Opt Out (</w:t>
            </w:r>
            <w:r w:rsidR="006B040C">
              <w:rPr>
                <w:rFonts w:ascii="Verdana" w:hAnsi="Verdana"/>
                <w:color w:val="000000"/>
              </w:rPr>
              <w:t xml:space="preserve">SOO) </w:t>
            </w:r>
            <w:r>
              <w:rPr>
                <w:rFonts w:ascii="Verdana" w:hAnsi="Verdana"/>
                <w:color w:val="000000"/>
              </w:rPr>
              <w:t xml:space="preserve">Formulary is an open </w:t>
            </w:r>
            <w:r w:rsidR="00DD4020">
              <w:rPr>
                <w:rFonts w:ascii="Verdana" w:hAnsi="Verdana"/>
                <w:color w:val="000000"/>
              </w:rPr>
              <w:t>formulary, meaning there are no excluded products.  Products are either preferred or non-preferred.</w:t>
            </w:r>
          </w:p>
        </w:tc>
      </w:tr>
      <w:bookmarkEnd w:id="22"/>
      <w:tr w:rsidR="00D14279" w:rsidRPr="001B0D90" w14:paraId="07A104EE" w14:textId="77777777" w:rsidTr="00984BE8">
        <w:tc>
          <w:tcPr>
            <w:tcW w:w="1019" w:type="pct"/>
            <w:shd w:val="clear" w:color="auto" w:fill="auto"/>
          </w:tcPr>
          <w:p w14:paraId="641C1EEA" w14:textId="5722AEF1" w:rsidR="008960F3" w:rsidRPr="007B4371" w:rsidRDefault="001600EA" w:rsidP="003F338C">
            <w:r w:rsidRPr="003F338C">
              <w:rPr>
                <w:rFonts w:ascii="Verdana" w:hAnsi="Verdana"/>
                <w:b/>
                <w:bCs/>
                <w:color w:val="000000"/>
              </w:rPr>
              <w:t xml:space="preserve">Performance Drug </w:t>
            </w:r>
            <w:r w:rsidR="008960F3" w:rsidRPr="003F338C">
              <w:rPr>
                <w:rFonts w:ascii="Verdana" w:hAnsi="Verdana"/>
                <w:b/>
                <w:bCs/>
                <w:color w:val="000000"/>
              </w:rPr>
              <w:t>List</w:t>
            </w:r>
          </w:p>
        </w:tc>
        <w:tc>
          <w:tcPr>
            <w:tcW w:w="3981" w:type="pct"/>
            <w:shd w:val="clear" w:color="auto" w:fill="auto"/>
          </w:tcPr>
          <w:p w14:paraId="25DADF9C" w14:textId="3FD0C68D" w:rsidR="00D14279" w:rsidRDefault="00D14279" w:rsidP="00450330">
            <w:pPr>
              <w:spacing w:before="120" w:after="120"/>
              <w:rPr>
                <w:rFonts w:ascii="Verdana" w:hAnsi="Verdana"/>
                <w:color w:val="000000"/>
              </w:rPr>
            </w:pPr>
            <w:r w:rsidRPr="001B0D90">
              <w:rPr>
                <w:rFonts w:ascii="Verdana" w:hAnsi="Verdana"/>
                <w:color w:val="000000"/>
              </w:rPr>
              <w:t xml:space="preserve">The </w:t>
            </w:r>
            <w:r>
              <w:rPr>
                <w:rFonts w:ascii="Verdana" w:hAnsi="Verdana"/>
                <w:b/>
                <w:bCs/>
                <w:color w:val="000000"/>
              </w:rPr>
              <w:t>list</w:t>
            </w:r>
            <w:r w:rsidRPr="001B0D90">
              <w:rPr>
                <w:rFonts w:ascii="Verdana" w:hAnsi="Verdana"/>
                <w:b/>
                <w:bCs/>
                <w:color w:val="000000"/>
              </w:rPr>
              <w:t xml:space="preserve"> </w:t>
            </w:r>
            <w:r>
              <w:rPr>
                <w:rFonts w:ascii="Verdana" w:hAnsi="Verdana"/>
                <w:color w:val="000000"/>
              </w:rPr>
              <w:t xml:space="preserve">provides hyperlinks to current and next quarter’s formulary information and is a guide within select therapeutic categories for clients, plan members and health care providers. Generics should be considered the first line of prescribing.  </w:t>
            </w:r>
          </w:p>
          <w:p w14:paraId="58C1387D" w14:textId="77777777" w:rsidR="00D14279" w:rsidRPr="001B0D90" w:rsidRDefault="00D14279" w:rsidP="00450330">
            <w:pPr>
              <w:spacing w:before="120" w:after="120"/>
              <w:rPr>
                <w:rFonts w:ascii="Verdana" w:hAnsi="Verdana"/>
                <w:b/>
                <w:bCs/>
                <w:color w:val="000000"/>
              </w:rPr>
            </w:pPr>
            <w:r>
              <w:rPr>
                <w:rFonts w:ascii="Verdana" w:hAnsi="Verdana"/>
                <w:color w:val="000000"/>
              </w:rPr>
              <w:t xml:space="preserve">If there is no generic available, there may be more than one brand-name medicine to treat a condition.  </w:t>
            </w:r>
          </w:p>
        </w:tc>
      </w:tr>
    </w:tbl>
    <w:bookmarkStart w:id="23" w:name="_Toc532294590"/>
    <w:p w14:paraId="0E6F438B" w14:textId="40D0CD4F" w:rsidR="00EE33DA" w:rsidRDefault="00EE33DA" w:rsidP="00EE33DA">
      <w:pPr>
        <w:pStyle w:val="Heading3"/>
        <w:spacing w:before="120" w:after="120"/>
      </w:pPr>
      <w:r>
        <w:fldChar w:fldCharType="begin"/>
      </w:r>
      <w:r>
        <w:instrText>HYPERLINK "https://info.caremark.com/stogdruglist"</w:instrText>
      </w:r>
      <w:r>
        <w:fldChar w:fldCharType="separate"/>
      </w:r>
      <w:bookmarkStart w:id="24" w:name="_Toc201214743"/>
      <w:r>
        <w:rPr>
          <w:rStyle w:val="Hyperlink"/>
        </w:rPr>
        <w:t>Standard Opt Out Formulary Chart (SOOF- Chart) no ACSF Drug Lists</w:t>
      </w:r>
      <w:bookmarkEnd w:id="24"/>
      <w:r>
        <w:fldChar w:fldCharType="end"/>
      </w:r>
      <w:r>
        <w:t xml:space="preserve">  </w:t>
      </w:r>
    </w:p>
    <w:p w14:paraId="5D7EF60C" w14:textId="77777777" w:rsidR="00EE33DA" w:rsidRDefault="00EE33DA" w:rsidP="00EE33D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EE33DA" w14:paraId="32E59CEB" w14:textId="77777777" w:rsidTr="00650C34">
        <w:tc>
          <w:tcPr>
            <w:tcW w:w="1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B2204B" w14:textId="77777777" w:rsidR="00EE33DA" w:rsidRDefault="00EE33DA">
            <w:pPr>
              <w:spacing w:before="120" w:after="120"/>
              <w:jc w:val="center"/>
              <w:rPr>
                <w:rFonts w:ascii="Verdana" w:hAnsi="Verdana"/>
                <w:b/>
                <w:bCs/>
                <w:color w:val="000000"/>
              </w:rPr>
            </w:pPr>
            <w:r>
              <w:rPr>
                <w:color w:val="000000"/>
              </w:rPr>
              <w:t xml:space="preserve"> </w:t>
            </w:r>
            <w:r>
              <w:rPr>
                <w:rFonts w:ascii="Verdana" w:hAnsi="Verdana"/>
                <w:b/>
                <w:bCs/>
                <w:color w:val="000000"/>
              </w:rPr>
              <w:t>Site Features</w:t>
            </w:r>
          </w:p>
        </w:tc>
        <w:tc>
          <w:tcPr>
            <w:tcW w:w="398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DD9B4" w14:textId="77777777" w:rsidR="00EE33DA" w:rsidRDefault="00EE33DA">
            <w:pPr>
              <w:spacing w:before="120" w:after="120"/>
              <w:jc w:val="center"/>
              <w:rPr>
                <w:rFonts w:ascii="Verdana" w:hAnsi="Verdana"/>
                <w:b/>
                <w:bCs/>
                <w:color w:val="000000"/>
              </w:rPr>
            </w:pPr>
            <w:r>
              <w:rPr>
                <w:rFonts w:ascii="Verdana" w:hAnsi="Verdana"/>
                <w:b/>
                <w:bCs/>
                <w:color w:val="000000"/>
              </w:rPr>
              <w:t>Description</w:t>
            </w:r>
          </w:p>
        </w:tc>
      </w:tr>
      <w:tr w:rsidR="00EE33DA" w14:paraId="3AB54E23" w14:textId="77777777" w:rsidTr="00EE33DA">
        <w:tc>
          <w:tcPr>
            <w:tcW w:w="1019" w:type="pct"/>
            <w:tcBorders>
              <w:top w:val="single" w:sz="4" w:space="0" w:color="auto"/>
              <w:left w:val="single" w:sz="4" w:space="0" w:color="auto"/>
              <w:bottom w:val="single" w:sz="4" w:space="0" w:color="auto"/>
              <w:right w:val="single" w:sz="4" w:space="0" w:color="auto"/>
            </w:tcBorders>
            <w:hideMark/>
          </w:tcPr>
          <w:p w14:paraId="2DC1A4A3" w14:textId="7A674A69" w:rsidR="00EE33DA" w:rsidRDefault="00EE33DA">
            <w:pPr>
              <w:spacing w:before="120" w:after="120"/>
              <w:rPr>
                <w:rFonts w:ascii="Verdana" w:hAnsi="Verdana"/>
                <w:b/>
                <w:bCs/>
                <w:color w:val="000000"/>
              </w:rPr>
            </w:pPr>
            <w:r>
              <w:rPr>
                <w:rFonts w:ascii="Verdana" w:hAnsi="Verdana"/>
                <w:b/>
                <w:bCs/>
                <w:color w:val="000000"/>
              </w:rPr>
              <w:t>What is Standard Opt</w:t>
            </w:r>
            <w:r w:rsidR="00FC3BD0">
              <w:rPr>
                <w:rFonts w:ascii="Verdana" w:hAnsi="Verdana"/>
                <w:b/>
                <w:bCs/>
                <w:color w:val="000000"/>
              </w:rPr>
              <w:t xml:space="preserve"> </w:t>
            </w:r>
            <w:r>
              <w:rPr>
                <w:rFonts w:ascii="Verdana" w:hAnsi="Verdana"/>
                <w:b/>
                <w:bCs/>
                <w:color w:val="000000"/>
              </w:rPr>
              <w:t>Out Formulary</w:t>
            </w:r>
            <w:r w:rsidR="00FC3BD0">
              <w:rPr>
                <w:rFonts w:ascii="Verdana" w:hAnsi="Verdana"/>
                <w:b/>
                <w:bCs/>
                <w:color w:val="000000"/>
              </w:rPr>
              <w:t xml:space="preserve"> Chart</w:t>
            </w:r>
            <w:r w:rsidR="00C96C76">
              <w:rPr>
                <w:rFonts w:ascii="Verdana" w:hAnsi="Verdana"/>
                <w:b/>
                <w:bCs/>
                <w:color w:val="000000"/>
              </w:rPr>
              <w:t xml:space="preserve">? </w:t>
            </w:r>
          </w:p>
        </w:tc>
        <w:tc>
          <w:tcPr>
            <w:tcW w:w="3981" w:type="pct"/>
            <w:tcBorders>
              <w:top w:val="single" w:sz="4" w:space="0" w:color="auto"/>
              <w:left w:val="single" w:sz="4" w:space="0" w:color="auto"/>
              <w:bottom w:val="single" w:sz="4" w:space="0" w:color="auto"/>
              <w:right w:val="single" w:sz="4" w:space="0" w:color="auto"/>
            </w:tcBorders>
            <w:hideMark/>
          </w:tcPr>
          <w:p w14:paraId="0AB24A3B" w14:textId="016324B3" w:rsidR="00AB31B9" w:rsidRDefault="00EE33DA">
            <w:pPr>
              <w:spacing w:before="120" w:after="120"/>
              <w:rPr>
                <w:rFonts w:ascii="Verdana" w:hAnsi="Verdana"/>
                <w:color w:val="000000"/>
              </w:rPr>
            </w:pPr>
            <w:r>
              <w:rPr>
                <w:rFonts w:ascii="Verdana" w:hAnsi="Verdana"/>
                <w:color w:val="000000"/>
              </w:rPr>
              <w:t>Standard Opt Out Formulary</w:t>
            </w:r>
            <w:r w:rsidR="003A6684">
              <w:rPr>
                <w:rFonts w:ascii="Verdana" w:hAnsi="Verdana"/>
                <w:color w:val="000000"/>
              </w:rPr>
              <w:t xml:space="preserve"> </w:t>
            </w:r>
            <w:r>
              <w:rPr>
                <w:rFonts w:ascii="Verdana" w:hAnsi="Verdana"/>
                <w:color w:val="000000"/>
              </w:rPr>
              <w:t>Chart (SOOF-Chart)</w:t>
            </w:r>
            <w:r w:rsidR="00AB31B9">
              <w:rPr>
                <w:rFonts w:ascii="Verdana" w:hAnsi="Verdana"/>
                <w:color w:val="000000"/>
              </w:rPr>
              <w:t xml:space="preserve"> is used by federally funded government business clients.</w:t>
            </w:r>
          </w:p>
          <w:p w14:paraId="78D5BCB4" w14:textId="38E13E39" w:rsidR="00EE33DA" w:rsidRDefault="00AB31B9">
            <w:pPr>
              <w:spacing w:before="120" w:after="120"/>
              <w:rPr>
                <w:rFonts w:ascii="Verdana" w:hAnsi="Verdana"/>
                <w:color w:val="000000"/>
              </w:rPr>
            </w:pPr>
            <w:r>
              <w:rPr>
                <w:rFonts w:ascii="Verdana" w:hAnsi="Verdana"/>
                <w:color w:val="000000"/>
              </w:rPr>
              <w:t>It</w:t>
            </w:r>
            <w:r w:rsidR="00EE33DA">
              <w:rPr>
                <w:rFonts w:ascii="Verdana" w:hAnsi="Verdana"/>
                <w:color w:val="000000"/>
              </w:rPr>
              <w:t xml:space="preserve"> is an open formulary, meaning there are no excluded products.  Products are either preferred or non-preferred.</w:t>
            </w:r>
          </w:p>
        </w:tc>
      </w:tr>
      <w:tr w:rsidR="00EE33DA" w14:paraId="333E8010" w14:textId="77777777" w:rsidTr="00EE33DA">
        <w:tc>
          <w:tcPr>
            <w:tcW w:w="1019" w:type="pct"/>
            <w:tcBorders>
              <w:top w:val="single" w:sz="4" w:space="0" w:color="auto"/>
              <w:left w:val="single" w:sz="4" w:space="0" w:color="auto"/>
              <w:bottom w:val="single" w:sz="4" w:space="0" w:color="auto"/>
              <w:right w:val="single" w:sz="4" w:space="0" w:color="auto"/>
            </w:tcBorders>
            <w:hideMark/>
          </w:tcPr>
          <w:p w14:paraId="58835B39" w14:textId="77777777" w:rsidR="00EE33DA" w:rsidRDefault="00EE33DA">
            <w:r>
              <w:rPr>
                <w:rFonts w:ascii="Verdana" w:hAnsi="Verdana"/>
                <w:b/>
                <w:bCs/>
                <w:color w:val="000000"/>
              </w:rPr>
              <w:t>Performance Drug List</w:t>
            </w:r>
          </w:p>
        </w:tc>
        <w:tc>
          <w:tcPr>
            <w:tcW w:w="3981" w:type="pct"/>
            <w:tcBorders>
              <w:top w:val="single" w:sz="4" w:space="0" w:color="auto"/>
              <w:left w:val="single" w:sz="4" w:space="0" w:color="auto"/>
              <w:bottom w:val="single" w:sz="4" w:space="0" w:color="auto"/>
              <w:right w:val="single" w:sz="4" w:space="0" w:color="auto"/>
            </w:tcBorders>
            <w:hideMark/>
          </w:tcPr>
          <w:p w14:paraId="424F70A0" w14:textId="77777777" w:rsidR="00EE33DA" w:rsidRDefault="00EE33DA">
            <w:pPr>
              <w:spacing w:before="120" w:after="120"/>
              <w:rPr>
                <w:rFonts w:ascii="Verdana" w:hAnsi="Verdana"/>
                <w:color w:val="000000"/>
              </w:rPr>
            </w:pPr>
            <w:r>
              <w:rPr>
                <w:rFonts w:ascii="Verdana" w:hAnsi="Verdana"/>
                <w:color w:val="000000"/>
              </w:rPr>
              <w:t xml:space="preserve">The </w:t>
            </w:r>
            <w:r w:rsidRPr="003F261F">
              <w:rPr>
                <w:rFonts w:ascii="Verdana" w:hAnsi="Verdana"/>
                <w:color w:val="000000"/>
              </w:rPr>
              <w:t>list</w:t>
            </w:r>
            <w:r>
              <w:rPr>
                <w:rFonts w:ascii="Verdana" w:hAnsi="Verdana"/>
                <w:b/>
                <w:bCs/>
                <w:color w:val="000000"/>
              </w:rPr>
              <w:t xml:space="preserve"> </w:t>
            </w:r>
            <w:r>
              <w:rPr>
                <w:rFonts w:ascii="Verdana" w:hAnsi="Verdana"/>
                <w:color w:val="000000"/>
              </w:rPr>
              <w:t xml:space="preserve">provides hyperlinks to current and next quarter’s formulary information and is a guide within select therapeutic categories for clients, plan members and health care providers. Generics should be considered the first line of prescribing.  </w:t>
            </w:r>
          </w:p>
          <w:p w14:paraId="7CA07892" w14:textId="77777777" w:rsidR="00EE33DA" w:rsidRDefault="00EE33DA">
            <w:pPr>
              <w:spacing w:before="120" w:after="120"/>
              <w:rPr>
                <w:rFonts w:ascii="Verdana" w:hAnsi="Verdana"/>
                <w:b/>
                <w:bCs/>
                <w:color w:val="000000"/>
              </w:rPr>
            </w:pPr>
            <w:r>
              <w:rPr>
                <w:rFonts w:ascii="Verdana" w:hAnsi="Verdana"/>
                <w:color w:val="000000"/>
              </w:rPr>
              <w:t xml:space="preserve">If there is no generic available, there may be more than one brand-name medicine to treat a condition.  </w:t>
            </w:r>
          </w:p>
        </w:tc>
      </w:tr>
    </w:tbl>
    <w:p w14:paraId="43608424" w14:textId="77777777" w:rsidR="00C54F63" w:rsidRDefault="00C54F63" w:rsidP="00C54F63"/>
    <w:p w14:paraId="0401C994" w14:textId="70FA0A0D" w:rsidR="00D14279" w:rsidRPr="00C54F63" w:rsidRDefault="00D14279" w:rsidP="003F338C">
      <w:hyperlink r:id="rId32" w:history="1">
        <w:bookmarkStart w:id="25" w:name="_Toc96525648"/>
        <w:r w:rsidRPr="003F338C">
          <w:rPr>
            <w:rStyle w:val="Hyperlink"/>
            <w:rFonts w:ascii="Verdana" w:hAnsi="Verdana"/>
            <w:b/>
            <w:bCs/>
          </w:rPr>
          <w:t xml:space="preserve">Standard Opt Out </w:t>
        </w:r>
        <w:r w:rsidR="002C53BD" w:rsidRPr="003F338C">
          <w:rPr>
            <w:rStyle w:val="Hyperlink"/>
            <w:rFonts w:ascii="Verdana" w:hAnsi="Verdana"/>
            <w:b/>
            <w:bCs/>
          </w:rPr>
          <w:t>with</w:t>
        </w:r>
        <w:r w:rsidRPr="003F338C">
          <w:rPr>
            <w:rStyle w:val="Hyperlink"/>
            <w:rFonts w:ascii="Verdana" w:hAnsi="Verdana"/>
            <w:b/>
            <w:bCs/>
          </w:rPr>
          <w:t xml:space="preserve"> ACSF Drug Lists</w:t>
        </w:r>
        <w:bookmarkEnd w:id="25"/>
      </w:hyperlink>
      <w:r w:rsidRPr="003F338C">
        <w:rPr>
          <w:rFonts w:ascii="Verdana" w:hAnsi="Verdana"/>
          <w:b/>
          <w:bCs/>
        </w:rPr>
        <w:t xml:space="preserve"> </w:t>
      </w:r>
      <w:r w:rsidR="00BC6926" w:rsidRPr="003F338C">
        <w:rPr>
          <w:rFonts w:ascii="Verdana" w:hAnsi="Verdana"/>
          <w:b/>
          <w:bCs/>
        </w:rPr>
        <w:t xml:space="preserve"> </w:t>
      </w:r>
      <w:bookmarkEnd w:id="23"/>
    </w:p>
    <w:p w14:paraId="2139B35E" w14:textId="77777777" w:rsidR="00945D9F" w:rsidRDefault="00945D9F" w:rsidP="00945D9F">
      <w:pPr>
        <w:rPr>
          <w:rFonts w:ascii="Verdana" w:hAnsi="Verdana"/>
        </w:rPr>
      </w:pPr>
      <w:r>
        <w:rPr>
          <w:rFonts w:ascii="Verdana" w:hAnsi="Verdana"/>
        </w:rPr>
        <w:t>Refer to as needed:</w:t>
      </w:r>
    </w:p>
    <w:p w14:paraId="44030EE5" w14:textId="77777777" w:rsidR="00945D9F" w:rsidRPr="00945D9F" w:rsidRDefault="00945D9F" w:rsidP="00945D9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D14279" w:rsidRPr="001B0D90" w14:paraId="7B4D2FB0" w14:textId="77777777" w:rsidTr="00650C34">
        <w:tc>
          <w:tcPr>
            <w:tcW w:w="1019" w:type="pct"/>
            <w:shd w:val="clear" w:color="auto" w:fill="D9D9D9" w:themeFill="background1" w:themeFillShade="D9"/>
          </w:tcPr>
          <w:p w14:paraId="539EDDEC" w14:textId="77777777" w:rsidR="00D14279" w:rsidRPr="00AE157D" w:rsidRDefault="00D14279" w:rsidP="00450330">
            <w:pPr>
              <w:spacing w:before="120" w:after="120"/>
              <w:jc w:val="center"/>
              <w:rPr>
                <w:rFonts w:ascii="Verdana" w:hAnsi="Verdana"/>
                <w:b/>
                <w:bCs/>
                <w:color w:val="000000"/>
              </w:rPr>
            </w:pPr>
            <w:r>
              <w:rPr>
                <w:rFonts w:ascii="Verdana" w:hAnsi="Verdana"/>
                <w:b/>
                <w:bCs/>
                <w:color w:val="000000"/>
              </w:rPr>
              <w:t>Site Features</w:t>
            </w:r>
          </w:p>
        </w:tc>
        <w:tc>
          <w:tcPr>
            <w:tcW w:w="3981" w:type="pct"/>
            <w:shd w:val="clear" w:color="auto" w:fill="D9D9D9" w:themeFill="background1" w:themeFillShade="D9"/>
          </w:tcPr>
          <w:p w14:paraId="10B4988E" w14:textId="77777777" w:rsidR="00D14279" w:rsidRPr="001B0D90" w:rsidRDefault="00D14279" w:rsidP="00450330">
            <w:pPr>
              <w:spacing w:before="120" w:after="120"/>
              <w:jc w:val="center"/>
              <w:rPr>
                <w:rFonts w:ascii="Verdana" w:hAnsi="Verdana"/>
                <w:b/>
                <w:bCs/>
                <w:color w:val="000000"/>
              </w:rPr>
            </w:pPr>
            <w:r w:rsidRPr="001B0D90">
              <w:rPr>
                <w:rFonts w:ascii="Verdana" w:hAnsi="Verdana"/>
                <w:b/>
                <w:bCs/>
                <w:color w:val="000000"/>
              </w:rPr>
              <w:t>Description</w:t>
            </w:r>
          </w:p>
        </w:tc>
      </w:tr>
      <w:tr w:rsidR="00F95B04" w:rsidRPr="001B0D90" w14:paraId="6B949D10" w14:textId="77777777" w:rsidTr="00984BE8">
        <w:tc>
          <w:tcPr>
            <w:tcW w:w="1019" w:type="pct"/>
            <w:shd w:val="clear" w:color="auto" w:fill="auto"/>
          </w:tcPr>
          <w:p w14:paraId="359ABC85" w14:textId="30B65121" w:rsidR="00F95B04" w:rsidRPr="003F338C" w:rsidDel="00FA3866" w:rsidRDefault="00F95B04" w:rsidP="003F338C">
            <w:pPr>
              <w:spacing w:before="120" w:after="120"/>
              <w:rPr>
                <w:rFonts w:ascii="Verdana" w:hAnsi="Verdana"/>
                <w:b/>
                <w:bCs/>
                <w:color w:val="000000"/>
              </w:rPr>
            </w:pPr>
            <w:r w:rsidRPr="003F338C">
              <w:rPr>
                <w:rFonts w:ascii="Verdana" w:hAnsi="Verdana"/>
                <w:b/>
                <w:bCs/>
                <w:color w:val="000000"/>
              </w:rPr>
              <w:t>What is Standard Opt-Out Formulary with ACSF</w:t>
            </w:r>
            <w:r w:rsidR="00C96C76">
              <w:rPr>
                <w:rFonts w:ascii="Verdana" w:hAnsi="Verdana"/>
                <w:b/>
                <w:bCs/>
                <w:color w:val="000000"/>
              </w:rPr>
              <w:t xml:space="preserve">? </w:t>
            </w:r>
          </w:p>
        </w:tc>
        <w:tc>
          <w:tcPr>
            <w:tcW w:w="3981" w:type="pct"/>
            <w:shd w:val="clear" w:color="auto" w:fill="auto"/>
          </w:tcPr>
          <w:p w14:paraId="0C3F1851" w14:textId="7A607860" w:rsidR="00F95B04" w:rsidRPr="001B0D90" w:rsidRDefault="00F95B04" w:rsidP="0042296F">
            <w:pPr>
              <w:spacing w:before="120" w:after="120"/>
              <w:rPr>
                <w:rFonts w:ascii="Verdana" w:hAnsi="Verdana"/>
                <w:color w:val="000000"/>
              </w:rPr>
            </w:pPr>
            <w:r>
              <w:rPr>
                <w:rFonts w:ascii="Verdana" w:hAnsi="Verdana"/>
                <w:color w:val="000000"/>
              </w:rPr>
              <w:t xml:space="preserve">Standard Opt Out </w:t>
            </w:r>
            <w:r w:rsidR="007F7AFD">
              <w:rPr>
                <w:rFonts w:ascii="Verdana" w:hAnsi="Verdana"/>
                <w:color w:val="000000"/>
              </w:rPr>
              <w:t xml:space="preserve">(SOO) </w:t>
            </w:r>
            <w:r>
              <w:rPr>
                <w:rFonts w:ascii="Verdana" w:hAnsi="Verdana"/>
                <w:color w:val="000000"/>
              </w:rPr>
              <w:t>Formulary is an open formulary, meaning there are no excluded products.  Products are either preferred or non-preferred.</w:t>
            </w:r>
            <w:r w:rsidR="00D74096">
              <w:rPr>
                <w:rFonts w:ascii="Verdana" w:hAnsi="Verdana"/>
                <w:color w:val="000000"/>
              </w:rPr>
              <w:t xml:space="preserve">  Advanced Control Specialty Formulary (ACSF) may be added to </w:t>
            </w:r>
            <w:r w:rsidR="007F7AFD">
              <w:rPr>
                <w:rFonts w:ascii="Verdana" w:hAnsi="Verdana"/>
                <w:color w:val="000000"/>
              </w:rPr>
              <w:t xml:space="preserve">SOO which provides </w:t>
            </w:r>
            <w:r w:rsidR="0042296F" w:rsidRPr="0042296F">
              <w:rPr>
                <w:rFonts w:ascii="Verdana" w:hAnsi="Verdana"/>
                <w:color w:val="000000"/>
              </w:rPr>
              <w:t>an effective and comprehensive approach to</w:t>
            </w:r>
            <w:r w:rsidR="0042296F">
              <w:rPr>
                <w:rFonts w:ascii="Verdana" w:hAnsi="Verdana"/>
                <w:color w:val="000000"/>
              </w:rPr>
              <w:t xml:space="preserve"> </w:t>
            </w:r>
            <w:r w:rsidR="0042296F" w:rsidRPr="0042296F">
              <w:rPr>
                <w:rFonts w:ascii="Verdana" w:hAnsi="Verdana"/>
                <w:color w:val="000000"/>
              </w:rPr>
              <w:t>specialty trend management.</w:t>
            </w:r>
            <w:r w:rsidR="0042296F">
              <w:rPr>
                <w:rFonts w:ascii="Verdana" w:hAnsi="Verdana"/>
                <w:color w:val="000000"/>
              </w:rPr>
              <w:t xml:space="preserve">  By adding ACSF, some specialty drugs may be excluded.</w:t>
            </w:r>
          </w:p>
        </w:tc>
      </w:tr>
      <w:tr w:rsidR="00D14279" w:rsidRPr="001B0D90" w14:paraId="78AC2B15" w14:textId="77777777" w:rsidTr="00984BE8">
        <w:tc>
          <w:tcPr>
            <w:tcW w:w="1019" w:type="pct"/>
            <w:shd w:val="clear" w:color="auto" w:fill="auto"/>
          </w:tcPr>
          <w:p w14:paraId="505C81A8" w14:textId="77777777" w:rsidR="008960F3" w:rsidRPr="003F338C" w:rsidRDefault="008960F3" w:rsidP="003F338C">
            <w:pPr>
              <w:spacing w:before="120" w:after="120"/>
              <w:rPr>
                <w:rFonts w:ascii="Verdana" w:hAnsi="Verdana"/>
                <w:b/>
                <w:bCs/>
                <w:color w:val="000000"/>
              </w:rPr>
            </w:pPr>
            <w:r w:rsidRPr="003F338C">
              <w:rPr>
                <w:rFonts w:ascii="Verdana" w:hAnsi="Verdana"/>
                <w:b/>
                <w:bCs/>
                <w:color w:val="000000"/>
              </w:rPr>
              <w:t>Performance Drug List</w:t>
            </w:r>
          </w:p>
          <w:p w14:paraId="07E6FD0D" w14:textId="5641EB7D" w:rsidR="008960F3" w:rsidRPr="003F338C" w:rsidRDefault="008960F3" w:rsidP="003F338C">
            <w:pPr>
              <w:spacing w:before="120" w:after="120"/>
              <w:rPr>
                <w:rFonts w:ascii="Verdana" w:hAnsi="Verdana"/>
                <w:b/>
                <w:bCs/>
                <w:color w:val="000000"/>
              </w:rPr>
            </w:pPr>
            <w:r w:rsidRPr="003F338C">
              <w:rPr>
                <w:rFonts w:ascii="Verdana" w:hAnsi="Verdana"/>
                <w:b/>
                <w:bCs/>
                <w:color w:val="000000"/>
              </w:rPr>
              <w:t>Advanced Control</w:t>
            </w:r>
            <w:r w:rsidR="00F95B04" w:rsidRPr="003F338C">
              <w:rPr>
                <w:rFonts w:ascii="Verdana" w:hAnsi="Verdana"/>
                <w:b/>
                <w:bCs/>
                <w:color w:val="000000"/>
              </w:rPr>
              <w:t xml:space="preserve"> </w:t>
            </w:r>
            <w:r w:rsidRPr="003F338C">
              <w:rPr>
                <w:rFonts w:ascii="Verdana" w:hAnsi="Verdana"/>
                <w:b/>
                <w:bCs/>
                <w:color w:val="000000"/>
              </w:rPr>
              <w:t>Specialty Drug List</w:t>
            </w:r>
          </w:p>
        </w:tc>
        <w:tc>
          <w:tcPr>
            <w:tcW w:w="3981" w:type="pct"/>
            <w:shd w:val="clear" w:color="auto" w:fill="auto"/>
          </w:tcPr>
          <w:p w14:paraId="4386883B" w14:textId="0929305B" w:rsidR="00D14279" w:rsidRDefault="00D14279" w:rsidP="00450330">
            <w:pPr>
              <w:spacing w:before="120" w:after="120"/>
              <w:rPr>
                <w:rFonts w:ascii="Verdana" w:hAnsi="Verdana"/>
                <w:color w:val="000000"/>
              </w:rPr>
            </w:pPr>
            <w:r w:rsidRPr="001B0D90">
              <w:rPr>
                <w:rFonts w:ascii="Verdana" w:hAnsi="Verdana"/>
                <w:color w:val="000000"/>
              </w:rPr>
              <w:t xml:space="preserve">The </w:t>
            </w:r>
            <w:r>
              <w:rPr>
                <w:rFonts w:ascii="Verdana" w:hAnsi="Verdana"/>
                <w:b/>
                <w:bCs/>
                <w:color w:val="000000"/>
              </w:rPr>
              <w:t>list</w:t>
            </w:r>
            <w:r w:rsidRPr="001B0D90">
              <w:rPr>
                <w:rFonts w:ascii="Verdana" w:hAnsi="Verdana"/>
                <w:b/>
                <w:bCs/>
                <w:color w:val="000000"/>
              </w:rPr>
              <w:t xml:space="preserve"> </w:t>
            </w:r>
            <w:r>
              <w:rPr>
                <w:rFonts w:ascii="Verdana" w:hAnsi="Verdana"/>
                <w:color w:val="000000"/>
              </w:rPr>
              <w:t xml:space="preserve">provides hyperlinks </w:t>
            </w:r>
            <w:r w:rsidR="002E7C07">
              <w:rPr>
                <w:rFonts w:ascii="Verdana" w:hAnsi="Verdana"/>
                <w:color w:val="000000"/>
              </w:rPr>
              <w:t xml:space="preserve">to </w:t>
            </w:r>
            <w:r>
              <w:rPr>
                <w:rFonts w:ascii="Verdana" w:hAnsi="Verdana"/>
                <w:color w:val="000000"/>
              </w:rPr>
              <w:t xml:space="preserve">current and next quarter’s formulary information.   This is a guide with select therapeutic categories for clients, plan members and health care providers. Generics should be considered the first line of prescribing.  </w:t>
            </w:r>
          </w:p>
          <w:p w14:paraId="1B25153B" w14:textId="77777777" w:rsidR="00D14279" w:rsidRPr="001B0D90" w:rsidRDefault="00D14279" w:rsidP="00450330">
            <w:pPr>
              <w:spacing w:before="120" w:after="120"/>
              <w:rPr>
                <w:rFonts w:ascii="Verdana" w:hAnsi="Verdana"/>
                <w:b/>
                <w:bCs/>
                <w:color w:val="000000"/>
              </w:rPr>
            </w:pPr>
            <w:r>
              <w:rPr>
                <w:rFonts w:ascii="Verdana" w:hAnsi="Verdana"/>
                <w:color w:val="000000"/>
              </w:rPr>
              <w:t xml:space="preserve">If there is no generic available, there may be more than one brand-name medicine to treat a condition.  </w:t>
            </w:r>
          </w:p>
        </w:tc>
      </w:tr>
    </w:tbl>
    <w:p w14:paraId="7FFDBCBC" w14:textId="760B3BC7" w:rsidR="00616C57" w:rsidRDefault="00616C57" w:rsidP="00450330">
      <w:pPr>
        <w:pStyle w:val="Heading3"/>
        <w:spacing w:before="0" w:after="0"/>
        <w:rPr>
          <w:iCs/>
        </w:rPr>
      </w:pPr>
    </w:p>
    <w:p w14:paraId="443E7F18" w14:textId="39F3EC9B" w:rsidR="00C5683B" w:rsidRDefault="00821FB3" w:rsidP="00450330">
      <w:pPr>
        <w:pStyle w:val="Heading3"/>
        <w:spacing w:before="120" w:after="120"/>
        <w:rPr>
          <w:iCs/>
        </w:rPr>
      </w:pPr>
      <w:bookmarkStart w:id="26" w:name="_Toc96525649"/>
      <w:bookmarkStart w:id="27" w:name="_Toc201214744"/>
      <w:r w:rsidRPr="00B10E70">
        <w:rPr>
          <w:iCs/>
        </w:rPr>
        <w:t>Preventive Drug Lists</w:t>
      </w:r>
      <w:bookmarkEnd w:id="18"/>
      <w:bookmarkEnd w:id="19"/>
      <w:bookmarkEnd w:id="26"/>
      <w:bookmarkEnd w:id="27"/>
      <w:r w:rsidR="00D24F41">
        <w:rPr>
          <w:iCs/>
        </w:rPr>
        <w:t xml:space="preserve"> </w:t>
      </w:r>
      <w:r w:rsidR="006C6C7A">
        <w:rPr>
          <w:iCs/>
        </w:rPr>
        <w:t xml:space="preserve"> </w:t>
      </w:r>
    </w:p>
    <w:p w14:paraId="7359A11F" w14:textId="77777777" w:rsidR="00945D9F" w:rsidRDefault="00945D9F" w:rsidP="00945D9F">
      <w:pPr>
        <w:rPr>
          <w:rFonts w:ascii="Verdana" w:hAnsi="Verdana"/>
        </w:rPr>
      </w:pPr>
      <w:r>
        <w:rPr>
          <w:rFonts w:ascii="Verdana" w:hAnsi="Verdana"/>
        </w:rPr>
        <w:t>Refer to as needed:</w:t>
      </w:r>
    </w:p>
    <w:p w14:paraId="4DAF43F2" w14:textId="77777777" w:rsidR="00945D9F" w:rsidRPr="00945D9F" w:rsidRDefault="00945D9F" w:rsidP="00945D9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9321D0" w:rsidRPr="001B0D90" w14:paraId="5B8B91D5" w14:textId="77777777" w:rsidTr="007203EB">
        <w:tc>
          <w:tcPr>
            <w:tcW w:w="1019" w:type="pct"/>
            <w:shd w:val="clear" w:color="auto" w:fill="D9D9D9" w:themeFill="background1" w:themeFillShade="D9"/>
          </w:tcPr>
          <w:p w14:paraId="2C9E8CDE" w14:textId="77777777" w:rsidR="009321D0" w:rsidRPr="00AE157D" w:rsidRDefault="009321D0" w:rsidP="00450330">
            <w:pPr>
              <w:spacing w:before="120" w:after="120"/>
              <w:jc w:val="center"/>
              <w:rPr>
                <w:rFonts w:ascii="Verdana" w:hAnsi="Verdana"/>
                <w:b/>
                <w:bCs/>
                <w:color w:val="000000"/>
              </w:rPr>
            </w:pPr>
            <w:r>
              <w:rPr>
                <w:rFonts w:ascii="Verdana" w:hAnsi="Verdana"/>
                <w:b/>
                <w:bCs/>
                <w:color w:val="000000"/>
              </w:rPr>
              <w:t>Title</w:t>
            </w:r>
          </w:p>
        </w:tc>
        <w:tc>
          <w:tcPr>
            <w:tcW w:w="3981" w:type="pct"/>
            <w:shd w:val="clear" w:color="auto" w:fill="D9D9D9" w:themeFill="background1" w:themeFillShade="D9"/>
          </w:tcPr>
          <w:p w14:paraId="598EEF9F" w14:textId="77777777" w:rsidR="009321D0" w:rsidRPr="001B0D90" w:rsidRDefault="009321D0" w:rsidP="00450330">
            <w:pPr>
              <w:spacing w:before="120" w:after="120"/>
              <w:jc w:val="center"/>
              <w:rPr>
                <w:rFonts w:ascii="Verdana" w:hAnsi="Verdana"/>
                <w:b/>
                <w:bCs/>
                <w:color w:val="000000"/>
              </w:rPr>
            </w:pPr>
            <w:r w:rsidRPr="001B0D90">
              <w:rPr>
                <w:rFonts w:ascii="Verdana" w:hAnsi="Verdana"/>
                <w:b/>
                <w:bCs/>
                <w:color w:val="000000"/>
              </w:rPr>
              <w:t>Description</w:t>
            </w:r>
          </w:p>
        </w:tc>
      </w:tr>
      <w:tr w:rsidR="009321D0" w:rsidRPr="001B0D90" w14:paraId="49DD1D3E" w14:textId="77777777" w:rsidTr="007203EB">
        <w:tc>
          <w:tcPr>
            <w:tcW w:w="1019" w:type="pct"/>
            <w:shd w:val="clear" w:color="auto" w:fill="auto"/>
          </w:tcPr>
          <w:p w14:paraId="146687E0" w14:textId="378CDED2" w:rsidR="009321D0" w:rsidRPr="00910663" w:rsidRDefault="00D408BD" w:rsidP="00450330">
            <w:pPr>
              <w:spacing w:before="120" w:after="120"/>
              <w:rPr>
                <w:rFonts w:ascii="Verdana" w:hAnsi="Verdana"/>
                <w:b/>
                <w:bCs/>
                <w:color w:val="000000"/>
              </w:rPr>
            </w:pPr>
            <w:r w:rsidRPr="00910663">
              <w:rPr>
                <w:rFonts w:ascii="Verdana" w:hAnsi="Verdana"/>
                <w:b/>
                <w:bCs/>
              </w:rPr>
              <w:t xml:space="preserve">Affordable Care Act </w:t>
            </w:r>
            <w:r w:rsidR="009E6541">
              <w:rPr>
                <w:rFonts w:ascii="Verdana" w:hAnsi="Verdana"/>
                <w:b/>
                <w:bCs/>
              </w:rPr>
              <w:t xml:space="preserve">(ACA) </w:t>
            </w:r>
            <w:r w:rsidRPr="00910663">
              <w:rPr>
                <w:rFonts w:ascii="Verdana" w:hAnsi="Verdana"/>
                <w:b/>
                <w:bCs/>
              </w:rPr>
              <w:t>Preventive Services</w:t>
            </w:r>
            <w:r w:rsidR="009321D0" w:rsidRPr="00910663">
              <w:rPr>
                <w:rFonts w:ascii="Verdana" w:hAnsi="Verdana"/>
                <w:b/>
                <w:bCs/>
                <w:color w:val="000000"/>
              </w:rPr>
              <w:t xml:space="preserve"> </w:t>
            </w:r>
          </w:p>
        </w:tc>
        <w:tc>
          <w:tcPr>
            <w:tcW w:w="3981" w:type="pct"/>
            <w:shd w:val="clear" w:color="auto" w:fill="auto"/>
          </w:tcPr>
          <w:p w14:paraId="5D181DD7" w14:textId="011C35CF" w:rsidR="009321D0" w:rsidRDefault="009321D0" w:rsidP="00450330">
            <w:pPr>
              <w:spacing w:before="120" w:after="120"/>
              <w:rPr>
                <w:rFonts w:ascii="Verdana" w:hAnsi="Verdana"/>
                <w:b/>
                <w:bCs/>
                <w:color w:val="000000"/>
              </w:rPr>
            </w:pPr>
            <w:r w:rsidRPr="001B0D90">
              <w:rPr>
                <w:rFonts w:ascii="Verdana" w:hAnsi="Verdana"/>
                <w:color w:val="000000"/>
              </w:rPr>
              <w:t xml:space="preserve">Preventive Services categories are provided at </w:t>
            </w:r>
            <w:r w:rsidRPr="001B0D90">
              <w:rPr>
                <w:rFonts w:ascii="Verdana" w:hAnsi="Verdana"/>
                <w:b/>
                <w:bCs/>
                <w:color w:val="000000"/>
              </w:rPr>
              <w:t>zero cost</w:t>
            </w:r>
            <w:r w:rsidRPr="001B0D90">
              <w:rPr>
                <w:rFonts w:ascii="Verdana" w:hAnsi="Verdana"/>
                <w:color w:val="000000"/>
              </w:rPr>
              <w:t xml:space="preserve"> to plan members who meet </w:t>
            </w:r>
            <w:r w:rsidRPr="00984BE8">
              <w:rPr>
                <w:rFonts w:ascii="Verdana" w:hAnsi="Verdana"/>
                <w:bCs/>
                <w:color w:val="000000"/>
              </w:rPr>
              <w:t>age and gender range guidelines.</w:t>
            </w:r>
            <w:r w:rsidRPr="001B0D90">
              <w:rPr>
                <w:rFonts w:ascii="Verdana" w:hAnsi="Verdana"/>
                <w:b/>
                <w:bCs/>
                <w:color w:val="000000"/>
              </w:rPr>
              <w:t xml:space="preserve"> </w:t>
            </w:r>
          </w:p>
          <w:p w14:paraId="0D9ADDB4" w14:textId="1FE8D626" w:rsidR="00D408BD" w:rsidRPr="00450330" w:rsidRDefault="00D408BD" w:rsidP="00450330">
            <w:pPr>
              <w:spacing w:before="120" w:after="120"/>
              <w:rPr>
                <w:rFonts w:ascii="Verdana" w:hAnsi="Verdana"/>
              </w:rPr>
            </w:pPr>
            <w:hyperlink r:id="rId33" w:anchor="!/view?docid=d5200375-908e-4176-ac44-b385b3628487" w:history="1">
              <w:r w:rsidR="00E6686A">
                <w:rPr>
                  <w:rStyle w:val="Hyperlink"/>
                  <w:rFonts w:ascii="Verdana" w:hAnsi="Verdana"/>
                </w:rPr>
                <w:t>ACA Preventive Services List with MAT 049554)</w:t>
              </w:r>
            </w:hyperlink>
            <w:r w:rsidRPr="00450330">
              <w:rPr>
                <w:rFonts w:ascii="Verdana" w:hAnsi="Verdana"/>
              </w:rPr>
              <w:t xml:space="preserve"> </w:t>
            </w:r>
            <w:r w:rsidR="00450330">
              <w:rPr>
                <w:rFonts w:ascii="Verdana" w:hAnsi="Verdana"/>
              </w:rPr>
              <w:t xml:space="preserve"> </w:t>
            </w:r>
          </w:p>
          <w:p w14:paraId="6B9F3C49" w14:textId="3C126200" w:rsidR="00A661C8" w:rsidRDefault="00D408BD" w:rsidP="00FC590D">
            <w:pPr>
              <w:spacing w:before="120" w:after="120"/>
              <w:outlineLvl w:val="0"/>
              <w:rPr>
                <w:rFonts w:ascii="Verdana" w:hAnsi="Verdana"/>
              </w:rPr>
            </w:pPr>
            <w:hyperlink r:id="rId34" w:anchor="!/view?docid=3a86d3c0-1d04-4792-8904-68abdcae2f61" w:history="1">
              <w:r w:rsidR="004F39A1">
                <w:rPr>
                  <w:rStyle w:val="Hyperlink"/>
                  <w:rFonts w:ascii="Verdana" w:hAnsi="Verdana"/>
                </w:rPr>
                <w:t>ACA Preventive Services List without MAT (049839)</w:t>
              </w:r>
            </w:hyperlink>
          </w:p>
          <w:p w14:paraId="3C775AA4" w14:textId="1EB25F6A" w:rsidR="00154AC6" w:rsidRPr="00816FF8" w:rsidRDefault="007203EB" w:rsidP="00665B06">
            <w:pPr>
              <w:spacing w:before="120" w:after="120"/>
              <w:textAlignment w:val="baseline"/>
              <w:rPr>
                <w:rFonts w:ascii="Verdana" w:hAnsi="Verdana"/>
                <w:color w:val="000000"/>
              </w:rPr>
            </w:pPr>
            <w:r w:rsidRPr="007203EB">
              <w:rPr>
                <w:rStyle w:val="Emphasis"/>
                <w:rFonts w:ascii="Verdana" w:hAnsi="Verdana" w:cs="Arial"/>
                <w:b/>
                <w:bCs/>
                <w:i w:val="0"/>
                <w:color w:val="111111"/>
                <w:bdr w:val="none" w:sz="0" w:space="0" w:color="auto" w:frame="1"/>
              </w:rPr>
              <w:t>No</w:t>
            </w:r>
            <w:r w:rsidRPr="000227F5">
              <w:rPr>
                <w:rStyle w:val="Emphasis"/>
                <w:rFonts w:ascii="Verdana" w:hAnsi="Verdana" w:cs="Arial"/>
                <w:b/>
                <w:bCs/>
                <w:i w:val="0"/>
                <w:color w:val="111111"/>
                <w:bdr w:val="none" w:sz="0" w:space="0" w:color="auto" w:frame="1"/>
              </w:rPr>
              <w:t>te</w:t>
            </w:r>
            <w:r w:rsidR="00E83DC3">
              <w:rPr>
                <w:rStyle w:val="Emphasis"/>
                <w:rFonts w:ascii="Verdana" w:hAnsi="Verdana" w:cs="Arial"/>
                <w:b/>
                <w:bCs/>
                <w:i w:val="0"/>
                <w:color w:val="111111"/>
                <w:bdr w:val="none" w:sz="0" w:space="0" w:color="auto" w:frame="1"/>
              </w:rPr>
              <w:t xml:space="preserve">: </w:t>
            </w:r>
            <w:r w:rsidRPr="000227F5">
              <w:rPr>
                <w:rStyle w:val="Emphasis"/>
                <w:rFonts w:ascii="Verdana" w:hAnsi="Verdana" w:cs="Arial"/>
                <w:i w:val="0"/>
                <w:color w:val="111111"/>
                <w:bdr w:val="none" w:sz="0" w:space="0" w:color="auto" w:frame="1"/>
              </w:rPr>
              <w:t>The ACA does not dictate any quantity that is set by the plan and</w:t>
            </w:r>
            <w:r w:rsidR="00665B06">
              <w:rPr>
                <w:rStyle w:val="Emphasis"/>
                <w:rFonts w:ascii="Verdana" w:hAnsi="Verdana" w:cs="Arial"/>
                <w:i w:val="0"/>
                <w:color w:val="111111"/>
                <w:bdr w:val="none" w:sz="0" w:space="0" w:color="auto" w:frame="1"/>
              </w:rPr>
              <w:t>/</w:t>
            </w:r>
            <w:r w:rsidRPr="000227F5">
              <w:rPr>
                <w:rStyle w:val="Emphasis"/>
                <w:rFonts w:ascii="Verdana" w:hAnsi="Verdana" w:cs="Arial"/>
                <w:i w:val="0"/>
                <w:color w:val="111111"/>
                <w:bdr w:val="none" w:sz="0" w:space="0" w:color="auto" w:frame="1"/>
              </w:rPr>
              <w:t>or the FDA.</w:t>
            </w:r>
            <w:r w:rsidRPr="007203EB">
              <w:rPr>
                <w:rFonts w:ascii="Verdana" w:hAnsi="Verdana" w:cs="Arial"/>
                <w:color w:val="111111"/>
              </w:rPr>
              <w:t xml:space="preserve"> </w:t>
            </w:r>
          </w:p>
        </w:tc>
      </w:tr>
      <w:tr w:rsidR="009321D0" w:rsidRPr="001B0D90" w14:paraId="134AC695" w14:textId="77777777" w:rsidTr="007203EB">
        <w:tc>
          <w:tcPr>
            <w:tcW w:w="1019" w:type="pct"/>
            <w:shd w:val="clear" w:color="auto" w:fill="auto"/>
          </w:tcPr>
          <w:p w14:paraId="42B7C14B" w14:textId="0AE18489" w:rsidR="009321D0" w:rsidRPr="008536A9" w:rsidRDefault="009321D0" w:rsidP="00450330">
            <w:pPr>
              <w:spacing w:before="120" w:after="120"/>
              <w:rPr>
                <w:rFonts w:ascii="Verdana" w:hAnsi="Verdana"/>
                <w:color w:val="000000"/>
              </w:rPr>
            </w:pPr>
            <w:hyperlink r:id="rId35" w:anchor="!/view?docid=74241a25-5022-4833-b62d-48bbd4b51dea" w:history="1">
              <w:r w:rsidR="00C67718">
                <w:rPr>
                  <w:rStyle w:val="Hyperlink"/>
                  <w:rFonts w:ascii="Verdana" w:hAnsi="Verdana"/>
                  <w:bCs/>
                </w:rPr>
                <w:t>Breast Cancer Prevention: Addition to ACA Preventive Services (088916)</w:t>
              </w:r>
            </w:hyperlink>
            <w:r w:rsidRPr="008536A9">
              <w:rPr>
                <w:rFonts w:ascii="Verdana" w:hAnsi="Verdana"/>
                <w:bCs/>
                <w:color w:val="000000"/>
              </w:rPr>
              <w:t xml:space="preserve"> </w:t>
            </w:r>
          </w:p>
          <w:p w14:paraId="1E7F380F" w14:textId="77777777" w:rsidR="009321D0" w:rsidRPr="008536A9" w:rsidRDefault="009321D0" w:rsidP="00450330">
            <w:pPr>
              <w:spacing w:before="120" w:after="120"/>
              <w:rPr>
                <w:rFonts w:ascii="Verdana" w:hAnsi="Verdana"/>
                <w:bCs/>
                <w:color w:val="000000"/>
              </w:rPr>
            </w:pPr>
          </w:p>
        </w:tc>
        <w:tc>
          <w:tcPr>
            <w:tcW w:w="3981" w:type="pct"/>
            <w:shd w:val="clear" w:color="auto" w:fill="auto"/>
          </w:tcPr>
          <w:p w14:paraId="11965AD0" w14:textId="6148AB9B" w:rsidR="009321D0" w:rsidRPr="001B0D90" w:rsidRDefault="009321D0" w:rsidP="00450330">
            <w:pPr>
              <w:spacing w:before="120" w:after="120"/>
              <w:rPr>
                <w:rFonts w:ascii="Verdana" w:hAnsi="Verdana"/>
                <w:color w:val="000000"/>
              </w:rPr>
            </w:pPr>
            <w:r w:rsidRPr="001B0D90">
              <w:rPr>
                <w:rFonts w:ascii="Verdana" w:hAnsi="Verdana"/>
                <w:color w:val="000000"/>
              </w:rPr>
              <w:t xml:space="preserve">Breast cancer prevention has been added to Affordable Care Act preventive service requirements. Clients are now required to select </w:t>
            </w:r>
            <w:r w:rsidRPr="00F444E7">
              <w:rPr>
                <w:rFonts w:ascii="Verdana" w:hAnsi="Verdana"/>
                <w:b/>
                <w:bCs/>
                <w:color w:val="000000"/>
              </w:rPr>
              <w:t>one of two options</w:t>
            </w:r>
            <w:r w:rsidRPr="001B0D90">
              <w:rPr>
                <w:rFonts w:ascii="Verdana" w:hAnsi="Verdana"/>
                <w:color w:val="000000"/>
              </w:rPr>
              <w:t xml:space="preserve"> to add generic Raloxifene and generic Tamoxifen Citrate at no cost to female members </w:t>
            </w:r>
            <w:r w:rsidR="0031528D" w:rsidRPr="001B0D90">
              <w:rPr>
                <w:rFonts w:ascii="Verdana" w:hAnsi="Verdana"/>
                <w:color w:val="000000"/>
              </w:rPr>
              <w:t>aged</w:t>
            </w:r>
            <w:r w:rsidRPr="001B0D90">
              <w:rPr>
                <w:rFonts w:ascii="Verdana" w:hAnsi="Verdana"/>
                <w:color w:val="000000"/>
              </w:rPr>
              <w:t xml:space="preserve"> 35 and older when their doctor has </w:t>
            </w:r>
            <w:r w:rsidR="003F338C" w:rsidRPr="001B0D90">
              <w:rPr>
                <w:rFonts w:ascii="Verdana" w:hAnsi="Verdana"/>
                <w:color w:val="000000"/>
              </w:rPr>
              <w:t>recommended,</w:t>
            </w:r>
            <w:r w:rsidRPr="001B0D90">
              <w:rPr>
                <w:rFonts w:ascii="Verdana" w:hAnsi="Verdana"/>
                <w:color w:val="000000"/>
              </w:rPr>
              <w:t xml:space="preserve"> they take the medication to reduce their risk of developing breast cancer in the future.</w:t>
            </w:r>
          </w:p>
          <w:p w14:paraId="50269C5A" w14:textId="77777777" w:rsidR="009321D0" w:rsidRPr="001B0D90" w:rsidRDefault="009321D0" w:rsidP="00450330">
            <w:pPr>
              <w:spacing w:before="120" w:after="120"/>
              <w:rPr>
                <w:rFonts w:ascii="Verdana" w:hAnsi="Verdana"/>
                <w:color w:val="000000"/>
              </w:rPr>
            </w:pPr>
          </w:p>
          <w:p w14:paraId="74490AC6" w14:textId="77777777" w:rsidR="009321D0" w:rsidRPr="001B0D90" w:rsidRDefault="009321D0" w:rsidP="00450330">
            <w:pPr>
              <w:spacing w:before="120" w:after="120"/>
              <w:rPr>
                <w:rFonts w:ascii="Verdana" w:hAnsi="Verdana"/>
                <w:color w:val="000000"/>
              </w:rPr>
            </w:pPr>
            <w:r w:rsidRPr="001B0D90">
              <w:rPr>
                <w:rFonts w:ascii="Verdana" w:hAnsi="Verdana"/>
                <w:color w:val="000000"/>
              </w:rPr>
              <w:t>There are two different BCP options that a client may choose from.</w:t>
            </w:r>
          </w:p>
          <w:p w14:paraId="312F4537" w14:textId="77777777" w:rsidR="009321D0" w:rsidRPr="001B0D90" w:rsidRDefault="009321D0" w:rsidP="00450330">
            <w:pPr>
              <w:spacing w:before="120" w:after="120"/>
              <w:rPr>
                <w:rFonts w:ascii="Verdana" w:hAnsi="Verdana"/>
                <w:color w:val="000000"/>
              </w:rPr>
            </w:pPr>
            <w:r w:rsidRPr="001B0D90">
              <w:rPr>
                <w:rFonts w:ascii="Verdana" w:hAnsi="Verdana"/>
                <w:b/>
                <w:bCs/>
                <w:color w:val="000000"/>
              </w:rPr>
              <w:t xml:space="preserve">Option #1: </w:t>
            </w:r>
            <w:r w:rsidRPr="001B0D90">
              <w:rPr>
                <w:rFonts w:ascii="Verdana" w:hAnsi="Verdana"/>
                <w:color w:val="000000"/>
              </w:rPr>
              <w:t>Automatic zero copay for all women ages 35 and older using generic Raloxifene and/or Generic Tamoxifen Citrate regardless of diagnosis. No action required by the member. Zero copay will be coded into plan.</w:t>
            </w:r>
          </w:p>
          <w:p w14:paraId="7D7F2F69" w14:textId="77777777" w:rsidR="009321D0" w:rsidRPr="001B0D90" w:rsidRDefault="009321D0" w:rsidP="00450330">
            <w:pPr>
              <w:spacing w:before="120" w:after="120"/>
              <w:rPr>
                <w:rFonts w:ascii="Verdana" w:hAnsi="Verdana"/>
                <w:b/>
                <w:bCs/>
                <w:color w:val="000000"/>
              </w:rPr>
            </w:pPr>
            <w:r w:rsidRPr="001B0D90">
              <w:rPr>
                <w:rFonts w:ascii="Verdana" w:hAnsi="Verdana"/>
                <w:b/>
                <w:bCs/>
                <w:color w:val="000000"/>
              </w:rPr>
              <w:t>Option #2:</w:t>
            </w:r>
            <w:r w:rsidRPr="001B0D90">
              <w:rPr>
                <w:rFonts w:ascii="Verdana" w:hAnsi="Verdana"/>
                <w:color w:val="000000"/>
              </w:rPr>
              <w:t xml:space="preserve"> Medical Copay Exception Process for women ages 35 and older using Generic Raloxifene and/or Generic Tamoxifen Citrate for primary prevention of breast cancer. Member will need to have doctor submit a Copay Exception form for approval to qualify for zero copay. If the exception is not approved, the medication will still pay at normal benefit copay. </w:t>
            </w:r>
          </w:p>
        </w:tc>
      </w:tr>
      <w:tr w:rsidR="009321D0" w:rsidRPr="001B0D90" w14:paraId="15A7FC66" w14:textId="77777777" w:rsidTr="007203EB">
        <w:tc>
          <w:tcPr>
            <w:tcW w:w="1019" w:type="pct"/>
            <w:shd w:val="clear" w:color="auto" w:fill="auto"/>
          </w:tcPr>
          <w:p w14:paraId="36B10A49" w14:textId="698DC111" w:rsidR="009321D0" w:rsidRPr="008536A9" w:rsidRDefault="009321D0" w:rsidP="00450330">
            <w:pPr>
              <w:tabs>
                <w:tab w:val="left" w:pos="471"/>
              </w:tabs>
              <w:spacing w:before="120" w:after="120"/>
              <w:rPr>
                <w:rFonts w:ascii="Verdana" w:hAnsi="Verdana"/>
                <w:bCs/>
                <w:color w:val="000000"/>
              </w:rPr>
            </w:pPr>
            <w:hyperlink r:id="rId36" w:history="1">
              <w:r w:rsidRPr="00ED5C7E">
                <w:rPr>
                  <w:rStyle w:val="Hyperlink"/>
                  <w:rFonts w:ascii="Verdana" w:hAnsi="Verdana"/>
                  <w:bCs/>
                </w:rPr>
                <w:t>HDHP</w:t>
              </w:r>
              <w:r w:rsidR="00545AF5" w:rsidRPr="00ED5C7E">
                <w:rPr>
                  <w:rStyle w:val="Hyperlink"/>
                  <w:rFonts w:ascii="Verdana" w:hAnsi="Verdana"/>
                  <w:bCs/>
                </w:rPr>
                <w:t xml:space="preserve"> </w:t>
              </w:r>
              <w:r w:rsidRPr="00ED5C7E">
                <w:rPr>
                  <w:rStyle w:val="Hyperlink"/>
                  <w:rFonts w:ascii="Verdana" w:hAnsi="Verdana"/>
                  <w:bCs/>
                </w:rPr>
                <w:t>/</w:t>
              </w:r>
              <w:r w:rsidR="00545AF5" w:rsidRPr="00ED5C7E">
                <w:rPr>
                  <w:rStyle w:val="Hyperlink"/>
                  <w:rFonts w:ascii="Verdana" w:hAnsi="Verdana"/>
                  <w:bCs/>
                </w:rPr>
                <w:t xml:space="preserve"> </w:t>
              </w:r>
              <w:r w:rsidRPr="00ED5C7E">
                <w:rPr>
                  <w:rStyle w:val="Hyperlink"/>
                  <w:rFonts w:ascii="Verdana" w:hAnsi="Verdana"/>
                  <w:bCs/>
                </w:rPr>
                <w:t>HSA Preventive Drug List</w:t>
              </w:r>
            </w:hyperlink>
            <w:r w:rsidRPr="008536A9">
              <w:rPr>
                <w:rFonts w:ascii="Verdana" w:hAnsi="Verdana"/>
                <w:bCs/>
                <w:color w:val="0000FF"/>
                <w:u w:val="single"/>
              </w:rPr>
              <w:t xml:space="preserve"> </w:t>
            </w:r>
            <w:r w:rsidRPr="008536A9">
              <w:rPr>
                <w:rFonts w:ascii="Verdana" w:hAnsi="Verdana"/>
                <w:noProof/>
              </w:rPr>
              <w:t xml:space="preserve"> </w:t>
            </w:r>
            <w:r w:rsidR="006C6C7A">
              <w:rPr>
                <w:rFonts w:ascii="Verdana" w:hAnsi="Verdana"/>
                <w:color w:val="000000"/>
              </w:rPr>
              <w:t xml:space="preserve"> </w:t>
            </w:r>
          </w:p>
        </w:tc>
        <w:tc>
          <w:tcPr>
            <w:tcW w:w="3981" w:type="pct"/>
            <w:shd w:val="clear" w:color="auto" w:fill="auto"/>
          </w:tcPr>
          <w:p w14:paraId="40E46949" w14:textId="418FCB3C" w:rsidR="00331F78" w:rsidRPr="001B0D90" w:rsidRDefault="00DC6114" w:rsidP="00450330">
            <w:pPr>
              <w:spacing w:before="120" w:after="120"/>
              <w:rPr>
                <w:rFonts w:ascii="Verdana" w:hAnsi="Verdana"/>
                <w:b/>
                <w:bCs/>
                <w:color w:val="000000"/>
              </w:rPr>
            </w:pPr>
            <w:r w:rsidRPr="00DC6114">
              <w:rPr>
                <w:rFonts w:ascii="Verdana" w:hAnsi="Verdana"/>
                <w:bCs/>
              </w:rPr>
              <w:t>High Deductible Health Plan</w:t>
            </w:r>
            <w:r w:rsidR="00616C57">
              <w:rPr>
                <w:rFonts w:ascii="Verdana" w:hAnsi="Verdana"/>
                <w:bCs/>
              </w:rPr>
              <w:t xml:space="preserve"> (HDHP)</w:t>
            </w:r>
            <w:r w:rsidRPr="00DC6114">
              <w:rPr>
                <w:rFonts w:ascii="Verdana" w:hAnsi="Verdana"/>
                <w:bCs/>
              </w:rPr>
              <w:t xml:space="preserve"> / Health Savings Account </w:t>
            </w:r>
            <w:r w:rsidR="00616C57">
              <w:rPr>
                <w:rFonts w:ascii="Verdana" w:hAnsi="Verdana"/>
                <w:bCs/>
              </w:rPr>
              <w:t>(HSA) Preventive</w:t>
            </w:r>
            <w:r w:rsidR="009321D0" w:rsidRPr="00DC6114">
              <w:rPr>
                <w:rFonts w:ascii="Verdana" w:hAnsi="Verdana"/>
                <w:bCs/>
              </w:rPr>
              <w:t xml:space="preserve"> drug list bypass </w:t>
            </w:r>
            <w:r>
              <w:rPr>
                <w:rFonts w:ascii="Verdana" w:hAnsi="Verdana"/>
                <w:bCs/>
              </w:rPr>
              <w:t xml:space="preserve">the </w:t>
            </w:r>
            <w:r w:rsidR="009321D0" w:rsidRPr="00DC6114">
              <w:rPr>
                <w:rFonts w:ascii="Verdana" w:hAnsi="Verdana"/>
                <w:bCs/>
              </w:rPr>
              <w:t>deductible</w:t>
            </w:r>
            <w:r w:rsidR="009321D0" w:rsidRPr="00C60F1F">
              <w:rPr>
                <w:rFonts w:ascii="Verdana" w:hAnsi="Verdana"/>
                <w:b/>
                <w:bCs/>
              </w:rPr>
              <w:t xml:space="preserve"> </w:t>
            </w:r>
            <w:r w:rsidR="009321D0" w:rsidRPr="00C60F1F">
              <w:rPr>
                <w:rFonts w:ascii="Verdana" w:hAnsi="Verdana"/>
              </w:rPr>
              <w:t xml:space="preserve">and members are only required to pay the applicable copay/coinsurance. Copay/coinsurance does accumulate towards MOOP. </w:t>
            </w:r>
          </w:p>
        </w:tc>
      </w:tr>
    </w:tbl>
    <w:p w14:paraId="688A9797" w14:textId="77777777" w:rsidR="00C9140A" w:rsidRDefault="00C9140A" w:rsidP="00450330">
      <w:pPr>
        <w:rPr>
          <w:rFonts w:ascii="Verdana" w:hAnsi="Verdana"/>
          <w:b/>
          <w:bCs/>
          <w:color w:val="000000"/>
        </w:rPr>
      </w:pPr>
    </w:p>
    <w:p w14:paraId="27E66116" w14:textId="431EFB39" w:rsidR="00616C57" w:rsidRDefault="00616C57" w:rsidP="00450330">
      <w:pPr>
        <w:pStyle w:val="Heading3"/>
        <w:spacing w:before="120" w:after="120"/>
        <w:rPr>
          <w:rStyle w:val="Hyperlink"/>
          <w:color w:val="000000" w:themeColor="text1"/>
          <w:u w:val="none"/>
        </w:rPr>
      </w:pPr>
      <w:bookmarkStart w:id="28" w:name="_Toc96525650"/>
      <w:bookmarkStart w:id="29" w:name="_Toc201214745"/>
      <w:r w:rsidRPr="00075C6E">
        <w:rPr>
          <w:rStyle w:val="Hyperlink"/>
          <w:color w:val="000000" w:themeColor="text1"/>
          <w:u w:val="none"/>
        </w:rPr>
        <w:t>Opioid Utilization Management</w:t>
      </w:r>
      <w:bookmarkEnd w:id="28"/>
      <w:bookmarkEnd w:id="29"/>
    </w:p>
    <w:p w14:paraId="37B66725" w14:textId="12624F7A" w:rsidR="00945D9F" w:rsidRPr="00945D9F" w:rsidRDefault="00945D9F" w:rsidP="00945D9F">
      <w:pPr>
        <w:rPr>
          <w:rFonts w:ascii="Verdana" w:hAnsi="Verdana"/>
        </w:rPr>
      </w:pPr>
      <w:r w:rsidRPr="00945D9F">
        <w:rPr>
          <w:rFonts w:ascii="Verdana" w:hAnsi="Verdana"/>
        </w:rPr>
        <w:t>Refer to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9321D0" w14:paraId="7FA596E5" w14:textId="77777777" w:rsidTr="005A6091">
        <w:tc>
          <w:tcPr>
            <w:tcW w:w="1019" w:type="pct"/>
            <w:shd w:val="clear" w:color="auto" w:fill="D9D9D9" w:themeFill="background1" w:themeFillShade="D9"/>
          </w:tcPr>
          <w:p w14:paraId="4C274BAE" w14:textId="77777777" w:rsidR="009321D0" w:rsidRPr="00AE157D" w:rsidRDefault="00616C57" w:rsidP="00450330">
            <w:pPr>
              <w:spacing w:before="120" w:after="120"/>
              <w:jc w:val="center"/>
              <w:rPr>
                <w:rFonts w:ascii="Verdana" w:hAnsi="Verdana"/>
                <w:b/>
                <w:bCs/>
                <w:color w:val="000000"/>
              </w:rPr>
            </w:pPr>
            <w:r>
              <w:t xml:space="preserve"> </w:t>
            </w:r>
            <w:r w:rsidR="00C9140A">
              <w:t xml:space="preserve"> </w:t>
            </w:r>
            <w:r w:rsidR="009321D0">
              <w:rPr>
                <w:rFonts w:ascii="Verdana" w:hAnsi="Verdana"/>
                <w:b/>
                <w:bCs/>
                <w:color w:val="000000"/>
              </w:rPr>
              <w:t>Title</w:t>
            </w:r>
          </w:p>
        </w:tc>
        <w:tc>
          <w:tcPr>
            <w:tcW w:w="3981" w:type="pct"/>
            <w:shd w:val="clear" w:color="auto" w:fill="D9D9D9" w:themeFill="background1" w:themeFillShade="D9"/>
          </w:tcPr>
          <w:p w14:paraId="1A8F1F04" w14:textId="77777777" w:rsidR="009321D0" w:rsidRPr="001B0D90" w:rsidRDefault="009321D0" w:rsidP="00450330">
            <w:pPr>
              <w:spacing w:before="120" w:after="120"/>
              <w:jc w:val="center"/>
              <w:rPr>
                <w:rFonts w:ascii="Verdana" w:hAnsi="Verdana"/>
                <w:b/>
                <w:bCs/>
                <w:color w:val="000000"/>
              </w:rPr>
            </w:pPr>
            <w:r w:rsidRPr="001B0D90">
              <w:rPr>
                <w:rFonts w:ascii="Verdana" w:hAnsi="Verdana"/>
                <w:b/>
                <w:bCs/>
                <w:color w:val="000000"/>
              </w:rPr>
              <w:t>Description</w:t>
            </w:r>
          </w:p>
        </w:tc>
      </w:tr>
      <w:tr w:rsidR="009321D0" w14:paraId="28C0FDFA" w14:textId="77777777" w:rsidTr="005A6091">
        <w:tc>
          <w:tcPr>
            <w:tcW w:w="1019" w:type="pct"/>
            <w:shd w:val="clear" w:color="auto" w:fill="auto"/>
          </w:tcPr>
          <w:p w14:paraId="0E9AC31C" w14:textId="3BAF9050" w:rsidR="009321D0" w:rsidRPr="008536A9" w:rsidRDefault="0092360D" w:rsidP="00450330">
            <w:pPr>
              <w:spacing w:before="120" w:after="120"/>
              <w:rPr>
                <w:rFonts w:ascii="Verdana" w:hAnsi="Verdana"/>
              </w:rPr>
            </w:pPr>
            <w:hyperlink r:id="rId37" w:anchor="!/view?docid=b420b395-19e0-454b-b41e-d26b42b3ddf6" w:history="1">
              <w:r w:rsidR="00CE6386">
                <w:rPr>
                  <w:rStyle w:val="Hyperlink"/>
                  <w:rFonts w:ascii="Verdana" w:hAnsi="Verdana"/>
                </w:rPr>
                <w:t>Enhanced Opioid Utilization Management (018692)</w:t>
              </w:r>
            </w:hyperlink>
          </w:p>
        </w:tc>
        <w:tc>
          <w:tcPr>
            <w:tcW w:w="3981" w:type="pct"/>
            <w:shd w:val="clear" w:color="auto" w:fill="auto"/>
          </w:tcPr>
          <w:p w14:paraId="623BBCA5" w14:textId="77777777" w:rsidR="009321D0" w:rsidRDefault="009321D0" w:rsidP="00450330">
            <w:pPr>
              <w:spacing w:before="120" w:after="120"/>
            </w:pPr>
            <w:r>
              <w:rPr>
                <w:rFonts w:ascii="Verdana" w:hAnsi="Verdana"/>
                <w:color w:val="000000"/>
              </w:rPr>
              <w:t>On September 21, 2017, CVS Health announced an expansion of our enterprise initiatives to fight the opioid abuse epidemic, including supporting safe drug disposal, utilization management of pain medications and funding for treatment and recovery programs. The announcement drew widespread national media coverage in print, television and online. To support this goal, CVS Caremark will roll out an enhanced opioid utilization management approach for all commercial, health plan, and employer and Medicaid clients. </w:t>
            </w:r>
          </w:p>
        </w:tc>
      </w:tr>
    </w:tbl>
    <w:p w14:paraId="0EDC3937" w14:textId="77777777" w:rsidR="0055522F" w:rsidRPr="00B10E70" w:rsidRDefault="0055522F" w:rsidP="00450330">
      <w:pPr>
        <w:spacing w:before="120" w:after="120"/>
        <w:rPr>
          <w:rFonts w:ascii="Verdana" w:hAnsi="Verdana"/>
        </w:rPr>
      </w:pPr>
    </w:p>
    <w:p w14:paraId="318B9AD8" w14:textId="77777777" w:rsidR="001D669F" w:rsidRPr="008E54FB" w:rsidRDefault="001D669F" w:rsidP="00450330">
      <w:pPr>
        <w:spacing w:before="120" w:after="120"/>
        <w:jc w:val="right"/>
        <w:rPr>
          <w:rFonts w:ascii="Verdana" w:hAnsi="Verdana"/>
          <w:color w:val="000000"/>
        </w:rPr>
      </w:pPr>
      <w:hyperlink w:anchor="_top" w:history="1">
        <w:r w:rsidRPr="001D669F">
          <w:rPr>
            <w:rStyle w:val="Hyperlink"/>
            <w:rFonts w:ascii="Verdana" w:hAnsi="Verdana"/>
          </w:rPr>
          <w:t>Top of the Document</w:t>
        </w:r>
      </w:hyperlink>
    </w:p>
    <w:p w14:paraId="27E05EEE" w14:textId="77777777" w:rsidR="006E677F" w:rsidRDefault="006E677F">
      <w:r>
        <w:rPr>
          <w:b/>
          <w:bCs/>
          <w:i/>
          <w:iCs/>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E43EFA" w14:paraId="0C0782B0" w14:textId="77777777" w:rsidTr="001B0D90">
        <w:tc>
          <w:tcPr>
            <w:tcW w:w="5000" w:type="pct"/>
            <w:shd w:val="clear" w:color="auto" w:fill="BFBFBF"/>
          </w:tcPr>
          <w:p w14:paraId="53C01C38" w14:textId="746A2A29" w:rsidR="00E43EFA" w:rsidRPr="001B0D90" w:rsidRDefault="00121CB4" w:rsidP="00450330">
            <w:pPr>
              <w:pStyle w:val="Heading2"/>
              <w:spacing w:before="120" w:after="120"/>
              <w:rPr>
                <w:rFonts w:ascii="Verdana" w:hAnsi="Verdana"/>
                <w:i w:val="0"/>
              </w:rPr>
            </w:pPr>
            <w:bookmarkStart w:id="30" w:name="_Toc201214746"/>
            <w:r>
              <w:rPr>
                <w:rFonts w:ascii="Verdana" w:hAnsi="Verdana"/>
                <w:i w:val="0"/>
              </w:rPr>
              <w:t>Related Documents</w:t>
            </w:r>
            <w:bookmarkEnd w:id="30"/>
          </w:p>
        </w:tc>
      </w:tr>
    </w:tbl>
    <w:p w14:paraId="172D5476" w14:textId="74CE2CC9" w:rsidR="0069542A" w:rsidRPr="00816FF8" w:rsidRDefault="0069542A" w:rsidP="00450330">
      <w:pPr>
        <w:pStyle w:val="ListParagraph"/>
        <w:numPr>
          <w:ilvl w:val="0"/>
          <w:numId w:val="49"/>
        </w:numPr>
        <w:autoSpaceDE w:val="0"/>
        <w:autoSpaceDN w:val="0"/>
        <w:adjustRightInd w:val="0"/>
        <w:spacing w:before="120" w:after="120"/>
        <w:rPr>
          <w:rFonts w:ascii="Verdana" w:hAnsi="Verdana" w:cs="Verdana"/>
        </w:rPr>
      </w:pPr>
      <w:hyperlink r:id="rId38" w:anchor="!/view?docid=c1f1028b-e42c-4b4f-a4cf-cc0b42c91606" w:history="1">
        <w:r w:rsidRPr="00816FF8">
          <w:rPr>
            <w:rFonts w:ascii="Verdana" w:hAnsi="Verdana" w:cs="Verdana"/>
            <w:color w:val="0000FF"/>
            <w:u w:val="single"/>
          </w:rPr>
          <w:t xml:space="preserve">Customer Care Abbreviations </w:t>
        </w:r>
        <w:r w:rsidR="0031528D" w:rsidRPr="00816FF8">
          <w:rPr>
            <w:rFonts w:ascii="Verdana" w:hAnsi="Verdana" w:cs="Verdana"/>
            <w:color w:val="0000FF"/>
            <w:u w:val="single"/>
          </w:rPr>
          <w:t>Definitions</w:t>
        </w:r>
        <w:r w:rsidRPr="00816FF8">
          <w:rPr>
            <w:rFonts w:ascii="Verdana" w:hAnsi="Verdana" w:cs="Verdana"/>
            <w:color w:val="0000FF"/>
            <w:u w:val="single"/>
          </w:rPr>
          <w:t xml:space="preserve"> and Term</w:t>
        </w:r>
        <w:r w:rsidR="008E351A">
          <w:rPr>
            <w:rFonts w:ascii="Verdana" w:hAnsi="Verdana" w:cs="Verdana"/>
            <w:color w:val="0000FF"/>
            <w:u w:val="single"/>
          </w:rPr>
          <w:t>s Index</w:t>
        </w:r>
      </w:hyperlink>
      <w:r w:rsidR="00BB4C0B">
        <w:rPr>
          <w:rFonts w:ascii="Verdana" w:hAnsi="Verdana" w:cs="Verdana"/>
          <w:color w:val="0000FF"/>
          <w:u w:val="single"/>
        </w:rPr>
        <w:t xml:space="preserve"> (</w:t>
      </w:r>
      <w:r w:rsidR="00580B7A">
        <w:rPr>
          <w:rFonts w:ascii="Verdana" w:hAnsi="Verdana" w:cs="Verdana"/>
          <w:color w:val="0000FF"/>
          <w:u w:val="single"/>
        </w:rPr>
        <w:t>0</w:t>
      </w:r>
      <w:r w:rsidR="00BB4C0B">
        <w:rPr>
          <w:rFonts w:ascii="Verdana" w:hAnsi="Verdana" w:cs="Verdana"/>
          <w:color w:val="0000FF"/>
          <w:u w:val="single"/>
        </w:rPr>
        <w:t>17428)</w:t>
      </w:r>
    </w:p>
    <w:p w14:paraId="410DE106" w14:textId="45051780" w:rsidR="00121CB4" w:rsidRPr="00BB4C0B" w:rsidRDefault="00BB4C0B" w:rsidP="00450330">
      <w:pPr>
        <w:numPr>
          <w:ilvl w:val="0"/>
          <w:numId w:val="39"/>
        </w:numPr>
        <w:spacing w:before="120" w:after="120"/>
        <w:ind w:left="360"/>
        <w:rPr>
          <w:rStyle w:val="Hyperlink"/>
          <w:rFonts w:ascii="Verdana" w:hAnsi="Verdana"/>
        </w:rPr>
      </w:pPr>
      <w:r>
        <w:rPr>
          <w:rFonts w:ascii="Verdana" w:hAnsi="Verdana"/>
        </w:rPr>
        <w:fldChar w:fldCharType="begin"/>
      </w:r>
      <w:r>
        <w:rPr>
          <w:rFonts w:ascii="Verdana" w:hAnsi="Verdana"/>
        </w:rPr>
        <w:instrText xml:space="preserve"> HYPERLINK "https://thesource.cvshealth.com/nuxeo/thesource/" \l "!/view?docid=0e1ce673-08c2-479c-a09b-acb5f10c779a" </w:instrText>
      </w:r>
      <w:r>
        <w:rPr>
          <w:rFonts w:ascii="Verdana" w:hAnsi="Verdana"/>
        </w:rPr>
      </w:r>
      <w:r>
        <w:rPr>
          <w:rFonts w:ascii="Verdana" w:hAnsi="Verdana"/>
        </w:rPr>
        <w:fldChar w:fldCharType="separate"/>
      </w:r>
      <w:r w:rsidR="00055BD7" w:rsidRPr="00BB4C0B">
        <w:rPr>
          <w:rStyle w:val="Hyperlink"/>
          <w:rFonts w:ascii="Verdana" w:hAnsi="Verdana"/>
        </w:rPr>
        <w:t>Drug Pronunciations</w:t>
      </w:r>
      <w:r w:rsidRPr="00BB4C0B">
        <w:rPr>
          <w:rStyle w:val="Hyperlink"/>
          <w:rFonts w:ascii="Verdana" w:hAnsi="Verdana"/>
        </w:rPr>
        <w:t xml:space="preserve"> (</w:t>
      </w:r>
      <w:r w:rsidR="00580B7A">
        <w:rPr>
          <w:rStyle w:val="Hyperlink"/>
          <w:rFonts w:ascii="Verdana" w:hAnsi="Verdana"/>
        </w:rPr>
        <w:t>0</w:t>
      </w:r>
      <w:r w:rsidRPr="00BB4C0B">
        <w:rPr>
          <w:rStyle w:val="Hyperlink"/>
          <w:rFonts w:ascii="Verdana" w:hAnsi="Verdana"/>
        </w:rPr>
        <w:t>66717)</w:t>
      </w:r>
    </w:p>
    <w:p w14:paraId="527BE88F" w14:textId="3DE3184F" w:rsidR="0032526A" w:rsidRPr="00BC25AF" w:rsidRDefault="00BB4C0B" w:rsidP="00450330">
      <w:pPr>
        <w:numPr>
          <w:ilvl w:val="0"/>
          <w:numId w:val="39"/>
        </w:numPr>
        <w:spacing w:before="120" w:after="120"/>
        <w:ind w:left="360"/>
        <w:rPr>
          <w:rFonts w:ascii="Verdana" w:hAnsi="Verdana"/>
          <w:color w:val="0000FF"/>
          <w:u w:val="single"/>
        </w:rPr>
      </w:pPr>
      <w:r>
        <w:rPr>
          <w:rFonts w:ascii="Verdana" w:hAnsi="Verdana"/>
        </w:rPr>
        <w:fldChar w:fldCharType="end"/>
      </w:r>
      <w:hyperlink r:id="rId39" w:anchor="!/view?docid=d2dab105-056c-45be-b28b-bfad61c60a2f" w:history="1">
        <w:r w:rsidR="0032526A" w:rsidRPr="00BC25AF">
          <w:rPr>
            <w:rStyle w:val="Hyperlink"/>
            <w:rFonts w:ascii="Verdana" w:hAnsi="Verdana"/>
            <w:shd w:val="clear" w:color="auto" w:fill="FFFFFF"/>
          </w:rPr>
          <w:t>Compass - When to Transfer Calls to Clinical Care (062778)</w:t>
        </w:r>
      </w:hyperlink>
    </w:p>
    <w:p w14:paraId="07C53CED" w14:textId="5C5A1D24" w:rsidR="00121CB4" w:rsidRPr="00D24F41" w:rsidRDefault="009F5681" w:rsidP="00450330">
      <w:pPr>
        <w:numPr>
          <w:ilvl w:val="0"/>
          <w:numId w:val="39"/>
        </w:numPr>
        <w:spacing w:before="120" w:after="120"/>
        <w:ind w:left="360"/>
        <w:rPr>
          <w:rStyle w:val="Hyperlink"/>
          <w:rFonts w:ascii="Verdana" w:hAnsi="Verdana"/>
          <w:color w:val="auto"/>
          <w:u w:val="none"/>
        </w:rPr>
      </w:pPr>
      <w:hyperlink r:id="rId40" w:anchor="!/view?docid=43924b4f-9576-4024-93db-2b594c89bb00" w:history="1">
        <w:r>
          <w:rPr>
            <w:rStyle w:val="Hyperlink"/>
            <w:rFonts w:ascii="Verdana" w:hAnsi="Verdana"/>
          </w:rPr>
          <w:t>Compass - Controlled Substance Information (C2-C5) (062851)</w:t>
        </w:r>
      </w:hyperlink>
    </w:p>
    <w:p w14:paraId="34BF0958" w14:textId="61CF7BF0" w:rsidR="00D24F41" w:rsidRPr="00D24F41" w:rsidRDefault="00E62C56" w:rsidP="00450330">
      <w:pPr>
        <w:pStyle w:val="ListParagraph"/>
        <w:numPr>
          <w:ilvl w:val="0"/>
          <w:numId w:val="39"/>
        </w:numPr>
        <w:spacing w:before="120" w:after="120"/>
        <w:ind w:left="360"/>
        <w:rPr>
          <w:rFonts w:ascii="Verdana" w:hAnsi="Verdana"/>
          <w:color w:val="000000"/>
        </w:rPr>
      </w:pPr>
      <w:hyperlink r:id="rId41" w:anchor="!/view?docid=c0d789ba-e92a-46dc-8d94-061c20d54508" w:history="1">
        <w:r w:rsidRPr="00FC282F">
          <w:rPr>
            <w:rStyle w:val="Hyperlink"/>
            <w:rFonts w:ascii="Verdana" w:hAnsi="Verdana"/>
          </w:rPr>
          <w:t>Caremark.com - Covered Drug List - Formulary (038389)</w:t>
        </w:r>
      </w:hyperlink>
      <w:r w:rsidR="00AE3F30" w:rsidRPr="00FC282F">
        <w:rPr>
          <w:rFonts w:ascii="Verdana" w:hAnsi="Verdana"/>
          <w:color w:val="000000"/>
        </w:rPr>
        <w:t xml:space="preserve"> (P</w:t>
      </w:r>
      <w:r w:rsidR="00D24F41" w:rsidRPr="00D24F41">
        <w:rPr>
          <w:rFonts w:ascii="Verdana" w:hAnsi="Verdana"/>
          <w:color w:val="000000"/>
        </w:rPr>
        <w:t>rovides information on how members can view and print their </w:t>
      </w:r>
      <w:r w:rsidR="00D24F41" w:rsidRPr="00AE3F30">
        <w:rPr>
          <w:rFonts w:ascii="Verdana" w:hAnsi="Verdana"/>
          <w:color w:val="000000"/>
        </w:rPr>
        <w:t>Covered Drug List (Formulary).</w:t>
      </w:r>
    </w:p>
    <w:p w14:paraId="1DD826C0" w14:textId="34BF2E63" w:rsidR="00C42416" w:rsidRPr="00616C57" w:rsidRDefault="00442E34" w:rsidP="00450330">
      <w:pPr>
        <w:pStyle w:val="ListParagraph"/>
        <w:numPr>
          <w:ilvl w:val="0"/>
          <w:numId w:val="39"/>
        </w:numPr>
        <w:spacing w:before="120" w:after="120"/>
        <w:ind w:left="360"/>
        <w:rPr>
          <w:rFonts w:ascii="Verdana" w:hAnsi="Verdana"/>
          <w:color w:val="000000"/>
        </w:rPr>
      </w:pPr>
      <w:r>
        <w:rPr>
          <w:rFonts w:ascii="Verdana" w:hAnsi="Verdana"/>
          <w:noProof/>
          <w:color w:val="000000"/>
        </w:rPr>
        <w:drawing>
          <wp:inline distT="0" distB="0" distL="0" distR="0" wp14:anchorId="0F63D6CD" wp14:editId="51FF9A49">
            <wp:extent cx="304762" cy="304762"/>
            <wp:effectExtent l="0" t="0" r="635" b="635"/>
            <wp:docPr id="1174941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41403" name="Picture 1174941403"/>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42" w:anchor="!/view?docid=b8695466-1ae2-4ef2-a88f-d7e5795efd1f" w:history="1">
        <w:r w:rsidR="00F813FC" w:rsidRPr="0092360D">
          <w:rPr>
            <w:rStyle w:val="Hyperlink"/>
            <w:rFonts w:ascii="Verdana" w:hAnsi="Verdana"/>
          </w:rPr>
          <w:t>Formulary and URL Address Locations (051617)</w:t>
        </w:r>
      </w:hyperlink>
      <w:r w:rsidR="00F813FC">
        <w:rPr>
          <w:rFonts w:ascii="Verdana" w:hAnsi="Verdana"/>
          <w:color w:val="000000"/>
        </w:rPr>
        <w:t xml:space="preserve"> </w:t>
      </w:r>
    </w:p>
    <w:p w14:paraId="7A4CBBDF" w14:textId="77777777" w:rsidR="008E54FB" w:rsidRPr="008E54FB" w:rsidRDefault="003B7E76" w:rsidP="00450330">
      <w:pPr>
        <w:spacing w:before="120" w:after="120"/>
        <w:jc w:val="right"/>
        <w:rPr>
          <w:rFonts w:ascii="Verdana" w:hAnsi="Verdana"/>
          <w:color w:val="000000"/>
        </w:rPr>
      </w:pPr>
      <w:hyperlink w:anchor="_top" w:history="1">
        <w:r w:rsidRPr="001D669F">
          <w:rPr>
            <w:rStyle w:val="Hyperlink"/>
            <w:rFonts w:ascii="Verdana" w:hAnsi="Verdana"/>
          </w:rPr>
          <w:t>Top of the Document</w:t>
        </w:r>
      </w:hyperlink>
    </w:p>
    <w:p w14:paraId="6CD04515" w14:textId="77777777" w:rsidR="00FD4AAA" w:rsidRPr="00B10E70" w:rsidRDefault="00FD4AAA" w:rsidP="00D22783">
      <w:pPr>
        <w:jc w:val="center"/>
        <w:rPr>
          <w:rFonts w:ascii="Verdana" w:hAnsi="Verdana"/>
          <w:sz w:val="16"/>
          <w:szCs w:val="16"/>
        </w:rPr>
      </w:pPr>
    </w:p>
    <w:p w14:paraId="0CF72633" w14:textId="77777777" w:rsidR="00FD4AAA" w:rsidRPr="00B10E70" w:rsidRDefault="00B4636A" w:rsidP="00D22783">
      <w:pPr>
        <w:jc w:val="center"/>
        <w:rPr>
          <w:rFonts w:ascii="Verdana" w:hAnsi="Verdana"/>
          <w:sz w:val="16"/>
          <w:szCs w:val="16"/>
        </w:rPr>
      </w:pPr>
      <w:r w:rsidRPr="00B10E70">
        <w:rPr>
          <w:rFonts w:ascii="Verdana" w:hAnsi="Verdana"/>
          <w:sz w:val="16"/>
          <w:szCs w:val="16"/>
        </w:rPr>
        <w:t>Not to be Reproduced o</w:t>
      </w:r>
      <w:r w:rsidR="00FD4AAA" w:rsidRPr="00B10E70">
        <w:rPr>
          <w:rFonts w:ascii="Verdana" w:hAnsi="Verdana"/>
          <w:sz w:val="16"/>
          <w:szCs w:val="16"/>
        </w:rPr>
        <w:t xml:space="preserve">r Disclosed to Others </w:t>
      </w:r>
      <w:r w:rsidR="00B86FFE" w:rsidRPr="00B10E70">
        <w:rPr>
          <w:rFonts w:ascii="Verdana" w:hAnsi="Verdana"/>
          <w:sz w:val="16"/>
          <w:szCs w:val="16"/>
        </w:rPr>
        <w:t>without</w:t>
      </w:r>
      <w:r w:rsidR="00FD4AAA" w:rsidRPr="00B10E70">
        <w:rPr>
          <w:rFonts w:ascii="Verdana" w:hAnsi="Verdana"/>
          <w:sz w:val="16"/>
          <w:szCs w:val="16"/>
        </w:rPr>
        <w:t xml:space="preserve"> Prior Written Approval</w:t>
      </w:r>
    </w:p>
    <w:p w14:paraId="008137D7" w14:textId="77777777" w:rsidR="0002766B" w:rsidRPr="00B10E70" w:rsidRDefault="00FD4AAA" w:rsidP="00D22783">
      <w:pPr>
        <w:jc w:val="center"/>
        <w:rPr>
          <w:rFonts w:ascii="Verdana" w:hAnsi="Verdana"/>
          <w:sz w:val="16"/>
          <w:szCs w:val="16"/>
        </w:rPr>
      </w:pPr>
      <w:r w:rsidRPr="00B10E70">
        <w:rPr>
          <w:rFonts w:ascii="Verdana" w:hAnsi="Verdana"/>
          <w:b/>
          <w:sz w:val="16"/>
          <w:szCs w:val="16"/>
        </w:rPr>
        <w:t>ELEC</w:t>
      </w:r>
      <w:r w:rsidR="001A28CB" w:rsidRPr="00B10E70">
        <w:rPr>
          <w:rFonts w:ascii="Verdana" w:hAnsi="Verdana"/>
          <w:b/>
          <w:sz w:val="16"/>
          <w:szCs w:val="16"/>
        </w:rPr>
        <w:t>TRONIC DATA = OFFICIAL VERSION / PAPER COPY =</w:t>
      </w:r>
      <w:r w:rsidRPr="00B10E70">
        <w:rPr>
          <w:rFonts w:ascii="Verdana" w:hAnsi="Verdana"/>
          <w:b/>
          <w:sz w:val="16"/>
          <w:szCs w:val="16"/>
        </w:rPr>
        <w:t xml:space="preserve"> INFORMATIONAL ONLY</w:t>
      </w:r>
    </w:p>
    <w:sectPr w:rsidR="0002766B" w:rsidRPr="00B10E70" w:rsidSect="00720207">
      <w:footerReference w:type="even" r:id="rId43"/>
      <w:footerReference w:type="default" r:id="rId4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0BFA9" w14:textId="77777777" w:rsidR="00864239" w:rsidRDefault="00864239">
      <w:r>
        <w:separator/>
      </w:r>
    </w:p>
  </w:endnote>
  <w:endnote w:type="continuationSeparator" w:id="0">
    <w:p w14:paraId="024927CE" w14:textId="77777777" w:rsidR="00864239" w:rsidRDefault="00864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2CD86" w14:textId="77777777" w:rsidR="00064378" w:rsidRDefault="00064378" w:rsidP="00EF5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E36D84" w14:textId="77777777" w:rsidR="00064378" w:rsidRDefault="00064378" w:rsidP="00B05A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A1C8E" w14:textId="77777777" w:rsidR="00064378" w:rsidRDefault="00064378" w:rsidP="00EF5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C6C7A">
      <w:rPr>
        <w:rStyle w:val="PageNumber"/>
        <w:noProof/>
      </w:rPr>
      <w:t>4</w:t>
    </w:r>
    <w:r>
      <w:rPr>
        <w:rStyle w:val="PageNumber"/>
      </w:rPr>
      <w:fldChar w:fldCharType="end"/>
    </w:r>
  </w:p>
  <w:p w14:paraId="6BF6397E" w14:textId="77777777" w:rsidR="00064378" w:rsidRDefault="00064378" w:rsidP="00B05A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5BD771" w14:textId="77777777" w:rsidR="00864239" w:rsidRDefault="00864239">
      <w:r>
        <w:separator/>
      </w:r>
    </w:p>
  </w:footnote>
  <w:footnote w:type="continuationSeparator" w:id="0">
    <w:p w14:paraId="6790131C" w14:textId="77777777" w:rsidR="00864239" w:rsidRDefault="008642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D5208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97459734" o:spid="_x0000_i1025" type="#_x0000_t75" style="width:18.75pt;height:16.5pt;visibility:visible;mso-wrap-style:square">
            <v:imagedata r:id="rId1" o:title=""/>
          </v:shape>
        </w:pict>
      </mc:Choice>
      <mc:Fallback>
        <w:drawing>
          <wp:inline distT="0" distB="0" distL="0" distR="0" wp14:anchorId="1A99A940" wp14:editId="1A99A941">
            <wp:extent cx="238125" cy="209550"/>
            <wp:effectExtent l="0" t="0" r="0" b="0"/>
            <wp:docPr id="1797459734" name="Picture 1797459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mc:Fallback>
    </mc:AlternateContent>
  </w:numPicBullet>
  <w:abstractNum w:abstractNumId="0" w15:restartNumberingAfterBreak="0">
    <w:nsid w:val="02C32B81"/>
    <w:multiLevelType w:val="hybridMultilevel"/>
    <w:tmpl w:val="3E409BD2"/>
    <w:lvl w:ilvl="0" w:tplc="04090003">
      <w:start w:val="1"/>
      <w:numFmt w:val="bullet"/>
      <w:lvlText w:val="o"/>
      <w:lvlJc w:val="left"/>
      <w:pPr>
        <w:ind w:left="720" w:hanging="360"/>
      </w:pPr>
      <w:rPr>
        <w:rFonts w:ascii="Courier New" w:hAnsi="Courier New" w:cs="Courier New" w:hint="default"/>
      </w:rPr>
    </w:lvl>
    <w:lvl w:ilvl="1" w:tplc="D7904568">
      <w:start w:val="1"/>
      <w:numFmt w:val="bullet"/>
      <w:lvlText w:val="•"/>
      <w:lvlJc w:val="left"/>
      <w:pPr>
        <w:ind w:left="1440" w:hanging="360"/>
      </w:pPr>
      <w:rPr>
        <w:rFonts w:ascii="Verdana" w:hAnsi="Verdana" w:hint="default"/>
        <w:b/>
        <w:bCs w:val="0"/>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D727A"/>
    <w:multiLevelType w:val="multilevel"/>
    <w:tmpl w:val="B816947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D41B3D"/>
    <w:multiLevelType w:val="hybridMultilevel"/>
    <w:tmpl w:val="5828767E"/>
    <w:lvl w:ilvl="0" w:tplc="5EAC7E4E">
      <w:start w:val="1"/>
      <w:numFmt w:val="bullet"/>
      <w:lvlText w:val=""/>
      <w:lvlPicBulletId w:val="0"/>
      <w:lvlJc w:val="left"/>
      <w:pPr>
        <w:tabs>
          <w:tab w:val="num" w:pos="720"/>
        </w:tabs>
        <w:ind w:left="720" w:hanging="360"/>
      </w:pPr>
      <w:rPr>
        <w:rFonts w:ascii="Symbol" w:hAnsi="Symbol" w:hint="default"/>
      </w:rPr>
    </w:lvl>
    <w:lvl w:ilvl="1" w:tplc="0674F852" w:tentative="1">
      <w:start w:val="1"/>
      <w:numFmt w:val="bullet"/>
      <w:lvlText w:val=""/>
      <w:lvlJc w:val="left"/>
      <w:pPr>
        <w:tabs>
          <w:tab w:val="num" w:pos="1440"/>
        </w:tabs>
        <w:ind w:left="1440" w:hanging="360"/>
      </w:pPr>
      <w:rPr>
        <w:rFonts w:ascii="Symbol" w:hAnsi="Symbol" w:hint="default"/>
      </w:rPr>
    </w:lvl>
    <w:lvl w:ilvl="2" w:tplc="069CEA86" w:tentative="1">
      <w:start w:val="1"/>
      <w:numFmt w:val="bullet"/>
      <w:lvlText w:val=""/>
      <w:lvlJc w:val="left"/>
      <w:pPr>
        <w:tabs>
          <w:tab w:val="num" w:pos="2160"/>
        </w:tabs>
        <w:ind w:left="2160" w:hanging="360"/>
      </w:pPr>
      <w:rPr>
        <w:rFonts w:ascii="Symbol" w:hAnsi="Symbol" w:hint="default"/>
      </w:rPr>
    </w:lvl>
    <w:lvl w:ilvl="3" w:tplc="CD221192" w:tentative="1">
      <w:start w:val="1"/>
      <w:numFmt w:val="bullet"/>
      <w:lvlText w:val=""/>
      <w:lvlJc w:val="left"/>
      <w:pPr>
        <w:tabs>
          <w:tab w:val="num" w:pos="2880"/>
        </w:tabs>
        <w:ind w:left="2880" w:hanging="360"/>
      </w:pPr>
      <w:rPr>
        <w:rFonts w:ascii="Symbol" w:hAnsi="Symbol" w:hint="default"/>
      </w:rPr>
    </w:lvl>
    <w:lvl w:ilvl="4" w:tplc="6D14021A" w:tentative="1">
      <w:start w:val="1"/>
      <w:numFmt w:val="bullet"/>
      <w:lvlText w:val=""/>
      <w:lvlJc w:val="left"/>
      <w:pPr>
        <w:tabs>
          <w:tab w:val="num" w:pos="3600"/>
        </w:tabs>
        <w:ind w:left="3600" w:hanging="360"/>
      </w:pPr>
      <w:rPr>
        <w:rFonts w:ascii="Symbol" w:hAnsi="Symbol" w:hint="default"/>
      </w:rPr>
    </w:lvl>
    <w:lvl w:ilvl="5" w:tplc="F10C121E" w:tentative="1">
      <w:start w:val="1"/>
      <w:numFmt w:val="bullet"/>
      <w:lvlText w:val=""/>
      <w:lvlJc w:val="left"/>
      <w:pPr>
        <w:tabs>
          <w:tab w:val="num" w:pos="4320"/>
        </w:tabs>
        <w:ind w:left="4320" w:hanging="360"/>
      </w:pPr>
      <w:rPr>
        <w:rFonts w:ascii="Symbol" w:hAnsi="Symbol" w:hint="default"/>
      </w:rPr>
    </w:lvl>
    <w:lvl w:ilvl="6" w:tplc="8F2C2582" w:tentative="1">
      <w:start w:val="1"/>
      <w:numFmt w:val="bullet"/>
      <w:lvlText w:val=""/>
      <w:lvlJc w:val="left"/>
      <w:pPr>
        <w:tabs>
          <w:tab w:val="num" w:pos="5040"/>
        </w:tabs>
        <w:ind w:left="5040" w:hanging="360"/>
      </w:pPr>
      <w:rPr>
        <w:rFonts w:ascii="Symbol" w:hAnsi="Symbol" w:hint="default"/>
      </w:rPr>
    </w:lvl>
    <w:lvl w:ilvl="7" w:tplc="4412D8DA" w:tentative="1">
      <w:start w:val="1"/>
      <w:numFmt w:val="bullet"/>
      <w:lvlText w:val=""/>
      <w:lvlJc w:val="left"/>
      <w:pPr>
        <w:tabs>
          <w:tab w:val="num" w:pos="5760"/>
        </w:tabs>
        <w:ind w:left="5760" w:hanging="360"/>
      </w:pPr>
      <w:rPr>
        <w:rFonts w:ascii="Symbol" w:hAnsi="Symbol" w:hint="default"/>
      </w:rPr>
    </w:lvl>
    <w:lvl w:ilvl="8" w:tplc="DA86D00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A423141"/>
    <w:multiLevelType w:val="hybridMultilevel"/>
    <w:tmpl w:val="6C5A2EE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A68701A"/>
    <w:multiLevelType w:val="hybridMultilevel"/>
    <w:tmpl w:val="DA86EF8A"/>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767B5A"/>
    <w:multiLevelType w:val="hybridMultilevel"/>
    <w:tmpl w:val="0DF4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559A0"/>
    <w:multiLevelType w:val="hybridMultilevel"/>
    <w:tmpl w:val="1F124C8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31A0586"/>
    <w:multiLevelType w:val="multilevel"/>
    <w:tmpl w:val="150E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447C2B"/>
    <w:multiLevelType w:val="hybridMultilevel"/>
    <w:tmpl w:val="C3366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AC0EC8"/>
    <w:multiLevelType w:val="hybridMultilevel"/>
    <w:tmpl w:val="5DA85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4754ED"/>
    <w:multiLevelType w:val="hybridMultilevel"/>
    <w:tmpl w:val="8166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81573"/>
    <w:multiLevelType w:val="hybridMultilevel"/>
    <w:tmpl w:val="055E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AC47E7"/>
    <w:multiLevelType w:val="hybridMultilevel"/>
    <w:tmpl w:val="5A0AC69E"/>
    <w:lvl w:ilvl="0" w:tplc="C3704C9E">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1D346E0"/>
    <w:multiLevelType w:val="multilevel"/>
    <w:tmpl w:val="98D47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963BFA"/>
    <w:multiLevelType w:val="hybridMultilevel"/>
    <w:tmpl w:val="C7C0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02901"/>
    <w:multiLevelType w:val="hybridMultilevel"/>
    <w:tmpl w:val="B0DE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276D39"/>
    <w:multiLevelType w:val="hybridMultilevel"/>
    <w:tmpl w:val="C436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B6713F"/>
    <w:multiLevelType w:val="hybridMultilevel"/>
    <w:tmpl w:val="7CEE5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6344A7"/>
    <w:multiLevelType w:val="hybridMultilevel"/>
    <w:tmpl w:val="0C14BBEC"/>
    <w:lvl w:ilvl="0" w:tplc="C3704C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880A12"/>
    <w:multiLevelType w:val="multilevel"/>
    <w:tmpl w:val="2A4C0D3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o"/>
      <w:lvlJc w:val="left"/>
      <w:pPr>
        <w:tabs>
          <w:tab w:val="num" w:pos="3240"/>
        </w:tabs>
        <w:ind w:left="3240" w:hanging="360"/>
      </w:pPr>
      <w:rPr>
        <w:rFonts w:ascii="Courier New" w:hAnsi="Courier New" w:cs="Courier New"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0" w15:restartNumberingAfterBreak="0">
    <w:nsid w:val="35E26DD7"/>
    <w:multiLevelType w:val="hybridMultilevel"/>
    <w:tmpl w:val="4470CA9A"/>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1" w15:restartNumberingAfterBreak="0">
    <w:nsid w:val="38204FBF"/>
    <w:multiLevelType w:val="hybridMultilevel"/>
    <w:tmpl w:val="6624E6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C8919B0"/>
    <w:multiLevelType w:val="hybridMultilevel"/>
    <w:tmpl w:val="79A2AE46"/>
    <w:lvl w:ilvl="0" w:tplc="5AD4F27C">
      <w:start w:val="1"/>
      <w:numFmt w:val="bullet"/>
      <w:lvlText w:val=""/>
      <w:lvlJc w:val="left"/>
      <w:pPr>
        <w:tabs>
          <w:tab w:val="num" w:pos="360"/>
        </w:tabs>
        <w:ind w:left="360" w:hanging="360"/>
      </w:pPr>
      <w:rPr>
        <w:rFonts w:ascii="Symbol" w:hAnsi="Symbol" w:hint="default"/>
        <w:color w:val="000000"/>
      </w:rPr>
    </w:lvl>
    <w:lvl w:ilvl="1" w:tplc="053081EC">
      <w:start w:val="1"/>
      <w:numFmt w:val="bullet"/>
      <w:lvlText w:val=""/>
      <w:lvlJc w:val="left"/>
      <w:pPr>
        <w:tabs>
          <w:tab w:val="num" w:pos="1080"/>
        </w:tabs>
        <w:ind w:left="1080" w:hanging="360"/>
      </w:pPr>
      <w:rPr>
        <w:rFonts w:ascii="Symbol" w:hAnsi="Symbol" w:hint="default"/>
        <w:color w:val="00000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D5C204D"/>
    <w:multiLevelType w:val="multilevel"/>
    <w:tmpl w:val="AB7AEEF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CB7F48"/>
    <w:multiLevelType w:val="hybridMultilevel"/>
    <w:tmpl w:val="7632E344"/>
    <w:lvl w:ilvl="0" w:tplc="C3704C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7B416C"/>
    <w:multiLevelType w:val="hybridMultilevel"/>
    <w:tmpl w:val="12C0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CF7433"/>
    <w:multiLevelType w:val="hybridMultilevel"/>
    <w:tmpl w:val="E538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752294"/>
    <w:multiLevelType w:val="hybridMultilevel"/>
    <w:tmpl w:val="76EE0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2178C0"/>
    <w:multiLevelType w:val="hybridMultilevel"/>
    <w:tmpl w:val="53F8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4B5153D"/>
    <w:multiLevelType w:val="hybridMultilevel"/>
    <w:tmpl w:val="4490D192"/>
    <w:lvl w:ilvl="0" w:tplc="4C362CA6">
      <w:start w:val="1"/>
      <w:numFmt w:val="bullet"/>
      <w:lvlText w:val="•"/>
      <w:lvlJc w:val="left"/>
      <w:pPr>
        <w:tabs>
          <w:tab w:val="num" w:pos="720"/>
        </w:tabs>
        <w:ind w:left="720" w:hanging="360"/>
      </w:pPr>
      <w:rPr>
        <w:rFonts w:ascii="Arial" w:hAnsi="Arial" w:hint="default"/>
      </w:rPr>
    </w:lvl>
    <w:lvl w:ilvl="1" w:tplc="2974AC9C" w:tentative="1">
      <w:start w:val="1"/>
      <w:numFmt w:val="bullet"/>
      <w:lvlText w:val="•"/>
      <w:lvlJc w:val="left"/>
      <w:pPr>
        <w:tabs>
          <w:tab w:val="num" w:pos="1440"/>
        </w:tabs>
        <w:ind w:left="1440" w:hanging="360"/>
      </w:pPr>
      <w:rPr>
        <w:rFonts w:ascii="Arial" w:hAnsi="Arial" w:hint="default"/>
      </w:rPr>
    </w:lvl>
    <w:lvl w:ilvl="2" w:tplc="68028CDC" w:tentative="1">
      <w:start w:val="1"/>
      <w:numFmt w:val="bullet"/>
      <w:lvlText w:val="•"/>
      <w:lvlJc w:val="left"/>
      <w:pPr>
        <w:tabs>
          <w:tab w:val="num" w:pos="2160"/>
        </w:tabs>
        <w:ind w:left="2160" w:hanging="360"/>
      </w:pPr>
      <w:rPr>
        <w:rFonts w:ascii="Arial" w:hAnsi="Arial" w:hint="default"/>
      </w:rPr>
    </w:lvl>
    <w:lvl w:ilvl="3" w:tplc="7E84EAC8" w:tentative="1">
      <w:start w:val="1"/>
      <w:numFmt w:val="bullet"/>
      <w:lvlText w:val="•"/>
      <w:lvlJc w:val="left"/>
      <w:pPr>
        <w:tabs>
          <w:tab w:val="num" w:pos="2880"/>
        </w:tabs>
        <w:ind w:left="2880" w:hanging="360"/>
      </w:pPr>
      <w:rPr>
        <w:rFonts w:ascii="Arial" w:hAnsi="Arial" w:hint="default"/>
      </w:rPr>
    </w:lvl>
    <w:lvl w:ilvl="4" w:tplc="8AEE5EAA" w:tentative="1">
      <w:start w:val="1"/>
      <w:numFmt w:val="bullet"/>
      <w:lvlText w:val="•"/>
      <w:lvlJc w:val="left"/>
      <w:pPr>
        <w:tabs>
          <w:tab w:val="num" w:pos="3600"/>
        </w:tabs>
        <w:ind w:left="3600" w:hanging="360"/>
      </w:pPr>
      <w:rPr>
        <w:rFonts w:ascii="Arial" w:hAnsi="Arial" w:hint="default"/>
      </w:rPr>
    </w:lvl>
    <w:lvl w:ilvl="5" w:tplc="04244D8A" w:tentative="1">
      <w:start w:val="1"/>
      <w:numFmt w:val="bullet"/>
      <w:lvlText w:val="•"/>
      <w:lvlJc w:val="left"/>
      <w:pPr>
        <w:tabs>
          <w:tab w:val="num" w:pos="4320"/>
        </w:tabs>
        <w:ind w:left="4320" w:hanging="360"/>
      </w:pPr>
      <w:rPr>
        <w:rFonts w:ascii="Arial" w:hAnsi="Arial" w:hint="default"/>
      </w:rPr>
    </w:lvl>
    <w:lvl w:ilvl="6" w:tplc="2CECC3A8" w:tentative="1">
      <w:start w:val="1"/>
      <w:numFmt w:val="bullet"/>
      <w:lvlText w:val="•"/>
      <w:lvlJc w:val="left"/>
      <w:pPr>
        <w:tabs>
          <w:tab w:val="num" w:pos="5040"/>
        </w:tabs>
        <w:ind w:left="5040" w:hanging="360"/>
      </w:pPr>
      <w:rPr>
        <w:rFonts w:ascii="Arial" w:hAnsi="Arial" w:hint="default"/>
      </w:rPr>
    </w:lvl>
    <w:lvl w:ilvl="7" w:tplc="C12078CC" w:tentative="1">
      <w:start w:val="1"/>
      <w:numFmt w:val="bullet"/>
      <w:lvlText w:val="•"/>
      <w:lvlJc w:val="left"/>
      <w:pPr>
        <w:tabs>
          <w:tab w:val="num" w:pos="5760"/>
        </w:tabs>
        <w:ind w:left="5760" w:hanging="360"/>
      </w:pPr>
      <w:rPr>
        <w:rFonts w:ascii="Arial" w:hAnsi="Arial" w:hint="default"/>
      </w:rPr>
    </w:lvl>
    <w:lvl w:ilvl="8" w:tplc="C8D060B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4EB35A7"/>
    <w:multiLevelType w:val="hybridMultilevel"/>
    <w:tmpl w:val="FDA8B2D4"/>
    <w:lvl w:ilvl="0" w:tplc="C3704C9E">
      <w:start w:val="1"/>
      <w:numFmt w:val="bullet"/>
      <w:lvlText w:val=""/>
      <w:lvlJc w:val="left"/>
      <w:pPr>
        <w:tabs>
          <w:tab w:val="num" w:pos="795"/>
        </w:tabs>
        <w:ind w:left="795" w:hanging="360"/>
      </w:pPr>
      <w:rPr>
        <w:rFonts w:ascii="Symbol" w:hAnsi="Symbol" w:hint="default"/>
        <w:color w:val="auto"/>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32" w15:restartNumberingAfterBreak="0">
    <w:nsid w:val="49FF7727"/>
    <w:multiLevelType w:val="hybridMultilevel"/>
    <w:tmpl w:val="C742D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0313B1A"/>
    <w:multiLevelType w:val="hybridMultilevel"/>
    <w:tmpl w:val="03A2A3C2"/>
    <w:lvl w:ilvl="0" w:tplc="053081EC">
      <w:start w:val="1"/>
      <w:numFmt w:val="bullet"/>
      <w:lvlText w:val=""/>
      <w:lvlJc w:val="left"/>
      <w:pPr>
        <w:tabs>
          <w:tab w:val="num" w:pos="360"/>
        </w:tabs>
        <w:ind w:left="360" w:hanging="360"/>
      </w:pPr>
      <w:rPr>
        <w:rFonts w:ascii="Symbol" w:hAnsi="Symbol" w:hint="default"/>
        <w:color w:val="00000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2BA64F8"/>
    <w:multiLevelType w:val="hybridMultilevel"/>
    <w:tmpl w:val="B816947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3CB485D"/>
    <w:multiLevelType w:val="hybridMultilevel"/>
    <w:tmpl w:val="B76C38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55CE059F"/>
    <w:multiLevelType w:val="hybridMultilevel"/>
    <w:tmpl w:val="D75C60E8"/>
    <w:lvl w:ilvl="0" w:tplc="C3704C9E">
      <w:start w:val="1"/>
      <w:numFmt w:val="bullet"/>
      <w:lvlText w:val=""/>
      <w:lvlJc w:val="left"/>
      <w:pPr>
        <w:tabs>
          <w:tab w:val="num" w:pos="780"/>
        </w:tabs>
        <w:ind w:left="780" w:hanging="360"/>
      </w:pPr>
      <w:rPr>
        <w:rFonts w:ascii="Symbol" w:hAnsi="Symbol" w:hint="default"/>
        <w:color w:val="auto"/>
      </w:rPr>
    </w:lvl>
    <w:lvl w:ilvl="1" w:tplc="04090003">
      <w:start w:val="1"/>
      <w:numFmt w:val="bullet"/>
      <w:lvlText w:val="o"/>
      <w:lvlJc w:val="left"/>
      <w:pPr>
        <w:tabs>
          <w:tab w:val="num" w:pos="1500"/>
        </w:tabs>
        <w:ind w:left="1500" w:hanging="360"/>
      </w:pPr>
      <w:rPr>
        <w:rFonts w:ascii="Courier New" w:hAnsi="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37" w15:restartNumberingAfterBreak="0">
    <w:nsid w:val="573A1940"/>
    <w:multiLevelType w:val="hybridMultilevel"/>
    <w:tmpl w:val="D3527CBC"/>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5D321DDA"/>
    <w:multiLevelType w:val="hybridMultilevel"/>
    <w:tmpl w:val="BA222A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8E3989"/>
    <w:multiLevelType w:val="multilevel"/>
    <w:tmpl w:val="1AEC13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E406F4"/>
    <w:multiLevelType w:val="hybridMultilevel"/>
    <w:tmpl w:val="C4AA384A"/>
    <w:lvl w:ilvl="0" w:tplc="C3704C9E">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514079D"/>
    <w:multiLevelType w:val="hybridMultilevel"/>
    <w:tmpl w:val="623E64D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2" w15:restartNumberingAfterBreak="0">
    <w:nsid w:val="654D74CA"/>
    <w:multiLevelType w:val="hybridMultilevel"/>
    <w:tmpl w:val="619E67A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6B097CF4"/>
    <w:multiLevelType w:val="hybridMultilevel"/>
    <w:tmpl w:val="D1B8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7013CA"/>
    <w:multiLevelType w:val="hybridMultilevel"/>
    <w:tmpl w:val="C54E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2753B0"/>
    <w:multiLevelType w:val="hybridMultilevel"/>
    <w:tmpl w:val="B6FC5ADA"/>
    <w:lvl w:ilvl="0" w:tplc="C3704C9E">
      <w:start w:val="1"/>
      <w:numFmt w:val="bullet"/>
      <w:lvlText w:val=""/>
      <w:lvlJc w:val="left"/>
      <w:pPr>
        <w:tabs>
          <w:tab w:val="num" w:pos="810"/>
        </w:tabs>
        <w:ind w:left="810" w:hanging="360"/>
      </w:pPr>
      <w:rPr>
        <w:rFonts w:ascii="Symbol" w:hAnsi="Symbol" w:hint="default"/>
        <w:color w:val="auto"/>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46" w15:restartNumberingAfterBreak="0">
    <w:nsid w:val="71406449"/>
    <w:multiLevelType w:val="hybridMultilevel"/>
    <w:tmpl w:val="277066A4"/>
    <w:lvl w:ilvl="0" w:tplc="C3704C9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3C34F2C"/>
    <w:multiLevelType w:val="hybridMultilevel"/>
    <w:tmpl w:val="3A460B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81177C4"/>
    <w:multiLevelType w:val="hybridMultilevel"/>
    <w:tmpl w:val="D80C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69097B"/>
    <w:multiLevelType w:val="hybridMultilevel"/>
    <w:tmpl w:val="6248D6E8"/>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948810801">
    <w:abstractNumId w:val="29"/>
  </w:num>
  <w:num w:numId="2" w16cid:durableId="434327524">
    <w:abstractNumId w:val="21"/>
  </w:num>
  <w:num w:numId="3" w16cid:durableId="1849950876">
    <w:abstractNumId w:val="34"/>
  </w:num>
  <w:num w:numId="4" w16cid:durableId="1404453759">
    <w:abstractNumId w:val="1"/>
  </w:num>
  <w:num w:numId="5" w16cid:durableId="2110616706">
    <w:abstractNumId w:val="4"/>
  </w:num>
  <w:num w:numId="6" w16cid:durableId="733312402">
    <w:abstractNumId w:val="37"/>
  </w:num>
  <w:num w:numId="7" w16cid:durableId="1924950196">
    <w:abstractNumId w:val="42"/>
  </w:num>
  <w:num w:numId="8" w16cid:durableId="615403782">
    <w:abstractNumId w:val="3"/>
  </w:num>
  <w:num w:numId="9" w16cid:durableId="1739205757">
    <w:abstractNumId w:val="49"/>
  </w:num>
  <w:num w:numId="10" w16cid:durableId="1699697043">
    <w:abstractNumId w:val="6"/>
  </w:num>
  <w:num w:numId="11" w16cid:durableId="606157941">
    <w:abstractNumId w:val="47"/>
  </w:num>
  <w:num w:numId="12" w16cid:durableId="1826624640">
    <w:abstractNumId w:val="12"/>
  </w:num>
  <w:num w:numId="13" w16cid:durableId="1706758642">
    <w:abstractNumId w:val="31"/>
  </w:num>
  <w:num w:numId="14" w16cid:durableId="984161564">
    <w:abstractNumId w:val="18"/>
  </w:num>
  <w:num w:numId="15" w16cid:durableId="1380284438">
    <w:abstractNumId w:val="45"/>
  </w:num>
  <w:num w:numId="16" w16cid:durableId="1073089777">
    <w:abstractNumId w:val="24"/>
  </w:num>
  <w:num w:numId="17" w16cid:durableId="838541712">
    <w:abstractNumId w:val="40"/>
  </w:num>
  <w:num w:numId="18" w16cid:durableId="87432458">
    <w:abstractNumId w:val="46"/>
  </w:num>
  <w:num w:numId="19" w16cid:durableId="2057704389">
    <w:abstractNumId w:val="36"/>
  </w:num>
  <w:num w:numId="20" w16cid:durableId="1166677223">
    <w:abstractNumId w:val="22"/>
  </w:num>
  <w:num w:numId="21" w16cid:durableId="9992906">
    <w:abstractNumId w:val="33"/>
  </w:num>
  <w:num w:numId="22" w16cid:durableId="24067766">
    <w:abstractNumId w:val="9"/>
  </w:num>
  <w:num w:numId="23" w16cid:durableId="1010910588">
    <w:abstractNumId w:val="20"/>
  </w:num>
  <w:num w:numId="24" w16cid:durableId="1068848512">
    <w:abstractNumId w:val="43"/>
  </w:num>
  <w:num w:numId="25" w16cid:durableId="560143871">
    <w:abstractNumId w:val="28"/>
  </w:num>
  <w:num w:numId="26" w16cid:durableId="163473313">
    <w:abstractNumId w:val="27"/>
  </w:num>
  <w:num w:numId="27" w16cid:durableId="1819683541">
    <w:abstractNumId w:val="17"/>
  </w:num>
  <w:num w:numId="28" w16cid:durableId="328220356">
    <w:abstractNumId w:val="16"/>
  </w:num>
  <w:num w:numId="29" w16cid:durableId="2111972998">
    <w:abstractNumId w:val="10"/>
  </w:num>
  <w:num w:numId="30" w16cid:durableId="588395754">
    <w:abstractNumId w:val="35"/>
  </w:num>
  <w:num w:numId="31" w16cid:durableId="1717847186">
    <w:abstractNumId w:val="44"/>
  </w:num>
  <w:num w:numId="32" w16cid:durableId="2047487368">
    <w:abstractNumId w:val="15"/>
  </w:num>
  <w:num w:numId="33" w16cid:durableId="1045106437">
    <w:abstractNumId w:val="26"/>
  </w:num>
  <w:num w:numId="34" w16cid:durableId="1063602309">
    <w:abstractNumId w:val="30"/>
  </w:num>
  <w:num w:numId="35" w16cid:durableId="1771317181">
    <w:abstractNumId w:val="2"/>
  </w:num>
  <w:num w:numId="36" w16cid:durableId="267782259">
    <w:abstractNumId w:val="11"/>
  </w:num>
  <w:num w:numId="37" w16cid:durableId="1565022428">
    <w:abstractNumId w:val="7"/>
  </w:num>
  <w:num w:numId="38" w16cid:durableId="291331397">
    <w:abstractNumId w:val="25"/>
  </w:num>
  <w:num w:numId="39" w16cid:durableId="1370372894">
    <w:abstractNumId w:val="14"/>
  </w:num>
  <w:num w:numId="40" w16cid:durableId="1289359534">
    <w:abstractNumId w:val="39"/>
  </w:num>
  <w:num w:numId="41" w16cid:durableId="2065131715">
    <w:abstractNumId w:val="23"/>
  </w:num>
  <w:num w:numId="42" w16cid:durableId="343553383">
    <w:abstractNumId w:val="13"/>
  </w:num>
  <w:num w:numId="43" w16cid:durableId="1229920825">
    <w:abstractNumId w:val="19"/>
  </w:num>
  <w:num w:numId="44" w16cid:durableId="1285498903">
    <w:abstractNumId w:val="38"/>
  </w:num>
  <w:num w:numId="45" w16cid:durableId="656618179">
    <w:abstractNumId w:val="0"/>
  </w:num>
  <w:num w:numId="46" w16cid:durableId="1754355105">
    <w:abstractNumId w:val="32"/>
  </w:num>
  <w:num w:numId="47" w16cid:durableId="1213271391">
    <w:abstractNumId w:val="5"/>
  </w:num>
  <w:num w:numId="48" w16cid:durableId="840774530">
    <w:abstractNumId w:val="48"/>
  </w:num>
  <w:num w:numId="49" w16cid:durableId="491870641">
    <w:abstractNumId w:val="8"/>
  </w:num>
  <w:num w:numId="50" w16cid:durableId="1974091249">
    <w:abstractNumId w:val="41"/>
  </w:num>
  <w:num w:numId="51" w16cid:durableId="895162610">
    <w:abstractNumId w:val="39"/>
  </w:num>
  <w:num w:numId="52" w16cid:durableId="1763066130">
    <w:abstractNumId w:val="38"/>
  </w:num>
  <w:num w:numId="53" w16cid:durableId="1557350341">
    <w:abstractNumId w:val="0"/>
  </w:num>
  <w:num w:numId="54" w16cid:durableId="1587348429">
    <w:abstractNumId w:val="3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347"/>
    <w:rsid w:val="000003E5"/>
    <w:rsid w:val="00000BE8"/>
    <w:rsid w:val="00006FE1"/>
    <w:rsid w:val="000128F4"/>
    <w:rsid w:val="00017259"/>
    <w:rsid w:val="00017603"/>
    <w:rsid w:val="00026765"/>
    <w:rsid w:val="0002766B"/>
    <w:rsid w:val="00030B68"/>
    <w:rsid w:val="00036F50"/>
    <w:rsid w:val="00040C5B"/>
    <w:rsid w:val="00043AA0"/>
    <w:rsid w:val="00043ECA"/>
    <w:rsid w:val="000455FB"/>
    <w:rsid w:val="00046717"/>
    <w:rsid w:val="00046D7D"/>
    <w:rsid w:val="0005314E"/>
    <w:rsid w:val="00053174"/>
    <w:rsid w:val="00055BD7"/>
    <w:rsid w:val="00056F15"/>
    <w:rsid w:val="00060695"/>
    <w:rsid w:val="00061F15"/>
    <w:rsid w:val="0006265F"/>
    <w:rsid w:val="00063161"/>
    <w:rsid w:val="00064378"/>
    <w:rsid w:val="000648D6"/>
    <w:rsid w:val="00065576"/>
    <w:rsid w:val="000656D6"/>
    <w:rsid w:val="00072248"/>
    <w:rsid w:val="00075C6E"/>
    <w:rsid w:val="00082325"/>
    <w:rsid w:val="00084C7D"/>
    <w:rsid w:val="00090ADC"/>
    <w:rsid w:val="00092E73"/>
    <w:rsid w:val="0009454F"/>
    <w:rsid w:val="000974BD"/>
    <w:rsid w:val="000978D6"/>
    <w:rsid w:val="00097F84"/>
    <w:rsid w:val="000A5D94"/>
    <w:rsid w:val="000A62CF"/>
    <w:rsid w:val="000A7311"/>
    <w:rsid w:val="000A7958"/>
    <w:rsid w:val="000B047A"/>
    <w:rsid w:val="000C1159"/>
    <w:rsid w:val="000C5960"/>
    <w:rsid w:val="000D2381"/>
    <w:rsid w:val="000D4528"/>
    <w:rsid w:val="000D48DE"/>
    <w:rsid w:val="000E2030"/>
    <w:rsid w:val="000E20DA"/>
    <w:rsid w:val="000E59E2"/>
    <w:rsid w:val="000F0E7D"/>
    <w:rsid w:val="000F552F"/>
    <w:rsid w:val="000F5F07"/>
    <w:rsid w:val="0010082C"/>
    <w:rsid w:val="00106D09"/>
    <w:rsid w:val="001110D7"/>
    <w:rsid w:val="00116E14"/>
    <w:rsid w:val="00121CB4"/>
    <w:rsid w:val="00123CE4"/>
    <w:rsid w:val="00126C36"/>
    <w:rsid w:val="00130EF7"/>
    <w:rsid w:val="00135E29"/>
    <w:rsid w:val="001368B0"/>
    <w:rsid w:val="00141892"/>
    <w:rsid w:val="00144EE0"/>
    <w:rsid w:val="00144F6E"/>
    <w:rsid w:val="00146437"/>
    <w:rsid w:val="00146D1A"/>
    <w:rsid w:val="001507FA"/>
    <w:rsid w:val="00150CCF"/>
    <w:rsid w:val="001513CD"/>
    <w:rsid w:val="00152B19"/>
    <w:rsid w:val="00152DB3"/>
    <w:rsid w:val="00154195"/>
    <w:rsid w:val="00154AC6"/>
    <w:rsid w:val="00155B85"/>
    <w:rsid w:val="001600EA"/>
    <w:rsid w:val="00161CA7"/>
    <w:rsid w:val="00164ABE"/>
    <w:rsid w:val="0016673C"/>
    <w:rsid w:val="00177276"/>
    <w:rsid w:val="00187D44"/>
    <w:rsid w:val="00195596"/>
    <w:rsid w:val="0019732F"/>
    <w:rsid w:val="001A1531"/>
    <w:rsid w:val="001A28CB"/>
    <w:rsid w:val="001A6309"/>
    <w:rsid w:val="001B0373"/>
    <w:rsid w:val="001B0D90"/>
    <w:rsid w:val="001B6289"/>
    <w:rsid w:val="001B7079"/>
    <w:rsid w:val="001C410A"/>
    <w:rsid w:val="001D0305"/>
    <w:rsid w:val="001D669F"/>
    <w:rsid w:val="001D7F5B"/>
    <w:rsid w:val="001E6137"/>
    <w:rsid w:val="001F0E95"/>
    <w:rsid w:val="001F2B39"/>
    <w:rsid w:val="001F3895"/>
    <w:rsid w:val="001F539D"/>
    <w:rsid w:val="001F5535"/>
    <w:rsid w:val="001F644B"/>
    <w:rsid w:val="00204EAD"/>
    <w:rsid w:val="00215E8A"/>
    <w:rsid w:val="00217D07"/>
    <w:rsid w:val="00217F11"/>
    <w:rsid w:val="002207D9"/>
    <w:rsid w:val="00230483"/>
    <w:rsid w:val="002353B6"/>
    <w:rsid w:val="00235B24"/>
    <w:rsid w:val="00242243"/>
    <w:rsid w:val="00246831"/>
    <w:rsid w:val="00246ACF"/>
    <w:rsid w:val="00250EF5"/>
    <w:rsid w:val="00255096"/>
    <w:rsid w:val="0025658F"/>
    <w:rsid w:val="0026019A"/>
    <w:rsid w:val="0026253B"/>
    <w:rsid w:val="00264991"/>
    <w:rsid w:val="002651B9"/>
    <w:rsid w:val="00265819"/>
    <w:rsid w:val="0027095F"/>
    <w:rsid w:val="00271080"/>
    <w:rsid w:val="002711A3"/>
    <w:rsid w:val="00271EB5"/>
    <w:rsid w:val="002808BE"/>
    <w:rsid w:val="0029137D"/>
    <w:rsid w:val="00294286"/>
    <w:rsid w:val="00297D15"/>
    <w:rsid w:val="002B2337"/>
    <w:rsid w:val="002B71ED"/>
    <w:rsid w:val="002B7F80"/>
    <w:rsid w:val="002C4634"/>
    <w:rsid w:val="002C53BD"/>
    <w:rsid w:val="002C5810"/>
    <w:rsid w:val="002D0276"/>
    <w:rsid w:val="002D299A"/>
    <w:rsid w:val="002E1762"/>
    <w:rsid w:val="002E1B10"/>
    <w:rsid w:val="002E4DB9"/>
    <w:rsid w:val="002E7C07"/>
    <w:rsid w:val="002F04B3"/>
    <w:rsid w:val="002F0553"/>
    <w:rsid w:val="002F08B6"/>
    <w:rsid w:val="002F1D71"/>
    <w:rsid w:val="002F56F1"/>
    <w:rsid w:val="002F6135"/>
    <w:rsid w:val="00301347"/>
    <w:rsid w:val="0030141E"/>
    <w:rsid w:val="00307B76"/>
    <w:rsid w:val="00310568"/>
    <w:rsid w:val="00314A2F"/>
    <w:rsid w:val="0031528D"/>
    <w:rsid w:val="00315BC3"/>
    <w:rsid w:val="00316B74"/>
    <w:rsid w:val="00317C44"/>
    <w:rsid w:val="00317EA7"/>
    <w:rsid w:val="003247F4"/>
    <w:rsid w:val="0032526A"/>
    <w:rsid w:val="003261AA"/>
    <w:rsid w:val="00326B3F"/>
    <w:rsid w:val="00331F78"/>
    <w:rsid w:val="00342AC8"/>
    <w:rsid w:val="00350D38"/>
    <w:rsid w:val="003521EA"/>
    <w:rsid w:val="003543EE"/>
    <w:rsid w:val="00363F0A"/>
    <w:rsid w:val="00371441"/>
    <w:rsid w:val="003736FF"/>
    <w:rsid w:val="003776F8"/>
    <w:rsid w:val="003855A5"/>
    <w:rsid w:val="003923A6"/>
    <w:rsid w:val="00394B5A"/>
    <w:rsid w:val="003A2344"/>
    <w:rsid w:val="003A3FB7"/>
    <w:rsid w:val="003A6684"/>
    <w:rsid w:val="003A7D6C"/>
    <w:rsid w:val="003B5FF4"/>
    <w:rsid w:val="003B7E76"/>
    <w:rsid w:val="003C58FD"/>
    <w:rsid w:val="003D0429"/>
    <w:rsid w:val="003D22B7"/>
    <w:rsid w:val="003D3001"/>
    <w:rsid w:val="003D4800"/>
    <w:rsid w:val="003E12FE"/>
    <w:rsid w:val="003E1E30"/>
    <w:rsid w:val="003E2EBA"/>
    <w:rsid w:val="003E3CB4"/>
    <w:rsid w:val="003F261F"/>
    <w:rsid w:val="003F338C"/>
    <w:rsid w:val="003F5E85"/>
    <w:rsid w:val="003F7D80"/>
    <w:rsid w:val="00401C7F"/>
    <w:rsid w:val="00414CE1"/>
    <w:rsid w:val="0041760A"/>
    <w:rsid w:val="004204CB"/>
    <w:rsid w:val="0042296F"/>
    <w:rsid w:val="00427387"/>
    <w:rsid w:val="0043172E"/>
    <w:rsid w:val="00433119"/>
    <w:rsid w:val="00433EE7"/>
    <w:rsid w:val="0043526D"/>
    <w:rsid w:val="00435270"/>
    <w:rsid w:val="00435F40"/>
    <w:rsid w:val="00442E34"/>
    <w:rsid w:val="00450330"/>
    <w:rsid w:val="00453B3F"/>
    <w:rsid w:val="00453D6F"/>
    <w:rsid w:val="00454DE3"/>
    <w:rsid w:val="00463A2C"/>
    <w:rsid w:val="00467C49"/>
    <w:rsid w:val="00474987"/>
    <w:rsid w:val="004763C5"/>
    <w:rsid w:val="004767D4"/>
    <w:rsid w:val="00477847"/>
    <w:rsid w:val="00481966"/>
    <w:rsid w:val="00483B86"/>
    <w:rsid w:val="00485408"/>
    <w:rsid w:val="0048648D"/>
    <w:rsid w:val="00490EE2"/>
    <w:rsid w:val="004A0E36"/>
    <w:rsid w:val="004A2123"/>
    <w:rsid w:val="004B25A0"/>
    <w:rsid w:val="004B5A36"/>
    <w:rsid w:val="004B7636"/>
    <w:rsid w:val="004C0979"/>
    <w:rsid w:val="004C5B09"/>
    <w:rsid w:val="004C6EA9"/>
    <w:rsid w:val="004C7270"/>
    <w:rsid w:val="004F03B1"/>
    <w:rsid w:val="004F1457"/>
    <w:rsid w:val="004F39A1"/>
    <w:rsid w:val="004F3A7C"/>
    <w:rsid w:val="004F4530"/>
    <w:rsid w:val="004F5A23"/>
    <w:rsid w:val="004F76CE"/>
    <w:rsid w:val="00500BE1"/>
    <w:rsid w:val="00500E7A"/>
    <w:rsid w:val="0050146D"/>
    <w:rsid w:val="00502670"/>
    <w:rsid w:val="00511F92"/>
    <w:rsid w:val="00512853"/>
    <w:rsid w:val="0051375A"/>
    <w:rsid w:val="005200DD"/>
    <w:rsid w:val="00526286"/>
    <w:rsid w:val="0053686E"/>
    <w:rsid w:val="00536B09"/>
    <w:rsid w:val="00536C57"/>
    <w:rsid w:val="00545AF5"/>
    <w:rsid w:val="00546733"/>
    <w:rsid w:val="00550422"/>
    <w:rsid w:val="0055522F"/>
    <w:rsid w:val="00575915"/>
    <w:rsid w:val="00577715"/>
    <w:rsid w:val="00580560"/>
    <w:rsid w:val="005808D0"/>
    <w:rsid w:val="00580B7A"/>
    <w:rsid w:val="00583CA8"/>
    <w:rsid w:val="0058579D"/>
    <w:rsid w:val="0059107B"/>
    <w:rsid w:val="00592148"/>
    <w:rsid w:val="005922B4"/>
    <w:rsid w:val="005A04ED"/>
    <w:rsid w:val="005A1E7A"/>
    <w:rsid w:val="005A6091"/>
    <w:rsid w:val="005B17ED"/>
    <w:rsid w:val="005B3625"/>
    <w:rsid w:val="005B60B7"/>
    <w:rsid w:val="005B6A35"/>
    <w:rsid w:val="005C1ADC"/>
    <w:rsid w:val="005C1FC3"/>
    <w:rsid w:val="005C3B3D"/>
    <w:rsid w:val="005C6FA6"/>
    <w:rsid w:val="005C7C3B"/>
    <w:rsid w:val="005D4045"/>
    <w:rsid w:val="005D5A7E"/>
    <w:rsid w:val="005D623F"/>
    <w:rsid w:val="005E2211"/>
    <w:rsid w:val="005E40D9"/>
    <w:rsid w:val="005E41E8"/>
    <w:rsid w:val="005E5253"/>
    <w:rsid w:val="005F116B"/>
    <w:rsid w:val="005F1898"/>
    <w:rsid w:val="005F4F48"/>
    <w:rsid w:val="005F500C"/>
    <w:rsid w:val="005F6841"/>
    <w:rsid w:val="0060025F"/>
    <w:rsid w:val="006027AB"/>
    <w:rsid w:val="00603F5B"/>
    <w:rsid w:val="006062B5"/>
    <w:rsid w:val="00610677"/>
    <w:rsid w:val="00611464"/>
    <w:rsid w:val="00614745"/>
    <w:rsid w:val="00615158"/>
    <w:rsid w:val="00616C57"/>
    <w:rsid w:val="00617A1A"/>
    <w:rsid w:val="00621AE4"/>
    <w:rsid w:val="006279E1"/>
    <w:rsid w:val="00627D37"/>
    <w:rsid w:val="006314B1"/>
    <w:rsid w:val="0063722B"/>
    <w:rsid w:val="00650C34"/>
    <w:rsid w:val="0065136D"/>
    <w:rsid w:val="00651481"/>
    <w:rsid w:val="00653BD0"/>
    <w:rsid w:val="00653E0B"/>
    <w:rsid w:val="006627EE"/>
    <w:rsid w:val="00662808"/>
    <w:rsid w:val="00662CAE"/>
    <w:rsid w:val="00664CC7"/>
    <w:rsid w:val="00665B06"/>
    <w:rsid w:val="006710F0"/>
    <w:rsid w:val="00671D09"/>
    <w:rsid w:val="006738AA"/>
    <w:rsid w:val="006750F0"/>
    <w:rsid w:val="00690CD3"/>
    <w:rsid w:val="00692312"/>
    <w:rsid w:val="00692F8D"/>
    <w:rsid w:val="0069542A"/>
    <w:rsid w:val="006A2B6D"/>
    <w:rsid w:val="006A78B5"/>
    <w:rsid w:val="006B040C"/>
    <w:rsid w:val="006C1338"/>
    <w:rsid w:val="006C6C7A"/>
    <w:rsid w:val="006D10CC"/>
    <w:rsid w:val="006D414D"/>
    <w:rsid w:val="006E5BE2"/>
    <w:rsid w:val="006E677F"/>
    <w:rsid w:val="006F05A1"/>
    <w:rsid w:val="006F151F"/>
    <w:rsid w:val="006F1C7E"/>
    <w:rsid w:val="006F4425"/>
    <w:rsid w:val="006F4727"/>
    <w:rsid w:val="007007FE"/>
    <w:rsid w:val="00700ECD"/>
    <w:rsid w:val="00701D29"/>
    <w:rsid w:val="00702E69"/>
    <w:rsid w:val="00702EB8"/>
    <w:rsid w:val="00703AA9"/>
    <w:rsid w:val="00705048"/>
    <w:rsid w:val="00712AEC"/>
    <w:rsid w:val="007139B9"/>
    <w:rsid w:val="00715150"/>
    <w:rsid w:val="00720207"/>
    <w:rsid w:val="0072021D"/>
    <w:rsid w:val="007203EB"/>
    <w:rsid w:val="00720B33"/>
    <w:rsid w:val="007218BF"/>
    <w:rsid w:val="00724B8A"/>
    <w:rsid w:val="0072785D"/>
    <w:rsid w:val="0073016A"/>
    <w:rsid w:val="00732A36"/>
    <w:rsid w:val="00737EC6"/>
    <w:rsid w:val="00743EA8"/>
    <w:rsid w:val="007504D8"/>
    <w:rsid w:val="00751075"/>
    <w:rsid w:val="00755D6D"/>
    <w:rsid w:val="00756466"/>
    <w:rsid w:val="00756E6F"/>
    <w:rsid w:val="007575A9"/>
    <w:rsid w:val="00760DC0"/>
    <w:rsid w:val="00761D4F"/>
    <w:rsid w:val="007701D9"/>
    <w:rsid w:val="00771B86"/>
    <w:rsid w:val="0077387C"/>
    <w:rsid w:val="00773D74"/>
    <w:rsid w:val="0078045D"/>
    <w:rsid w:val="0078242D"/>
    <w:rsid w:val="00783475"/>
    <w:rsid w:val="00790C1F"/>
    <w:rsid w:val="007A19CC"/>
    <w:rsid w:val="007B042C"/>
    <w:rsid w:val="007B4369"/>
    <w:rsid w:val="007B4371"/>
    <w:rsid w:val="007B5296"/>
    <w:rsid w:val="007C7AF2"/>
    <w:rsid w:val="007D04B0"/>
    <w:rsid w:val="007F0089"/>
    <w:rsid w:val="007F15B8"/>
    <w:rsid w:val="007F1D18"/>
    <w:rsid w:val="007F42FD"/>
    <w:rsid w:val="007F7AFD"/>
    <w:rsid w:val="00800DCF"/>
    <w:rsid w:val="00806499"/>
    <w:rsid w:val="00813B85"/>
    <w:rsid w:val="00816FF8"/>
    <w:rsid w:val="00821FB3"/>
    <w:rsid w:val="0082396F"/>
    <w:rsid w:val="00823BA0"/>
    <w:rsid w:val="0082460D"/>
    <w:rsid w:val="008257D1"/>
    <w:rsid w:val="008321DC"/>
    <w:rsid w:val="00843688"/>
    <w:rsid w:val="00844B16"/>
    <w:rsid w:val="00845B5A"/>
    <w:rsid w:val="00850440"/>
    <w:rsid w:val="00852DF8"/>
    <w:rsid w:val="008536A9"/>
    <w:rsid w:val="008547FC"/>
    <w:rsid w:val="00863C25"/>
    <w:rsid w:val="00864239"/>
    <w:rsid w:val="00866C11"/>
    <w:rsid w:val="00887026"/>
    <w:rsid w:val="00887D28"/>
    <w:rsid w:val="00891DFF"/>
    <w:rsid w:val="00892B73"/>
    <w:rsid w:val="008934A5"/>
    <w:rsid w:val="008960F3"/>
    <w:rsid w:val="008A77FF"/>
    <w:rsid w:val="008B0988"/>
    <w:rsid w:val="008B6FD3"/>
    <w:rsid w:val="008B7971"/>
    <w:rsid w:val="008C5459"/>
    <w:rsid w:val="008D1424"/>
    <w:rsid w:val="008D1657"/>
    <w:rsid w:val="008D55FF"/>
    <w:rsid w:val="008E18DB"/>
    <w:rsid w:val="008E351A"/>
    <w:rsid w:val="008E45C2"/>
    <w:rsid w:val="008E50AB"/>
    <w:rsid w:val="008E54FB"/>
    <w:rsid w:val="008E75A5"/>
    <w:rsid w:val="008F17A3"/>
    <w:rsid w:val="008F3A3E"/>
    <w:rsid w:val="00903F65"/>
    <w:rsid w:val="00904D74"/>
    <w:rsid w:val="00910663"/>
    <w:rsid w:val="00910FA9"/>
    <w:rsid w:val="00911185"/>
    <w:rsid w:val="0091123D"/>
    <w:rsid w:val="00916EC3"/>
    <w:rsid w:val="0092360D"/>
    <w:rsid w:val="00924ECB"/>
    <w:rsid w:val="009257C2"/>
    <w:rsid w:val="009261DF"/>
    <w:rsid w:val="009321D0"/>
    <w:rsid w:val="0093783F"/>
    <w:rsid w:val="00937F01"/>
    <w:rsid w:val="00945D9F"/>
    <w:rsid w:val="0094735E"/>
    <w:rsid w:val="009513DD"/>
    <w:rsid w:val="00954130"/>
    <w:rsid w:val="00965714"/>
    <w:rsid w:val="009666D3"/>
    <w:rsid w:val="00970411"/>
    <w:rsid w:val="00971E96"/>
    <w:rsid w:val="0097542F"/>
    <w:rsid w:val="0097678A"/>
    <w:rsid w:val="009822A7"/>
    <w:rsid w:val="00984BE8"/>
    <w:rsid w:val="00993EF5"/>
    <w:rsid w:val="009A0ED3"/>
    <w:rsid w:val="009A3539"/>
    <w:rsid w:val="009B3064"/>
    <w:rsid w:val="009D1594"/>
    <w:rsid w:val="009D1D14"/>
    <w:rsid w:val="009D252B"/>
    <w:rsid w:val="009D38C7"/>
    <w:rsid w:val="009D3E6C"/>
    <w:rsid w:val="009D4D85"/>
    <w:rsid w:val="009E04B4"/>
    <w:rsid w:val="009E2422"/>
    <w:rsid w:val="009E2651"/>
    <w:rsid w:val="009E3BB5"/>
    <w:rsid w:val="009E5268"/>
    <w:rsid w:val="009E6541"/>
    <w:rsid w:val="009F1910"/>
    <w:rsid w:val="009F19F1"/>
    <w:rsid w:val="009F46C1"/>
    <w:rsid w:val="009F52D9"/>
    <w:rsid w:val="009F5471"/>
    <w:rsid w:val="009F5681"/>
    <w:rsid w:val="00A07503"/>
    <w:rsid w:val="00A1138F"/>
    <w:rsid w:val="00A13C9C"/>
    <w:rsid w:val="00A21D15"/>
    <w:rsid w:val="00A31202"/>
    <w:rsid w:val="00A3361C"/>
    <w:rsid w:val="00A34F76"/>
    <w:rsid w:val="00A43356"/>
    <w:rsid w:val="00A509A9"/>
    <w:rsid w:val="00A62C78"/>
    <w:rsid w:val="00A661C8"/>
    <w:rsid w:val="00A71F1E"/>
    <w:rsid w:val="00A73249"/>
    <w:rsid w:val="00A73A05"/>
    <w:rsid w:val="00A86B94"/>
    <w:rsid w:val="00A91843"/>
    <w:rsid w:val="00A97F0C"/>
    <w:rsid w:val="00AA54D5"/>
    <w:rsid w:val="00AB2BD7"/>
    <w:rsid w:val="00AB31B9"/>
    <w:rsid w:val="00AB5E56"/>
    <w:rsid w:val="00AB7396"/>
    <w:rsid w:val="00AB7959"/>
    <w:rsid w:val="00AC6B1E"/>
    <w:rsid w:val="00AD0157"/>
    <w:rsid w:val="00AD09E2"/>
    <w:rsid w:val="00AD0D97"/>
    <w:rsid w:val="00AD2B7E"/>
    <w:rsid w:val="00AD4C22"/>
    <w:rsid w:val="00AD6145"/>
    <w:rsid w:val="00AE0A87"/>
    <w:rsid w:val="00AE157D"/>
    <w:rsid w:val="00AE18E0"/>
    <w:rsid w:val="00AE2080"/>
    <w:rsid w:val="00AE3F30"/>
    <w:rsid w:val="00AF2F4F"/>
    <w:rsid w:val="00B05A5F"/>
    <w:rsid w:val="00B07033"/>
    <w:rsid w:val="00B10E70"/>
    <w:rsid w:val="00B11414"/>
    <w:rsid w:val="00B13641"/>
    <w:rsid w:val="00B143D1"/>
    <w:rsid w:val="00B209E4"/>
    <w:rsid w:val="00B306AD"/>
    <w:rsid w:val="00B330BC"/>
    <w:rsid w:val="00B3438B"/>
    <w:rsid w:val="00B37D6F"/>
    <w:rsid w:val="00B40D39"/>
    <w:rsid w:val="00B424E0"/>
    <w:rsid w:val="00B4636A"/>
    <w:rsid w:val="00B50771"/>
    <w:rsid w:val="00B5464C"/>
    <w:rsid w:val="00B67C7F"/>
    <w:rsid w:val="00B70C50"/>
    <w:rsid w:val="00B73EF2"/>
    <w:rsid w:val="00B75F77"/>
    <w:rsid w:val="00B81516"/>
    <w:rsid w:val="00B825F5"/>
    <w:rsid w:val="00B86FFE"/>
    <w:rsid w:val="00B91823"/>
    <w:rsid w:val="00B91CE3"/>
    <w:rsid w:val="00BA653D"/>
    <w:rsid w:val="00BB4C0B"/>
    <w:rsid w:val="00BB59A0"/>
    <w:rsid w:val="00BB75C8"/>
    <w:rsid w:val="00BC0AE1"/>
    <w:rsid w:val="00BC25AF"/>
    <w:rsid w:val="00BC4A30"/>
    <w:rsid w:val="00BC6926"/>
    <w:rsid w:val="00BD22D5"/>
    <w:rsid w:val="00BD54DA"/>
    <w:rsid w:val="00BD68D4"/>
    <w:rsid w:val="00BD6DBD"/>
    <w:rsid w:val="00BE5DC4"/>
    <w:rsid w:val="00BF01CD"/>
    <w:rsid w:val="00BF52E4"/>
    <w:rsid w:val="00BF60DD"/>
    <w:rsid w:val="00BF72BB"/>
    <w:rsid w:val="00C010A3"/>
    <w:rsid w:val="00C041FD"/>
    <w:rsid w:val="00C05ADE"/>
    <w:rsid w:val="00C116E6"/>
    <w:rsid w:val="00C12843"/>
    <w:rsid w:val="00C12BFB"/>
    <w:rsid w:val="00C13DC8"/>
    <w:rsid w:val="00C17A06"/>
    <w:rsid w:val="00C26CFE"/>
    <w:rsid w:val="00C3128F"/>
    <w:rsid w:val="00C32FEF"/>
    <w:rsid w:val="00C340B6"/>
    <w:rsid w:val="00C34947"/>
    <w:rsid w:val="00C35292"/>
    <w:rsid w:val="00C3588B"/>
    <w:rsid w:val="00C3784E"/>
    <w:rsid w:val="00C415AD"/>
    <w:rsid w:val="00C42416"/>
    <w:rsid w:val="00C42BD7"/>
    <w:rsid w:val="00C45947"/>
    <w:rsid w:val="00C50C38"/>
    <w:rsid w:val="00C51563"/>
    <w:rsid w:val="00C52EF6"/>
    <w:rsid w:val="00C54F63"/>
    <w:rsid w:val="00C5545C"/>
    <w:rsid w:val="00C561BA"/>
    <w:rsid w:val="00C56430"/>
    <w:rsid w:val="00C5683B"/>
    <w:rsid w:val="00C60F1F"/>
    <w:rsid w:val="00C629AA"/>
    <w:rsid w:val="00C66197"/>
    <w:rsid w:val="00C67718"/>
    <w:rsid w:val="00C71E10"/>
    <w:rsid w:val="00C812AE"/>
    <w:rsid w:val="00C83A8F"/>
    <w:rsid w:val="00C84B3E"/>
    <w:rsid w:val="00C9020A"/>
    <w:rsid w:val="00C9140A"/>
    <w:rsid w:val="00C91E70"/>
    <w:rsid w:val="00C949F8"/>
    <w:rsid w:val="00C96421"/>
    <w:rsid w:val="00C96C76"/>
    <w:rsid w:val="00CA3394"/>
    <w:rsid w:val="00CA3817"/>
    <w:rsid w:val="00CA4EEB"/>
    <w:rsid w:val="00CA52BF"/>
    <w:rsid w:val="00CA745C"/>
    <w:rsid w:val="00CA77AD"/>
    <w:rsid w:val="00CB47E4"/>
    <w:rsid w:val="00CC426E"/>
    <w:rsid w:val="00CC6152"/>
    <w:rsid w:val="00CC681C"/>
    <w:rsid w:val="00CD06D6"/>
    <w:rsid w:val="00CD3EB6"/>
    <w:rsid w:val="00CD45A5"/>
    <w:rsid w:val="00CE023F"/>
    <w:rsid w:val="00CE3FE9"/>
    <w:rsid w:val="00CE4811"/>
    <w:rsid w:val="00CE6386"/>
    <w:rsid w:val="00CE79DC"/>
    <w:rsid w:val="00CF1F8D"/>
    <w:rsid w:val="00CF5C5D"/>
    <w:rsid w:val="00CF7551"/>
    <w:rsid w:val="00D000E3"/>
    <w:rsid w:val="00D0097C"/>
    <w:rsid w:val="00D034D8"/>
    <w:rsid w:val="00D11786"/>
    <w:rsid w:val="00D14279"/>
    <w:rsid w:val="00D22783"/>
    <w:rsid w:val="00D2420B"/>
    <w:rsid w:val="00D24F41"/>
    <w:rsid w:val="00D267DE"/>
    <w:rsid w:val="00D329B5"/>
    <w:rsid w:val="00D36C84"/>
    <w:rsid w:val="00D408BD"/>
    <w:rsid w:val="00D43402"/>
    <w:rsid w:val="00D43E88"/>
    <w:rsid w:val="00D44029"/>
    <w:rsid w:val="00D4584B"/>
    <w:rsid w:val="00D47144"/>
    <w:rsid w:val="00D52302"/>
    <w:rsid w:val="00D55628"/>
    <w:rsid w:val="00D57362"/>
    <w:rsid w:val="00D63148"/>
    <w:rsid w:val="00D665B1"/>
    <w:rsid w:val="00D71113"/>
    <w:rsid w:val="00D71770"/>
    <w:rsid w:val="00D7249C"/>
    <w:rsid w:val="00D733D9"/>
    <w:rsid w:val="00D73C0B"/>
    <w:rsid w:val="00D74096"/>
    <w:rsid w:val="00D76F9D"/>
    <w:rsid w:val="00D86AF6"/>
    <w:rsid w:val="00D928F0"/>
    <w:rsid w:val="00D97B4A"/>
    <w:rsid w:val="00D97D19"/>
    <w:rsid w:val="00DA0673"/>
    <w:rsid w:val="00DA0E03"/>
    <w:rsid w:val="00DA0E24"/>
    <w:rsid w:val="00DA4276"/>
    <w:rsid w:val="00DC0908"/>
    <w:rsid w:val="00DC0DC3"/>
    <w:rsid w:val="00DC10C7"/>
    <w:rsid w:val="00DC1671"/>
    <w:rsid w:val="00DC6114"/>
    <w:rsid w:val="00DC6350"/>
    <w:rsid w:val="00DD065F"/>
    <w:rsid w:val="00DD24E7"/>
    <w:rsid w:val="00DD284C"/>
    <w:rsid w:val="00DD4020"/>
    <w:rsid w:val="00DD53A2"/>
    <w:rsid w:val="00DD77A2"/>
    <w:rsid w:val="00DE0B18"/>
    <w:rsid w:val="00DE1713"/>
    <w:rsid w:val="00DE68FA"/>
    <w:rsid w:val="00DF1F75"/>
    <w:rsid w:val="00DF36C8"/>
    <w:rsid w:val="00E06E8E"/>
    <w:rsid w:val="00E10E8A"/>
    <w:rsid w:val="00E149E3"/>
    <w:rsid w:val="00E20065"/>
    <w:rsid w:val="00E26A80"/>
    <w:rsid w:val="00E27622"/>
    <w:rsid w:val="00E277B8"/>
    <w:rsid w:val="00E34B61"/>
    <w:rsid w:val="00E352EB"/>
    <w:rsid w:val="00E4003E"/>
    <w:rsid w:val="00E4028A"/>
    <w:rsid w:val="00E42B3F"/>
    <w:rsid w:val="00E434DB"/>
    <w:rsid w:val="00E43EFA"/>
    <w:rsid w:val="00E45ED0"/>
    <w:rsid w:val="00E53444"/>
    <w:rsid w:val="00E54835"/>
    <w:rsid w:val="00E54E39"/>
    <w:rsid w:val="00E60C7A"/>
    <w:rsid w:val="00E60FCE"/>
    <w:rsid w:val="00E62C56"/>
    <w:rsid w:val="00E6591A"/>
    <w:rsid w:val="00E66167"/>
    <w:rsid w:val="00E661F9"/>
    <w:rsid w:val="00E6686A"/>
    <w:rsid w:val="00E66FC4"/>
    <w:rsid w:val="00E806EB"/>
    <w:rsid w:val="00E83DC3"/>
    <w:rsid w:val="00E87E61"/>
    <w:rsid w:val="00E93822"/>
    <w:rsid w:val="00E977C6"/>
    <w:rsid w:val="00E97C06"/>
    <w:rsid w:val="00EA04DE"/>
    <w:rsid w:val="00EA2DD0"/>
    <w:rsid w:val="00EB2A8C"/>
    <w:rsid w:val="00EB361D"/>
    <w:rsid w:val="00EB5363"/>
    <w:rsid w:val="00EC0BDC"/>
    <w:rsid w:val="00EC1C8C"/>
    <w:rsid w:val="00EC3B3A"/>
    <w:rsid w:val="00ED153A"/>
    <w:rsid w:val="00ED2849"/>
    <w:rsid w:val="00ED5215"/>
    <w:rsid w:val="00ED5C7E"/>
    <w:rsid w:val="00ED5D3C"/>
    <w:rsid w:val="00EE0E62"/>
    <w:rsid w:val="00EE12E2"/>
    <w:rsid w:val="00EE1F88"/>
    <w:rsid w:val="00EE33DA"/>
    <w:rsid w:val="00EE6A28"/>
    <w:rsid w:val="00EF5531"/>
    <w:rsid w:val="00F0106F"/>
    <w:rsid w:val="00F0121D"/>
    <w:rsid w:val="00F03841"/>
    <w:rsid w:val="00F04A3A"/>
    <w:rsid w:val="00F06056"/>
    <w:rsid w:val="00F15184"/>
    <w:rsid w:val="00F1589F"/>
    <w:rsid w:val="00F25D27"/>
    <w:rsid w:val="00F32274"/>
    <w:rsid w:val="00F444E7"/>
    <w:rsid w:val="00F461A0"/>
    <w:rsid w:val="00F47AB7"/>
    <w:rsid w:val="00F50143"/>
    <w:rsid w:val="00F50407"/>
    <w:rsid w:val="00F51974"/>
    <w:rsid w:val="00F56F94"/>
    <w:rsid w:val="00F623C0"/>
    <w:rsid w:val="00F63FB1"/>
    <w:rsid w:val="00F65453"/>
    <w:rsid w:val="00F6616A"/>
    <w:rsid w:val="00F7314E"/>
    <w:rsid w:val="00F732AB"/>
    <w:rsid w:val="00F75688"/>
    <w:rsid w:val="00F813FC"/>
    <w:rsid w:val="00F83B29"/>
    <w:rsid w:val="00F91B40"/>
    <w:rsid w:val="00F95B04"/>
    <w:rsid w:val="00F95C42"/>
    <w:rsid w:val="00F95F19"/>
    <w:rsid w:val="00F96AD8"/>
    <w:rsid w:val="00FA3866"/>
    <w:rsid w:val="00FA43FA"/>
    <w:rsid w:val="00FA645D"/>
    <w:rsid w:val="00FB4AFA"/>
    <w:rsid w:val="00FB6DF9"/>
    <w:rsid w:val="00FC04D7"/>
    <w:rsid w:val="00FC1CC5"/>
    <w:rsid w:val="00FC282F"/>
    <w:rsid w:val="00FC3BD0"/>
    <w:rsid w:val="00FC5594"/>
    <w:rsid w:val="00FC56EC"/>
    <w:rsid w:val="00FC590D"/>
    <w:rsid w:val="00FD1489"/>
    <w:rsid w:val="00FD4AAA"/>
    <w:rsid w:val="00FE29F4"/>
    <w:rsid w:val="00FE2B08"/>
    <w:rsid w:val="00FF1A3C"/>
    <w:rsid w:val="00FF1EFC"/>
    <w:rsid w:val="00FF7098"/>
    <w:rsid w:val="00FF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909789"/>
  <w15:chartTrackingRefBased/>
  <w15:docId w15:val="{8D060F73-F689-4DD3-9F46-A0CA4EDE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21FB3"/>
    <w:pPr>
      <w:keepNext/>
      <w:spacing w:before="240" w:after="60"/>
      <w:outlineLvl w:val="2"/>
    </w:pPr>
    <w:rPr>
      <w:rFonts w:ascii="Verdana" w:hAnsi="Verdana" w:cs="Arial"/>
      <w:b/>
      <w:bCs/>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alloonText">
    <w:name w:val="Balloon Text"/>
    <w:basedOn w:val="Normal"/>
    <w:semiHidden/>
    <w:rsid w:val="00FF7098"/>
    <w:rPr>
      <w:rFonts w:ascii="Tahoma" w:hAnsi="Tahoma" w:cs="Tahoma"/>
      <w:sz w:val="16"/>
      <w:szCs w:val="16"/>
    </w:rPr>
  </w:style>
  <w:style w:type="table" w:styleId="TableGrid">
    <w:name w:val="Table Grid"/>
    <w:basedOn w:val="TableNormal"/>
    <w:rsid w:val="00C52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paragraph" w:styleId="NormalWeb">
    <w:name w:val="Normal (Web)"/>
    <w:basedOn w:val="Normal"/>
    <w:uiPriority w:val="99"/>
    <w:rsid w:val="009D1594"/>
    <w:pPr>
      <w:spacing w:before="100" w:beforeAutospacing="1" w:after="100" w:afterAutospacing="1"/>
    </w:pPr>
  </w:style>
  <w:style w:type="character" w:styleId="Strong">
    <w:name w:val="Strong"/>
    <w:uiPriority w:val="22"/>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cs="Tahoma"/>
      <w:sz w:val="20"/>
      <w:szCs w:val="20"/>
    </w:rPr>
  </w:style>
  <w:style w:type="paragraph" w:customStyle="1" w:styleId="InsideAddressName">
    <w:name w:val="Inside Address Name"/>
    <w:basedOn w:val="Normal"/>
    <w:next w:val="Normal"/>
    <w:pPr>
      <w:spacing w:before="220" w:line="220" w:lineRule="atLeast"/>
      <w:jc w:val="both"/>
    </w:pPr>
    <w:rPr>
      <w:rFonts w:ascii="Arial" w:hAnsi="Arial"/>
      <w:spacing w:val="-5"/>
      <w:sz w:val="20"/>
      <w:szCs w:val="20"/>
    </w:rPr>
  </w:style>
  <w:style w:type="character" w:customStyle="1" w:styleId="Heading2Char">
    <w:name w:val="Heading 2 Char"/>
    <w:link w:val="Heading2"/>
    <w:locked/>
    <w:rsid w:val="009D1594"/>
    <w:rPr>
      <w:rFonts w:ascii="Arial" w:hAnsi="Arial" w:cs="Arial"/>
      <w:b/>
      <w:bCs/>
      <w:i/>
      <w:iCs/>
      <w:sz w:val="28"/>
      <w:szCs w:val="28"/>
      <w:lang w:val="en-US" w:eastAsia="en-US" w:bidi="ar-SA"/>
    </w:rPr>
  </w:style>
  <w:style w:type="character" w:styleId="PageNumber">
    <w:name w:val="page number"/>
    <w:basedOn w:val="DefaultParagraphFont"/>
    <w:rsid w:val="00B05A5F"/>
  </w:style>
  <w:style w:type="paragraph" w:styleId="TOC2">
    <w:name w:val="toc 2"/>
    <w:basedOn w:val="Normal"/>
    <w:next w:val="Normal"/>
    <w:autoRedefine/>
    <w:uiPriority w:val="39"/>
    <w:rsid w:val="00B40D39"/>
    <w:pPr>
      <w:tabs>
        <w:tab w:val="right" w:leader="dot" w:pos="12950"/>
      </w:tabs>
      <w:spacing w:before="120"/>
    </w:pPr>
  </w:style>
  <w:style w:type="paragraph" w:styleId="TOC3">
    <w:name w:val="toc 3"/>
    <w:basedOn w:val="Normal"/>
    <w:next w:val="Normal"/>
    <w:autoRedefine/>
    <w:uiPriority w:val="39"/>
    <w:rsid w:val="00821FB3"/>
    <w:pPr>
      <w:ind w:left="480"/>
    </w:pPr>
  </w:style>
  <w:style w:type="character" w:styleId="Emphasis">
    <w:name w:val="Emphasis"/>
    <w:basedOn w:val="DefaultParagraphFont"/>
    <w:uiPriority w:val="20"/>
    <w:qFormat/>
    <w:rsid w:val="00FA645D"/>
    <w:rPr>
      <w:i/>
      <w:iCs/>
    </w:rPr>
  </w:style>
  <w:style w:type="paragraph" w:styleId="ListParagraph">
    <w:name w:val="List Paragraph"/>
    <w:basedOn w:val="Normal"/>
    <w:uiPriority w:val="34"/>
    <w:qFormat/>
    <w:rsid w:val="00D24F41"/>
    <w:pPr>
      <w:ind w:left="720"/>
      <w:contextualSpacing/>
    </w:pPr>
  </w:style>
  <w:style w:type="character" w:styleId="UnresolvedMention">
    <w:name w:val="Unresolved Mention"/>
    <w:basedOn w:val="DefaultParagraphFont"/>
    <w:uiPriority w:val="99"/>
    <w:semiHidden/>
    <w:unhideWhenUsed/>
    <w:rsid w:val="00CA52BF"/>
    <w:rPr>
      <w:color w:val="605E5C"/>
      <w:shd w:val="clear" w:color="auto" w:fill="E1DFDD"/>
    </w:rPr>
  </w:style>
  <w:style w:type="character" w:styleId="CommentReference">
    <w:name w:val="annotation reference"/>
    <w:basedOn w:val="DefaultParagraphFont"/>
    <w:rsid w:val="00844B16"/>
    <w:rPr>
      <w:sz w:val="16"/>
      <w:szCs w:val="16"/>
    </w:rPr>
  </w:style>
  <w:style w:type="paragraph" w:styleId="CommentText">
    <w:name w:val="annotation text"/>
    <w:basedOn w:val="Normal"/>
    <w:link w:val="CommentTextChar"/>
    <w:rsid w:val="00844B16"/>
    <w:rPr>
      <w:sz w:val="20"/>
      <w:szCs w:val="20"/>
    </w:rPr>
  </w:style>
  <w:style w:type="character" w:customStyle="1" w:styleId="CommentTextChar">
    <w:name w:val="Comment Text Char"/>
    <w:basedOn w:val="DefaultParagraphFont"/>
    <w:link w:val="CommentText"/>
    <w:rsid w:val="00844B16"/>
  </w:style>
  <w:style w:type="paragraph" w:styleId="CommentSubject">
    <w:name w:val="annotation subject"/>
    <w:basedOn w:val="CommentText"/>
    <w:next w:val="CommentText"/>
    <w:link w:val="CommentSubjectChar"/>
    <w:semiHidden/>
    <w:unhideWhenUsed/>
    <w:rsid w:val="00844B16"/>
    <w:rPr>
      <w:b/>
      <w:bCs/>
    </w:rPr>
  </w:style>
  <w:style w:type="character" w:customStyle="1" w:styleId="CommentSubjectChar">
    <w:name w:val="Comment Subject Char"/>
    <w:basedOn w:val="CommentTextChar"/>
    <w:link w:val="CommentSubject"/>
    <w:semiHidden/>
    <w:rsid w:val="00844B16"/>
    <w:rPr>
      <w:b/>
      <w:bCs/>
    </w:rPr>
  </w:style>
  <w:style w:type="paragraph" w:styleId="Revision">
    <w:name w:val="Revision"/>
    <w:hidden/>
    <w:uiPriority w:val="99"/>
    <w:semiHidden/>
    <w:rsid w:val="0041760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8533">
      <w:bodyDiv w:val="1"/>
      <w:marLeft w:val="0"/>
      <w:marRight w:val="0"/>
      <w:marTop w:val="0"/>
      <w:marBottom w:val="0"/>
      <w:divBdr>
        <w:top w:val="none" w:sz="0" w:space="0" w:color="auto"/>
        <w:left w:val="none" w:sz="0" w:space="0" w:color="auto"/>
        <w:bottom w:val="none" w:sz="0" w:space="0" w:color="auto"/>
        <w:right w:val="none" w:sz="0" w:space="0" w:color="auto"/>
      </w:divBdr>
    </w:div>
    <w:div w:id="152768738">
      <w:bodyDiv w:val="1"/>
      <w:marLeft w:val="0"/>
      <w:marRight w:val="0"/>
      <w:marTop w:val="0"/>
      <w:marBottom w:val="0"/>
      <w:divBdr>
        <w:top w:val="none" w:sz="0" w:space="0" w:color="auto"/>
        <w:left w:val="none" w:sz="0" w:space="0" w:color="auto"/>
        <w:bottom w:val="none" w:sz="0" w:space="0" w:color="auto"/>
        <w:right w:val="none" w:sz="0" w:space="0" w:color="auto"/>
      </w:divBdr>
    </w:div>
    <w:div w:id="202251041">
      <w:bodyDiv w:val="1"/>
      <w:marLeft w:val="0"/>
      <w:marRight w:val="0"/>
      <w:marTop w:val="0"/>
      <w:marBottom w:val="0"/>
      <w:divBdr>
        <w:top w:val="none" w:sz="0" w:space="0" w:color="auto"/>
        <w:left w:val="none" w:sz="0" w:space="0" w:color="auto"/>
        <w:bottom w:val="none" w:sz="0" w:space="0" w:color="auto"/>
        <w:right w:val="none" w:sz="0" w:space="0" w:color="auto"/>
      </w:divBdr>
    </w:div>
    <w:div w:id="287009871">
      <w:bodyDiv w:val="1"/>
      <w:marLeft w:val="0"/>
      <w:marRight w:val="0"/>
      <w:marTop w:val="0"/>
      <w:marBottom w:val="0"/>
      <w:divBdr>
        <w:top w:val="none" w:sz="0" w:space="0" w:color="auto"/>
        <w:left w:val="none" w:sz="0" w:space="0" w:color="auto"/>
        <w:bottom w:val="none" w:sz="0" w:space="0" w:color="auto"/>
        <w:right w:val="none" w:sz="0" w:space="0" w:color="auto"/>
      </w:divBdr>
    </w:div>
    <w:div w:id="319693627">
      <w:bodyDiv w:val="1"/>
      <w:marLeft w:val="0"/>
      <w:marRight w:val="0"/>
      <w:marTop w:val="0"/>
      <w:marBottom w:val="0"/>
      <w:divBdr>
        <w:top w:val="none" w:sz="0" w:space="0" w:color="auto"/>
        <w:left w:val="none" w:sz="0" w:space="0" w:color="auto"/>
        <w:bottom w:val="none" w:sz="0" w:space="0" w:color="auto"/>
        <w:right w:val="none" w:sz="0" w:space="0" w:color="auto"/>
      </w:divBdr>
    </w:div>
    <w:div w:id="420611331">
      <w:bodyDiv w:val="1"/>
      <w:marLeft w:val="0"/>
      <w:marRight w:val="0"/>
      <w:marTop w:val="0"/>
      <w:marBottom w:val="0"/>
      <w:divBdr>
        <w:top w:val="none" w:sz="0" w:space="0" w:color="auto"/>
        <w:left w:val="none" w:sz="0" w:space="0" w:color="auto"/>
        <w:bottom w:val="none" w:sz="0" w:space="0" w:color="auto"/>
        <w:right w:val="none" w:sz="0" w:space="0" w:color="auto"/>
      </w:divBdr>
    </w:div>
    <w:div w:id="423112601">
      <w:bodyDiv w:val="1"/>
      <w:marLeft w:val="0"/>
      <w:marRight w:val="0"/>
      <w:marTop w:val="0"/>
      <w:marBottom w:val="0"/>
      <w:divBdr>
        <w:top w:val="none" w:sz="0" w:space="0" w:color="auto"/>
        <w:left w:val="none" w:sz="0" w:space="0" w:color="auto"/>
        <w:bottom w:val="none" w:sz="0" w:space="0" w:color="auto"/>
        <w:right w:val="none" w:sz="0" w:space="0" w:color="auto"/>
      </w:divBdr>
    </w:div>
    <w:div w:id="467632085">
      <w:bodyDiv w:val="1"/>
      <w:marLeft w:val="0"/>
      <w:marRight w:val="0"/>
      <w:marTop w:val="0"/>
      <w:marBottom w:val="0"/>
      <w:divBdr>
        <w:top w:val="none" w:sz="0" w:space="0" w:color="auto"/>
        <w:left w:val="none" w:sz="0" w:space="0" w:color="auto"/>
        <w:bottom w:val="none" w:sz="0" w:space="0" w:color="auto"/>
        <w:right w:val="none" w:sz="0" w:space="0" w:color="auto"/>
      </w:divBdr>
    </w:div>
    <w:div w:id="539904306">
      <w:bodyDiv w:val="1"/>
      <w:marLeft w:val="0"/>
      <w:marRight w:val="0"/>
      <w:marTop w:val="0"/>
      <w:marBottom w:val="0"/>
      <w:divBdr>
        <w:top w:val="none" w:sz="0" w:space="0" w:color="auto"/>
        <w:left w:val="none" w:sz="0" w:space="0" w:color="auto"/>
        <w:bottom w:val="none" w:sz="0" w:space="0" w:color="auto"/>
        <w:right w:val="none" w:sz="0" w:space="0" w:color="auto"/>
      </w:divBdr>
    </w:div>
    <w:div w:id="610361612">
      <w:bodyDiv w:val="1"/>
      <w:marLeft w:val="0"/>
      <w:marRight w:val="0"/>
      <w:marTop w:val="0"/>
      <w:marBottom w:val="0"/>
      <w:divBdr>
        <w:top w:val="none" w:sz="0" w:space="0" w:color="auto"/>
        <w:left w:val="none" w:sz="0" w:space="0" w:color="auto"/>
        <w:bottom w:val="none" w:sz="0" w:space="0" w:color="auto"/>
        <w:right w:val="none" w:sz="0" w:space="0" w:color="auto"/>
      </w:divBdr>
    </w:div>
    <w:div w:id="628170190">
      <w:bodyDiv w:val="1"/>
      <w:marLeft w:val="0"/>
      <w:marRight w:val="0"/>
      <w:marTop w:val="0"/>
      <w:marBottom w:val="0"/>
      <w:divBdr>
        <w:top w:val="none" w:sz="0" w:space="0" w:color="auto"/>
        <w:left w:val="none" w:sz="0" w:space="0" w:color="auto"/>
        <w:bottom w:val="none" w:sz="0" w:space="0" w:color="auto"/>
        <w:right w:val="none" w:sz="0" w:space="0" w:color="auto"/>
      </w:divBdr>
    </w:div>
    <w:div w:id="668364002">
      <w:bodyDiv w:val="1"/>
      <w:marLeft w:val="0"/>
      <w:marRight w:val="0"/>
      <w:marTop w:val="0"/>
      <w:marBottom w:val="0"/>
      <w:divBdr>
        <w:top w:val="none" w:sz="0" w:space="0" w:color="auto"/>
        <w:left w:val="none" w:sz="0" w:space="0" w:color="auto"/>
        <w:bottom w:val="none" w:sz="0" w:space="0" w:color="auto"/>
        <w:right w:val="none" w:sz="0" w:space="0" w:color="auto"/>
      </w:divBdr>
    </w:div>
    <w:div w:id="755249945">
      <w:bodyDiv w:val="1"/>
      <w:marLeft w:val="0"/>
      <w:marRight w:val="0"/>
      <w:marTop w:val="0"/>
      <w:marBottom w:val="0"/>
      <w:divBdr>
        <w:top w:val="none" w:sz="0" w:space="0" w:color="auto"/>
        <w:left w:val="none" w:sz="0" w:space="0" w:color="auto"/>
        <w:bottom w:val="none" w:sz="0" w:space="0" w:color="auto"/>
        <w:right w:val="none" w:sz="0" w:space="0" w:color="auto"/>
      </w:divBdr>
    </w:div>
    <w:div w:id="782917536">
      <w:bodyDiv w:val="1"/>
      <w:marLeft w:val="0"/>
      <w:marRight w:val="0"/>
      <w:marTop w:val="0"/>
      <w:marBottom w:val="0"/>
      <w:divBdr>
        <w:top w:val="none" w:sz="0" w:space="0" w:color="auto"/>
        <w:left w:val="none" w:sz="0" w:space="0" w:color="auto"/>
        <w:bottom w:val="none" w:sz="0" w:space="0" w:color="auto"/>
        <w:right w:val="none" w:sz="0" w:space="0" w:color="auto"/>
      </w:divBdr>
    </w:div>
    <w:div w:id="838153185">
      <w:bodyDiv w:val="1"/>
      <w:marLeft w:val="0"/>
      <w:marRight w:val="0"/>
      <w:marTop w:val="0"/>
      <w:marBottom w:val="0"/>
      <w:divBdr>
        <w:top w:val="none" w:sz="0" w:space="0" w:color="auto"/>
        <w:left w:val="none" w:sz="0" w:space="0" w:color="auto"/>
        <w:bottom w:val="none" w:sz="0" w:space="0" w:color="auto"/>
        <w:right w:val="none" w:sz="0" w:space="0" w:color="auto"/>
      </w:divBdr>
    </w:div>
    <w:div w:id="847522854">
      <w:bodyDiv w:val="1"/>
      <w:marLeft w:val="0"/>
      <w:marRight w:val="0"/>
      <w:marTop w:val="0"/>
      <w:marBottom w:val="0"/>
      <w:divBdr>
        <w:top w:val="none" w:sz="0" w:space="0" w:color="auto"/>
        <w:left w:val="none" w:sz="0" w:space="0" w:color="auto"/>
        <w:bottom w:val="none" w:sz="0" w:space="0" w:color="auto"/>
        <w:right w:val="none" w:sz="0" w:space="0" w:color="auto"/>
      </w:divBdr>
    </w:div>
    <w:div w:id="856895030">
      <w:bodyDiv w:val="1"/>
      <w:marLeft w:val="0"/>
      <w:marRight w:val="0"/>
      <w:marTop w:val="0"/>
      <w:marBottom w:val="0"/>
      <w:divBdr>
        <w:top w:val="none" w:sz="0" w:space="0" w:color="auto"/>
        <w:left w:val="none" w:sz="0" w:space="0" w:color="auto"/>
        <w:bottom w:val="none" w:sz="0" w:space="0" w:color="auto"/>
        <w:right w:val="none" w:sz="0" w:space="0" w:color="auto"/>
      </w:divBdr>
    </w:div>
    <w:div w:id="911087858">
      <w:bodyDiv w:val="1"/>
      <w:marLeft w:val="0"/>
      <w:marRight w:val="0"/>
      <w:marTop w:val="0"/>
      <w:marBottom w:val="0"/>
      <w:divBdr>
        <w:top w:val="none" w:sz="0" w:space="0" w:color="auto"/>
        <w:left w:val="none" w:sz="0" w:space="0" w:color="auto"/>
        <w:bottom w:val="none" w:sz="0" w:space="0" w:color="auto"/>
        <w:right w:val="none" w:sz="0" w:space="0" w:color="auto"/>
      </w:divBdr>
    </w:div>
    <w:div w:id="980886637">
      <w:bodyDiv w:val="1"/>
      <w:marLeft w:val="0"/>
      <w:marRight w:val="0"/>
      <w:marTop w:val="0"/>
      <w:marBottom w:val="0"/>
      <w:divBdr>
        <w:top w:val="none" w:sz="0" w:space="0" w:color="auto"/>
        <w:left w:val="none" w:sz="0" w:space="0" w:color="auto"/>
        <w:bottom w:val="none" w:sz="0" w:space="0" w:color="auto"/>
        <w:right w:val="none" w:sz="0" w:space="0" w:color="auto"/>
      </w:divBdr>
    </w:div>
    <w:div w:id="1044599803">
      <w:bodyDiv w:val="1"/>
      <w:marLeft w:val="0"/>
      <w:marRight w:val="0"/>
      <w:marTop w:val="0"/>
      <w:marBottom w:val="0"/>
      <w:divBdr>
        <w:top w:val="none" w:sz="0" w:space="0" w:color="auto"/>
        <w:left w:val="none" w:sz="0" w:space="0" w:color="auto"/>
        <w:bottom w:val="none" w:sz="0" w:space="0" w:color="auto"/>
        <w:right w:val="none" w:sz="0" w:space="0" w:color="auto"/>
      </w:divBdr>
    </w:div>
    <w:div w:id="1068504229">
      <w:bodyDiv w:val="1"/>
      <w:marLeft w:val="0"/>
      <w:marRight w:val="0"/>
      <w:marTop w:val="0"/>
      <w:marBottom w:val="0"/>
      <w:divBdr>
        <w:top w:val="none" w:sz="0" w:space="0" w:color="auto"/>
        <w:left w:val="none" w:sz="0" w:space="0" w:color="auto"/>
        <w:bottom w:val="none" w:sz="0" w:space="0" w:color="auto"/>
        <w:right w:val="none" w:sz="0" w:space="0" w:color="auto"/>
      </w:divBdr>
    </w:div>
    <w:div w:id="1089892803">
      <w:bodyDiv w:val="1"/>
      <w:marLeft w:val="0"/>
      <w:marRight w:val="0"/>
      <w:marTop w:val="0"/>
      <w:marBottom w:val="0"/>
      <w:divBdr>
        <w:top w:val="none" w:sz="0" w:space="0" w:color="auto"/>
        <w:left w:val="none" w:sz="0" w:space="0" w:color="auto"/>
        <w:bottom w:val="none" w:sz="0" w:space="0" w:color="auto"/>
        <w:right w:val="none" w:sz="0" w:space="0" w:color="auto"/>
      </w:divBdr>
    </w:div>
    <w:div w:id="1098986796">
      <w:bodyDiv w:val="1"/>
      <w:marLeft w:val="0"/>
      <w:marRight w:val="0"/>
      <w:marTop w:val="0"/>
      <w:marBottom w:val="0"/>
      <w:divBdr>
        <w:top w:val="none" w:sz="0" w:space="0" w:color="auto"/>
        <w:left w:val="none" w:sz="0" w:space="0" w:color="auto"/>
        <w:bottom w:val="none" w:sz="0" w:space="0" w:color="auto"/>
        <w:right w:val="none" w:sz="0" w:space="0" w:color="auto"/>
      </w:divBdr>
    </w:div>
    <w:div w:id="1179388576">
      <w:bodyDiv w:val="1"/>
      <w:marLeft w:val="0"/>
      <w:marRight w:val="0"/>
      <w:marTop w:val="0"/>
      <w:marBottom w:val="0"/>
      <w:divBdr>
        <w:top w:val="none" w:sz="0" w:space="0" w:color="auto"/>
        <w:left w:val="none" w:sz="0" w:space="0" w:color="auto"/>
        <w:bottom w:val="none" w:sz="0" w:space="0" w:color="auto"/>
        <w:right w:val="none" w:sz="0" w:space="0" w:color="auto"/>
      </w:divBdr>
    </w:div>
    <w:div w:id="1192374462">
      <w:bodyDiv w:val="1"/>
      <w:marLeft w:val="0"/>
      <w:marRight w:val="0"/>
      <w:marTop w:val="0"/>
      <w:marBottom w:val="0"/>
      <w:divBdr>
        <w:top w:val="none" w:sz="0" w:space="0" w:color="auto"/>
        <w:left w:val="none" w:sz="0" w:space="0" w:color="auto"/>
        <w:bottom w:val="none" w:sz="0" w:space="0" w:color="auto"/>
        <w:right w:val="none" w:sz="0" w:space="0" w:color="auto"/>
      </w:divBdr>
    </w:div>
    <w:div w:id="1236822235">
      <w:bodyDiv w:val="1"/>
      <w:marLeft w:val="0"/>
      <w:marRight w:val="0"/>
      <w:marTop w:val="0"/>
      <w:marBottom w:val="0"/>
      <w:divBdr>
        <w:top w:val="none" w:sz="0" w:space="0" w:color="auto"/>
        <w:left w:val="none" w:sz="0" w:space="0" w:color="auto"/>
        <w:bottom w:val="none" w:sz="0" w:space="0" w:color="auto"/>
        <w:right w:val="none" w:sz="0" w:space="0" w:color="auto"/>
      </w:divBdr>
    </w:div>
    <w:div w:id="1252470592">
      <w:bodyDiv w:val="1"/>
      <w:marLeft w:val="0"/>
      <w:marRight w:val="0"/>
      <w:marTop w:val="0"/>
      <w:marBottom w:val="0"/>
      <w:divBdr>
        <w:top w:val="none" w:sz="0" w:space="0" w:color="auto"/>
        <w:left w:val="none" w:sz="0" w:space="0" w:color="auto"/>
        <w:bottom w:val="none" w:sz="0" w:space="0" w:color="auto"/>
        <w:right w:val="none" w:sz="0" w:space="0" w:color="auto"/>
      </w:divBdr>
      <w:divsChild>
        <w:div w:id="1612317925">
          <w:marLeft w:val="274"/>
          <w:marRight w:val="0"/>
          <w:marTop w:val="160"/>
          <w:marBottom w:val="0"/>
          <w:divBdr>
            <w:top w:val="none" w:sz="0" w:space="0" w:color="auto"/>
            <w:left w:val="none" w:sz="0" w:space="0" w:color="auto"/>
            <w:bottom w:val="none" w:sz="0" w:space="0" w:color="auto"/>
            <w:right w:val="none" w:sz="0" w:space="0" w:color="auto"/>
          </w:divBdr>
        </w:div>
      </w:divsChild>
    </w:div>
    <w:div w:id="1270310190">
      <w:bodyDiv w:val="1"/>
      <w:marLeft w:val="0"/>
      <w:marRight w:val="0"/>
      <w:marTop w:val="0"/>
      <w:marBottom w:val="0"/>
      <w:divBdr>
        <w:top w:val="none" w:sz="0" w:space="0" w:color="auto"/>
        <w:left w:val="none" w:sz="0" w:space="0" w:color="auto"/>
        <w:bottom w:val="none" w:sz="0" w:space="0" w:color="auto"/>
        <w:right w:val="none" w:sz="0" w:space="0" w:color="auto"/>
      </w:divBdr>
    </w:div>
    <w:div w:id="1407996579">
      <w:bodyDiv w:val="1"/>
      <w:marLeft w:val="0"/>
      <w:marRight w:val="0"/>
      <w:marTop w:val="0"/>
      <w:marBottom w:val="0"/>
      <w:divBdr>
        <w:top w:val="none" w:sz="0" w:space="0" w:color="auto"/>
        <w:left w:val="none" w:sz="0" w:space="0" w:color="auto"/>
        <w:bottom w:val="none" w:sz="0" w:space="0" w:color="auto"/>
        <w:right w:val="none" w:sz="0" w:space="0" w:color="auto"/>
      </w:divBdr>
    </w:div>
    <w:div w:id="1450319534">
      <w:bodyDiv w:val="1"/>
      <w:marLeft w:val="0"/>
      <w:marRight w:val="0"/>
      <w:marTop w:val="0"/>
      <w:marBottom w:val="0"/>
      <w:divBdr>
        <w:top w:val="none" w:sz="0" w:space="0" w:color="auto"/>
        <w:left w:val="none" w:sz="0" w:space="0" w:color="auto"/>
        <w:bottom w:val="none" w:sz="0" w:space="0" w:color="auto"/>
        <w:right w:val="none" w:sz="0" w:space="0" w:color="auto"/>
      </w:divBdr>
    </w:div>
    <w:div w:id="1610893651">
      <w:bodyDiv w:val="1"/>
      <w:marLeft w:val="0"/>
      <w:marRight w:val="0"/>
      <w:marTop w:val="0"/>
      <w:marBottom w:val="0"/>
      <w:divBdr>
        <w:top w:val="none" w:sz="0" w:space="0" w:color="auto"/>
        <w:left w:val="none" w:sz="0" w:space="0" w:color="auto"/>
        <w:bottom w:val="none" w:sz="0" w:space="0" w:color="auto"/>
        <w:right w:val="none" w:sz="0" w:space="0" w:color="auto"/>
      </w:divBdr>
    </w:div>
    <w:div w:id="1683974564">
      <w:bodyDiv w:val="1"/>
      <w:marLeft w:val="0"/>
      <w:marRight w:val="0"/>
      <w:marTop w:val="0"/>
      <w:marBottom w:val="0"/>
      <w:divBdr>
        <w:top w:val="none" w:sz="0" w:space="0" w:color="auto"/>
        <w:left w:val="none" w:sz="0" w:space="0" w:color="auto"/>
        <w:bottom w:val="none" w:sz="0" w:space="0" w:color="auto"/>
        <w:right w:val="none" w:sz="0" w:space="0" w:color="auto"/>
      </w:divBdr>
    </w:div>
    <w:div w:id="1686177207">
      <w:bodyDiv w:val="1"/>
      <w:marLeft w:val="0"/>
      <w:marRight w:val="0"/>
      <w:marTop w:val="0"/>
      <w:marBottom w:val="0"/>
      <w:divBdr>
        <w:top w:val="none" w:sz="0" w:space="0" w:color="auto"/>
        <w:left w:val="none" w:sz="0" w:space="0" w:color="auto"/>
        <w:bottom w:val="none" w:sz="0" w:space="0" w:color="auto"/>
        <w:right w:val="none" w:sz="0" w:space="0" w:color="auto"/>
      </w:divBdr>
    </w:div>
    <w:div w:id="1696886554">
      <w:bodyDiv w:val="1"/>
      <w:marLeft w:val="0"/>
      <w:marRight w:val="0"/>
      <w:marTop w:val="0"/>
      <w:marBottom w:val="0"/>
      <w:divBdr>
        <w:top w:val="none" w:sz="0" w:space="0" w:color="auto"/>
        <w:left w:val="none" w:sz="0" w:space="0" w:color="auto"/>
        <w:bottom w:val="none" w:sz="0" w:space="0" w:color="auto"/>
        <w:right w:val="none" w:sz="0" w:space="0" w:color="auto"/>
      </w:divBdr>
    </w:div>
    <w:div w:id="1779838496">
      <w:bodyDiv w:val="1"/>
      <w:marLeft w:val="0"/>
      <w:marRight w:val="0"/>
      <w:marTop w:val="0"/>
      <w:marBottom w:val="0"/>
      <w:divBdr>
        <w:top w:val="none" w:sz="0" w:space="0" w:color="auto"/>
        <w:left w:val="none" w:sz="0" w:space="0" w:color="auto"/>
        <w:bottom w:val="none" w:sz="0" w:space="0" w:color="auto"/>
        <w:right w:val="none" w:sz="0" w:space="0" w:color="auto"/>
      </w:divBdr>
    </w:div>
    <w:div w:id="1827433332">
      <w:bodyDiv w:val="1"/>
      <w:marLeft w:val="0"/>
      <w:marRight w:val="0"/>
      <w:marTop w:val="0"/>
      <w:marBottom w:val="0"/>
      <w:divBdr>
        <w:top w:val="none" w:sz="0" w:space="0" w:color="auto"/>
        <w:left w:val="none" w:sz="0" w:space="0" w:color="auto"/>
        <w:bottom w:val="none" w:sz="0" w:space="0" w:color="auto"/>
        <w:right w:val="none" w:sz="0" w:space="0" w:color="auto"/>
      </w:divBdr>
    </w:div>
    <w:div w:id="1832943584">
      <w:bodyDiv w:val="1"/>
      <w:marLeft w:val="0"/>
      <w:marRight w:val="0"/>
      <w:marTop w:val="0"/>
      <w:marBottom w:val="0"/>
      <w:divBdr>
        <w:top w:val="none" w:sz="0" w:space="0" w:color="auto"/>
        <w:left w:val="none" w:sz="0" w:space="0" w:color="auto"/>
        <w:bottom w:val="none" w:sz="0" w:space="0" w:color="auto"/>
        <w:right w:val="none" w:sz="0" w:space="0" w:color="auto"/>
      </w:divBdr>
    </w:div>
    <w:div w:id="1855605146">
      <w:bodyDiv w:val="1"/>
      <w:marLeft w:val="0"/>
      <w:marRight w:val="0"/>
      <w:marTop w:val="0"/>
      <w:marBottom w:val="0"/>
      <w:divBdr>
        <w:top w:val="none" w:sz="0" w:space="0" w:color="auto"/>
        <w:left w:val="none" w:sz="0" w:space="0" w:color="auto"/>
        <w:bottom w:val="none" w:sz="0" w:space="0" w:color="auto"/>
        <w:right w:val="none" w:sz="0" w:space="0" w:color="auto"/>
      </w:divBdr>
    </w:div>
    <w:div w:id="1877934319">
      <w:bodyDiv w:val="1"/>
      <w:marLeft w:val="0"/>
      <w:marRight w:val="0"/>
      <w:marTop w:val="0"/>
      <w:marBottom w:val="0"/>
      <w:divBdr>
        <w:top w:val="none" w:sz="0" w:space="0" w:color="auto"/>
        <w:left w:val="none" w:sz="0" w:space="0" w:color="auto"/>
        <w:bottom w:val="none" w:sz="0" w:space="0" w:color="auto"/>
        <w:right w:val="none" w:sz="0" w:space="0" w:color="auto"/>
      </w:divBdr>
    </w:div>
    <w:div w:id="1904481267">
      <w:bodyDiv w:val="1"/>
      <w:marLeft w:val="0"/>
      <w:marRight w:val="0"/>
      <w:marTop w:val="0"/>
      <w:marBottom w:val="0"/>
      <w:divBdr>
        <w:top w:val="none" w:sz="0" w:space="0" w:color="auto"/>
        <w:left w:val="none" w:sz="0" w:space="0" w:color="auto"/>
        <w:bottom w:val="none" w:sz="0" w:space="0" w:color="auto"/>
        <w:right w:val="none" w:sz="0" w:space="0" w:color="auto"/>
      </w:divBdr>
    </w:div>
    <w:div w:id="1950816235">
      <w:bodyDiv w:val="1"/>
      <w:marLeft w:val="0"/>
      <w:marRight w:val="0"/>
      <w:marTop w:val="0"/>
      <w:marBottom w:val="0"/>
      <w:divBdr>
        <w:top w:val="none" w:sz="0" w:space="0" w:color="auto"/>
        <w:left w:val="none" w:sz="0" w:space="0" w:color="auto"/>
        <w:bottom w:val="none" w:sz="0" w:space="0" w:color="auto"/>
        <w:right w:val="none" w:sz="0" w:space="0" w:color="auto"/>
      </w:divBdr>
    </w:div>
    <w:div w:id="195848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eartbeat.cvshealth.com/sites/our-company/our-organization/medical-affairs/cvs-caremark-medical-affairs/formulary-communications-center/SitePageModern/379835/formulary-communications-center" TargetMode="External"/><Relationship Id="rId18" Type="http://schemas.openxmlformats.org/officeDocument/2006/relationships/hyperlink" Target="https://Info.caremark.com/dig/basiccontrolg" TargetMode="External"/><Relationship Id="rId26" Type="http://schemas.openxmlformats.org/officeDocument/2006/relationships/hyperlink" Target="https://info.caremark.com/druglist" TargetMode="External"/><Relationship Id="rId39"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www.caremark.com/basiccontrolacsf"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www.caremark.com/basiccontrol" TargetMode="External"/><Relationship Id="rId25" Type="http://schemas.openxmlformats.org/officeDocument/2006/relationships/hyperlink" Target="https://info.caremark.com/ghighvalueplan"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nfo.caremark.com/dig/basiccontrol" TargetMode="External"/><Relationship Id="rId20" Type="http://schemas.openxmlformats.org/officeDocument/2006/relationships/hyperlink" Target="https://Info.caremark.com/dig/basiccontrolacsf" TargetMode="External"/><Relationship Id="rId29" Type="http://schemas.openxmlformats.org/officeDocument/2006/relationships/hyperlink" Target="https://info.caremark.com/acsdruglist" TargetMode="External"/><Relationship Id="rId41"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info.caremark.com/highvalueplan" TargetMode="External"/><Relationship Id="rId32" Type="http://schemas.openxmlformats.org/officeDocument/2006/relationships/hyperlink" Target="https://info.caremark.com/stoadruglist"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info.caremark.com/acgdruglist" TargetMode="External"/><Relationship Id="rId23" Type="http://schemas.openxmlformats.org/officeDocument/2006/relationships/hyperlink" Target="http://www.caremark.com/basiccontrolacsfg" TargetMode="External"/><Relationship Id="rId28" Type="http://schemas.openxmlformats.org/officeDocument/2006/relationships/hyperlink" Target="https://info.caremark.com/padruglist" TargetMode="External"/><Relationship Id="rId36" Type="http://schemas.openxmlformats.org/officeDocument/2006/relationships/hyperlink" Target="https://www.caremark.com/portal/asset/preventive_dl.pdf" TargetMode="External"/><Relationship Id="rId10" Type="http://schemas.openxmlformats.org/officeDocument/2006/relationships/endnotes" Target="endnotes.xml"/><Relationship Id="rId19" Type="http://schemas.openxmlformats.org/officeDocument/2006/relationships/hyperlink" Target="http://www.caremark.com/basiccontrolg" TargetMode="External"/><Relationship Id="rId31" Type="http://schemas.openxmlformats.org/officeDocument/2006/relationships/hyperlink" Target="https://info.caremark.com/stodruglist"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Info.caremark.com/dig/basiccontrolacsfg" TargetMode="External"/><Relationship Id="rId27" Type="http://schemas.openxmlformats.org/officeDocument/2006/relationships/hyperlink" Target="https://info.caremark.com/gdruglist" TargetMode="External"/><Relationship Id="rId30" Type="http://schemas.openxmlformats.org/officeDocument/2006/relationships/hyperlink" Target="https://info.caremark.com/acsgdruglist" TargetMode="External"/><Relationship Id="rId35" Type="http://schemas.openxmlformats.org/officeDocument/2006/relationships/hyperlink" Target="https://thesource.cvshealth.com/nuxeo/thesource/" TargetMode="External"/><Relationship Id="rId43"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D7114F191C149AED2E24C99628A9C" ma:contentTypeVersion="10" ma:contentTypeDescription="Create a new document." ma:contentTypeScope="" ma:versionID="0c22e0473e99bd54cd4a06c3118e07c2">
  <xsd:schema xmlns:xsd="http://www.w3.org/2001/XMLSchema" xmlns:xs="http://www.w3.org/2001/XMLSchema" xmlns:p="http://schemas.microsoft.com/office/2006/metadata/properties" xmlns:ns2="326f02c2-d8bd-47e1-a46f-00afeb73c1ac" xmlns:ns3="3c68fac0-58ee-4adf-b868-611dc62d7b99" targetNamespace="http://schemas.microsoft.com/office/2006/metadata/properties" ma:root="true" ma:fieldsID="6ad4f2f86fbb923b0b2f6def7394821d" ns2:_="" ns3:_="">
    <xsd:import namespace="326f02c2-d8bd-47e1-a46f-00afeb73c1ac"/>
    <xsd:import namespace="3c68fac0-58ee-4adf-b868-611dc62d7b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6f02c2-d8bd-47e1-a46f-00afeb73c1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68fac0-58ee-4adf-b868-611dc62d7b9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A9077C-72A4-4823-B592-21324E75A6A6}">
  <ds:schemaRefs>
    <ds:schemaRef ds:uri="http://schemas.microsoft.com/sharepoint/v3/contenttype/forms"/>
  </ds:schemaRefs>
</ds:datastoreItem>
</file>

<file path=customXml/itemProps2.xml><?xml version="1.0" encoding="utf-8"?>
<ds:datastoreItem xmlns:ds="http://schemas.openxmlformats.org/officeDocument/2006/customXml" ds:itemID="{1A9D88E1-EE0D-4CF1-956E-649CFE811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6f02c2-d8bd-47e1-a46f-00afeb73c1ac"/>
    <ds:schemaRef ds:uri="3c68fac0-58ee-4adf-b868-611dc62d7b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A808E0-8A78-4D00-934A-6A2F2D452EB9}">
  <ds:schemaRefs>
    <ds:schemaRef ds:uri="http://schemas.openxmlformats.org/officeDocument/2006/bibliography"/>
  </ds:schemaRefs>
</ds:datastoreItem>
</file>

<file path=customXml/itemProps4.xml><?xml version="1.0" encoding="utf-8"?>
<ds:datastoreItem xmlns:ds="http://schemas.openxmlformats.org/officeDocument/2006/customXml" ds:itemID="{0BAC24A1-B8C1-4078-9C2B-A1FE017BC9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11</TotalTime>
  <Pages>1</Pages>
  <Words>2923</Words>
  <Characters>20470</Characters>
  <Application>Microsoft Office Word</Application>
  <DocSecurity>0</DocSecurity>
  <Lines>170</Lines>
  <Paragraphs>46</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23347</CharactersWithSpaces>
  <SharedDoc>false</SharedDoc>
  <HLinks>
    <vt:vector size="330" baseType="variant">
      <vt:variant>
        <vt:i4>262192</vt:i4>
      </vt:variant>
      <vt:variant>
        <vt:i4>189</vt:i4>
      </vt:variant>
      <vt:variant>
        <vt:i4>0</vt:i4>
      </vt:variant>
      <vt:variant>
        <vt:i4>5</vt:i4>
      </vt:variant>
      <vt:variant>
        <vt:lpwstr/>
      </vt:variant>
      <vt:variant>
        <vt:lpwstr>_top</vt:lpwstr>
      </vt:variant>
      <vt:variant>
        <vt:i4>262192</vt:i4>
      </vt:variant>
      <vt:variant>
        <vt:i4>186</vt:i4>
      </vt:variant>
      <vt:variant>
        <vt:i4>0</vt:i4>
      </vt:variant>
      <vt:variant>
        <vt:i4>5</vt:i4>
      </vt:variant>
      <vt:variant>
        <vt:lpwstr/>
      </vt:variant>
      <vt:variant>
        <vt:lpwstr>_top</vt:lpwstr>
      </vt:variant>
      <vt:variant>
        <vt:i4>4259862</vt:i4>
      </vt:variant>
      <vt:variant>
        <vt:i4>183</vt:i4>
      </vt:variant>
      <vt:variant>
        <vt:i4>0</vt:i4>
      </vt:variant>
      <vt:variant>
        <vt:i4>5</vt:i4>
      </vt:variant>
      <vt:variant>
        <vt:lpwstr>../../../Users/u006181/Downloads/CMS-PCP1-018483</vt:lpwstr>
      </vt:variant>
      <vt:variant>
        <vt:lpwstr/>
      </vt:variant>
      <vt:variant>
        <vt:i4>5111830</vt:i4>
      </vt:variant>
      <vt:variant>
        <vt:i4>180</vt:i4>
      </vt:variant>
      <vt:variant>
        <vt:i4>0</vt:i4>
      </vt:variant>
      <vt:variant>
        <vt:i4>5</vt:i4>
      </vt:variant>
      <vt:variant>
        <vt:lpwstr>../../../Users/u006181/Downloads/CMS-PCP1-038389</vt:lpwstr>
      </vt:variant>
      <vt:variant>
        <vt:lpwstr/>
      </vt:variant>
      <vt:variant>
        <vt:i4>262192</vt:i4>
      </vt:variant>
      <vt:variant>
        <vt:i4>177</vt:i4>
      </vt:variant>
      <vt:variant>
        <vt:i4>0</vt:i4>
      </vt:variant>
      <vt:variant>
        <vt:i4>5</vt:i4>
      </vt:variant>
      <vt:variant>
        <vt:lpwstr/>
      </vt:variant>
      <vt:variant>
        <vt:lpwstr>_top</vt:lpwstr>
      </vt:variant>
      <vt:variant>
        <vt:i4>1376267</vt:i4>
      </vt:variant>
      <vt:variant>
        <vt:i4>174</vt:i4>
      </vt:variant>
      <vt:variant>
        <vt:i4>0</vt:i4>
      </vt:variant>
      <vt:variant>
        <vt:i4>5</vt:i4>
      </vt:variant>
      <vt:variant>
        <vt:lpwstr>../../../Users/u006181/AppData/Local/Microsoft/Windows/Temporary Internet Files/Content.Outlook/VWXM2ZN4/TSRC-PROD-007146</vt:lpwstr>
      </vt:variant>
      <vt:variant>
        <vt:lpwstr/>
      </vt:variant>
      <vt:variant>
        <vt:i4>262192</vt:i4>
      </vt:variant>
      <vt:variant>
        <vt:i4>171</vt:i4>
      </vt:variant>
      <vt:variant>
        <vt:i4>0</vt:i4>
      </vt:variant>
      <vt:variant>
        <vt:i4>5</vt:i4>
      </vt:variant>
      <vt:variant>
        <vt:lpwstr/>
      </vt:variant>
      <vt:variant>
        <vt:lpwstr>_top</vt:lpwstr>
      </vt:variant>
      <vt:variant>
        <vt:i4>7012403</vt:i4>
      </vt:variant>
      <vt:variant>
        <vt:i4>168</vt:i4>
      </vt:variant>
      <vt:variant>
        <vt:i4>0</vt:i4>
      </vt:variant>
      <vt:variant>
        <vt:i4>5</vt:i4>
      </vt:variant>
      <vt:variant>
        <vt:lpwstr>../../../Users/u006181/AppData/Local/Microsoft/Windows/Temporary Internet Files/Content.Outlook/Users/u006181/Downloads/CMS-PRD1-118544</vt:lpwstr>
      </vt:variant>
      <vt:variant>
        <vt:lpwstr/>
      </vt:variant>
      <vt:variant>
        <vt:i4>7012403</vt:i4>
      </vt:variant>
      <vt:variant>
        <vt:i4>165</vt:i4>
      </vt:variant>
      <vt:variant>
        <vt:i4>0</vt:i4>
      </vt:variant>
      <vt:variant>
        <vt:i4>5</vt:i4>
      </vt:variant>
      <vt:variant>
        <vt:lpwstr>../../../Users/u006181/AppData/Local/Microsoft/Windows/Temporary Internet Files/Content.Outlook/Users/u006181/Downloads/CMS-PRD1-118545</vt:lpwstr>
      </vt:variant>
      <vt:variant>
        <vt:lpwstr/>
      </vt:variant>
      <vt:variant>
        <vt:i4>7274550</vt:i4>
      </vt:variant>
      <vt:variant>
        <vt:i4>162</vt:i4>
      </vt:variant>
      <vt:variant>
        <vt:i4>0</vt:i4>
      </vt:variant>
      <vt:variant>
        <vt:i4>5</vt:i4>
      </vt:variant>
      <vt:variant>
        <vt:lpwstr>../../../Users/u006181/AppData/Local/Microsoft/Windows/Temporary Internet Files/Content.Outlook/Users/u006181/Downloads/CMS-PRD1-088916</vt:lpwstr>
      </vt:variant>
      <vt:variant>
        <vt:lpwstr/>
      </vt:variant>
      <vt:variant>
        <vt:i4>2556014</vt:i4>
      </vt:variant>
      <vt:variant>
        <vt:i4>159</vt:i4>
      </vt:variant>
      <vt:variant>
        <vt:i4>0</vt:i4>
      </vt:variant>
      <vt:variant>
        <vt:i4>5</vt:i4>
      </vt:variant>
      <vt:variant>
        <vt:lpwstr>https://employer.carefirst.com/carefirst-resources/pdf/preventive-drug-list-sum1864.pdf</vt:lpwstr>
      </vt:variant>
      <vt:variant>
        <vt:lpwstr/>
      </vt:variant>
      <vt:variant>
        <vt:i4>262192</vt:i4>
      </vt:variant>
      <vt:variant>
        <vt:i4>156</vt:i4>
      </vt:variant>
      <vt:variant>
        <vt:i4>0</vt:i4>
      </vt:variant>
      <vt:variant>
        <vt:i4>5</vt:i4>
      </vt:variant>
      <vt:variant>
        <vt:lpwstr/>
      </vt:variant>
      <vt:variant>
        <vt:lpwstr>_top</vt:lpwstr>
      </vt:variant>
      <vt:variant>
        <vt:i4>589889</vt:i4>
      </vt:variant>
      <vt:variant>
        <vt:i4>153</vt:i4>
      </vt:variant>
      <vt:variant>
        <vt:i4>0</vt:i4>
      </vt:variant>
      <vt:variant>
        <vt:i4>5</vt:i4>
      </vt:variant>
      <vt:variant>
        <vt:lpwstr>../../../Users/u006181/AppData/Local/Microsoft/Windows/Temporary Internet Files/Content.Outlook/VWXM2ZN4/CMS-2-004448</vt:lpwstr>
      </vt:variant>
      <vt:variant>
        <vt:lpwstr/>
      </vt:variant>
      <vt:variant>
        <vt:i4>65657</vt:i4>
      </vt:variant>
      <vt:variant>
        <vt:i4>147</vt:i4>
      </vt:variant>
      <vt:variant>
        <vt:i4>0</vt:i4>
      </vt:variant>
      <vt:variant>
        <vt:i4>5</vt:i4>
      </vt:variant>
      <vt:variant>
        <vt:lpwstr>http://sharepoint/SiteDirectory/Formulary_Comm_Ctr_Rsrc/Shared Documents/Advanced Control Specialty Formulary%E2%84%A2/Prescribing Guide Standard Opt Out ACSF/2018/04-2018 PG SOO ACSF.pdf</vt:lpwstr>
      </vt:variant>
      <vt:variant>
        <vt:lpwstr/>
      </vt:variant>
      <vt:variant>
        <vt:i4>2031713</vt:i4>
      </vt:variant>
      <vt:variant>
        <vt:i4>141</vt:i4>
      </vt:variant>
      <vt:variant>
        <vt:i4>0</vt:i4>
      </vt:variant>
      <vt:variant>
        <vt:i4>5</vt:i4>
      </vt:variant>
      <vt:variant>
        <vt:lpwstr>http://sharepoint/SiteDirectory/Formulary_Comm_Ctr_Rsrc/Shared Documents/Advanced Control Specialty Formulary%E2%84%A2/Performance Drug List Standard Control ACSF/2018/04-2018 PDL SC ACSF v2.pdf</vt:lpwstr>
      </vt:variant>
      <vt:variant>
        <vt:lpwstr/>
      </vt:variant>
      <vt:variant>
        <vt:i4>6684735</vt:i4>
      </vt:variant>
      <vt:variant>
        <vt:i4>138</vt:i4>
      </vt:variant>
      <vt:variant>
        <vt:i4>0</vt:i4>
      </vt:variant>
      <vt:variant>
        <vt:i4>5</vt:i4>
      </vt:variant>
      <vt:variant>
        <vt:lpwstr>../../../Users/u006181/AppData/Local/Microsoft/Windows/Temporary Internet Files/Content.Outlook/Users/u006181/Downloads/CMS-PRD1-116970</vt:lpwstr>
      </vt:variant>
      <vt:variant>
        <vt:lpwstr/>
      </vt:variant>
      <vt:variant>
        <vt:i4>6619217</vt:i4>
      </vt:variant>
      <vt:variant>
        <vt:i4>132</vt:i4>
      </vt:variant>
      <vt:variant>
        <vt:i4>0</vt:i4>
      </vt:variant>
      <vt:variant>
        <vt:i4>5</vt:i4>
      </vt:variant>
      <vt:variant>
        <vt:lpwstr>http://sharepoint/SiteDirectory/Formulary_Comm_Ctr_Rsrc/Shared Documents/Advanced Control Specialty Formulary%E2%84%A2/Advanced Control Specialty Formulary/2018/04-2018 v2 Advanced Control Specialty Formulary.pdf</vt:lpwstr>
      </vt:variant>
      <vt:variant>
        <vt:lpwstr/>
      </vt:variant>
      <vt:variant>
        <vt:i4>262192</vt:i4>
      </vt:variant>
      <vt:variant>
        <vt:i4>129</vt:i4>
      </vt:variant>
      <vt:variant>
        <vt:i4>0</vt:i4>
      </vt:variant>
      <vt:variant>
        <vt:i4>5</vt:i4>
      </vt:variant>
      <vt:variant>
        <vt:lpwstr/>
      </vt:variant>
      <vt:variant>
        <vt:lpwstr>_top</vt:lpwstr>
      </vt:variant>
      <vt:variant>
        <vt:i4>851999</vt:i4>
      </vt:variant>
      <vt:variant>
        <vt:i4>126</vt:i4>
      </vt:variant>
      <vt:variant>
        <vt:i4>0</vt:i4>
      </vt:variant>
      <vt:variant>
        <vt:i4>5</vt:i4>
      </vt:variant>
      <vt:variant>
        <vt:lpwstr>../../../Users/u006181/AppData/Local/Microsoft/Windows/Temporary Internet Files/Content.Outlook/VWXM2ZN4/CMS-PRD1-114719</vt:lpwstr>
      </vt:variant>
      <vt:variant>
        <vt:lpwstr/>
      </vt:variant>
      <vt:variant>
        <vt:i4>2162710</vt:i4>
      </vt:variant>
      <vt:variant>
        <vt:i4>120</vt:i4>
      </vt:variant>
      <vt:variant>
        <vt:i4>0</vt:i4>
      </vt:variant>
      <vt:variant>
        <vt:i4>5</vt:i4>
      </vt:variant>
      <vt:variant>
        <vt:lpwstr>http://sharepoint/SiteDirectory/Formulary_Comm_Ctr_Rsrc/Shared Documents/Formulary Drug Removals/Medications Requiring Prior Authorization/2018/04-2018 Medications Requiring Prior Authorization.pdf</vt:lpwstr>
      </vt:variant>
      <vt:variant>
        <vt:lpwstr/>
      </vt:variant>
      <vt:variant>
        <vt:i4>7864356</vt:i4>
      </vt:variant>
      <vt:variant>
        <vt:i4>117</vt:i4>
      </vt:variant>
      <vt:variant>
        <vt:i4>0</vt:i4>
      </vt:variant>
      <vt:variant>
        <vt:i4>5</vt:i4>
      </vt:variant>
      <vt:variant>
        <vt:lpwstr>../../../Users/u006181/AppData/Local/Microsoft/Windows/Temporary Internet Files/Content.Outlook/Users/u006181/Downloads/CMS-PCP1-026594</vt:lpwstr>
      </vt:variant>
      <vt:variant>
        <vt:lpwstr/>
      </vt:variant>
      <vt:variant>
        <vt:i4>7340103</vt:i4>
      </vt:variant>
      <vt:variant>
        <vt:i4>111</vt:i4>
      </vt:variant>
      <vt:variant>
        <vt:i4>0</vt:i4>
      </vt:variant>
      <vt:variant>
        <vt:i4>5</vt:i4>
      </vt:variant>
      <vt:variant>
        <vt:lpwstr>http://sharepoint/SiteDirectory/Formulary_Comm_Ctr_Rsrc/Shared Documents/Formulary Drug Removals/Formulary Drug Removals/2018/04-2018 Formulary Drug Removals.pdf</vt:lpwstr>
      </vt:variant>
      <vt:variant>
        <vt:lpwstr/>
      </vt:variant>
      <vt:variant>
        <vt:i4>1245306</vt:i4>
      </vt:variant>
      <vt:variant>
        <vt:i4>105</vt:i4>
      </vt:variant>
      <vt:variant>
        <vt:i4>0</vt:i4>
      </vt:variant>
      <vt:variant>
        <vt:i4>5</vt:i4>
      </vt:variant>
      <vt:variant>
        <vt:lpwstr>http://sharepoint/SiteDirectory/Formulary_Comm_Ctr_Rsrc/Shared Documents/Standard Control/Performance Drug List/Performance Drug List-Standard Control/2018 - Performance Drug Lists/04-2018 Performance Drug List Standard Control v2.pdf</vt:lpwstr>
      </vt:variant>
      <vt:variant>
        <vt:lpwstr/>
      </vt:variant>
      <vt:variant>
        <vt:i4>5177463</vt:i4>
      </vt:variant>
      <vt:variant>
        <vt:i4>99</vt:i4>
      </vt:variant>
      <vt:variant>
        <vt:i4>0</vt:i4>
      </vt:variant>
      <vt:variant>
        <vt:i4>5</vt:i4>
      </vt:variant>
      <vt:variant>
        <vt:lpwstr>http://sharepoint/SiteDirectory/Formulary_Comm_Ctr_Rsrc/Shared Documents/Standard Opt Out/Performance-Standard Opt Out/Performance Drug List-Standard Opt Out/2018/04-2018 PDL Standard Opt Out v2.pdf</vt:lpwstr>
      </vt:variant>
      <vt:variant>
        <vt:lpwstr/>
      </vt:variant>
      <vt:variant>
        <vt:i4>5701679</vt:i4>
      </vt:variant>
      <vt:variant>
        <vt:i4>93</vt:i4>
      </vt:variant>
      <vt:variant>
        <vt:i4>0</vt:i4>
      </vt:variant>
      <vt:variant>
        <vt:i4>5</vt:i4>
      </vt:variant>
      <vt:variant>
        <vt:lpwstr>http://sharepoint/SiteDirectory/Formulary_Comm_Ctr_Rsrc/Shared Documents/Advanced Control Formulary%E2%84%A2/Advanced Control Formulary/2018/04-2018 Advanced Control Formulary v2.pdf</vt:lpwstr>
      </vt:variant>
      <vt:variant>
        <vt:lpwstr/>
      </vt:variant>
      <vt:variant>
        <vt:i4>262192</vt:i4>
      </vt:variant>
      <vt:variant>
        <vt:i4>90</vt:i4>
      </vt:variant>
      <vt:variant>
        <vt:i4>0</vt:i4>
      </vt:variant>
      <vt:variant>
        <vt:i4>5</vt:i4>
      </vt:variant>
      <vt:variant>
        <vt:lpwstr/>
      </vt:variant>
      <vt:variant>
        <vt:lpwstr>_top</vt:lpwstr>
      </vt:variant>
      <vt:variant>
        <vt:i4>4587538</vt:i4>
      </vt:variant>
      <vt:variant>
        <vt:i4>87</vt:i4>
      </vt:variant>
      <vt:variant>
        <vt:i4>0</vt:i4>
      </vt:variant>
      <vt:variant>
        <vt:i4>5</vt:i4>
      </vt:variant>
      <vt:variant>
        <vt:lpwstr>../../../Users/u006181/AppData/Local/Microsoft/Windows/Temporary Internet Files/Content.Outlook/Users/u006181/Downloads/TSRC-PROD-007465</vt:lpwstr>
      </vt:variant>
      <vt:variant>
        <vt:lpwstr/>
      </vt:variant>
      <vt:variant>
        <vt:i4>4915218</vt:i4>
      </vt:variant>
      <vt:variant>
        <vt:i4>84</vt:i4>
      </vt:variant>
      <vt:variant>
        <vt:i4>0</vt:i4>
      </vt:variant>
      <vt:variant>
        <vt:i4>5</vt:i4>
      </vt:variant>
      <vt:variant>
        <vt:lpwstr>../../../Users/u006181/AppData/Local/Microsoft/Windows/Temporary Internet Files/Content.Outlook/Users/u006181/Downloads/TSRC-PROD-007468</vt:lpwstr>
      </vt:variant>
      <vt:variant>
        <vt:lpwstr/>
      </vt:variant>
      <vt:variant>
        <vt:i4>4390931</vt:i4>
      </vt:variant>
      <vt:variant>
        <vt:i4>81</vt:i4>
      </vt:variant>
      <vt:variant>
        <vt:i4>0</vt:i4>
      </vt:variant>
      <vt:variant>
        <vt:i4>5</vt:i4>
      </vt:variant>
      <vt:variant>
        <vt:lpwstr>../../../Users/u006181/AppData/Local/Microsoft/Windows/Temporary Internet Files/Content.Outlook/Users/u006181/Downloads/TSRC-PROD-007470</vt:lpwstr>
      </vt:variant>
      <vt:variant>
        <vt:lpwstr/>
      </vt:variant>
      <vt:variant>
        <vt:i4>4456466</vt:i4>
      </vt:variant>
      <vt:variant>
        <vt:i4>78</vt:i4>
      </vt:variant>
      <vt:variant>
        <vt:i4>0</vt:i4>
      </vt:variant>
      <vt:variant>
        <vt:i4>5</vt:i4>
      </vt:variant>
      <vt:variant>
        <vt:lpwstr>../../../Users/u006181/AppData/Local/Microsoft/Windows/Temporary Internet Files/Content.Outlook/Users/u006181/Downloads/TSRC-PROD-007467</vt:lpwstr>
      </vt:variant>
      <vt:variant>
        <vt:lpwstr/>
      </vt:variant>
      <vt:variant>
        <vt:i4>5570621</vt:i4>
      </vt:variant>
      <vt:variant>
        <vt:i4>75</vt:i4>
      </vt:variant>
      <vt:variant>
        <vt:i4>0</vt:i4>
      </vt:variant>
      <vt:variant>
        <vt:i4>5</vt:i4>
      </vt:variant>
      <vt:variant>
        <vt:lpwstr>http://sharepoint/SiteDirectory/Formulary_Comm_Ctr_Rsrc/Shared Documents/Value Formulary/Value Formulary Document/2018/0418/04-2018 Value Formulary.pdf</vt:lpwstr>
      </vt:variant>
      <vt:variant>
        <vt:lpwstr/>
      </vt:variant>
      <vt:variant>
        <vt:i4>262192</vt:i4>
      </vt:variant>
      <vt:variant>
        <vt:i4>72</vt:i4>
      </vt:variant>
      <vt:variant>
        <vt:i4>0</vt:i4>
      </vt:variant>
      <vt:variant>
        <vt:i4>5</vt:i4>
      </vt:variant>
      <vt:variant>
        <vt:lpwstr/>
      </vt:variant>
      <vt:variant>
        <vt:lpwstr>_top</vt:lpwstr>
      </vt:variant>
      <vt:variant>
        <vt:i4>8126503</vt:i4>
      </vt:variant>
      <vt:variant>
        <vt:i4>69</vt:i4>
      </vt:variant>
      <vt:variant>
        <vt:i4>0</vt:i4>
      </vt:variant>
      <vt:variant>
        <vt:i4>5</vt:i4>
      </vt:variant>
      <vt:variant>
        <vt:lpwstr>../../Projects/Users/u006181/Downloads/CMS-PRD1-116971</vt:lpwstr>
      </vt:variant>
      <vt:variant>
        <vt:lpwstr/>
      </vt:variant>
      <vt:variant>
        <vt:i4>262192</vt:i4>
      </vt:variant>
      <vt:variant>
        <vt:i4>66</vt:i4>
      </vt:variant>
      <vt:variant>
        <vt:i4>0</vt:i4>
      </vt:variant>
      <vt:variant>
        <vt:i4>5</vt:i4>
      </vt:variant>
      <vt:variant>
        <vt:lpwstr/>
      </vt:variant>
      <vt:variant>
        <vt:lpwstr>_top</vt:lpwstr>
      </vt:variant>
      <vt:variant>
        <vt:i4>7143487</vt:i4>
      </vt:variant>
      <vt:variant>
        <vt:i4>63</vt:i4>
      </vt:variant>
      <vt:variant>
        <vt:i4>0</vt:i4>
      </vt:variant>
      <vt:variant>
        <vt:i4>5</vt:i4>
      </vt:variant>
      <vt:variant>
        <vt:lpwstr>https://mylife.cvshealth.com/webcenter/portal/mylife/Departments/medicalaffairs/FCC/Resources?_afrLoop=129711091607750</vt:lpwstr>
      </vt:variant>
      <vt:variant>
        <vt:lpwstr>!%40%40%3F_afrLoop%3D129711091607750%26displayInSideNav%3Dtrue%26hideSideNav%3Dfalse%26_adf.ctrl-state%3Dz1mfcy6lr_847</vt:lpwstr>
      </vt:variant>
      <vt:variant>
        <vt:i4>7929891</vt:i4>
      </vt:variant>
      <vt:variant>
        <vt:i4>60</vt:i4>
      </vt:variant>
      <vt:variant>
        <vt:i4>0</vt:i4>
      </vt:variant>
      <vt:variant>
        <vt:i4>5</vt:i4>
      </vt:variant>
      <vt:variant>
        <vt:lpwstr>../../../Users/u006181/AppData/Local/Microsoft/Windows/Temporary Internet Files/Content.Outlook/Users/u006181/Downloads/CMS-PCP1-027295</vt:lpwstr>
      </vt:variant>
      <vt:variant>
        <vt:lpwstr/>
      </vt:variant>
      <vt:variant>
        <vt:i4>524295</vt:i4>
      </vt:variant>
      <vt:variant>
        <vt:i4>57</vt:i4>
      </vt:variant>
      <vt:variant>
        <vt:i4>0</vt:i4>
      </vt:variant>
      <vt:variant>
        <vt:i4>5</vt:i4>
      </vt:variant>
      <vt:variant>
        <vt:lpwstr>../../../Users/u006181/AppData/Local/Microsoft/Windows/Temporary Internet Files/Content.Outlook/Users/u006181/Downloads/CMS-5-004989</vt:lpwstr>
      </vt:variant>
      <vt:variant>
        <vt:lpwstr/>
      </vt:variant>
      <vt:variant>
        <vt:i4>917519</vt:i4>
      </vt:variant>
      <vt:variant>
        <vt:i4>54</vt:i4>
      </vt:variant>
      <vt:variant>
        <vt:i4>0</vt:i4>
      </vt:variant>
      <vt:variant>
        <vt:i4>5</vt:i4>
      </vt:variant>
      <vt:variant>
        <vt:lpwstr>../../../Users/u006181/AppData/Local/Microsoft/Windows/Temporary Internet Files/Content.Outlook/Users/u006181/Downloads/CMS-2-004573</vt:lpwstr>
      </vt:variant>
      <vt:variant>
        <vt:lpwstr/>
      </vt:variant>
      <vt:variant>
        <vt:i4>2424887</vt:i4>
      </vt:variant>
      <vt:variant>
        <vt:i4>51</vt:i4>
      </vt:variant>
      <vt:variant>
        <vt:i4>0</vt:i4>
      </vt:variant>
      <vt:variant>
        <vt:i4>5</vt:i4>
      </vt:variant>
      <vt:variant>
        <vt:lpwstr>https://policy.corp.cvscaremark.com/pnp/faces/DocRenderer?documentId=CALL-0049</vt:lpwstr>
      </vt:variant>
      <vt:variant>
        <vt:lpwstr/>
      </vt:variant>
      <vt:variant>
        <vt:i4>6291507</vt:i4>
      </vt:variant>
      <vt:variant>
        <vt:i4>48</vt:i4>
      </vt:variant>
      <vt:variant>
        <vt:i4>0</vt:i4>
      </vt:variant>
      <vt:variant>
        <vt:i4>5</vt:i4>
      </vt:variant>
      <vt:variant>
        <vt:lpwstr>../../../Users/u006181/AppData/Local/Microsoft/Windows/Temporary Internet Files/Content.Outlook/Users/u006181/Downloads/CMS-PRD1-067214</vt:lpwstr>
      </vt:variant>
      <vt:variant>
        <vt:lpwstr/>
      </vt:variant>
      <vt:variant>
        <vt:i4>65547</vt:i4>
      </vt:variant>
      <vt:variant>
        <vt:i4>45</vt:i4>
      </vt:variant>
      <vt:variant>
        <vt:i4>0</vt:i4>
      </vt:variant>
      <vt:variant>
        <vt:i4>5</vt:i4>
      </vt:variant>
      <vt:variant>
        <vt:lpwstr>../../../Users/u006181/AppData/Local/Microsoft/Windows/Temporary Internet Files/Content.Outlook/Users/u006181/Downloads/CMS-2-024833</vt:lpwstr>
      </vt:variant>
      <vt:variant>
        <vt:lpwstr/>
      </vt:variant>
      <vt:variant>
        <vt:i4>7274550</vt:i4>
      </vt:variant>
      <vt:variant>
        <vt:i4>42</vt:i4>
      </vt:variant>
      <vt:variant>
        <vt:i4>0</vt:i4>
      </vt:variant>
      <vt:variant>
        <vt:i4>5</vt:i4>
      </vt:variant>
      <vt:variant>
        <vt:lpwstr>../../../Users/u006181/AppData/Local/Microsoft/Windows/Temporary Internet Files/Content.Outlook/Users/u006181/Downloads/CMS-PRD1-061780</vt:lpwstr>
      </vt:variant>
      <vt:variant>
        <vt:lpwstr/>
      </vt:variant>
      <vt:variant>
        <vt:i4>6357046</vt:i4>
      </vt:variant>
      <vt:variant>
        <vt:i4>39</vt:i4>
      </vt:variant>
      <vt:variant>
        <vt:i4>0</vt:i4>
      </vt:variant>
      <vt:variant>
        <vt:i4>5</vt:i4>
      </vt:variant>
      <vt:variant>
        <vt:lpwstr>../../../Users/u006181/AppData/Local/Microsoft/Windows/Temporary Internet Files/Content.Outlook/Users/u006181/Downloads/CMS-PRD1-066717</vt:lpwstr>
      </vt:variant>
      <vt:variant>
        <vt:lpwstr/>
      </vt:variant>
      <vt:variant>
        <vt:i4>327689</vt:i4>
      </vt:variant>
      <vt:variant>
        <vt:i4>36</vt:i4>
      </vt:variant>
      <vt:variant>
        <vt:i4>0</vt:i4>
      </vt:variant>
      <vt:variant>
        <vt:i4>5</vt:i4>
      </vt:variant>
      <vt:variant>
        <vt:lpwstr>../../../Users/u006181/AppData/Local/Microsoft/Windows/Temporary Internet Files/Content.Outlook/Users/u006181/Downloads/CMS-2-017428</vt:lpwstr>
      </vt:variant>
      <vt:variant>
        <vt:lpwstr/>
      </vt:variant>
      <vt:variant>
        <vt:i4>1769532</vt:i4>
      </vt:variant>
      <vt:variant>
        <vt:i4>32</vt:i4>
      </vt:variant>
      <vt:variant>
        <vt:i4>0</vt:i4>
      </vt:variant>
      <vt:variant>
        <vt:i4>5</vt:i4>
      </vt:variant>
      <vt:variant>
        <vt:lpwstr/>
      </vt:variant>
      <vt:variant>
        <vt:lpwstr>_Toc499125313</vt:lpwstr>
      </vt:variant>
      <vt:variant>
        <vt:i4>1769532</vt:i4>
      </vt:variant>
      <vt:variant>
        <vt:i4>29</vt:i4>
      </vt:variant>
      <vt:variant>
        <vt:i4>0</vt:i4>
      </vt:variant>
      <vt:variant>
        <vt:i4>5</vt:i4>
      </vt:variant>
      <vt:variant>
        <vt:lpwstr/>
      </vt:variant>
      <vt:variant>
        <vt:lpwstr>_Toc499125312</vt:lpwstr>
      </vt:variant>
      <vt:variant>
        <vt:i4>1769532</vt:i4>
      </vt:variant>
      <vt:variant>
        <vt:i4>26</vt:i4>
      </vt:variant>
      <vt:variant>
        <vt:i4>0</vt:i4>
      </vt:variant>
      <vt:variant>
        <vt:i4>5</vt:i4>
      </vt:variant>
      <vt:variant>
        <vt:lpwstr/>
      </vt:variant>
      <vt:variant>
        <vt:lpwstr>_Toc499125311</vt:lpwstr>
      </vt:variant>
      <vt:variant>
        <vt:i4>1769532</vt:i4>
      </vt:variant>
      <vt:variant>
        <vt:i4>23</vt:i4>
      </vt:variant>
      <vt:variant>
        <vt:i4>0</vt:i4>
      </vt:variant>
      <vt:variant>
        <vt:i4>5</vt:i4>
      </vt:variant>
      <vt:variant>
        <vt:lpwstr/>
      </vt:variant>
      <vt:variant>
        <vt:lpwstr>_Toc499125310</vt:lpwstr>
      </vt:variant>
      <vt:variant>
        <vt:i4>1703996</vt:i4>
      </vt:variant>
      <vt:variant>
        <vt:i4>20</vt:i4>
      </vt:variant>
      <vt:variant>
        <vt:i4>0</vt:i4>
      </vt:variant>
      <vt:variant>
        <vt:i4>5</vt:i4>
      </vt:variant>
      <vt:variant>
        <vt:lpwstr/>
      </vt:variant>
      <vt:variant>
        <vt:lpwstr>_Toc499125309</vt:lpwstr>
      </vt:variant>
      <vt:variant>
        <vt:i4>1703996</vt:i4>
      </vt:variant>
      <vt:variant>
        <vt:i4>17</vt:i4>
      </vt:variant>
      <vt:variant>
        <vt:i4>0</vt:i4>
      </vt:variant>
      <vt:variant>
        <vt:i4>5</vt:i4>
      </vt:variant>
      <vt:variant>
        <vt:lpwstr/>
      </vt:variant>
      <vt:variant>
        <vt:lpwstr>_Toc499125308</vt:lpwstr>
      </vt:variant>
      <vt:variant>
        <vt:i4>1703996</vt:i4>
      </vt:variant>
      <vt:variant>
        <vt:i4>14</vt:i4>
      </vt:variant>
      <vt:variant>
        <vt:i4>0</vt:i4>
      </vt:variant>
      <vt:variant>
        <vt:i4>5</vt:i4>
      </vt:variant>
      <vt:variant>
        <vt:lpwstr/>
      </vt:variant>
      <vt:variant>
        <vt:lpwstr>_Toc499125307</vt:lpwstr>
      </vt:variant>
      <vt:variant>
        <vt:i4>1703996</vt:i4>
      </vt:variant>
      <vt:variant>
        <vt:i4>11</vt:i4>
      </vt:variant>
      <vt:variant>
        <vt:i4>0</vt:i4>
      </vt:variant>
      <vt:variant>
        <vt:i4>5</vt:i4>
      </vt:variant>
      <vt:variant>
        <vt:lpwstr/>
      </vt:variant>
      <vt:variant>
        <vt:lpwstr>_Toc499125306</vt:lpwstr>
      </vt:variant>
      <vt:variant>
        <vt:i4>1703996</vt:i4>
      </vt:variant>
      <vt:variant>
        <vt:i4>8</vt:i4>
      </vt:variant>
      <vt:variant>
        <vt:i4>0</vt:i4>
      </vt:variant>
      <vt:variant>
        <vt:i4>5</vt:i4>
      </vt:variant>
      <vt:variant>
        <vt:lpwstr/>
      </vt:variant>
      <vt:variant>
        <vt:lpwstr>_Toc499125305</vt:lpwstr>
      </vt:variant>
      <vt:variant>
        <vt:i4>1703996</vt:i4>
      </vt:variant>
      <vt:variant>
        <vt:i4>5</vt:i4>
      </vt:variant>
      <vt:variant>
        <vt:i4>0</vt:i4>
      </vt:variant>
      <vt:variant>
        <vt:i4>5</vt:i4>
      </vt:variant>
      <vt:variant>
        <vt:lpwstr/>
      </vt:variant>
      <vt:variant>
        <vt:lpwstr>_Toc499125304</vt:lpwstr>
      </vt:variant>
      <vt:variant>
        <vt:i4>1703996</vt:i4>
      </vt:variant>
      <vt:variant>
        <vt:i4>2</vt:i4>
      </vt:variant>
      <vt:variant>
        <vt:i4>0</vt:i4>
      </vt:variant>
      <vt:variant>
        <vt:i4>5</vt:i4>
      </vt:variant>
      <vt:variant>
        <vt:lpwstr/>
      </vt:variant>
      <vt:variant>
        <vt:lpwstr>_Toc499125303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Davis, David P.</cp:lastModifiedBy>
  <cp:revision>19</cp:revision>
  <dcterms:created xsi:type="dcterms:W3CDTF">2025-06-19T13:37:00Z</dcterms:created>
  <dcterms:modified xsi:type="dcterms:W3CDTF">2025-06-19T13:50:00Z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2021-11-09T22:13:30Z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a9069e47-df6a-4b5f-b87e-cc3b9e9b305c</vt:lpwstr>
  </property>
  <property fmtid="{D5CDD505-2E9C-101B-9397-08002B2CF9AE}" pid="8" name="MSIP_Label_67599526-06ca-49cc-9fa9-5307800a949a_ContentBits">
    <vt:lpwstr>0</vt:lpwstr>
  </property>
  <property fmtid="{D5CDD505-2E9C-101B-9397-08002B2CF9AE}" pid="9" name="ContentTypeId">
    <vt:lpwstr>0x010100380D7114F191C149AED2E24C99628A9C</vt:lpwstr>
  </property>
</Properties>
</file>