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CB87" w14:textId="48597BA6" w:rsidR="002E23BD" w:rsidRPr="00466E1D" w:rsidRDefault="00E11B1B" w:rsidP="00D91004">
      <w:pPr>
        <w:pStyle w:val="Heading1"/>
        <w:spacing w:before="120" w:after="120"/>
        <w:rPr>
          <w:rFonts w:ascii="Verdana" w:eastAsiaTheme="minorHAnsi" w:hAnsi="Verdana"/>
          <w:sz w:val="36"/>
          <w:szCs w:val="36"/>
        </w:rPr>
      </w:pPr>
      <w:bookmarkStart w:id="0" w:name="_top"/>
      <w:bookmarkEnd w:id="0"/>
      <w:r w:rsidRPr="00466E1D">
        <w:rPr>
          <w:rFonts w:ascii="Verdana" w:eastAsiaTheme="minorHAnsi" w:hAnsi="Verdana"/>
          <w:color w:val="auto"/>
          <w:sz w:val="36"/>
          <w:szCs w:val="36"/>
        </w:rPr>
        <w:t xml:space="preserve">Changes to Over-the-Counter (OTC) Medications </w:t>
      </w:r>
      <w:r w:rsidR="00F64F9D" w:rsidRPr="00466E1D">
        <w:rPr>
          <w:rFonts w:ascii="Verdana" w:eastAsiaTheme="minorHAnsi" w:hAnsi="Verdana"/>
          <w:color w:val="auto"/>
          <w:sz w:val="36"/>
          <w:szCs w:val="36"/>
        </w:rPr>
        <w:t>Coverage</w:t>
      </w:r>
      <w:r w:rsidRPr="00466E1D">
        <w:rPr>
          <w:rFonts w:ascii="Verdana" w:eastAsiaTheme="minorHAnsi" w:hAnsi="Verdana"/>
          <w:sz w:val="36"/>
          <w:szCs w:val="36"/>
        </w:rPr>
        <w:br/>
      </w:r>
    </w:p>
    <w:p w14:paraId="41579116" w14:textId="33905BED" w:rsidR="000263E0" w:rsidRDefault="003B5E8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2E23BD">
        <w:rPr>
          <w:rFonts w:ascii="Verdana" w:eastAsiaTheme="minorHAnsi" w:hAnsi="Verdana"/>
        </w:rPr>
        <w:fldChar w:fldCharType="begin"/>
      </w:r>
      <w:r w:rsidRPr="00466E1D">
        <w:rPr>
          <w:rFonts w:ascii="Verdana" w:eastAsiaTheme="minorHAnsi" w:hAnsi="Verdana"/>
        </w:rPr>
        <w:instrText xml:space="preserve"> TOC \o "2-2" \n \p " " \h \z \u </w:instrText>
      </w:r>
      <w:r w:rsidRPr="002E23BD">
        <w:rPr>
          <w:rFonts w:ascii="Verdana" w:eastAsiaTheme="minorHAnsi" w:hAnsi="Verdana"/>
        </w:rPr>
        <w:fldChar w:fldCharType="separate"/>
      </w:r>
      <w:hyperlink w:anchor="_Toc192074657" w:history="1">
        <w:r w:rsidR="000263E0" w:rsidRPr="000B0906">
          <w:rPr>
            <w:rStyle w:val="Hyperlink"/>
            <w:rFonts w:ascii="Verdana" w:hAnsi="Verdana"/>
            <w:noProof/>
          </w:rPr>
          <w:t>Impacts to Members</w:t>
        </w:r>
      </w:hyperlink>
    </w:p>
    <w:p w14:paraId="5765DF58" w14:textId="1C8496F8" w:rsidR="000263E0" w:rsidRDefault="000263E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074658" w:history="1">
        <w:r w:rsidRPr="000B0906">
          <w:rPr>
            <w:rStyle w:val="Hyperlink"/>
            <w:rFonts w:ascii="Verdana" w:hAnsi="Verdana"/>
            <w:noProof/>
          </w:rPr>
          <w:t>Examples</w:t>
        </w:r>
      </w:hyperlink>
    </w:p>
    <w:p w14:paraId="7A361173" w14:textId="140DFFE7" w:rsidR="000263E0" w:rsidRDefault="000263E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074659" w:history="1">
        <w:r w:rsidRPr="000B0906">
          <w:rPr>
            <w:rStyle w:val="Hyperlink"/>
            <w:rFonts w:ascii="Verdana" w:hAnsi="Verdana"/>
            <w:noProof/>
          </w:rPr>
          <w:t>Related Documents</w:t>
        </w:r>
      </w:hyperlink>
    </w:p>
    <w:p w14:paraId="06FC2CBA" w14:textId="26259861" w:rsidR="002C187D" w:rsidRDefault="003B5E86" w:rsidP="00092678">
      <w:pPr>
        <w:spacing w:after="160" w:line="252" w:lineRule="auto"/>
        <w:rPr>
          <w:rFonts w:ascii="Verdana" w:eastAsiaTheme="minorHAnsi" w:hAnsi="Verdana"/>
        </w:rPr>
      </w:pPr>
      <w:r w:rsidRPr="002E23BD">
        <w:rPr>
          <w:rFonts w:ascii="Verdana" w:eastAsiaTheme="minorHAnsi" w:hAnsi="Verdana"/>
        </w:rPr>
        <w:fldChar w:fldCharType="end"/>
      </w:r>
    </w:p>
    <w:p w14:paraId="7C1585A6" w14:textId="77777777" w:rsidR="002C187D" w:rsidRDefault="002C187D" w:rsidP="00D91004">
      <w:pPr>
        <w:spacing w:before="120" w:after="120" w:line="252" w:lineRule="auto"/>
        <w:rPr>
          <w:rFonts w:ascii="Verdana" w:eastAsiaTheme="minorHAnsi" w:hAnsi="Verdana"/>
        </w:rPr>
      </w:pPr>
    </w:p>
    <w:p w14:paraId="48111ABA" w14:textId="30BE8A13" w:rsidR="00E24E1A" w:rsidRPr="00823D5C" w:rsidRDefault="00E445FC" w:rsidP="000263E0">
      <w:pPr>
        <w:spacing w:before="120" w:after="120" w:line="252" w:lineRule="auto"/>
        <w:rPr>
          <w:rFonts w:ascii="Verdana" w:hAnsi="Verdana"/>
        </w:rPr>
      </w:pPr>
      <w:r>
        <w:rPr>
          <w:rFonts w:ascii="Verdana" w:eastAsiaTheme="minorHAnsi" w:hAnsi="Verdana"/>
          <w:b/>
          <w:bCs/>
          <w:noProof/>
        </w:rPr>
        <w:drawing>
          <wp:inline distT="0" distB="0" distL="0" distR="0" wp14:anchorId="685E5E21" wp14:editId="4B636A64">
            <wp:extent cx="304762" cy="304762"/>
            <wp:effectExtent l="0" t="0" r="635" b="635"/>
            <wp:docPr id="1461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505" name="Picture 146111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Theme="minorHAnsi" w:hAnsi="Verdana"/>
          <w:b/>
          <w:bCs/>
        </w:rPr>
        <w:t xml:space="preserve"> </w:t>
      </w:r>
      <w:r w:rsidR="00A327B9" w:rsidRPr="00A327B9">
        <w:rPr>
          <w:rFonts w:ascii="Verdana" w:eastAsiaTheme="minorHAnsi" w:hAnsi="Verdana"/>
          <w:b/>
          <w:bCs/>
        </w:rPr>
        <w:t>Description</w:t>
      </w:r>
      <w:r w:rsidR="007307A4">
        <w:rPr>
          <w:rFonts w:ascii="Verdana" w:eastAsiaTheme="minorHAnsi" w:hAnsi="Verdana"/>
          <w:b/>
          <w:bCs/>
        </w:rPr>
        <w:t xml:space="preserve">:  </w:t>
      </w:r>
      <w:r w:rsidR="004417DC">
        <w:rPr>
          <w:rStyle w:val="eop"/>
          <w:rFonts w:ascii="Verdana" w:hAnsi="Verdana"/>
          <w:color w:val="000000"/>
          <w:shd w:val="clear" w:color="auto" w:fill="FFFFFF"/>
        </w:rPr>
        <w:t xml:space="preserve">This document outlines the new guidelines effective 11/01/2024 for </w:t>
      </w:r>
      <w:r w:rsidR="00D564E2">
        <w:rPr>
          <w:rStyle w:val="eop"/>
          <w:rFonts w:ascii="Verdana" w:hAnsi="Verdana"/>
          <w:color w:val="000000"/>
          <w:shd w:val="clear" w:color="auto" w:fill="FFFFFF"/>
        </w:rPr>
        <w:t xml:space="preserve">handling claims related to </w:t>
      </w:r>
      <w:proofErr w:type="gramStart"/>
      <w:r w:rsidR="00D564E2">
        <w:rPr>
          <w:rStyle w:val="eop"/>
          <w:rFonts w:ascii="Verdana" w:hAnsi="Verdana"/>
          <w:color w:val="000000"/>
          <w:shd w:val="clear" w:color="auto" w:fill="FFFFFF"/>
        </w:rPr>
        <w:t>Over-the-Counter</w:t>
      </w:r>
      <w:proofErr w:type="gramEnd"/>
      <w:r w:rsidR="00D564E2">
        <w:rPr>
          <w:rStyle w:val="eop"/>
          <w:rFonts w:ascii="Verdana" w:hAnsi="Verdana"/>
          <w:color w:val="000000"/>
          <w:shd w:val="clear" w:color="auto" w:fill="FFFFFF"/>
        </w:rPr>
        <w:t xml:space="preserve"> (OTC) medications and Utilization Management (UM) Criteria</w:t>
      </w:r>
      <w:r w:rsidR="008130E4">
        <w:rPr>
          <w:rStyle w:val="eop"/>
          <w:rFonts w:ascii="Verdana" w:hAnsi="Verdana"/>
          <w:color w:val="000000"/>
          <w:shd w:val="clear" w:color="auto" w:fill="FFFFFF"/>
        </w:rPr>
        <w:t xml:space="preserve">, focusing on coverage, quantity limits, and prior authorization.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23D5C" w:rsidRPr="00466E1D" w14:paraId="027DDA03" w14:textId="77777777" w:rsidTr="00D91004">
        <w:tc>
          <w:tcPr>
            <w:tcW w:w="5000" w:type="pct"/>
            <w:shd w:val="clear" w:color="auto" w:fill="BFBFBF" w:themeFill="background1" w:themeFillShade="BF"/>
          </w:tcPr>
          <w:p w14:paraId="11BFB48A" w14:textId="14120B92" w:rsidR="00823D5C" w:rsidRPr="00466E1D" w:rsidRDefault="0092310C" w:rsidP="00466E1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Accumulators_–_Deductible,"/>
            <w:bookmarkStart w:id="2" w:name="_Toc192074657"/>
            <w:bookmarkEnd w:id="1"/>
            <w:r w:rsidRPr="00466E1D">
              <w:rPr>
                <w:rFonts w:ascii="Verdana" w:hAnsi="Verdana"/>
                <w:i w:val="0"/>
                <w:iCs w:val="0"/>
              </w:rPr>
              <w:t xml:space="preserve">Impacts </w:t>
            </w:r>
            <w:r w:rsidR="00CD6149" w:rsidRPr="00466E1D">
              <w:rPr>
                <w:rFonts w:ascii="Verdana" w:hAnsi="Verdana"/>
                <w:i w:val="0"/>
                <w:iCs w:val="0"/>
              </w:rPr>
              <w:t>to</w:t>
            </w:r>
            <w:r w:rsidRPr="00466E1D">
              <w:rPr>
                <w:rFonts w:ascii="Verdana" w:hAnsi="Verdana"/>
                <w:i w:val="0"/>
                <w:iCs w:val="0"/>
              </w:rPr>
              <w:t xml:space="preserve"> Members</w:t>
            </w:r>
            <w:bookmarkEnd w:id="2"/>
          </w:p>
        </w:tc>
      </w:tr>
    </w:tbl>
    <w:p w14:paraId="02225B35" w14:textId="77777777" w:rsidR="00DF7096" w:rsidRDefault="00DF7096" w:rsidP="00466E1D">
      <w:pPr>
        <w:spacing w:before="120" w:after="120" w:line="252" w:lineRule="auto"/>
        <w:rPr>
          <w:rStyle w:val="normaltextrun"/>
          <w:rFonts w:ascii="CVS Health Sans" w:hAnsi="CVS Health Sans"/>
          <w:color w:val="000000"/>
          <w:sz w:val="22"/>
          <w:szCs w:val="22"/>
          <w:shd w:val="clear" w:color="auto" w:fill="FFFFFF"/>
        </w:rPr>
      </w:pPr>
    </w:p>
    <w:p w14:paraId="67D032B1" w14:textId="18C3BE44" w:rsidR="002072B4" w:rsidRPr="00466E1D" w:rsidRDefault="00896738" w:rsidP="00466E1D">
      <w:pPr>
        <w:spacing w:before="120" w:after="120"/>
        <w:rPr>
          <w:rFonts w:ascii="Verdana" w:eastAsiaTheme="minorHAnsi" w:hAnsi="Verdana"/>
        </w:rPr>
      </w:pPr>
      <w:r w:rsidRPr="00466E1D">
        <w:rPr>
          <w:rFonts w:ascii="Verdana" w:hAnsi="Verdana"/>
          <w:noProof/>
          <w:shd w:val="clear" w:color="auto" w:fill="FFFFFF"/>
        </w:rPr>
        <w:drawing>
          <wp:inline distT="0" distB="0" distL="0" distR="0" wp14:anchorId="0DE26A36" wp14:editId="785BE9D2">
            <wp:extent cx="238095" cy="209524"/>
            <wp:effectExtent l="0" t="0" r="0" b="635"/>
            <wp:docPr id="18124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8340" name="Picture 18124583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CF0">
        <w:rPr>
          <w:rStyle w:val="normaltextrun"/>
          <w:rFonts w:ascii="Verdana" w:hAnsi="Verdana"/>
          <w:color w:val="000000"/>
          <w:shd w:val="clear" w:color="auto" w:fill="FFFFFF"/>
        </w:rPr>
        <w:t xml:space="preserve"> </w:t>
      </w:r>
      <w:r w:rsidR="00DF7096" w:rsidRPr="00C13CF0">
        <w:rPr>
          <w:rStyle w:val="normaltextrun"/>
          <w:rFonts w:ascii="Verdana" w:hAnsi="Verdana"/>
          <w:color w:val="000000"/>
          <w:shd w:val="clear" w:color="auto" w:fill="FFFFFF"/>
        </w:rPr>
        <w:t xml:space="preserve">Effective November 1, 2024, this change may result in claims for </w:t>
      </w:r>
      <w:r w:rsidR="00DF7096" w:rsidRPr="00C13CF0">
        <w:rPr>
          <w:rStyle w:val="normaltextrun"/>
          <w:rFonts w:ascii="Verdana" w:hAnsi="Verdana"/>
          <w:b/>
          <w:bCs/>
          <w:color w:val="000000"/>
          <w:shd w:val="clear" w:color="auto" w:fill="FFFFFF"/>
        </w:rPr>
        <w:t>Commercial</w:t>
      </w:r>
      <w:r w:rsidR="00DF7096" w:rsidRPr="00C13CF0">
        <w:rPr>
          <w:rStyle w:val="normaltextrun"/>
          <w:rFonts w:ascii="Verdana" w:hAnsi="Verdana"/>
          <w:color w:val="000000"/>
          <w:shd w:val="clear" w:color="auto" w:fill="FFFFFF"/>
        </w:rPr>
        <w:t xml:space="preserve"> clients for OTC medications being rejected if they are not covered under the </w:t>
      </w:r>
      <w:r w:rsidR="00454D70" w:rsidRPr="00C13CF0">
        <w:rPr>
          <w:rStyle w:val="normaltextrun"/>
          <w:rFonts w:ascii="Verdana" w:hAnsi="Verdana"/>
          <w:color w:val="000000"/>
          <w:shd w:val="clear" w:color="auto" w:fill="FFFFFF"/>
        </w:rPr>
        <w:t>member</w:t>
      </w:r>
      <w:r w:rsidR="0083580F" w:rsidRPr="00C13CF0">
        <w:rPr>
          <w:rStyle w:val="normaltextrun"/>
          <w:rFonts w:ascii="Verdana" w:hAnsi="Verdana"/>
          <w:color w:val="000000"/>
          <w:shd w:val="clear" w:color="auto" w:fill="FFFFFF"/>
        </w:rPr>
        <w:t>s’</w:t>
      </w:r>
      <w:r w:rsidR="00DF7096" w:rsidRPr="00C13CF0">
        <w:rPr>
          <w:rStyle w:val="normaltextrun"/>
          <w:rFonts w:ascii="Verdana" w:hAnsi="Verdana"/>
          <w:color w:val="000000"/>
          <w:shd w:val="clear" w:color="auto" w:fill="FFFFFF"/>
        </w:rPr>
        <w:t xml:space="preserve"> plan. If a client wants to cover an OTC medication per the CIF, an override may be needed.</w:t>
      </w:r>
      <w:r w:rsidR="00DF7096" w:rsidRPr="00C13CF0">
        <w:rPr>
          <w:rStyle w:val="scxw3628561"/>
          <w:rFonts w:ascii="Verdana" w:hAnsi="Verdana"/>
          <w:color w:val="000000"/>
          <w:shd w:val="clear" w:color="auto" w:fill="FFFFFF"/>
        </w:rPr>
        <w:t> </w:t>
      </w:r>
      <w:r w:rsidR="00DF7096" w:rsidRPr="00466E1D">
        <w:rPr>
          <w:rStyle w:val="scxw3628561"/>
          <w:rFonts w:ascii="Verdana" w:hAnsi="Verdana"/>
        </w:rPr>
        <w:br/>
      </w:r>
      <w:r w:rsidR="00DF7096" w:rsidRPr="00466E1D">
        <w:rPr>
          <w:rFonts w:ascii="Verdana" w:hAnsi="Verdana"/>
          <w:shd w:val="clear" w:color="auto" w:fill="FFFFFF"/>
        </w:rPr>
        <w:br/>
      </w:r>
    </w:p>
    <w:p w14:paraId="71E11812" w14:textId="464AD0E2" w:rsidR="002F3E64" w:rsidRDefault="004A2AC8" w:rsidP="00C82308">
      <w:pPr>
        <w:spacing w:before="120" w:after="120"/>
        <w:rPr>
          <w:rFonts w:ascii="Verdana" w:eastAsiaTheme="minorHAnsi" w:hAnsi="Verdana"/>
          <w:b/>
          <w:bCs/>
        </w:rPr>
      </w:pPr>
      <w:r w:rsidRPr="00466E1D">
        <w:rPr>
          <w:rFonts w:ascii="Verdana" w:eastAsiaTheme="minorHAnsi" w:hAnsi="Verdana"/>
          <w:b/>
          <w:bCs/>
        </w:rPr>
        <w:t xml:space="preserve">What </w:t>
      </w:r>
      <w:r w:rsidR="007E4B0E" w:rsidRPr="00466E1D">
        <w:rPr>
          <w:rFonts w:ascii="Verdana" w:eastAsiaTheme="minorHAnsi" w:hAnsi="Verdana"/>
          <w:b/>
          <w:bCs/>
        </w:rPr>
        <w:t xml:space="preserve">the </w:t>
      </w:r>
      <w:r w:rsidRPr="00466E1D">
        <w:rPr>
          <w:rFonts w:ascii="Verdana" w:eastAsiaTheme="minorHAnsi" w:hAnsi="Verdana"/>
          <w:b/>
          <w:bCs/>
        </w:rPr>
        <w:t>CCR Need</w:t>
      </w:r>
      <w:r w:rsidR="00867999" w:rsidRPr="00466E1D">
        <w:rPr>
          <w:rFonts w:ascii="Verdana" w:eastAsiaTheme="minorHAnsi" w:hAnsi="Verdana"/>
          <w:b/>
          <w:bCs/>
        </w:rPr>
        <w:t>s</w:t>
      </w:r>
      <w:r w:rsidRPr="00466E1D">
        <w:rPr>
          <w:rFonts w:ascii="Verdana" w:eastAsiaTheme="minorHAnsi" w:hAnsi="Verdana"/>
          <w:b/>
          <w:bCs/>
        </w:rPr>
        <w:t xml:space="preserve"> to Know</w:t>
      </w:r>
    </w:p>
    <w:p w14:paraId="0F138A8D" w14:textId="77777777" w:rsidR="00270EC5" w:rsidRPr="00466E1D" w:rsidRDefault="00270EC5" w:rsidP="00466E1D">
      <w:pPr>
        <w:spacing w:before="120" w:after="120"/>
        <w:rPr>
          <w:rFonts w:ascii="Verdana" w:eastAsiaTheme="minorHAnsi" w:hAnsi="Verdana"/>
          <w:b/>
          <w:bCs/>
        </w:rPr>
      </w:pPr>
    </w:p>
    <w:p w14:paraId="6D622998" w14:textId="7BC285E3" w:rsidR="00F10465" w:rsidRPr="00466E1D" w:rsidRDefault="00AD7329" w:rsidP="00466E1D">
      <w:pPr>
        <w:spacing w:before="120" w:after="120"/>
        <w:rPr>
          <w:rFonts w:ascii="Verdana" w:eastAsiaTheme="minorHAnsi" w:hAnsi="Verdana"/>
        </w:rPr>
      </w:pPr>
      <w:r w:rsidRPr="00466E1D">
        <w:rPr>
          <w:rFonts w:ascii="Verdana" w:eastAsiaTheme="minorHAnsi" w:hAnsi="Verdana"/>
        </w:rPr>
        <w:t xml:space="preserve">Test </w:t>
      </w:r>
      <w:r w:rsidR="00F10465" w:rsidRPr="00466E1D">
        <w:rPr>
          <w:rFonts w:ascii="Verdana" w:eastAsiaTheme="minorHAnsi" w:hAnsi="Verdana"/>
        </w:rPr>
        <w:t>Claim</w:t>
      </w:r>
      <w:r w:rsidRPr="00466E1D">
        <w:rPr>
          <w:rFonts w:ascii="Verdana" w:eastAsiaTheme="minorHAnsi" w:hAnsi="Verdana"/>
        </w:rPr>
        <w:t>s</w:t>
      </w:r>
      <w:r w:rsidR="00F10465" w:rsidRPr="00466E1D">
        <w:rPr>
          <w:rFonts w:ascii="Verdana" w:eastAsiaTheme="minorHAnsi" w:hAnsi="Verdana"/>
        </w:rPr>
        <w:t xml:space="preserve"> </w:t>
      </w:r>
      <w:r w:rsidRPr="00466E1D">
        <w:rPr>
          <w:rFonts w:ascii="Verdana" w:eastAsiaTheme="minorHAnsi" w:hAnsi="Verdana"/>
        </w:rPr>
        <w:t xml:space="preserve"> </w:t>
      </w:r>
    </w:p>
    <w:p w14:paraId="69E29D0F" w14:textId="5D2001AE" w:rsidR="00F10465" w:rsidRPr="00A327B9" w:rsidRDefault="00F10465" w:rsidP="00C82308">
      <w:pPr>
        <w:numPr>
          <w:ilvl w:val="0"/>
          <w:numId w:val="19"/>
        </w:numPr>
        <w:spacing w:before="120" w:after="120" w:line="252" w:lineRule="auto"/>
        <w:rPr>
          <w:rFonts w:ascii="Verdana" w:eastAsiaTheme="minorHAnsi" w:hAnsi="Verdana"/>
        </w:rPr>
      </w:pPr>
      <w:r w:rsidRPr="009D314D">
        <w:rPr>
          <w:rFonts w:ascii="Verdana" w:eastAsiaTheme="minorHAnsi" w:hAnsi="Verdana"/>
        </w:rPr>
        <w:t xml:space="preserve">Quantity Limits: </w:t>
      </w:r>
      <w:r w:rsidR="001016B7" w:rsidRPr="009D314D">
        <w:rPr>
          <w:rFonts w:ascii="Verdana" w:eastAsiaTheme="minorHAnsi" w:hAnsi="Verdana"/>
        </w:rPr>
        <w:t xml:space="preserve"> </w:t>
      </w:r>
      <w:r w:rsidRPr="00A327B9">
        <w:rPr>
          <w:rFonts w:ascii="Verdana" w:eastAsiaTheme="minorHAnsi" w:hAnsi="Verdana"/>
        </w:rPr>
        <w:t>Claims for OTC products within quantity limits will be rejected with the message “OTC not covered.”</w:t>
      </w:r>
    </w:p>
    <w:p w14:paraId="1BE46178" w14:textId="783AD3C4" w:rsidR="00561243" w:rsidRDefault="00561243" w:rsidP="00C82308">
      <w:pPr>
        <w:spacing w:before="120" w:after="120" w:line="252" w:lineRule="auto"/>
        <w:rPr>
          <w:rFonts w:ascii="Verdana" w:eastAsiaTheme="minorHAnsi" w:hAnsi="Verdana"/>
        </w:rPr>
      </w:pPr>
    </w:p>
    <w:p w14:paraId="35B03792" w14:textId="1ED377C9" w:rsidR="00F10465" w:rsidRPr="00466E1D" w:rsidRDefault="00F10465" w:rsidP="00466E1D">
      <w:pPr>
        <w:spacing w:before="120" w:after="120"/>
        <w:rPr>
          <w:rFonts w:ascii="Verdana" w:eastAsiaTheme="minorHAnsi" w:hAnsi="Verdana"/>
        </w:rPr>
      </w:pPr>
      <w:r w:rsidRPr="00466E1D">
        <w:rPr>
          <w:rFonts w:ascii="Verdana" w:eastAsiaTheme="minorHAnsi" w:hAnsi="Verdana"/>
        </w:rPr>
        <w:t>Claims Above Plan Limits</w:t>
      </w:r>
    </w:p>
    <w:p w14:paraId="44509DD3" w14:textId="4C825BB0" w:rsidR="00F10465" w:rsidRPr="00A327B9" w:rsidRDefault="00F10465" w:rsidP="00C82308">
      <w:pPr>
        <w:numPr>
          <w:ilvl w:val="0"/>
          <w:numId w:val="20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</w:rPr>
        <w:t xml:space="preserve">Claims exceeding plan limits will </w:t>
      </w:r>
      <w:r w:rsidR="002F3E64" w:rsidRPr="00A327B9">
        <w:rPr>
          <w:rFonts w:ascii="Verdana" w:eastAsiaTheme="minorHAnsi" w:hAnsi="Verdana"/>
        </w:rPr>
        <w:t>be rejected</w:t>
      </w:r>
      <w:r w:rsidRPr="00A327B9">
        <w:rPr>
          <w:rFonts w:ascii="Verdana" w:eastAsiaTheme="minorHAnsi" w:hAnsi="Verdana"/>
        </w:rPr>
        <w:t xml:space="preserve"> for:</w:t>
      </w:r>
    </w:p>
    <w:p w14:paraId="63C393EC" w14:textId="77777777" w:rsidR="00F10465" w:rsidRPr="009D314D" w:rsidRDefault="00F10465" w:rsidP="00466E1D">
      <w:pPr>
        <w:numPr>
          <w:ilvl w:val="1"/>
          <w:numId w:val="20"/>
        </w:numPr>
        <w:spacing w:before="120" w:after="120" w:line="252" w:lineRule="auto"/>
        <w:rPr>
          <w:rFonts w:ascii="Verdana" w:eastAsiaTheme="minorHAnsi" w:hAnsi="Verdana"/>
        </w:rPr>
      </w:pPr>
      <w:r w:rsidRPr="009D314D">
        <w:rPr>
          <w:rFonts w:ascii="Verdana" w:eastAsiaTheme="minorHAnsi" w:hAnsi="Verdana"/>
        </w:rPr>
        <w:t>Prior Authorization (PA)</w:t>
      </w:r>
    </w:p>
    <w:p w14:paraId="610EB0A1" w14:textId="308D65BD" w:rsidR="00F10465" w:rsidRPr="00A327B9" w:rsidRDefault="00F10465" w:rsidP="00466E1D">
      <w:pPr>
        <w:numPr>
          <w:ilvl w:val="1"/>
          <w:numId w:val="20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</w:rPr>
        <w:t>OTC not covered</w:t>
      </w:r>
    </w:p>
    <w:p w14:paraId="09ECBDB5" w14:textId="77777777" w:rsidR="009021DD" w:rsidRDefault="009021DD" w:rsidP="00C82308">
      <w:pPr>
        <w:spacing w:before="120" w:after="120" w:line="252" w:lineRule="auto"/>
        <w:rPr>
          <w:rFonts w:ascii="Verdana" w:eastAsiaTheme="minorHAnsi" w:hAnsi="Verdana"/>
          <w:b/>
          <w:bCs/>
        </w:rPr>
      </w:pPr>
    </w:p>
    <w:p w14:paraId="0B9AFFE9" w14:textId="5E51F9E5" w:rsidR="00F10465" w:rsidRPr="00466E1D" w:rsidRDefault="00F10465" w:rsidP="00466E1D">
      <w:pPr>
        <w:spacing w:before="120" w:after="120"/>
        <w:rPr>
          <w:rFonts w:ascii="Verdana" w:eastAsiaTheme="minorEastAsia" w:hAnsi="Verdana"/>
        </w:rPr>
      </w:pPr>
      <w:r w:rsidRPr="00466E1D">
        <w:rPr>
          <w:rFonts w:ascii="Verdana" w:eastAsiaTheme="minorEastAsia" w:hAnsi="Verdana"/>
        </w:rPr>
        <w:t>Client Information Form (CIF)</w:t>
      </w:r>
    </w:p>
    <w:p w14:paraId="545844F1" w14:textId="05CF7068" w:rsidR="00F10465" w:rsidRPr="00A327B9" w:rsidRDefault="00561243" w:rsidP="00C82308">
      <w:pPr>
        <w:numPr>
          <w:ilvl w:val="0"/>
          <w:numId w:val="21"/>
        </w:numPr>
        <w:spacing w:before="120" w:after="120" w:line="252" w:lineRule="auto"/>
        <w:rPr>
          <w:rFonts w:ascii="Verdana" w:eastAsiaTheme="minorHAnsi" w:hAnsi="Verdana"/>
        </w:rPr>
      </w:pPr>
      <w:r>
        <w:rPr>
          <w:rFonts w:ascii="Verdana" w:eastAsiaTheme="minorHAnsi" w:hAnsi="Verdana"/>
        </w:rPr>
        <w:t>R</w:t>
      </w:r>
      <w:r w:rsidR="00F10465" w:rsidRPr="00A327B9">
        <w:rPr>
          <w:rFonts w:ascii="Verdana" w:eastAsiaTheme="minorHAnsi" w:hAnsi="Verdana"/>
        </w:rPr>
        <w:t>eview to confirm if the plan covers OTC products</w:t>
      </w:r>
      <w:r w:rsidR="00EF0685">
        <w:rPr>
          <w:rFonts w:ascii="Verdana" w:eastAsiaTheme="minorHAnsi" w:hAnsi="Verdana"/>
        </w:rPr>
        <w:t xml:space="preserve"> or overrides</w:t>
      </w:r>
      <w:r w:rsidR="00F10465" w:rsidRPr="00A327B9">
        <w:rPr>
          <w:rFonts w:ascii="Verdana" w:eastAsiaTheme="minorHAnsi" w:hAnsi="Verdana"/>
        </w:rPr>
        <w:t>.</w:t>
      </w:r>
    </w:p>
    <w:p w14:paraId="42757B65" w14:textId="4C2C30EC" w:rsidR="00E11B1B" w:rsidRPr="00466E1D" w:rsidRDefault="00E11B1B" w:rsidP="00466E1D">
      <w:pPr>
        <w:spacing w:before="120" w:after="120"/>
        <w:rPr>
          <w:rFonts w:ascii="Verdana" w:eastAsiaTheme="minorEastAsia" w:hAnsi="Verdana"/>
        </w:rPr>
      </w:pPr>
      <w:r>
        <w:br/>
      </w:r>
      <w:r w:rsidRPr="00466E1D">
        <w:rPr>
          <w:rFonts w:ascii="Verdana" w:eastAsiaTheme="minorEastAsia" w:hAnsi="Verdana"/>
        </w:rPr>
        <w:t xml:space="preserve">If you have questions, reach out to your supervisor or team </w:t>
      </w:r>
      <w:r w:rsidR="00AA5606" w:rsidRPr="00466E1D">
        <w:rPr>
          <w:rFonts w:ascii="Verdana" w:eastAsiaTheme="minorEastAsia" w:hAnsi="Verdana"/>
        </w:rPr>
        <w:t>leader</w:t>
      </w:r>
      <w:r w:rsidRPr="00466E1D">
        <w:rPr>
          <w:rFonts w:ascii="Verdana" w:eastAsiaTheme="minorEastAsia" w:hAnsi="Verdana"/>
        </w:rPr>
        <w:t xml:space="preserve">. </w:t>
      </w:r>
    </w:p>
    <w:p w14:paraId="73E1210E" w14:textId="1A3108F9" w:rsidR="1C3648F2" w:rsidRDefault="1C3648F2" w:rsidP="00C82308">
      <w:pPr>
        <w:spacing w:before="120" w:after="120"/>
        <w:rPr>
          <w:rFonts w:ascii="Verdana" w:eastAsiaTheme="minorEastAsia" w:hAnsi="Verdana"/>
        </w:rPr>
      </w:pPr>
      <w:r w:rsidRPr="00466E1D">
        <w:rPr>
          <w:rFonts w:ascii="Verdana" w:eastAsiaTheme="minorEastAsia" w:hAnsi="Verdana"/>
          <w:b/>
          <w:bCs/>
        </w:rPr>
        <w:t>Note:</w:t>
      </w:r>
      <w:r w:rsidR="00EB4BBE">
        <w:rPr>
          <w:rFonts w:ascii="Verdana" w:eastAsiaTheme="minorEastAsia" w:hAnsi="Verdana"/>
        </w:rPr>
        <w:t xml:space="preserve"> </w:t>
      </w:r>
      <w:r w:rsidRPr="00466E1D">
        <w:rPr>
          <w:rFonts w:ascii="Verdana" w:eastAsiaTheme="minorEastAsia" w:hAnsi="Verdana"/>
        </w:rPr>
        <w:t xml:space="preserve"> Always run a Test Claim and </w:t>
      </w:r>
      <w:r w:rsidR="5665A5E2" w:rsidRPr="00466E1D">
        <w:rPr>
          <w:rFonts w:ascii="Verdana" w:eastAsiaTheme="minorEastAsia" w:hAnsi="Verdana"/>
        </w:rPr>
        <w:t xml:space="preserve">make sure to </w:t>
      </w:r>
      <w:r w:rsidRPr="00466E1D">
        <w:rPr>
          <w:rFonts w:ascii="Verdana" w:eastAsiaTheme="minorEastAsia" w:hAnsi="Verdana"/>
        </w:rPr>
        <w:t>review the CIF.</w:t>
      </w:r>
    </w:p>
    <w:p w14:paraId="2888F34E" w14:textId="77777777" w:rsidR="00C13CF0" w:rsidRPr="00466E1D" w:rsidRDefault="00C13CF0" w:rsidP="00466E1D">
      <w:pPr>
        <w:spacing w:before="120" w:after="120"/>
        <w:rPr>
          <w:rFonts w:ascii="Verdana" w:eastAsiaTheme="minorEastAsia" w:hAnsi="Verdana"/>
        </w:rPr>
      </w:pPr>
    </w:p>
    <w:p w14:paraId="61B843CB" w14:textId="23F40BC6" w:rsidR="00D953DE" w:rsidRPr="000263E0" w:rsidRDefault="00A70CE2" w:rsidP="00D91004">
      <w:pPr>
        <w:spacing w:before="60" w:after="60"/>
        <w:jc w:val="right"/>
        <w:rPr>
          <w:rFonts w:ascii="Verdana" w:hAnsi="Verdana"/>
        </w:rPr>
      </w:pPr>
      <w:hyperlink w:anchor="_top" w:history="1">
        <w:r w:rsidRPr="000263E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953DE" w:rsidRPr="00466E1D" w14:paraId="2A0B6C53" w14:textId="77777777" w:rsidTr="00D91004">
        <w:tc>
          <w:tcPr>
            <w:tcW w:w="5000" w:type="pct"/>
            <w:shd w:val="clear" w:color="auto" w:fill="BFBFBF" w:themeFill="background1" w:themeFillShade="BF"/>
          </w:tcPr>
          <w:p w14:paraId="750DB5FC" w14:textId="4176AEF3" w:rsidR="00D953DE" w:rsidRPr="00466E1D" w:rsidRDefault="00D953DE" w:rsidP="00466E1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92074658"/>
            <w:r w:rsidRPr="00466E1D">
              <w:rPr>
                <w:rFonts w:ascii="Verdana" w:hAnsi="Verdana"/>
                <w:i w:val="0"/>
                <w:iCs w:val="0"/>
              </w:rPr>
              <w:t>Examples</w:t>
            </w:r>
            <w:bookmarkEnd w:id="3"/>
          </w:p>
        </w:tc>
      </w:tr>
    </w:tbl>
    <w:p w14:paraId="2A090E15" w14:textId="77777777" w:rsidR="00690A46" w:rsidRPr="00A327B9" w:rsidRDefault="00690A46" w:rsidP="000263E0">
      <w:pPr>
        <w:spacing w:before="120" w:after="120" w:line="252" w:lineRule="auto"/>
        <w:rPr>
          <w:rFonts w:ascii="Verdana" w:eastAsiaTheme="minorHAnsi" w:hAnsi="Verdana"/>
          <w:b/>
          <w:bCs/>
          <w:u w:val="single"/>
        </w:rPr>
      </w:pPr>
    </w:p>
    <w:p w14:paraId="61E9DF0F" w14:textId="01EF8B17" w:rsidR="00C82308" w:rsidRDefault="00421BD8" w:rsidP="000263E0">
      <w:pPr>
        <w:spacing w:before="120" w:after="120" w:line="252" w:lineRule="auto"/>
        <w:rPr>
          <w:rFonts w:ascii="Verdana" w:eastAsiaTheme="minorHAnsi" w:hAnsi="Verdana"/>
          <w:b/>
          <w:bCs/>
        </w:rPr>
      </w:pPr>
      <w:r w:rsidRPr="00D953DE">
        <w:rPr>
          <w:rFonts w:ascii="Verdana" w:eastAsiaTheme="minorHAnsi" w:hAnsi="Verdana"/>
          <w:b/>
          <w:bCs/>
        </w:rPr>
        <w:t>Example 1</w:t>
      </w:r>
    </w:p>
    <w:p w14:paraId="6809F99E" w14:textId="77777777" w:rsidR="00F66A6B" w:rsidRPr="00466E1D" w:rsidRDefault="00F66A6B" w:rsidP="000263E0">
      <w:pPr>
        <w:spacing w:before="120" w:after="120" w:line="252" w:lineRule="auto"/>
        <w:rPr>
          <w:rFonts w:ascii="Verdana" w:eastAsiaTheme="minorHAnsi" w:hAnsi="Verdana"/>
          <w:b/>
          <w:bCs/>
        </w:rPr>
      </w:pPr>
    </w:p>
    <w:p w14:paraId="50E552BF" w14:textId="27048593" w:rsidR="002450F7" w:rsidRPr="00A327B9" w:rsidRDefault="0062000B" w:rsidP="000263E0">
      <w:pPr>
        <w:numPr>
          <w:ilvl w:val="0"/>
          <w:numId w:val="22"/>
        </w:numPr>
        <w:spacing w:before="120" w:after="120" w:line="252" w:lineRule="auto"/>
        <w:rPr>
          <w:rFonts w:ascii="Verdana" w:eastAsiaTheme="minorHAnsi" w:hAnsi="Verdana"/>
        </w:rPr>
      </w:pPr>
      <w:r>
        <w:rPr>
          <w:rFonts w:ascii="Verdana" w:eastAsiaTheme="minorHAnsi" w:hAnsi="Verdana"/>
          <w:b/>
          <w:bCs/>
          <w:noProof/>
        </w:rPr>
        <w:drawing>
          <wp:inline distT="0" distB="0" distL="0" distR="0" wp14:anchorId="0944C66B" wp14:editId="6B9750D2">
            <wp:extent cx="304762" cy="304762"/>
            <wp:effectExtent l="0" t="0" r="635" b="635"/>
            <wp:docPr id="15582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5198" name="Picture 15582851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Theme="minorHAnsi" w:hAnsi="Verdana"/>
          <w:b/>
          <w:bCs/>
        </w:rPr>
        <w:t xml:space="preserve"> </w:t>
      </w:r>
      <w:r w:rsidR="002450F7" w:rsidRPr="00A327B9">
        <w:rPr>
          <w:rFonts w:ascii="Verdana" w:eastAsiaTheme="minorHAnsi" w:hAnsi="Verdana"/>
          <w:b/>
          <w:bCs/>
        </w:rPr>
        <w:t>Reject Code:</w:t>
      </w:r>
      <w:r w:rsidR="002450F7" w:rsidRPr="00A327B9">
        <w:rPr>
          <w:rFonts w:ascii="Verdana" w:eastAsiaTheme="minorHAnsi" w:hAnsi="Verdana"/>
        </w:rPr>
        <w:t xml:space="preserve"> </w:t>
      </w:r>
      <w:r w:rsidR="00DE0CCE">
        <w:rPr>
          <w:rFonts w:ascii="Verdana" w:eastAsiaTheme="minorHAnsi" w:hAnsi="Verdana"/>
        </w:rPr>
        <w:t xml:space="preserve"> </w:t>
      </w:r>
      <w:r w:rsidR="002450F7" w:rsidRPr="00A327B9">
        <w:rPr>
          <w:rFonts w:ascii="Verdana" w:eastAsiaTheme="minorHAnsi" w:hAnsi="Verdana"/>
        </w:rPr>
        <w:t>70</w:t>
      </w:r>
      <w:r w:rsidR="00084717">
        <w:rPr>
          <w:rFonts w:ascii="Verdana" w:eastAsiaTheme="minorHAnsi" w:hAnsi="Verdana"/>
        </w:rPr>
        <w:t xml:space="preserve"> (</w:t>
      </w:r>
      <w:r w:rsidR="00F47F9B">
        <w:rPr>
          <w:rFonts w:ascii="Verdana" w:eastAsiaTheme="minorHAnsi" w:hAnsi="Verdana"/>
        </w:rPr>
        <w:t xml:space="preserve">NDC/Product/Service Not Covered) </w:t>
      </w:r>
    </w:p>
    <w:p w14:paraId="08A4481A" w14:textId="77172F38" w:rsidR="002450F7" w:rsidRPr="00A327B9" w:rsidRDefault="002450F7" w:rsidP="000263E0">
      <w:pPr>
        <w:numPr>
          <w:ilvl w:val="0"/>
          <w:numId w:val="22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  <w:b/>
          <w:bCs/>
        </w:rPr>
        <w:t>Description:</w:t>
      </w:r>
      <w:r w:rsidRPr="00A327B9">
        <w:rPr>
          <w:rFonts w:ascii="Verdana" w:eastAsiaTheme="minorHAnsi" w:hAnsi="Verdana"/>
        </w:rPr>
        <w:t xml:space="preserve"> </w:t>
      </w:r>
      <w:r w:rsidR="007A652A">
        <w:rPr>
          <w:rFonts w:ascii="Verdana" w:eastAsiaTheme="minorHAnsi" w:hAnsi="Verdana"/>
        </w:rPr>
        <w:t xml:space="preserve"> </w:t>
      </w:r>
      <w:r w:rsidRPr="00A327B9">
        <w:rPr>
          <w:rFonts w:ascii="Verdana" w:eastAsiaTheme="minorHAnsi" w:hAnsi="Verdana"/>
        </w:rPr>
        <w:t>“10158 - OTC Not Covered”</w:t>
      </w:r>
    </w:p>
    <w:p w14:paraId="216EB157" w14:textId="330CDEE9" w:rsidR="002450F7" w:rsidRDefault="002450F7" w:rsidP="000263E0">
      <w:pPr>
        <w:spacing w:before="120" w:after="120" w:line="252" w:lineRule="auto"/>
        <w:ind w:left="720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  <w:b/>
          <w:bCs/>
        </w:rPr>
        <w:t>Note:</w:t>
      </w:r>
      <w:r w:rsidRPr="00A327B9">
        <w:rPr>
          <w:rFonts w:ascii="Verdana" w:eastAsiaTheme="minorHAnsi" w:hAnsi="Verdana"/>
        </w:rPr>
        <w:t xml:space="preserve"> </w:t>
      </w:r>
      <w:r w:rsidR="007A652A">
        <w:rPr>
          <w:rFonts w:ascii="Verdana" w:eastAsiaTheme="minorHAnsi" w:hAnsi="Verdana"/>
        </w:rPr>
        <w:t xml:space="preserve"> </w:t>
      </w:r>
      <w:r w:rsidRPr="00A327B9">
        <w:rPr>
          <w:rFonts w:ascii="Verdana" w:eastAsiaTheme="minorHAnsi" w:hAnsi="Verdana"/>
        </w:rPr>
        <w:t>Always check the CIF for the plan’s intent regarding OTC products.</w:t>
      </w:r>
    </w:p>
    <w:p w14:paraId="111C87CF" w14:textId="77777777" w:rsidR="00AF5E02" w:rsidRPr="00A327B9" w:rsidRDefault="00AF5E02" w:rsidP="000263E0">
      <w:pPr>
        <w:spacing w:before="120" w:after="120" w:line="252" w:lineRule="auto"/>
        <w:rPr>
          <w:rFonts w:ascii="Verdana" w:eastAsiaTheme="minorHAnsi" w:hAnsi="Verdana"/>
        </w:rPr>
      </w:pPr>
    </w:p>
    <w:p w14:paraId="546DDE1A" w14:textId="263D91AC" w:rsidR="003A1965" w:rsidRPr="00A327B9" w:rsidRDefault="005A0CF3" w:rsidP="000263E0">
      <w:pPr>
        <w:spacing w:before="120" w:after="120" w:line="252" w:lineRule="auto"/>
        <w:jc w:val="center"/>
        <w:rPr>
          <w:rFonts w:ascii="Verdana" w:eastAsiaTheme="minorHAnsi" w:hAnsi="Verdana"/>
        </w:rPr>
      </w:pPr>
      <w:r>
        <w:rPr>
          <w:noProof/>
        </w:rPr>
        <w:drawing>
          <wp:inline distT="0" distB="0" distL="0" distR="0" wp14:anchorId="230A28B0" wp14:editId="79400822">
            <wp:extent cx="8228571" cy="3057143"/>
            <wp:effectExtent l="0" t="0" r="1270" b="0"/>
            <wp:docPr id="194162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38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2CC" w14:textId="77777777" w:rsidR="001E737A" w:rsidRPr="00A327B9" w:rsidRDefault="001E737A" w:rsidP="000263E0">
      <w:pPr>
        <w:spacing w:before="120" w:after="120" w:line="252" w:lineRule="auto"/>
        <w:rPr>
          <w:rFonts w:ascii="Verdana" w:eastAsiaTheme="minorHAnsi" w:hAnsi="Verdana"/>
        </w:rPr>
      </w:pPr>
    </w:p>
    <w:p w14:paraId="25011B77" w14:textId="77777777" w:rsidR="0001763B" w:rsidRPr="00D953DE" w:rsidRDefault="001E737A" w:rsidP="000263E0">
      <w:pPr>
        <w:spacing w:before="120" w:after="120" w:line="252" w:lineRule="auto"/>
        <w:rPr>
          <w:rFonts w:ascii="Verdana" w:eastAsiaTheme="minorHAnsi" w:hAnsi="Verdana"/>
          <w:b/>
          <w:bCs/>
        </w:rPr>
      </w:pPr>
      <w:r w:rsidRPr="00D953DE">
        <w:rPr>
          <w:rFonts w:ascii="Verdana" w:eastAsiaTheme="minorHAnsi" w:hAnsi="Verdana"/>
          <w:b/>
          <w:bCs/>
        </w:rPr>
        <w:t>Example 2</w:t>
      </w:r>
      <w:r w:rsidR="00A571DD" w:rsidRPr="00D953DE">
        <w:rPr>
          <w:rFonts w:ascii="Verdana" w:eastAsiaTheme="minorHAnsi" w:hAnsi="Verdana"/>
          <w:b/>
          <w:bCs/>
        </w:rPr>
        <w:br/>
      </w:r>
    </w:p>
    <w:p w14:paraId="6DEBFC97" w14:textId="77777777" w:rsidR="00C56DE7" w:rsidRPr="00A327B9" w:rsidRDefault="00C56DE7" w:rsidP="000263E0">
      <w:pPr>
        <w:numPr>
          <w:ilvl w:val="0"/>
          <w:numId w:val="23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  <w:b/>
          <w:bCs/>
        </w:rPr>
        <w:t>Reject Codes:</w:t>
      </w:r>
      <w:r w:rsidRPr="00A327B9">
        <w:rPr>
          <w:rFonts w:ascii="Verdana" w:eastAsiaTheme="minorHAnsi" w:hAnsi="Verdana"/>
        </w:rPr>
        <w:t xml:space="preserve"> </w:t>
      </w:r>
    </w:p>
    <w:p w14:paraId="11462E2F" w14:textId="77777777" w:rsidR="00C56DE7" w:rsidRPr="00A327B9" w:rsidRDefault="00C56DE7" w:rsidP="000263E0">
      <w:pPr>
        <w:numPr>
          <w:ilvl w:val="1"/>
          <w:numId w:val="23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</w:rPr>
        <w:t>76 (Plan limitations exceeded)</w:t>
      </w:r>
    </w:p>
    <w:p w14:paraId="4C668855" w14:textId="77777777" w:rsidR="00C56DE7" w:rsidRPr="00A327B9" w:rsidRDefault="00C56DE7" w:rsidP="000263E0">
      <w:pPr>
        <w:numPr>
          <w:ilvl w:val="1"/>
          <w:numId w:val="23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</w:rPr>
        <w:t>70 (NDC/Product/Service Not Covered)</w:t>
      </w:r>
    </w:p>
    <w:p w14:paraId="1488F4C1" w14:textId="38C757C9" w:rsidR="00C56DE7" w:rsidRPr="00A327B9" w:rsidRDefault="00C56DE7" w:rsidP="000263E0">
      <w:pPr>
        <w:numPr>
          <w:ilvl w:val="0"/>
          <w:numId w:val="23"/>
        </w:numPr>
        <w:spacing w:before="120" w:after="120" w:line="252" w:lineRule="auto"/>
        <w:rPr>
          <w:rFonts w:ascii="Verdana" w:eastAsiaTheme="minorHAnsi" w:hAnsi="Verdana"/>
        </w:rPr>
      </w:pPr>
      <w:r w:rsidRPr="00A327B9">
        <w:rPr>
          <w:rFonts w:ascii="Verdana" w:eastAsiaTheme="minorHAnsi" w:hAnsi="Verdana"/>
          <w:b/>
          <w:bCs/>
        </w:rPr>
        <w:t>Additional Message:</w:t>
      </w:r>
      <w:r w:rsidRPr="00A327B9">
        <w:rPr>
          <w:rFonts w:ascii="Verdana" w:eastAsiaTheme="minorHAnsi" w:hAnsi="Verdana"/>
        </w:rPr>
        <w:t xml:space="preserve"> </w:t>
      </w:r>
      <w:r w:rsidR="00D953DE">
        <w:rPr>
          <w:rFonts w:ascii="Verdana" w:eastAsiaTheme="minorHAnsi" w:hAnsi="Verdana"/>
        </w:rPr>
        <w:t xml:space="preserve"> </w:t>
      </w:r>
      <w:r w:rsidRPr="00A327B9">
        <w:rPr>
          <w:rFonts w:ascii="Verdana" w:eastAsiaTheme="minorHAnsi" w:hAnsi="Verdana"/>
        </w:rPr>
        <w:t>Quantity limit exceeded PA required</w:t>
      </w:r>
    </w:p>
    <w:p w14:paraId="79A8FF2F" w14:textId="391E5DF1" w:rsidR="00C36E97" w:rsidRDefault="00C56DE7" w:rsidP="000263E0">
      <w:pPr>
        <w:spacing w:before="120" w:after="120" w:line="252" w:lineRule="auto"/>
        <w:ind w:left="720"/>
        <w:rPr>
          <w:rFonts w:ascii="Verdana" w:eastAsiaTheme="minorEastAsia" w:hAnsi="Verdana"/>
        </w:rPr>
      </w:pPr>
      <w:r w:rsidRPr="0416A9E8">
        <w:rPr>
          <w:rFonts w:ascii="Verdana" w:eastAsiaTheme="minorEastAsia" w:hAnsi="Verdana"/>
          <w:b/>
          <w:bCs/>
        </w:rPr>
        <w:t>Note</w:t>
      </w:r>
      <w:r w:rsidR="11FDE0F9" w:rsidRPr="00D91004">
        <w:rPr>
          <w:rFonts w:ascii="Verdana" w:eastAsiaTheme="minorEastAsia" w:hAnsi="Verdana"/>
          <w:b/>
          <w:bCs/>
        </w:rPr>
        <w:t>:</w:t>
      </w:r>
      <w:r w:rsidR="11FDE0F9" w:rsidRPr="0416A9E8">
        <w:rPr>
          <w:rFonts w:ascii="Verdana" w:eastAsiaTheme="minorEastAsia" w:hAnsi="Verdana"/>
        </w:rPr>
        <w:t xml:space="preserve"> </w:t>
      </w:r>
      <w:r w:rsidR="007A652A">
        <w:rPr>
          <w:rFonts w:ascii="Verdana" w:eastAsiaTheme="minorEastAsia" w:hAnsi="Verdana"/>
        </w:rPr>
        <w:t xml:space="preserve"> </w:t>
      </w:r>
      <w:r w:rsidR="11FDE0F9" w:rsidRPr="0416A9E8">
        <w:rPr>
          <w:rFonts w:ascii="Verdana" w:eastAsiaTheme="minorEastAsia" w:hAnsi="Verdana"/>
        </w:rPr>
        <w:t>Even</w:t>
      </w:r>
      <w:r w:rsidR="00C36E97" w:rsidRPr="0416A9E8">
        <w:rPr>
          <w:rFonts w:ascii="Verdana" w:eastAsiaTheme="minorEastAsia" w:hAnsi="Verdana"/>
        </w:rPr>
        <w:t xml:space="preserve"> if Prior Authorization (PA) is approved, the claim will be denied with </w:t>
      </w:r>
      <w:proofErr w:type="gramStart"/>
      <w:r w:rsidR="004253E6" w:rsidRPr="0416A9E8">
        <w:rPr>
          <w:rFonts w:ascii="Verdana" w:eastAsiaTheme="minorEastAsia" w:hAnsi="Verdana"/>
        </w:rPr>
        <w:t>reject</w:t>
      </w:r>
      <w:proofErr w:type="gramEnd"/>
      <w:r w:rsidR="004253E6" w:rsidRPr="0416A9E8">
        <w:rPr>
          <w:rFonts w:ascii="Verdana" w:eastAsiaTheme="minorEastAsia" w:hAnsi="Verdana"/>
        </w:rPr>
        <w:t xml:space="preserve"> </w:t>
      </w:r>
      <w:r w:rsidR="00C36E97" w:rsidRPr="0416A9E8">
        <w:rPr>
          <w:rFonts w:ascii="Verdana" w:eastAsiaTheme="minorEastAsia" w:hAnsi="Verdana"/>
        </w:rPr>
        <w:t xml:space="preserve">code 70 if the product is not included in the plan. Asking for a PA for a product that </w:t>
      </w:r>
      <w:r w:rsidR="00EB2349" w:rsidRPr="0416A9E8">
        <w:rPr>
          <w:rFonts w:ascii="Verdana" w:eastAsiaTheme="minorEastAsia" w:hAnsi="Verdana"/>
        </w:rPr>
        <w:t>is not</w:t>
      </w:r>
      <w:r w:rsidR="00C36E97" w:rsidRPr="0416A9E8">
        <w:rPr>
          <w:rFonts w:ascii="Verdana" w:eastAsiaTheme="minorEastAsia" w:hAnsi="Verdana"/>
        </w:rPr>
        <w:t xml:space="preserve"> covered</w:t>
      </w:r>
      <w:r w:rsidR="08E4BDE4" w:rsidRPr="0416A9E8">
        <w:rPr>
          <w:rFonts w:ascii="Verdana" w:eastAsiaTheme="minorEastAsia" w:hAnsi="Verdana"/>
        </w:rPr>
        <w:t>/plan exclusion</w:t>
      </w:r>
      <w:r w:rsidR="00C36E97" w:rsidRPr="0416A9E8">
        <w:rPr>
          <w:rFonts w:ascii="Verdana" w:eastAsiaTheme="minorEastAsia" w:hAnsi="Verdana"/>
        </w:rPr>
        <w:t xml:space="preserve"> will not help.</w:t>
      </w:r>
    </w:p>
    <w:p w14:paraId="11C0B5EB" w14:textId="77777777" w:rsidR="005A0CF3" w:rsidRDefault="005A0CF3" w:rsidP="000263E0">
      <w:pPr>
        <w:spacing w:before="120" w:after="120" w:line="252" w:lineRule="auto"/>
        <w:ind w:left="720"/>
        <w:rPr>
          <w:rFonts w:ascii="Verdana" w:eastAsiaTheme="minorHAnsi" w:hAnsi="Verdana"/>
        </w:rPr>
      </w:pPr>
    </w:p>
    <w:p w14:paraId="1026869D" w14:textId="32605D63" w:rsidR="00BE7364" w:rsidRPr="00C36E97" w:rsidRDefault="009A0159" w:rsidP="000263E0">
      <w:pPr>
        <w:spacing w:before="120" w:after="120" w:line="252" w:lineRule="auto"/>
        <w:ind w:left="720"/>
        <w:jc w:val="center"/>
        <w:rPr>
          <w:rFonts w:ascii="Verdana" w:hAnsi="Verdana"/>
          <w:b/>
          <w:bCs/>
          <w:u w:val="single"/>
        </w:rPr>
      </w:pPr>
      <w:r>
        <w:rPr>
          <w:noProof/>
        </w:rPr>
        <w:drawing>
          <wp:inline distT="0" distB="0" distL="0" distR="0" wp14:anchorId="35EB6A32" wp14:editId="3D22D758">
            <wp:extent cx="8229600" cy="4105341"/>
            <wp:effectExtent l="0" t="0" r="0" b="9525"/>
            <wp:docPr id="36317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733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836" w14:textId="77777777" w:rsidR="00BE7364" w:rsidRPr="00A327B9" w:rsidRDefault="00BE7364" w:rsidP="000263E0">
      <w:pPr>
        <w:spacing w:before="120" w:after="120" w:line="252" w:lineRule="auto"/>
        <w:rPr>
          <w:rFonts w:ascii="Verdana" w:hAnsi="Verdana"/>
          <w:b/>
          <w:bCs/>
          <w:u w:val="single"/>
        </w:rPr>
      </w:pPr>
    </w:p>
    <w:p w14:paraId="2987E596" w14:textId="498EFF44" w:rsidR="00AF5E02" w:rsidRDefault="00BE7364" w:rsidP="000263E0">
      <w:pPr>
        <w:pStyle w:val="ListParagraph"/>
        <w:spacing w:before="120" w:after="120"/>
        <w:ind w:left="0"/>
      </w:pPr>
      <w:r w:rsidRPr="00466E1D">
        <w:rPr>
          <w:rFonts w:ascii="Verdana" w:hAnsi="Verdana"/>
          <w:b/>
          <w:bCs/>
        </w:rPr>
        <w:t>Example 3</w:t>
      </w:r>
      <w:r w:rsidR="00A571DD" w:rsidRPr="00466E1D">
        <w:rPr>
          <w:rFonts w:ascii="Verdana" w:eastAsiaTheme="minorHAnsi" w:hAnsi="Verdana"/>
          <w:b/>
          <w:bCs/>
        </w:rPr>
        <w:br/>
      </w:r>
    </w:p>
    <w:p w14:paraId="05FB1716" w14:textId="14EFF3E2" w:rsidR="00F3599C" w:rsidRPr="00466E1D" w:rsidRDefault="00F3599C" w:rsidP="000263E0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</w:rPr>
      </w:pPr>
      <w:r w:rsidRPr="000263E0">
        <w:rPr>
          <w:rFonts w:ascii="Verdana" w:hAnsi="Verdana"/>
        </w:rPr>
        <w:t>Plan Coverage:</w:t>
      </w:r>
      <w:r w:rsidRPr="00466E1D">
        <w:rPr>
          <w:rFonts w:ascii="Verdana" w:hAnsi="Verdana"/>
        </w:rPr>
        <w:t xml:space="preserve"> </w:t>
      </w:r>
      <w:r w:rsidR="00485484">
        <w:rPr>
          <w:rFonts w:ascii="Verdana" w:hAnsi="Verdana"/>
        </w:rPr>
        <w:t xml:space="preserve"> </w:t>
      </w:r>
      <w:r w:rsidRPr="00466E1D">
        <w:rPr>
          <w:rFonts w:ascii="Verdana" w:hAnsi="Verdana"/>
        </w:rPr>
        <w:t>OTC products are allowed to pay at 100% of the plan’s discounted rate.</w:t>
      </w:r>
    </w:p>
    <w:p w14:paraId="256C2300" w14:textId="77777777" w:rsidR="00690A46" w:rsidRPr="00A327B9" w:rsidRDefault="00690A46" w:rsidP="000263E0">
      <w:pPr>
        <w:spacing w:before="120" w:after="120" w:line="252" w:lineRule="auto"/>
        <w:rPr>
          <w:rFonts w:ascii="Verdana" w:hAnsi="Verdana"/>
        </w:rPr>
      </w:pPr>
    </w:p>
    <w:p w14:paraId="10C0A9DD" w14:textId="0F5A3358" w:rsidR="00021293" w:rsidRDefault="00B8753D" w:rsidP="000263E0">
      <w:pPr>
        <w:spacing w:before="120" w:after="120" w:line="252" w:lineRule="auto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270772F" wp14:editId="1AE4F77C">
            <wp:extent cx="8229600" cy="2503410"/>
            <wp:effectExtent l="0" t="0" r="0" b="0"/>
            <wp:docPr id="1485840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406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AB3A" w14:textId="77777777" w:rsidR="004253E6" w:rsidRPr="00A327B9" w:rsidRDefault="004253E6" w:rsidP="000263E0">
      <w:pPr>
        <w:spacing w:before="120" w:after="120" w:line="252" w:lineRule="auto"/>
        <w:jc w:val="center"/>
        <w:rPr>
          <w:rFonts w:ascii="Verdana" w:hAnsi="Verdana"/>
        </w:rPr>
      </w:pPr>
    </w:p>
    <w:p w14:paraId="6308BA5B" w14:textId="1B9AFBE7" w:rsidR="005A4037" w:rsidRDefault="00E86D4E" w:rsidP="000263E0">
      <w:pPr>
        <w:spacing w:before="120" w:after="120" w:line="252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23BE7CA6" wp14:editId="16B040C4">
            <wp:extent cx="8200000" cy="3714286"/>
            <wp:effectExtent l="0" t="0" r="0" b="635"/>
            <wp:docPr id="196939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45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689" w14:textId="77777777" w:rsidR="00E43699" w:rsidRDefault="00E43699" w:rsidP="00D91004">
      <w:pPr>
        <w:spacing w:before="120" w:after="120" w:line="252" w:lineRule="auto"/>
        <w:rPr>
          <w:rFonts w:ascii="Verdana" w:hAnsi="Verdana"/>
          <w:sz w:val="22"/>
          <w:szCs w:val="22"/>
        </w:rPr>
      </w:pPr>
    </w:p>
    <w:p w14:paraId="09DC1FE2" w14:textId="3BE44D19" w:rsidR="003B5E86" w:rsidRPr="000263E0" w:rsidRDefault="00A70CE2" w:rsidP="00D91004">
      <w:pPr>
        <w:spacing w:before="60" w:after="60"/>
        <w:jc w:val="right"/>
        <w:rPr>
          <w:rFonts w:ascii="Verdana" w:hAnsi="Verdana"/>
        </w:rPr>
      </w:pPr>
      <w:hyperlink w:anchor="_top" w:history="1">
        <w:r w:rsidRPr="000263E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1E0" w:firstRow="1" w:lastRow="1" w:firstColumn="1" w:lastColumn="1" w:noHBand="0" w:noVBand="0"/>
      </w:tblPr>
      <w:tblGrid>
        <w:gridCol w:w="12924"/>
      </w:tblGrid>
      <w:tr w:rsidR="003B5E86" w:rsidRPr="00466E1D" w14:paraId="467BE13D" w14:textId="77777777" w:rsidTr="00D91004">
        <w:tc>
          <w:tcPr>
            <w:tcW w:w="5000" w:type="pct"/>
            <w:shd w:val="clear" w:color="auto" w:fill="BFBFBF" w:themeFill="background1" w:themeFillShade="BF"/>
          </w:tcPr>
          <w:p w14:paraId="5CBFD5DA" w14:textId="77777777" w:rsidR="003B5E86" w:rsidRPr="00466E1D" w:rsidRDefault="003B5E86" w:rsidP="00466E1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57091316"/>
            <w:bookmarkStart w:id="5" w:name="_Toc192074659"/>
            <w:r w:rsidRPr="00466E1D">
              <w:rPr>
                <w:rFonts w:ascii="Verdana" w:hAnsi="Verdana"/>
                <w:i w:val="0"/>
                <w:iCs w:val="0"/>
              </w:rPr>
              <w:t>Related Documents</w:t>
            </w:r>
            <w:bookmarkEnd w:id="4"/>
            <w:bookmarkEnd w:id="5"/>
          </w:p>
        </w:tc>
      </w:tr>
    </w:tbl>
    <w:p w14:paraId="285AEDB4" w14:textId="77777777" w:rsidR="00CB59BF" w:rsidRPr="000263E0" w:rsidRDefault="003B5E86" w:rsidP="00D91004">
      <w:pPr>
        <w:spacing w:before="60" w:after="60"/>
        <w:rPr>
          <w:rFonts w:ascii="Verdana" w:hAnsi="Verdana"/>
          <w:color w:val="333333"/>
        </w:rPr>
      </w:pPr>
      <w:r w:rsidRPr="000263E0">
        <w:rPr>
          <w:rFonts w:ascii="Verdana" w:hAnsi="Verdana"/>
          <w:color w:val="333333"/>
        </w:rPr>
        <w:t xml:space="preserve"> </w:t>
      </w:r>
    </w:p>
    <w:p w14:paraId="197CC139" w14:textId="10D3CC8D" w:rsidR="003B5E86" w:rsidRPr="000263E0" w:rsidRDefault="003B5E86" w:rsidP="00D91004">
      <w:pPr>
        <w:spacing w:before="60" w:after="60"/>
        <w:rPr>
          <w:rFonts w:ascii="Verdana" w:hAnsi="Verdana"/>
          <w:color w:val="333333"/>
        </w:rPr>
      </w:pPr>
      <w:hyperlink r:id="rId17" w:anchor="!/view?docid=c1f1028b-e42c-4b4f-a4cf-cc0b42c91606" w:history="1">
        <w:r w:rsidRPr="000263E0">
          <w:rPr>
            <w:rFonts w:ascii="Verdana" w:hAnsi="Verdana" w:cs="Helvetica"/>
            <w:color w:val="0000FF"/>
            <w:u w:val="single"/>
            <w:shd w:val="clear" w:color="auto" w:fill="FFFFFF"/>
          </w:rPr>
          <w:t>Customer Care Abbreviations, Definitions, and Terms Index (017428)</w:t>
        </w:r>
      </w:hyperlink>
    </w:p>
    <w:p w14:paraId="76DE2997" w14:textId="7C93BB74" w:rsidR="5A5ED24B" w:rsidRPr="000263E0" w:rsidRDefault="5A5ED24B" w:rsidP="00D91004">
      <w:pPr>
        <w:spacing w:before="60" w:after="60"/>
        <w:rPr>
          <w:rFonts w:ascii="Verdana" w:eastAsia="Verdana" w:hAnsi="Verdana"/>
        </w:rPr>
      </w:pPr>
      <w:hyperlink r:id="rId18" w:anchor="!/view?docid=44418b02-7e70-41cc-bb2e-bb38164a951f" w:history="1">
        <w:r w:rsidRPr="000263E0">
          <w:rPr>
            <w:rStyle w:val="Hyperlink"/>
            <w:rFonts w:ascii="Verdana" w:eastAsia="Verdana" w:hAnsi="Verdana"/>
          </w:rPr>
          <w:t xml:space="preserve">Compass – Plan Benefit Override (PBO) Guide </w:t>
        </w:r>
        <w:r w:rsidR="00705664" w:rsidRPr="000263E0">
          <w:rPr>
            <w:rStyle w:val="Hyperlink"/>
            <w:rFonts w:ascii="Verdana" w:eastAsia="Verdana" w:hAnsi="Verdana"/>
          </w:rPr>
          <w:t>(061708)</w:t>
        </w:r>
      </w:hyperlink>
    </w:p>
    <w:p w14:paraId="620D55F0" w14:textId="1A153242" w:rsidR="003B5E86" w:rsidRPr="000263E0" w:rsidRDefault="5A5ED24B" w:rsidP="00D91004">
      <w:pPr>
        <w:spacing w:before="60" w:after="60"/>
        <w:rPr>
          <w:rFonts w:ascii="Verdana" w:hAnsi="Verdana"/>
        </w:rPr>
      </w:pPr>
      <w:hyperlink r:id="rId19" w:anchor="!/view?docid=657ddfe3-27d1-4a21-8f51-8cbd3961001c" w:history="1">
        <w:r w:rsidRPr="000263E0">
          <w:rPr>
            <w:rStyle w:val="Hyperlink"/>
            <w:rFonts w:ascii="Verdana" w:eastAsia="Verdana" w:hAnsi="Verdana"/>
          </w:rPr>
          <w:t>Compass and PeopleSafe - Prior Authorization, Exceptions, Appeals Guide</w:t>
        </w:r>
        <w:r w:rsidR="00705664" w:rsidRPr="000263E0">
          <w:rPr>
            <w:rStyle w:val="Hyperlink"/>
            <w:rFonts w:ascii="Verdana" w:eastAsia="Verdana" w:hAnsi="Verdana"/>
          </w:rPr>
          <w:t xml:space="preserve"> (063978)</w:t>
        </w:r>
      </w:hyperlink>
    </w:p>
    <w:p w14:paraId="64DCC966" w14:textId="77777777" w:rsidR="00705664" w:rsidRPr="000263E0" w:rsidRDefault="00705664" w:rsidP="00D91004">
      <w:pPr>
        <w:spacing w:before="60" w:after="60"/>
        <w:rPr>
          <w:rFonts w:ascii="Verdana" w:hAnsi="Verdana"/>
        </w:rPr>
      </w:pPr>
    </w:p>
    <w:p w14:paraId="34A6B4CD" w14:textId="658B35BA" w:rsidR="003B5E86" w:rsidRPr="000263E0" w:rsidRDefault="00A70CE2" w:rsidP="00D91004">
      <w:pPr>
        <w:spacing w:before="60" w:after="60"/>
        <w:jc w:val="right"/>
        <w:rPr>
          <w:rFonts w:ascii="Verdana" w:hAnsi="Verdana"/>
        </w:rPr>
      </w:pPr>
      <w:hyperlink w:anchor="_top" w:history="1">
        <w:r w:rsidRPr="000263E0">
          <w:rPr>
            <w:rStyle w:val="Hyperlink"/>
            <w:rFonts w:ascii="Verdana" w:hAnsi="Verdana"/>
          </w:rPr>
          <w:t>Top of the Document</w:t>
        </w:r>
      </w:hyperlink>
    </w:p>
    <w:p w14:paraId="4635B1FE" w14:textId="77777777" w:rsidR="00C13D9F" w:rsidRPr="009E09E2" w:rsidRDefault="00C13D9F" w:rsidP="003B5E86">
      <w:pPr>
        <w:jc w:val="right"/>
        <w:rPr>
          <w:rFonts w:ascii="Verdana" w:hAnsi="Verdana"/>
        </w:rPr>
      </w:pPr>
    </w:p>
    <w:p w14:paraId="7A72E36D" w14:textId="77777777" w:rsidR="003B5E86" w:rsidRPr="003B5E86" w:rsidRDefault="003B5E86" w:rsidP="003B5E86">
      <w:pPr>
        <w:jc w:val="center"/>
        <w:rPr>
          <w:rFonts w:ascii="Verdana" w:hAnsi="Verdana"/>
          <w:sz w:val="16"/>
          <w:szCs w:val="16"/>
        </w:rPr>
      </w:pPr>
      <w:r w:rsidRPr="003B5E8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48BCD54" w14:textId="77777777" w:rsidR="003B5E86" w:rsidRPr="003B5E86" w:rsidRDefault="003B5E86" w:rsidP="003B5E86">
      <w:pPr>
        <w:jc w:val="center"/>
        <w:rPr>
          <w:rFonts w:ascii="Verdana" w:hAnsi="Verdana"/>
          <w:b/>
          <w:sz w:val="16"/>
          <w:szCs w:val="16"/>
        </w:rPr>
      </w:pPr>
      <w:r w:rsidRPr="003B5E86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04C7FB7A" w14:textId="77777777" w:rsidR="004253E6" w:rsidRPr="00BE7364" w:rsidRDefault="004253E6" w:rsidP="004253E6">
      <w:pPr>
        <w:spacing w:after="160" w:line="252" w:lineRule="auto"/>
        <w:jc w:val="center"/>
        <w:rPr>
          <w:rFonts w:ascii="Verdana" w:hAnsi="Verdana"/>
          <w:sz w:val="22"/>
          <w:szCs w:val="22"/>
        </w:rPr>
      </w:pPr>
    </w:p>
    <w:sectPr w:rsidR="004253E6" w:rsidRPr="00BE7364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5703B" w14:textId="77777777" w:rsidR="00B778D1" w:rsidRDefault="00B778D1">
      <w:r>
        <w:separator/>
      </w:r>
    </w:p>
  </w:endnote>
  <w:endnote w:type="continuationSeparator" w:id="0">
    <w:p w14:paraId="2CB2C942" w14:textId="77777777" w:rsidR="00B778D1" w:rsidRDefault="00B778D1">
      <w:r>
        <w:continuationSeparator/>
      </w:r>
    </w:p>
  </w:endnote>
  <w:endnote w:type="continuationNotice" w:id="1">
    <w:p w14:paraId="5E19B66D" w14:textId="77777777" w:rsidR="00B778D1" w:rsidRDefault="00B77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E34B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A22B5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084C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F3AF6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C2C3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43AD1" w14:textId="77777777" w:rsidR="00B778D1" w:rsidRDefault="00B778D1">
      <w:r>
        <w:separator/>
      </w:r>
    </w:p>
  </w:footnote>
  <w:footnote w:type="continuationSeparator" w:id="0">
    <w:p w14:paraId="09444A5C" w14:textId="77777777" w:rsidR="00B778D1" w:rsidRDefault="00B778D1">
      <w:r>
        <w:continuationSeparator/>
      </w:r>
    </w:p>
  </w:footnote>
  <w:footnote w:type="continuationNotice" w:id="1">
    <w:p w14:paraId="4A0628C3" w14:textId="77777777" w:rsidR="00B778D1" w:rsidRDefault="00B778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CBDC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051"/>
    <w:multiLevelType w:val="multilevel"/>
    <w:tmpl w:val="913AD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C53802"/>
    <w:multiLevelType w:val="hybridMultilevel"/>
    <w:tmpl w:val="2B9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99D"/>
    <w:multiLevelType w:val="multilevel"/>
    <w:tmpl w:val="AAE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61E6"/>
    <w:multiLevelType w:val="multilevel"/>
    <w:tmpl w:val="202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10A8B"/>
    <w:multiLevelType w:val="hybridMultilevel"/>
    <w:tmpl w:val="41EE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6FA7"/>
    <w:multiLevelType w:val="hybridMultilevel"/>
    <w:tmpl w:val="6FB6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D67B8"/>
    <w:multiLevelType w:val="hybridMultilevel"/>
    <w:tmpl w:val="B5A884BA"/>
    <w:lvl w:ilvl="0" w:tplc="EFFC571C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3692"/>
    <w:multiLevelType w:val="multilevel"/>
    <w:tmpl w:val="68D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16F73"/>
    <w:multiLevelType w:val="hybridMultilevel"/>
    <w:tmpl w:val="28D4A146"/>
    <w:lvl w:ilvl="0" w:tplc="C2525CCA">
      <w:numFmt w:val="bullet"/>
      <w:lvlText w:val="-"/>
      <w:lvlJc w:val="left"/>
      <w:pPr>
        <w:ind w:left="720" w:hanging="360"/>
      </w:pPr>
      <w:rPr>
        <w:rFonts w:ascii="CVS Health Sans" w:eastAsiaTheme="minorHAnsi" w:hAnsi="CVS Health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0901"/>
    <w:multiLevelType w:val="hybridMultilevel"/>
    <w:tmpl w:val="9E76B6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72D466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0F0485"/>
    <w:multiLevelType w:val="hybridMultilevel"/>
    <w:tmpl w:val="29422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46507"/>
    <w:multiLevelType w:val="hybridMultilevel"/>
    <w:tmpl w:val="07D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67B"/>
    <w:multiLevelType w:val="hybridMultilevel"/>
    <w:tmpl w:val="2EBA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F61"/>
    <w:multiLevelType w:val="multilevel"/>
    <w:tmpl w:val="E83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71468"/>
    <w:multiLevelType w:val="multilevel"/>
    <w:tmpl w:val="06F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C7B0D"/>
    <w:multiLevelType w:val="multilevel"/>
    <w:tmpl w:val="0FB8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DA1EB4"/>
    <w:multiLevelType w:val="multilevel"/>
    <w:tmpl w:val="1CA09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FE655B5"/>
    <w:multiLevelType w:val="hybridMultilevel"/>
    <w:tmpl w:val="7E3A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7992178"/>
    <w:multiLevelType w:val="hybridMultilevel"/>
    <w:tmpl w:val="45D44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7463A6"/>
    <w:multiLevelType w:val="hybridMultilevel"/>
    <w:tmpl w:val="34C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E3DF5"/>
    <w:multiLevelType w:val="multilevel"/>
    <w:tmpl w:val="27E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5284F"/>
    <w:multiLevelType w:val="hybridMultilevel"/>
    <w:tmpl w:val="4A34FA90"/>
    <w:lvl w:ilvl="0" w:tplc="EFFC571C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C571C"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04259"/>
    <w:multiLevelType w:val="multilevel"/>
    <w:tmpl w:val="3FA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03623"/>
    <w:multiLevelType w:val="hybridMultilevel"/>
    <w:tmpl w:val="3BE2C420"/>
    <w:lvl w:ilvl="0" w:tplc="EFFC571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A1696"/>
    <w:multiLevelType w:val="hybridMultilevel"/>
    <w:tmpl w:val="801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67275"/>
    <w:multiLevelType w:val="hybridMultilevel"/>
    <w:tmpl w:val="24B0C3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12721E"/>
    <w:multiLevelType w:val="hybridMultilevel"/>
    <w:tmpl w:val="5292FD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4C0243"/>
    <w:multiLevelType w:val="multilevel"/>
    <w:tmpl w:val="086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428403">
    <w:abstractNumId w:val="3"/>
  </w:num>
  <w:num w:numId="2" w16cid:durableId="2026595536">
    <w:abstractNumId w:val="7"/>
  </w:num>
  <w:num w:numId="3" w16cid:durableId="1692954737">
    <w:abstractNumId w:val="20"/>
  </w:num>
  <w:num w:numId="4" w16cid:durableId="766464214">
    <w:abstractNumId w:val="21"/>
  </w:num>
  <w:num w:numId="5" w16cid:durableId="1842351300">
    <w:abstractNumId w:val="8"/>
  </w:num>
  <w:num w:numId="6" w16cid:durableId="1412581566">
    <w:abstractNumId w:val="29"/>
  </w:num>
  <w:num w:numId="7" w16cid:durableId="1965962659">
    <w:abstractNumId w:val="11"/>
  </w:num>
  <w:num w:numId="8" w16cid:durableId="855776804">
    <w:abstractNumId w:val="24"/>
  </w:num>
  <w:num w:numId="9" w16cid:durableId="1023439884">
    <w:abstractNumId w:val="26"/>
  </w:num>
  <w:num w:numId="10" w16cid:durableId="978612157">
    <w:abstractNumId w:val="22"/>
  </w:num>
  <w:num w:numId="11" w16cid:durableId="1733386715">
    <w:abstractNumId w:val="6"/>
  </w:num>
  <w:num w:numId="12" w16cid:durableId="1745253124">
    <w:abstractNumId w:val="28"/>
  </w:num>
  <w:num w:numId="13" w16cid:durableId="132143646">
    <w:abstractNumId w:val="12"/>
  </w:num>
  <w:num w:numId="14" w16cid:durableId="1386832528">
    <w:abstractNumId w:val="27"/>
  </w:num>
  <w:num w:numId="15" w16cid:durableId="672227607">
    <w:abstractNumId w:val="27"/>
  </w:num>
  <w:num w:numId="16" w16cid:durableId="900797813">
    <w:abstractNumId w:val="14"/>
  </w:num>
  <w:num w:numId="17" w16cid:durableId="605894378">
    <w:abstractNumId w:val="10"/>
  </w:num>
  <w:num w:numId="18" w16cid:durableId="549221103">
    <w:abstractNumId w:val="1"/>
  </w:num>
  <w:num w:numId="19" w16cid:durableId="1750149886">
    <w:abstractNumId w:val="25"/>
  </w:num>
  <w:num w:numId="20" w16cid:durableId="196166984">
    <w:abstractNumId w:val="4"/>
  </w:num>
  <w:num w:numId="21" w16cid:durableId="1519737516">
    <w:abstractNumId w:val="9"/>
  </w:num>
  <w:num w:numId="22" w16cid:durableId="164174693">
    <w:abstractNumId w:val="15"/>
  </w:num>
  <w:num w:numId="23" w16cid:durableId="1522669548">
    <w:abstractNumId w:val="23"/>
  </w:num>
  <w:num w:numId="24" w16cid:durableId="1037006156">
    <w:abstractNumId w:val="16"/>
  </w:num>
  <w:num w:numId="25" w16cid:durableId="1366757860">
    <w:abstractNumId w:val="17"/>
  </w:num>
  <w:num w:numId="26" w16cid:durableId="1372221203">
    <w:abstractNumId w:val="2"/>
  </w:num>
  <w:num w:numId="27" w16cid:durableId="1855878407">
    <w:abstractNumId w:val="0"/>
  </w:num>
  <w:num w:numId="28" w16cid:durableId="1190290384">
    <w:abstractNumId w:val="18"/>
  </w:num>
  <w:num w:numId="29" w16cid:durableId="1934895597">
    <w:abstractNumId w:val="30"/>
  </w:num>
  <w:num w:numId="30" w16cid:durableId="1956015402">
    <w:abstractNumId w:val="13"/>
  </w:num>
  <w:num w:numId="31" w16cid:durableId="889730700">
    <w:abstractNumId w:val="19"/>
  </w:num>
  <w:num w:numId="32" w16cid:durableId="1020084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1763B"/>
    <w:rsid w:val="00021293"/>
    <w:rsid w:val="00026287"/>
    <w:rsid w:val="000263E0"/>
    <w:rsid w:val="0003103D"/>
    <w:rsid w:val="00035BED"/>
    <w:rsid w:val="0004000F"/>
    <w:rsid w:val="00044013"/>
    <w:rsid w:val="00061AD2"/>
    <w:rsid w:val="000820B7"/>
    <w:rsid w:val="00084717"/>
    <w:rsid w:val="0008665F"/>
    <w:rsid w:val="00092678"/>
    <w:rsid w:val="00093B4C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2E53"/>
    <w:rsid w:val="000F4459"/>
    <w:rsid w:val="000F473E"/>
    <w:rsid w:val="001016B7"/>
    <w:rsid w:val="001017C3"/>
    <w:rsid w:val="0010500A"/>
    <w:rsid w:val="001111FA"/>
    <w:rsid w:val="001137F7"/>
    <w:rsid w:val="00115944"/>
    <w:rsid w:val="001212D7"/>
    <w:rsid w:val="0012373E"/>
    <w:rsid w:val="001360A5"/>
    <w:rsid w:val="0014131D"/>
    <w:rsid w:val="001560C4"/>
    <w:rsid w:val="0016273A"/>
    <w:rsid w:val="0016731A"/>
    <w:rsid w:val="00176400"/>
    <w:rsid w:val="00180515"/>
    <w:rsid w:val="001B3879"/>
    <w:rsid w:val="001B589B"/>
    <w:rsid w:val="001D38EA"/>
    <w:rsid w:val="001E2862"/>
    <w:rsid w:val="001E737A"/>
    <w:rsid w:val="001F1218"/>
    <w:rsid w:val="002016B4"/>
    <w:rsid w:val="002055CF"/>
    <w:rsid w:val="002072B4"/>
    <w:rsid w:val="00220994"/>
    <w:rsid w:val="00243EBB"/>
    <w:rsid w:val="002450F7"/>
    <w:rsid w:val="00245B90"/>
    <w:rsid w:val="00245D49"/>
    <w:rsid w:val="002542A8"/>
    <w:rsid w:val="00255C6B"/>
    <w:rsid w:val="00265D86"/>
    <w:rsid w:val="0027009E"/>
    <w:rsid w:val="00270BC9"/>
    <w:rsid w:val="00270EC5"/>
    <w:rsid w:val="00274AD9"/>
    <w:rsid w:val="0027768C"/>
    <w:rsid w:val="0028215B"/>
    <w:rsid w:val="002854B3"/>
    <w:rsid w:val="0028648E"/>
    <w:rsid w:val="00291CE8"/>
    <w:rsid w:val="00291D0B"/>
    <w:rsid w:val="00296127"/>
    <w:rsid w:val="00296765"/>
    <w:rsid w:val="002B593E"/>
    <w:rsid w:val="002C187D"/>
    <w:rsid w:val="002C282A"/>
    <w:rsid w:val="002D0766"/>
    <w:rsid w:val="002E23BD"/>
    <w:rsid w:val="002E58AD"/>
    <w:rsid w:val="002F1F92"/>
    <w:rsid w:val="002F3E64"/>
    <w:rsid w:val="00312690"/>
    <w:rsid w:val="00325FFF"/>
    <w:rsid w:val="00327FA2"/>
    <w:rsid w:val="0033143E"/>
    <w:rsid w:val="00336F8A"/>
    <w:rsid w:val="0036507E"/>
    <w:rsid w:val="00367966"/>
    <w:rsid w:val="003725A1"/>
    <w:rsid w:val="003743A4"/>
    <w:rsid w:val="00375A30"/>
    <w:rsid w:val="00383326"/>
    <w:rsid w:val="003868A2"/>
    <w:rsid w:val="00392A5B"/>
    <w:rsid w:val="003A1965"/>
    <w:rsid w:val="003A40D9"/>
    <w:rsid w:val="003A4F61"/>
    <w:rsid w:val="003A6D70"/>
    <w:rsid w:val="003B1F86"/>
    <w:rsid w:val="003B5E86"/>
    <w:rsid w:val="003C1341"/>
    <w:rsid w:val="003C4627"/>
    <w:rsid w:val="003E6C1A"/>
    <w:rsid w:val="00401F04"/>
    <w:rsid w:val="0040640A"/>
    <w:rsid w:val="00406DB5"/>
    <w:rsid w:val="00416848"/>
    <w:rsid w:val="00421BD8"/>
    <w:rsid w:val="00421CD8"/>
    <w:rsid w:val="0042336D"/>
    <w:rsid w:val="00423C81"/>
    <w:rsid w:val="004253E6"/>
    <w:rsid w:val="00430E7B"/>
    <w:rsid w:val="004417DC"/>
    <w:rsid w:val="00443F8C"/>
    <w:rsid w:val="004460AC"/>
    <w:rsid w:val="004476A3"/>
    <w:rsid w:val="00454D70"/>
    <w:rsid w:val="00457EAE"/>
    <w:rsid w:val="0046239E"/>
    <w:rsid w:val="00466E1D"/>
    <w:rsid w:val="004768BE"/>
    <w:rsid w:val="00477F73"/>
    <w:rsid w:val="00480B55"/>
    <w:rsid w:val="0048355A"/>
    <w:rsid w:val="00485484"/>
    <w:rsid w:val="004A069B"/>
    <w:rsid w:val="004A21DE"/>
    <w:rsid w:val="004A2AC8"/>
    <w:rsid w:val="004B719C"/>
    <w:rsid w:val="004C1238"/>
    <w:rsid w:val="004C2FC0"/>
    <w:rsid w:val="004C3F4B"/>
    <w:rsid w:val="004D15D3"/>
    <w:rsid w:val="004D3C53"/>
    <w:rsid w:val="004E216E"/>
    <w:rsid w:val="004E2B2A"/>
    <w:rsid w:val="004E7B01"/>
    <w:rsid w:val="00506E35"/>
    <w:rsid w:val="00512486"/>
    <w:rsid w:val="00512D20"/>
    <w:rsid w:val="0052465B"/>
    <w:rsid w:val="00524CDD"/>
    <w:rsid w:val="00527EF6"/>
    <w:rsid w:val="00537B74"/>
    <w:rsid w:val="00545948"/>
    <w:rsid w:val="0055361A"/>
    <w:rsid w:val="0056027F"/>
    <w:rsid w:val="00561243"/>
    <w:rsid w:val="00566767"/>
    <w:rsid w:val="00572764"/>
    <w:rsid w:val="00573655"/>
    <w:rsid w:val="00582E85"/>
    <w:rsid w:val="005910B5"/>
    <w:rsid w:val="005A0CF3"/>
    <w:rsid w:val="005A4037"/>
    <w:rsid w:val="005A6118"/>
    <w:rsid w:val="005A64DA"/>
    <w:rsid w:val="005B1041"/>
    <w:rsid w:val="005B4E1E"/>
    <w:rsid w:val="005C1D83"/>
    <w:rsid w:val="005D7976"/>
    <w:rsid w:val="005E3E6B"/>
    <w:rsid w:val="005E650E"/>
    <w:rsid w:val="006003C8"/>
    <w:rsid w:val="00603B66"/>
    <w:rsid w:val="00613BE4"/>
    <w:rsid w:val="0062000B"/>
    <w:rsid w:val="00622D77"/>
    <w:rsid w:val="00625170"/>
    <w:rsid w:val="00625B12"/>
    <w:rsid w:val="00627F34"/>
    <w:rsid w:val="00631BC1"/>
    <w:rsid w:val="00632620"/>
    <w:rsid w:val="00636B18"/>
    <w:rsid w:val="006371BA"/>
    <w:rsid w:val="00637CA1"/>
    <w:rsid w:val="0064267B"/>
    <w:rsid w:val="00666848"/>
    <w:rsid w:val="00672E1B"/>
    <w:rsid w:val="00674A16"/>
    <w:rsid w:val="00686D39"/>
    <w:rsid w:val="00690A46"/>
    <w:rsid w:val="00691E10"/>
    <w:rsid w:val="006963DB"/>
    <w:rsid w:val="006A0481"/>
    <w:rsid w:val="006A097A"/>
    <w:rsid w:val="006A4359"/>
    <w:rsid w:val="006C653F"/>
    <w:rsid w:val="006C701A"/>
    <w:rsid w:val="006D0A7B"/>
    <w:rsid w:val="006D241E"/>
    <w:rsid w:val="006F4F13"/>
    <w:rsid w:val="006F565C"/>
    <w:rsid w:val="006F7DFC"/>
    <w:rsid w:val="00704AF2"/>
    <w:rsid w:val="00705664"/>
    <w:rsid w:val="00710E68"/>
    <w:rsid w:val="007141C1"/>
    <w:rsid w:val="00714BA0"/>
    <w:rsid w:val="00720CC2"/>
    <w:rsid w:val="007269B6"/>
    <w:rsid w:val="00726E7A"/>
    <w:rsid w:val="007307A4"/>
    <w:rsid w:val="00731521"/>
    <w:rsid w:val="0073294A"/>
    <w:rsid w:val="00732E52"/>
    <w:rsid w:val="00735226"/>
    <w:rsid w:val="00735EC3"/>
    <w:rsid w:val="00745690"/>
    <w:rsid w:val="00752801"/>
    <w:rsid w:val="00756565"/>
    <w:rsid w:val="00756589"/>
    <w:rsid w:val="00756901"/>
    <w:rsid w:val="00761535"/>
    <w:rsid w:val="00765D11"/>
    <w:rsid w:val="007747B8"/>
    <w:rsid w:val="00781C51"/>
    <w:rsid w:val="00785118"/>
    <w:rsid w:val="00786BEB"/>
    <w:rsid w:val="00794185"/>
    <w:rsid w:val="007948A0"/>
    <w:rsid w:val="007A1929"/>
    <w:rsid w:val="007A652A"/>
    <w:rsid w:val="007C77DD"/>
    <w:rsid w:val="007E3EA6"/>
    <w:rsid w:val="007E4B0E"/>
    <w:rsid w:val="00802242"/>
    <w:rsid w:val="008042E1"/>
    <w:rsid w:val="00804D63"/>
    <w:rsid w:val="00806B9D"/>
    <w:rsid w:val="00812777"/>
    <w:rsid w:val="008130E4"/>
    <w:rsid w:val="00816823"/>
    <w:rsid w:val="00823D5C"/>
    <w:rsid w:val="00826DAD"/>
    <w:rsid w:val="0083580F"/>
    <w:rsid w:val="00836FD6"/>
    <w:rsid w:val="0084129E"/>
    <w:rsid w:val="00843390"/>
    <w:rsid w:val="00846373"/>
    <w:rsid w:val="008568AE"/>
    <w:rsid w:val="00860590"/>
    <w:rsid w:val="008614E8"/>
    <w:rsid w:val="00867999"/>
    <w:rsid w:val="00867EDF"/>
    <w:rsid w:val="00875F0D"/>
    <w:rsid w:val="00877414"/>
    <w:rsid w:val="00890698"/>
    <w:rsid w:val="00892C84"/>
    <w:rsid w:val="00896738"/>
    <w:rsid w:val="008A03B7"/>
    <w:rsid w:val="008A3B29"/>
    <w:rsid w:val="008A4E88"/>
    <w:rsid w:val="008A6A09"/>
    <w:rsid w:val="008B69C1"/>
    <w:rsid w:val="008B6AFF"/>
    <w:rsid w:val="008C1987"/>
    <w:rsid w:val="008C2197"/>
    <w:rsid w:val="008C3493"/>
    <w:rsid w:val="008C365C"/>
    <w:rsid w:val="008D11A6"/>
    <w:rsid w:val="008D1F7B"/>
    <w:rsid w:val="008D2D64"/>
    <w:rsid w:val="008D4968"/>
    <w:rsid w:val="009021DD"/>
    <w:rsid w:val="00902E07"/>
    <w:rsid w:val="0090355A"/>
    <w:rsid w:val="00915690"/>
    <w:rsid w:val="0092310C"/>
    <w:rsid w:val="0093660E"/>
    <w:rsid w:val="00947783"/>
    <w:rsid w:val="00950C7A"/>
    <w:rsid w:val="00952C15"/>
    <w:rsid w:val="00954FE8"/>
    <w:rsid w:val="009566BA"/>
    <w:rsid w:val="00965418"/>
    <w:rsid w:val="009726E0"/>
    <w:rsid w:val="00975003"/>
    <w:rsid w:val="00990822"/>
    <w:rsid w:val="00992E77"/>
    <w:rsid w:val="0099415F"/>
    <w:rsid w:val="00996B5A"/>
    <w:rsid w:val="009A0159"/>
    <w:rsid w:val="009A0EF0"/>
    <w:rsid w:val="009B1E15"/>
    <w:rsid w:val="009C4A31"/>
    <w:rsid w:val="009D314D"/>
    <w:rsid w:val="009E09E2"/>
    <w:rsid w:val="009E3B22"/>
    <w:rsid w:val="009F64F1"/>
    <w:rsid w:val="009F6FD2"/>
    <w:rsid w:val="009F78D3"/>
    <w:rsid w:val="00A05932"/>
    <w:rsid w:val="00A27104"/>
    <w:rsid w:val="00A327B9"/>
    <w:rsid w:val="00A41C9C"/>
    <w:rsid w:val="00A4732A"/>
    <w:rsid w:val="00A571DD"/>
    <w:rsid w:val="00A61F7F"/>
    <w:rsid w:val="00A62CC6"/>
    <w:rsid w:val="00A70CE2"/>
    <w:rsid w:val="00A7166B"/>
    <w:rsid w:val="00A83BA0"/>
    <w:rsid w:val="00A84F18"/>
    <w:rsid w:val="00A85045"/>
    <w:rsid w:val="00A95738"/>
    <w:rsid w:val="00A97B7D"/>
    <w:rsid w:val="00AA11B2"/>
    <w:rsid w:val="00AA261E"/>
    <w:rsid w:val="00AA4825"/>
    <w:rsid w:val="00AA5606"/>
    <w:rsid w:val="00AB33E1"/>
    <w:rsid w:val="00AC3E97"/>
    <w:rsid w:val="00AD1646"/>
    <w:rsid w:val="00AD7329"/>
    <w:rsid w:val="00AE06E5"/>
    <w:rsid w:val="00AF038B"/>
    <w:rsid w:val="00AF5E02"/>
    <w:rsid w:val="00B13B31"/>
    <w:rsid w:val="00B14CB4"/>
    <w:rsid w:val="00B26045"/>
    <w:rsid w:val="00B3793F"/>
    <w:rsid w:val="00B405D5"/>
    <w:rsid w:val="00B437D8"/>
    <w:rsid w:val="00B44C55"/>
    <w:rsid w:val="00B46917"/>
    <w:rsid w:val="00B46A95"/>
    <w:rsid w:val="00B544C2"/>
    <w:rsid w:val="00B54E94"/>
    <w:rsid w:val="00B5566F"/>
    <w:rsid w:val="00B64BE7"/>
    <w:rsid w:val="00B703D5"/>
    <w:rsid w:val="00B70CC4"/>
    <w:rsid w:val="00B778D1"/>
    <w:rsid w:val="00B83BE1"/>
    <w:rsid w:val="00B8753D"/>
    <w:rsid w:val="00B91CF2"/>
    <w:rsid w:val="00BB02DE"/>
    <w:rsid w:val="00BB371A"/>
    <w:rsid w:val="00BC0A6C"/>
    <w:rsid w:val="00BD346F"/>
    <w:rsid w:val="00BD7B25"/>
    <w:rsid w:val="00BE1AFF"/>
    <w:rsid w:val="00BE2377"/>
    <w:rsid w:val="00BE7364"/>
    <w:rsid w:val="00BF6B5A"/>
    <w:rsid w:val="00BF74E9"/>
    <w:rsid w:val="00C0030C"/>
    <w:rsid w:val="00C12ACD"/>
    <w:rsid w:val="00C13CF0"/>
    <w:rsid w:val="00C13D9F"/>
    <w:rsid w:val="00C247CB"/>
    <w:rsid w:val="00C25830"/>
    <w:rsid w:val="00C360BD"/>
    <w:rsid w:val="00C36E97"/>
    <w:rsid w:val="00C43141"/>
    <w:rsid w:val="00C476E1"/>
    <w:rsid w:val="00C52E77"/>
    <w:rsid w:val="00C566B3"/>
    <w:rsid w:val="00C56DE7"/>
    <w:rsid w:val="00C65249"/>
    <w:rsid w:val="00C65ACD"/>
    <w:rsid w:val="00C67B32"/>
    <w:rsid w:val="00C729E0"/>
    <w:rsid w:val="00C75C83"/>
    <w:rsid w:val="00C82308"/>
    <w:rsid w:val="00CB0C1D"/>
    <w:rsid w:val="00CB59BF"/>
    <w:rsid w:val="00CC300D"/>
    <w:rsid w:val="00CC5AA2"/>
    <w:rsid w:val="00CC721A"/>
    <w:rsid w:val="00CD0963"/>
    <w:rsid w:val="00CD6149"/>
    <w:rsid w:val="00CE3D42"/>
    <w:rsid w:val="00CE53E6"/>
    <w:rsid w:val="00CF5CC0"/>
    <w:rsid w:val="00CF6131"/>
    <w:rsid w:val="00D06EAA"/>
    <w:rsid w:val="00D128DE"/>
    <w:rsid w:val="00D3372F"/>
    <w:rsid w:val="00D35DFC"/>
    <w:rsid w:val="00D36733"/>
    <w:rsid w:val="00D36F20"/>
    <w:rsid w:val="00D409BA"/>
    <w:rsid w:val="00D471B5"/>
    <w:rsid w:val="00D51514"/>
    <w:rsid w:val="00D556C7"/>
    <w:rsid w:val="00D564E2"/>
    <w:rsid w:val="00D571DB"/>
    <w:rsid w:val="00D60FD1"/>
    <w:rsid w:val="00D64F79"/>
    <w:rsid w:val="00D6774D"/>
    <w:rsid w:val="00D72AAA"/>
    <w:rsid w:val="00D731A3"/>
    <w:rsid w:val="00D75191"/>
    <w:rsid w:val="00D7533D"/>
    <w:rsid w:val="00D80929"/>
    <w:rsid w:val="00D85254"/>
    <w:rsid w:val="00D872B7"/>
    <w:rsid w:val="00D8760B"/>
    <w:rsid w:val="00D91004"/>
    <w:rsid w:val="00D953DE"/>
    <w:rsid w:val="00DA7F72"/>
    <w:rsid w:val="00DC1992"/>
    <w:rsid w:val="00DC4FFC"/>
    <w:rsid w:val="00DC66A4"/>
    <w:rsid w:val="00DC7CBA"/>
    <w:rsid w:val="00DE0CCE"/>
    <w:rsid w:val="00DE47AB"/>
    <w:rsid w:val="00DE5806"/>
    <w:rsid w:val="00DF6BE4"/>
    <w:rsid w:val="00DF7096"/>
    <w:rsid w:val="00E11B1B"/>
    <w:rsid w:val="00E157BC"/>
    <w:rsid w:val="00E16C0F"/>
    <w:rsid w:val="00E20E79"/>
    <w:rsid w:val="00E24E1A"/>
    <w:rsid w:val="00E31179"/>
    <w:rsid w:val="00E427EA"/>
    <w:rsid w:val="00E43699"/>
    <w:rsid w:val="00E445FC"/>
    <w:rsid w:val="00E46F87"/>
    <w:rsid w:val="00E50E4A"/>
    <w:rsid w:val="00E51954"/>
    <w:rsid w:val="00E53B70"/>
    <w:rsid w:val="00E63C69"/>
    <w:rsid w:val="00E74635"/>
    <w:rsid w:val="00E82F09"/>
    <w:rsid w:val="00E86D4E"/>
    <w:rsid w:val="00E91F5F"/>
    <w:rsid w:val="00EA463A"/>
    <w:rsid w:val="00EA5287"/>
    <w:rsid w:val="00EA6F59"/>
    <w:rsid w:val="00EB12DD"/>
    <w:rsid w:val="00EB153E"/>
    <w:rsid w:val="00EB2349"/>
    <w:rsid w:val="00EB4BBE"/>
    <w:rsid w:val="00EB57EB"/>
    <w:rsid w:val="00EC0B99"/>
    <w:rsid w:val="00ED50CF"/>
    <w:rsid w:val="00ED6472"/>
    <w:rsid w:val="00EF0685"/>
    <w:rsid w:val="00F10465"/>
    <w:rsid w:val="00F1152F"/>
    <w:rsid w:val="00F207B3"/>
    <w:rsid w:val="00F3375C"/>
    <w:rsid w:val="00F3599C"/>
    <w:rsid w:val="00F40D59"/>
    <w:rsid w:val="00F47F9B"/>
    <w:rsid w:val="00F511A0"/>
    <w:rsid w:val="00F522FB"/>
    <w:rsid w:val="00F5486B"/>
    <w:rsid w:val="00F555B5"/>
    <w:rsid w:val="00F64F9D"/>
    <w:rsid w:val="00F658E0"/>
    <w:rsid w:val="00F66A6B"/>
    <w:rsid w:val="00F70870"/>
    <w:rsid w:val="00F74AF2"/>
    <w:rsid w:val="00F859B7"/>
    <w:rsid w:val="00FC1C44"/>
    <w:rsid w:val="00FD15B2"/>
    <w:rsid w:val="00FE4C80"/>
    <w:rsid w:val="00FF0B95"/>
    <w:rsid w:val="0416A9E8"/>
    <w:rsid w:val="08E4BDE4"/>
    <w:rsid w:val="11FDE0F9"/>
    <w:rsid w:val="19A649C8"/>
    <w:rsid w:val="1AB85D69"/>
    <w:rsid w:val="1C3648F2"/>
    <w:rsid w:val="20266178"/>
    <w:rsid w:val="25A3CF38"/>
    <w:rsid w:val="5217B234"/>
    <w:rsid w:val="5665A5E2"/>
    <w:rsid w:val="5A5ED24B"/>
    <w:rsid w:val="7BE0A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1A5F3"/>
  <w15:chartTrackingRefBased/>
  <w15:docId w15:val="{4CA181A1-035F-46A4-A32A-4D86DDAC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699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BodyTextIndent2Char">
    <w:name w:val="Body Text Indent 2 Char"/>
    <w:link w:val="BodyTextIndent2"/>
    <w:rsid w:val="004D15D3"/>
    <w:rPr>
      <w:sz w:val="24"/>
      <w:szCs w:val="24"/>
    </w:rPr>
  </w:style>
  <w:style w:type="character" w:customStyle="1" w:styleId="content-id">
    <w:name w:val="content-id"/>
    <w:basedOn w:val="DefaultParagraphFont"/>
    <w:rsid w:val="004D15D3"/>
  </w:style>
  <w:style w:type="paragraph" w:styleId="ListParagraph">
    <w:name w:val="List Paragraph"/>
    <w:basedOn w:val="Normal"/>
    <w:uiPriority w:val="34"/>
    <w:qFormat/>
    <w:rsid w:val="00B437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1179"/>
    <w:pPr>
      <w:spacing w:before="160" w:after="160" w:line="252" w:lineRule="auto"/>
      <w:jc w:val="center"/>
    </w:pPr>
    <w:rPr>
      <w:rFonts w:ascii="Aptos" w:hAnsi="Aptos" w:cs="Aptos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31179"/>
    <w:rPr>
      <w:rFonts w:ascii="Aptos" w:hAnsi="Aptos" w:cs="Aptos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9B1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1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E1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E15"/>
    <w:rPr>
      <w:b/>
      <w:bCs/>
    </w:rPr>
  </w:style>
  <w:style w:type="character" w:customStyle="1" w:styleId="normaltextrun">
    <w:name w:val="normaltextrun"/>
    <w:basedOn w:val="DefaultParagraphFont"/>
    <w:rsid w:val="00DF7096"/>
  </w:style>
  <w:style w:type="character" w:customStyle="1" w:styleId="scxw3628561">
    <w:name w:val="scxw3628561"/>
    <w:basedOn w:val="DefaultParagraphFont"/>
    <w:rsid w:val="00DF7096"/>
  </w:style>
  <w:style w:type="character" w:customStyle="1" w:styleId="eop">
    <w:name w:val="eop"/>
    <w:basedOn w:val="DefaultParagraphFont"/>
    <w:rsid w:val="00E24E1A"/>
  </w:style>
  <w:style w:type="paragraph" w:customStyle="1" w:styleId="paragraph">
    <w:name w:val="paragraph"/>
    <w:basedOn w:val="Normal"/>
    <w:rsid w:val="00952C15"/>
    <w:pPr>
      <w:spacing w:before="100" w:beforeAutospacing="1" w:after="100" w:afterAutospacing="1"/>
    </w:pPr>
  </w:style>
  <w:style w:type="character" w:customStyle="1" w:styleId="scxw165077204">
    <w:name w:val="scxw165077204"/>
    <w:basedOn w:val="DefaultParagraphFont"/>
    <w:rsid w:val="00952C15"/>
  </w:style>
  <w:style w:type="character" w:styleId="Mention">
    <w:name w:val="Mention"/>
    <w:basedOn w:val="DefaultParagraphFont"/>
    <w:uiPriority w:val="99"/>
    <w:unhideWhenUsed/>
    <w:rsid w:val="00731521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70C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E2B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E1C28-3536-4BAA-A741-E011EDB65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B2DCC-6BAE-469A-A861-04E6CE0B9776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B9A96978-B29F-43A4-8465-18B1CF1C2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69691A-F53A-44B3-A2D0-9071785F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Feldman, Elizabeth J</cp:lastModifiedBy>
  <cp:revision>3</cp:revision>
  <cp:lastPrinted>2007-01-03T17:56:00Z</cp:lastPrinted>
  <dcterms:created xsi:type="dcterms:W3CDTF">2025-03-05T21:02:00Z</dcterms:created>
  <dcterms:modified xsi:type="dcterms:W3CDTF">2025-03-05T21:06:00Z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2022-02-23T12:41:23Z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4bcc3fd0-cb34-452c-b870-f2a0132c2449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