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BE7C" w14:textId="6B9E9958" w:rsidR="00524CDD" w:rsidRPr="009C5D89" w:rsidRDefault="00765A3C" w:rsidP="3E325F8E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3E325F8E">
        <w:rPr>
          <w:rFonts w:ascii="Verdana" w:hAnsi="Verdana" w:cs="Times New Roman"/>
          <w:color w:val="000000" w:themeColor="text1"/>
          <w:sz w:val="36"/>
          <w:szCs w:val="36"/>
        </w:rPr>
        <w:t xml:space="preserve">Compass - </w:t>
      </w:r>
      <w:r w:rsidR="00155FFE" w:rsidRPr="3E325F8E">
        <w:rPr>
          <w:rFonts w:ascii="Verdana" w:hAnsi="Verdana" w:cs="Times New Roman"/>
          <w:color w:val="000000" w:themeColor="text1"/>
          <w:sz w:val="36"/>
          <w:szCs w:val="36"/>
        </w:rPr>
        <w:t xml:space="preserve">Flexible </w:t>
      </w:r>
      <w:r w:rsidR="00F37028" w:rsidRPr="3E325F8E">
        <w:rPr>
          <w:rFonts w:ascii="Verdana" w:hAnsi="Verdana" w:cs="Times New Roman"/>
          <w:color w:val="000000" w:themeColor="text1"/>
          <w:sz w:val="36"/>
          <w:szCs w:val="36"/>
        </w:rPr>
        <w:t xml:space="preserve">Copay </w:t>
      </w:r>
      <w:r w:rsidR="00155FFE" w:rsidRPr="3E325F8E">
        <w:rPr>
          <w:rFonts w:ascii="Verdana" w:hAnsi="Verdana" w:cs="Times New Roman"/>
          <w:color w:val="000000" w:themeColor="text1"/>
          <w:sz w:val="36"/>
          <w:szCs w:val="36"/>
        </w:rPr>
        <w:t xml:space="preserve">Incentive </w:t>
      </w:r>
    </w:p>
    <w:p w14:paraId="6534C9BE" w14:textId="77777777" w:rsidR="000C4F22" w:rsidRDefault="000C4F22">
      <w:pPr>
        <w:pStyle w:val="TOC2"/>
      </w:pPr>
    </w:p>
    <w:p w14:paraId="0B0D3EC1" w14:textId="47B1B6A2" w:rsidR="006C2670" w:rsidRDefault="003E075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0176367" w:history="1">
        <w:r w:rsidR="006C2670" w:rsidRPr="00C55837">
          <w:rPr>
            <w:rStyle w:val="Hyperlink"/>
            <w:rFonts w:ascii="Verdana" w:hAnsi="Verdana"/>
            <w:noProof/>
          </w:rPr>
          <w:t>Viewing Flexible Copay Incentive Offering in Compass</w:t>
        </w:r>
      </w:hyperlink>
    </w:p>
    <w:p w14:paraId="162D3939" w14:textId="400DD7B5" w:rsidR="006C2670" w:rsidRDefault="006C267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176368" w:history="1">
        <w:r w:rsidRPr="00C55837">
          <w:rPr>
            <w:rStyle w:val="Hyperlink"/>
            <w:rFonts w:ascii="Verdana" w:hAnsi="Verdana"/>
            <w:noProof/>
          </w:rPr>
          <w:t>Test Claim (Flexible Copay Incentive)</w:t>
        </w:r>
      </w:hyperlink>
    </w:p>
    <w:p w14:paraId="5FF901A4" w14:textId="555164B5" w:rsidR="006C2670" w:rsidRDefault="006C267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176369" w:history="1">
        <w:r w:rsidRPr="00C55837">
          <w:rPr>
            <w:rStyle w:val="Hyperlink"/>
            <w:rFonts w:ascii="Verdana" w:hAnsi="Verdana"/>
            <w:noProof/>
          </w:rPr>
          <w:t>Flexible Copay Incentive on the Override/PA History Screen</w:t>
        </w:r>
      </w:hyperlink>
    </w:p>
    <w:p w14:paraId="6EC0EAC9" w14:textId="16CAD85C" w:rsidR="006C2670" w:rsidRDefault="006C267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176370" w:history="1">
        <w:r w:rsidRPr="00C55837">
          <w:rPr>
            <w:rStyle w:val="Hyperlink"/>
            <w:rFonts w:ascii="Verdana" w:hAnsi="Verdana"/>
            <w:noProof/>
          </w:rPr>
          <w:t>Identifying Campaign ID (Prescription Details Screen)</w:t>
        </w:r>
      </w:hyperlink>
    </w:p>
    <w:p w14:paraId="79FC04AC" w14:textId="3302D56F" w:rsidR="006C2670" w:rsidRDefault="006C267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176371" w:history="1">
        <w:r w:rsidRPr="00C55837">
          <w:rPr>
            <w:rStyle w:val="Hyperlink"/>
            <w:rFonts w:ascii="Verdana" w:hAnsi="Verdana"/>
            <w:noProof/>
          </w:rPr>
          <w:t>Related Documents</w:t>
        </w:r>
      </w:hyperlink>
    </w:p>
    <w:p w14:paraId="0600670D" w14:textId="544C2ACD" w:rsidR="000322C3" w:rsidRDefault="003E075B" w:rsidP="003E075B">
      <w:pPr>
        <w:rPr>
          <w:rFonts w:ascii="Verdana" w:hAnsi="Verdana"/>
          <w:b/>
        </w:rPr>
      </w:pPr>
      <w:r>
        <w:rPr>
          <w:rFonts w:ascii="Verdana" w:hAnsi="Verdana"/>
        </w:rPr>
        <w:fldChar w:fldCharType="end"/>
      </w:r>
    </w:p>
    <w:p w14:paraId="692C8BCD" w14:textId="5DA68291" w:rsidR="008744BA" w:rsidRPr="008A02F4" w:rsidRDefault="74B83EB7" w:rsidP="008A02F4">
      <w:pPr>
        <w:pStyle w:val="BlockText"/>
        <w:spacing w:before="120" w:after="120"/>
        <w:rPr>
          <w:rFonts w:ascii="Verdana" w:hAnsi="Verdana"/>
        </w:rPr>
      </w:pPr>
      <w:bookmarkStart w:id="1" w:name="_Overview"/>
      <w:bookmarkEnd w:id="1"/>
      <w:r w:rsidRPr="42E83830">
        <w:rPr>
          <w:rFonts w:ascii="Verdana" w:hAnsi="Verdana"/>
          <w:b/>
          <w:bCs/>
        </w:rPr>
        <w:t>Description</w:t>
      </w:r>
      <w:r w:rsidR="6BB1A303" w:rsidRPr="42E83830">
        <w:rPr>
          <w:rFonts w:ascii="Verdana" w:hAnsi="Verdana"/>
          <w:b/>
          <w:bCs/>
        </w:rPr>
        <w:t xml:space="preserve">: </w:t>
      </w:r>
      <w:r w:rsidR="000C4F22">
        <w:rPr>
          <w:rFonts w:ascii="Verdana" w:hAnsi="Verdana"/>
          <w:b/>
          <w:bCs/>
        </w:rPr>
        <w:t xml:space="preserve"> </w:t>
      </w:r>
      <w:r w:rsidR="000A79F8" w:rsidRPr="008A02F4">
        <w:rPr>
          <w:rFonts w:ascii="Verdana" w:hAnsi="Verdana"/>
        </w:rPr>
        <w:t xml:space="preserve">Provides procedures and information related to </w:t>
      </w:r>
      <w:r w:rsidR="0081557A" w:rsidRPr="6FEF6C1A">
        <w:rPr>
          <w:rFonts w:ascii="Verdana" w:hAnsi="Verdana"/>
        </w:rPr>
        <w:t>this</w:t>
      </w:r>
      <w:r w:rsidR="0081557A" w:rsidRPr="008A02F4">
        <w:rPr>
          <w:rFonts w:ascii="Verdana" w:hAnsi="Verdana"/>
        </w:rPr>
        <w:t xml:space="preserve"> program </w:t>
      </w:r>
      <w:r w:rsidR="000A79F8" w:rsidRPr="008A02F4">
        <w:rPr>
          <w:rFonts w:ascii="Verdana" w:hAnsi="Verdana"/>
        </w:rPr>
        <w:t>allowing plan members to receive a reduced or waived copay for certain recommended drugs. Includes details on campaign identification, member communication, and verification steps.</w:t>
      </w:r>
    </w:p>
    <w:p w14:paraId="53705840" w14:textId="57B81968" w:rsidR="00816A0A" w:rsidRPr="008744BA" w:rsidRDefault="000A79F8" w:rsidP="008744BA">
      <w:r>
        <w:t xml:space="preserve"> </w:t>
      </w:r>
    </w:p>
    <w:p w14:paraId="3A1F2320" w14:textId="1FFBBF71" w:rsidR="00CE76E8" w:rsidRPr="003150D8" w:rsidRDefault="00CE76E8" w:rsidP="00CE76E8">
      <w:pPr>
        <w:jc w:val="right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0019F" w:rsidRPr="00B46A95" w14:paraId="4D267DB1" w14:textId="77777777" w:rsidTr="008155F2">
        <w:tc>
          <w:tcPr>
            <w:tcW w:w="5000" w:type="pct"/>
            <w:shd w:val="clear" w:color="auto" w:fill="C0C0C0"/>
          </w:tcPr>
          <w:p w14:paraId="579368C0" w14:textId="6A20B95C" w:rsidR="00F0019F" w:rsidRPr="003820FF" w:rsidRDefault="00860D9C" w:rsidP="008155F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rocc"/>
            <w:bookmarkStart w:id="3" w:name="_Verification_of_Flexible"/>
            <w:bookmarkStart w:id="4" w:name="_Viewing_Flexible_Copay"/>
            <w:bookmarkStart w:id="5" w:name="_Toc190176367"/>
            <w:bookmarkEnd w:id="2"/>
            <w:bookmarkEnd w:id="3"/>
            <w:bookmarkEnd w:id="4"/>
            <w:r w:rsidRPr="003820FF">
              <w:rPr>
                <w:rFonts w:ascii="Verdana" w:hAnsi="Verdana"/>
                <w:i w:val="0"/>
              </w:rPr>
              <w:t xml:space="preserve">Viewing </w:t>
            </w:r>
            <w:r w:rsidR="00182B79" w:rsidRPr="003820FF">
              <w:rPr>
                <w:rFonts w:ascii="Verdana" w:hAnsi="Verdana"/>
                <w:i w:val="0"/>
              </w:rPr>
              <w:t>Flexible Copay Incentive</w:t>
            </w:r>
            <w:r w:rsidRPr="003820FF">
              <w:rPr>
                <w:rFonts w:ascii="Verdana" w:hAnsi="Verdana"/>
                <w:i w:val="0"/>
              </w:rPr>
              <w:t xml:space="preserve"> </w:t>
            </w:r>
            <w:r w:rsidR="008B05C6" w:rsidRPr="003820FF">
              <w:rPr>
                <w:rFonts w:ascii="Verdana" w:hAnsi="Verdana"/>
                <w:i w:val="0"/>
              </w:rPr>
              <w:t>O</w:t>
            </w:r>
            <w:r w:rsidRPr="003820FF">
              <w:rPr>
                <w:rFonts w:ascii="Verdana" w:hAnsi="Verdana"/>
                <w:i w:val="0"/>
              </w:rPr>
              <w:t xml:space="preserve">ffering in </w:t>
            </w:r>
            <w:r w:rsidR="00765A3C">
              <w:rPr>
                <w:rFonts w:ascii="Verdana" w:hAnsi="Verdana"/>
                <w:i w:val="0"/>
              </w:rPr>
              <w:t>Compass</w:t>
            </w:r>
            <w:bookmarkEnd w:id="5"/>
            <w:r w:rsidR="00182B79" w:rsidRPr="003820FF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8B0D760" w14:textId="16BDB03B" w:rsidR="008155F2" w:rsidRDefault="008155F2" w:rsidP="008155F2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offer is specific to the </w:t>
      </w:r>
      <w:r w:rsidRPr="000322C3">
        <w:rPr>
          <w:rFonts w:ascii="Verdana" w:hAnsi="Verdana"/>
          <w:b/>
        </w:rPr>
        <w:t>drugs</w:t>
      </w:r>
      <w:r>
        <w:rPr>
          <w:rFonts w:ascii="Verdana" w:hAnsi="Verdana"/>
          <w:b/>
          <w:i/>
        </w:rPr>
        <w:t xml:space="preserve"> </w:t>
      </w:r>
      <w:r>
        <w:rPr>
          <w:rFonts w:ascii="Verdana" w:hAnsi="Verdana"/>
        </w:rPr>
        <w:t>which the client chooses to be included in the Flexible Copay Incentive.</w:t>
      </w:r>
    </w:p>
    <w:p w14:paraId="1343632E" w14:textId="7443B8B3" w:rsidR="008155F2" w:rsidRDefault="343BE6B5" w:rsidP="008155F2">
      <w:pPr>
        <w:pStyle w:val="BlockText"/>
        <w:spacing w:before="120" w:after="120"/>
        <w:rPr>
          <w:rFonts w:ascii="Verdana" w:hAnsi="Verdana"/>
        </w:rPr>
      </w:pPr>
      <w:r w:rsidRPr="42E83830">
        <w:rPr>
          <w:rFonts w:ascii="Verdana" w:hAnsi="Verdana"/>
        </w:rPr>
        <w:t xml:space="preserve">If a client recognizes that </w:t>
      </w:r>
      <w:r w:rsidR="68A63EC0" w:rsidRPr="42E83830">
        <w:rPr>
          <w:rFonts w:ascii="Verdana" w:hAnsi="Verdana"/>
        </w:rPr>
        <w:t>many of</w:t>
      </w:r>
      <w:r w:rsidRPr="42E83830">
        <w:rPr>
          <w:rFonts w:ascii="Verdana" w:hAnsi="Verdana"/>
        </w:rPr>
        <w:t xml:space="preserve"> its members utilize a </w:t>
      </w:r>
      <w:r w:rsidR="31032668" w:rsidRPr="42E83830">
        <w:rPr>
          <w:rFonts w:ascii="Verdana" w:hAnsi="Verdana"/>
        </w:rPr>
        <w:t>high-cost</w:t>
      </w:r>
      <w:r w:rsidRPr="42E83830">
        <w:rPr>
          <w:rFonts w:ascii="Verdana" w:hAnsi="Verdana"/>
        </w:rPr>
        <w:t xml:space="preserve"> brand </w:t>
      </w:r>
      <w:r w:rsidR="109E52DE" w:rsidRPr="42E83830">
        <w:rPr>
          <w:rFonts w:ascii="Verdana" w:hAnsi="Verdana"/>
        </w:rPr>
        <w:t>drug,</w:t>
      </w:r>
      <w:r w:rsidRPr="42E83830">
        <w:rPr>
          <w:rFonts w:ascii="Verdana" w:hAnsi="Verdana"/>
        </w:rPr>
        <w:t xml:space="preserve"> they may include that drug in the incentive.</w:t>
      </w:r>
    </w:p>
    <w:p w14:paraId="1B40A55E" w14:textId="77777777" w:rsidR="008155F2" w:rsidRPr="00021442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>They may choose not to include a drug which</w:t>
      </w:r>
      <w:r w:rsidRPr="00021442">
        <w:rPr>
          <w:rFonts w:ascii="Verdana" w:hAnsi="Verdana"/>
        </w:rPr>
        <w:t xml:space="preserve"> their members rarely have filled.</w:t>
      </w:r>
    </w:p>
    <w:p w14:paraId="1A14CFD5" w14:textId="613F3D45" w:rsidR="008155F2" w:rsidRPr="0023188D" w:rsidRDefault="00A13AD3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8FF542B" wp14:editId="6AF4374F">
            <wp:extent cx="304762" cy="304762"/>
            <wp:effectExtent l="0" t="0" r="635" b="635"/>
            <wp:docPr id="1824967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67954" name="Picture 1824967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5F2" w:rsidRPr="61AC649D">
        <w:rPr>
          <w:rFonts w:ascii="Verdana" w:hAnsi="Verdana"/>
        </w:rPr>
        <w:t xml:space="preserve">When a client elects to offer the Flexible Incentive Copay or when a targeted medication has been identified for the member, a letter will be sent informing the member of the incentive and the targeted drug to which it applies.  This letter will also be viewable in the </w:t>
      </w:r>
      <w:r w:rsidR="008155F2" w:rsidRPr="61AC649D">
        <w:rPr>
          <w:rFonts w:ascii="Verdana" w:hAnsi="Verdana"/>
          <w:b/>
          <w:bCs/>
        </w:rPr>
        <w:t xml:space="preserve">Communication History </w:t>
      </w:r>
      <w:r w:rsidR="008155F2" w:rsidRPr="61AC649D">
        <w:rPr>
          <w:rFonts w:ascii="Verdana" w:hAnsi="Verdana"/>
        </w:rPr>
        <w:t>tab</w:t>
      </w:r>
      <w:r w:rsidR="227D7615" w:rsidRPr="61AC649D">
        <w:rPr>
          <w:rFonts w:ascii="Verdana" w:hAnsi="Verdana"/>
        </w:rPr>
        <w:t xml:space="preserve"> (</w:t>
      </w:r>
      <w:r w:rsidR="0023188D">
        <w:rPr>
          <w:rFonts w:ascii="Verdana" w:hAnsi="Verdana"/>
        </w:rPr>
        <w:t>refer</w:t>
      </w:r>
      <w:r w:rsidR="227D7615" w:rsidRPr="61AC649D">
        <w:rPr>
          <w:rFonts w:ascii="Verdana" w:hAnsi="Verdana"/>
        </w:rPr>
        <w:t xml:space="preserve"> to </w:t>
      </w:r>
      <w:hyperlink r:id="rId12" w:anchor="!/view?docid=c0238ae3-ea9b-4da2-b9c9-90c8d4ad62a8" w:history="1">
        <w:r w:rsidR="227D7615" w:rsidRPr="006C2670">
          <w:rPr>
            <w:rStyle w:val="Hyperlink"/>
            <w:rFonts w:ascii="Verdana" w:eastAsia="Verdana" w:hAnsi="Verdana" w:cs="Verdana"/>
            <w:b/>
            <w:bCs/>
          </w:rPr>
          <w:t>Compass - Viewing Communications (056371)</w:t>
        </w:r>
        <w:r w:rsidR="008155F2" w:rsidRPr="0023188D">
          <w:rPr>
            <w:rStyle w:val="Hyperlink"/>
            <w:rFonts w:ascii="Verdana" w:hAnsi="Verdana"/>
          </w:rPr>
          <w:t>.</w:t>
        </w:r>
      </w:hyperlink>
    </w:p>
    <w:p w14:paraId="2B75D933" w14:textId="77777777" w:rsidR="008155F2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 xml:space="preserve">This program was developed to encourage the member to move to a more </w:t>
      </w:r>
      <w:r w:rsidR="000B01E6">
        <w:rPr>
          <w:rFonts w:ascii="Verdana" w:hAnsi="Verdana"/>
        </w:rPr>
        <w:t>cost-effective</w:t>
      </w:r>
      <w:r>
        <w:rPr>
          <w:rFonts w:ascii="Verdana" w:hAnsi="Verdana"/>
        </w:rPr>
        <w:t xml:space="preserve"> medication </w:t>
      </w:r>
      <w:r w:rsidRPr="00155FFE">
        <w:rPr>
          <w:rFonts w:ascii="Verdana" w:hAnsi="Verdana"/>
        </w:rPr>
        <w:t xml:space="preserve">(with their </w:t>
      </w:r>
      <w:r>
        <w:rPr>
          <w:rFonts w:ascii="Verdana" w:hAnsi="Verdana"/>
        </w:rPr>
        <w:t>prescriber authorization</w:t>
      </w:r>
      <w:r w:rsidRPr="00155FFE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14:paraId="631A438E" w14:textId="77777777" w:rsidR="008155F2" w:rsidRPr="000322C3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 w:rsidRPr="000322C3">
        <w:rPr>
          <w:rFonts w:ascii="Verdana" w:hAnsi="Verdana"/>
        </w:rPr>
        <w:t xml:space="preserve">As a </w:t>
      </w:r>
      <w:r w:rsidRPr="000322C3">
        <w:rPr>
          <w:rFonts w:ascii="Verdana" w:hAnsi="Verdana"/>
          <w:b/>
        </w:rPr>
        <w:t>reward</w:t>
      </w:r>
      <w:r w:rsidRPr="000322C3">
        <w:rPr>
          <w:rFonts w:ascii="Verdana" w:hAnsi="Verdana"/>
        </w:rPr>
        <w:t xml:space="preserve"> for moving to a more cost-effective medication the member is given a lower copay or the copay is waived in its entirety.</w:t>
      </w:r>
    </w:p>
    <w:p w14:paraId="019E8A1D" w14:textId="77777777" w:rsidR="008155F2" w:rsidRDefault="008155F2" w:rsidP="008155F2">
      <w:pPr>
        <w:pStyle w:val="BlockText"/>
        <w:spacing w:before="120" w:after="120"/>
        <w:rPr>
          <w:rFonts w:ascii="Verdana" w:hAnsi="Verdana"/>
        </w:rPr>
      </w:pPr>
      <w:bookmarkStart w:id="6" w:name="dep"/>
      <w:bookmarkStart w:id="7" w:name="_Acronyms_/_Definitions"/>
      <w:bookmarkEnd w:id="6"/>
      <w:bookmarkEnd w:id="7"/>
    </w:p>
    <w:p w14:paraId="3A2520C0" w14:textId="68129E91" w:rsidR="00DE49C1" w:rsidRPr="000322C3" w:rsidRDefault="00182B79" w:rsidP="000B01E6">
      <w:pPr>
        <w:pStyle w:val="BlockText"/>
        <w:spacing w:before="120" w:after="120"/>
        <w:rPr>
          <w:rFonts w:ascii="Verdana" w:hAnsi="Verdana"/>
          <w:color w:val="auto"/>
        </w:rPr>
      </w:pPr>
      <w:r w:rsidRPr="61AC649D">
        <w:rPr>
          <w:rFonts w:ascii="Verdana" w:hAnsi="Verdana"/>
        </w:rPr>
        <w:t>To verify if a client has elected th</w:t>
      </w:r>
      <w:r w:rsidR="00860D9C" w:rsidRPr="61AC649D">
        <w:rPr>
          <w:rFonts w:ascii="Verdana" w:hAnsi="Verdana"/>
        </w:rPr>
        <w:t>e Flexible Incentive Copay</w:t>
      </w:r>
      <w:r w:rsidRPr="61AC649D">
        <w:rPr>
          <w:rFonts w:ascii="Verdana" w:hAnsi="Verdana"/>
        </w:rPr>
        <w:t>,</w:t>
      </w:r>
      <w:r w:rsidR="008155F2" w:rsidRPr="61AC649D">
        <w:rPr>
          <w:rFonts w:ascii="Verdana" w:hAnsi="Verdana"/>
        </w:rPr>
        <w:t xml:space="preserve"> access the </w:t>
      </w:r>
      <w:r w:rsidR="00765A3C" w:rsidRPr="61AC649D">
        <w:rPr>
          <w:rFonts w:ascii="Verdana" w:hAnsi="Verdana"/>
        </w:rPr>
        <w:t>Compass</w:t>
      </w:r>
      <w:r w:rsidR="008155F2" w:rsidRPr="61AC649D">
        <w:rPr>
          <w:rFonts w:ascii="Verdana" w:hAnsi="Verdana"/>
        </w:rPr>
        <w:t xml:space="preserve"> Main screen and select the </w:t>
      </w:r>
      <w:r w:rsidR="00DE49C1" w:rsidRPr="61AC649D">
        <w:rPr>
          <w:rFonts w:ascii="Verdana" w:hAnsi="Verdana"/>
          <w:b/>
          <w:bCs/>
          <w:color w:val="auto"/>
        </w:rPr>
        <w:t>Client Program Offerings</w:t>
      </w:r>
      <w:r w:rsidR="00DE49C1" w:rsidRPr="61AC649D">
        <w:rPr>
          <w:rFonts w:ascii="Verdana" w:hAnsi="Verdana"/>
          <w:color w:val="auto"/>
        </w:rPr>
        <w:t xml:space="preserve"> </w:t>
      </w:r>
      <w:r w:rsidR="00860D9C" w:rsidRPr="61AC649D">
        <w:rPr>
          <w:rFonts w:ascii="Verdana" w:hAnsi="Verdana"/>
          <w:color w:val="auto"/>
        </w:rPr>
        <w:t>hyper</w:t>
      </w:r>
      <w:r w:rsidR="00DE49C1" w:rsidRPr="61AC649D">
        <w:rPr>
          <w:rFonts w:ascii="Verdana" w:hAnsi="Verdana"/>
          <w:color w:val="auto"/>
        </w:rPr>
        <w:t>link to view the Client program.</w:t>
      </w:r>
    </w:p>
    <w:p w14:paraId="483BAB9E" w14:textId="1EEC9F90" w:rsidR="61AC649D" w:rsidRDefault="00A77D8E" w:rsidP="00A77D8E">
      <w:pPr>
        <w:pStyle w:val="BlockText"/>
        <w:spacing w:before="120" w:after="120"/>
        <w:jc w:val="center"/>
      </w:pPr>
      <w:r>
        <w:rPr>
          <w:noProof/>
        </w:rPr>
        <w:drawing>
          <wp:inline distT="0" distB="0" distL="0" distR="0" wp14:anchorId="76B227B5" wp14:editId="7EDCD90B">
            <wp:extent cx="8229600" cy="639655"/>
            <wp:effectExtent l="0" t="0" r="0" b="8255"/>
            <wp:docPr id="38125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3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1A7" w14:textId="3E6DAC38" w:rsidR="003150D8" w:rsidRPr="000322C3" w:rsidRDefault="003150D8" w:rsidP="000B01E6">
      <w:pPr>
        <w:pStyle w:val="BlockText"/>
        <w:spacing w:before="120" w:after="120"/>
        <w:jc w:val="center"/>
        <w:rPr>
          <w:rFonts w:ascii="Verdana" w:hAnsi="Verdana"/>
          <w:b/>
          <w:color w:val="auto"/>
        </w:rPr>
      </w:pPr>
    </w:p>
    <w:p w14:paraId="148BB90D" w14:textId="77777777" w:rsidR="00CE76E8" w:rsidRPr="000322C3" w:rsidRDefault="00CE76E8" w:rsidP="00CE76E8">
      <w:pPr>
        <w:jc w:val="right"/>
        <w:rPr>
          <w:rFonts w:ascii="Verdana" w:hAnsi="Verdana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60D9C" w:rsidRPr="000322C3" w14:paraId="6AF2751B" w14:textId="77777777" w:rsidTr="003820FF">
        <w:tc>
          <w:tcPr>
            <w:tcW w:w="5000" w:type="pct"/>
            <w:shd w:val="clear" w:color="auto" w:fill="C0C0C0"/>
          </w:tcPr>
          <w:p w14:paraId="4F46D1FB" w14:textId="77777777" w:rsidR="00860D9C" w:rsidRPr="000322C3" w:rsidRDefault="00860D9C" w:rsidP="000B01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est_Claim_(Flexible_1"/>
            <w:bookmarkStart w:id="9" w:name="_Toc190176368"/>
            <w:bookmarkEnd w:id="8"/>
            <w:r w:rsidRPr="000322C3">
              <w:rPr>
                <w:rFonts w:ascii="Verdana" w:hAnsi="Verdana"/>
                <w:i w:val="0"/>
              </w:rPr>
              <w:t>Test Claim (Flexible Copay Incentive)</w:t>
            </w:r>
            <w:bookmarkEnd w:id="9"/>
          </w:p>
        </w:tc>
      </w:tr>
    </w:tbl>
    <w:p w14:paraId="72836E5D" w14:textId="7973A9EA" w:rsidR="003D2AF1" w:rsidRDefault="0953CC28" w:rsidP="000B01E6">
      <w:pPr>
        <w:pStyle w:val="BlockText"/>
        <w:spacing w:before="120" w:after="120"/>
        <w:rPr>
          <w:rFonts w:ascii="Verdana" w:hAnsi="Verdana"/>
        </w:rPr>
      </w:pPr>
      <w:r w:rsidRPr="42E83830">
        <w:rPr>
          <w:rFonts w:ascii="Verdana" w:hAnsi="Verdana"/>
        </w:rPr>
        <w:t xml:space="preserve">When the </w:t>
      </w:r>
      <w:r w:rsidR="3AEB746C" w:rsidRPr="42E83830">
        <w:rPr>
          <w:rFonts w:ascii="Verdana" w:hAnsi="Verdana"/>
        </w:rPr>
        <w:t>member</w:t>
      </w:r>
      <w:r w:rsidRPr="42E83830">
        <w:rPr>
          <w:rFonts w:ascii="Verdana" w:hAnsi="Verdana"/>
        </w:rPr>
        <w:t xml:space="preserve"> calls in requesting pricing or requests a refill and questions the difference in </w:t>
      </w:r>
      <w:r w:rsidR="6E804570" w:rsidRPr="42E83830">
        <w:rPr>
          <w:rFonts w:ascii="Verdana" w:hAnsi="Verdana"/>
        </w:rPr>
        <w:t>cost, run</w:t>
      </w:r>
      <w:r w:rsidRPr="42E83830">
        <w:rPr>
          <w:rFonts w:ascii="Verdana" w:hAnsi="Verdana"/>
        </w:rPr>
        <w:t xml:space="preserve"> a </w:t>
      </w:r>
      <w:hyperlink r:id="rId14" w:anchor="!/view?docid=60c20ea0-1d07-46e3-809a-b54734b80fbe" w:history="1">
        <w:r w:rsidR="298B970C" w:rsidRPr="0057023F">
          <w:rPr>
            <w:rStyle w:val="Hyperlink"/>
            <w:rFonts w:ascii="Verdana" w:hAnsi="Verdana"/>
          </w:rPr>
          <w:t>Test Claim</w:t>
        </w:r>
        <w:r w:rsidR="00820E22" w:rsidRPr="0057023F">
          <w:rPr>
            <w:rStyle w:val="Hyperlink"/>
            <w:rFonts w:ascii="Verdana" w:hAnsi="Verdana"/>
          </w:rPr>
          <w:t xml:space="preserve"> </w:t>
        </w:r>
        <w:r w:rsidR="0057023F" w:rsidRPr="0057023F">
          <w:rPr>
            <w:rStyle w:val="Hyperlink"/>
            <w:rFonts w:ascii="Verdana" w:hAnsi="Verdana"/>
          </w:rPr>
          <w:t>(</w:t>
        </w:r>
        <w:r w:rsidR="00990F0D" w:rsidRPr="0057023F">
          <w:rPr>
            <w:rStyle w:val="Hyperlink"/>
            <w:rFonts w:ascii="Verdana" w:hAnsi="Verdana"/>
          </w:rPr>
          <w:t>050041</w:t>
        </w:r>
        <w:r w:rsidR="0057023F" w:rsidRPr="0057023F">
          <w:rPr>
            <w:rStyle w:val="Hyperlink"/>
            <w:rFonts w:ascii="Verdana" w:hAnsi="Verdana"/>
          </w:rPr>
          <w:t>)</w:t>
        </w:r>
      </w:hyperlink>
      <w:r w:rsidRPr="00316D15">
        <w:rPr>
          <w:rFonts w:ascii="Verdana" w:hAnsi="Verdana"/>
          <w:color w:val="333333"/>
        </w:rPr>
        <w:t>.</w:t>
      </w:r>
      <w:r w:rsidR="51FA0F19" w:rsidRPr="00316D15">
        <w:rPr>
          <w:rFonts w:ascii="Verdana" w:hAnsi="Verdana"/>
          <w:color w:val="333333"/>
        </w:rPr>
        <w:t xml:space="preserve">  </w:t>
      </w:r>
      <w:r w:rsidRPr="00316D15">
        <w:rPr>
          <w:rFonts w:ascii="Verdana" w:hAnsi="Verdana"/>
          <w:color w:val="333333"/>
        </w:rPr>
        <w:t>T</w:t>
      </w:r>
      <w:r w:rsidRPr="42E83830">
        <w:rPr>
          <w:rFonts w:ascii="Verdana" w:hAnsi="Verdana"/>
          <w:color w:val="333333"/>
        </w:rPr>
        <w:t xml:space="preserve">he </w:t>
      </w:r>
      <w:r w:rsidRPr="42E83830">
        <w:rPr>
          <w:rFonts w:ascii="Verdana" w:hAnsi="Verdana"/>
        </w:rPr>
        <w:t>Test Claim reveal</w:t>
      </w:r>
      <w:r w:rsidR="51FA0F19" w:rsidRPr="42E83830">
        <w:rPr>
          <w:rFonts w:ascii="Verdana" w:hAnsi="Verdana"/>
        </w:rPr>
        <w:t>s</w:t>
      </w:r>
      <w:r w:rsidRPr="42E83830">
        <w:rPr>
          <w:rFonts w:ascii="Verdana" w:hAnsi="Verdana"/>
        </w:rPr>
        <w:t xml:space="preserve"> the </w:t>
      </w:r>
      <w:r w:rsidR="3FCB9810" w:rsidRPr="42E83830">
        <w:rPr>
          <w:rFonts w:ascii="Verdana" w:hAnsi="Verdana"/>
        </w:rPr>
        <w:t xml:space="preserve">Flexible Copay Incentive </w:t>
      </w:r>
      <w:r w:rsidRPr="42E83830">
        <w:rPr>
          <w:rFonts w:ascii="Verdana" w:hAnsi="Verdana"/>
        </w:rPr>
        <w:t xml:space="preserve">Settlement Code where the Flexible Copay was used. </w:t>
      </w:r>
    </w:p>
    <w:p w14:paraId="372DD2CF" w14:textId="1074C5E0" w:rsidR="00444522" w:rsidRPr="000322C3" w:rsidRDefault="00444522" w:rsidP="000B01E6">
      <w:pPr>
        <w:pStyle w:val="BlockText"/>
        <w:spacing w:before="120" w:after="120"/>
        <w:jc w:val="center"/>
        <w:rPr>
          <w:rFonts w:ascii="Verdana" w:hAnsi="Verdana"/>
          <w:b/>
          <w:color w:val="auto"/>
        </w:rPr>
      </w:pPr>
    </w:p>
    <w:p w14:paraId="73FD0DC3" w14:textId="77777777" w:rsidR="00860D9C" w:rsidRPr="003150D8" w:rsidRDefault="00860D9C" w:rsidP="00CE76E8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82B79" w:rsidRPr="00B46A95" w14:paraId="533D97AC" w14:textId="77777777" w:rsidTr="003820FF">
        <w:tc>
          <w:tcPr>
            <w:tcW w:w="5000" w:type="pct"/>
            <w:shd w:val="clear" w:color="auto" w:fill="C0C0C0"/>
          </w:tcPr>
          <w:p w14:paraId="4E05E561" w14:textId="521E697D" w:rsidR="00182B79" w:rsidRPr="003820FF" w:rsidRDefault="00182B79" w:rsidP="000B01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0" w:name="_Flexible_Copay_Incentive"/>
            <w:bookmarkStart w:id="11" w:name="_Toc190176369"/>
            <w:bookmarkEnd w:id="10"/>
            <w:r w:rsidRPr="003820FF">
              <w:rPr>
                <w:rFonts w:ascii="Verdana" w:hAnsi="Verdana"/>
                <w:i w:val="0"/>
              </w:rPr>
              <w:t xml:space="preserve">Flexible Copay Incentive </w:t>
            </w:r>
            <w:r w:rsidR="003D2AF1" w:rsidRPr="003820FF">
              <w:rPr>
                <w:rFonts w:ascii="Verdana" w:hAnsi="Verdana"/>
                <w:i w:val="0"/>
              </w:rPr>
              <w:t xml:space="preserve">on the </w:t>
            </w:r>
            <w:r w:rsidR="00E23B9A">
              <w:rPr>
                <w:rFonts w:ascii="Verdana" w:hAnsi="Verdana"/>
                <w:i w:val="0"/>
              </w:rPr>
              <w:t>Override/PA History</w:t>
            </w:r>
            <w:r w:rsidRPr="003820FF">
              <w:rPr>
                <w:rFonts w:ascii="Verdana" w:hAnsi="Verdana"/>
                <w:i w:val="0"/>
              </w:rPr>
              <w:t xml:space="preserve"> </w:t>
            </w:r>
            <w:r w:rsidR="0035568D" w:rsidRPr="003820FF">
              <w:rPr>
                <w:rFonts w:ascii="Verdana" w:hAnsi="Verdana"/>
                <w:i w:val="0"/>
              </w:rPr>
              <w:t>Screen</w:t>
            </w:r>
            <w:bookmarkEnd w:id="11"/>
          </w:p>
        </w:tc>
      </w:tr>
    </w:tbl>
    <w:p w14:paraId="442E2F57" w14:textId="2B137E7F" w:rsidR="003B6E5E" w:rsidRPr="000322C3" w:rsidRDefault="00D05A8C" w:rsidP="61AC649D">
      <w:pPr>
        <w:pStyle w:val="BlockText"/>
        <w:spacing w:before="120" w:after="120"/>
        <w:rPr>
          <w:rFonts w:ascii="Verdana" w:hAnsi="Verdana"/>
          <w:b/>
          <w:bCs/>
          <w:color w:val="auto"/>
        </w:rPr>
      </w:pPr>
      <w:r>
        <w:rPr>
          <w:rFonts w:ascii="Verdana" w:hAnsi="Verdana"/>
          <w:noProof/>
        </w:rPr>
        <w:drawing>
          <wp:inline distT="0" distB="0" distL="0" distR="0" wp14:anchorId="770B8485" wp14:editId="398E6A49">
            <wp:extent cx="304762" cy="304762"/>
            <wp:effectExtent l="0" t="0" r="635" b="635"/>
            <wp:docPr id="53659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984" name="Picture 53659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AF1" w:rsidRPr="61AC649D">
        <w:rPr>
          <w:rFonts w:ascii="Verdana" w:hAnsi="Verdana"/>
        </w:rPr>
        <w:t xml:space="preserve">When </w:t>
      </w:r>
      <w:r w:rsidR="005E3A26" w:rsidRPr="61AC649D">
        <w:rPr>
          <w:rFonts w:ascii="Verdana" w:hAnsi="Verdana"/>
        </w:rPr>
        <w:t xml:space="preserve">able to </w:t>
      </w:r>
      <w:r w:rsidR="000B01E6" w:rsidRPr="61AC649D">
        <w:rPr>
          <w:rFonts w:ascii="Verdana" w:hAnsi="Verdana"/>
        </w:rPr>
        <w:t xml:space="preserve">view </w:t>
      </w:r>
      <w:r w:rsidR="003D2AF1" w:rsidRPr="61AC649D">
        <w:rPr>
          <w:rFonts w:ascii="Verdana" w:hAnsi="Verdana"/>
        </w:rPr>
        <w:t>the Flexible Incentive Copay Settlement Code</w:t>
      </w:r>
      <w:r w:rsidR="000B01E6" w:rsidRPr="61AC649D">
        <w:rPr>
          <w:rFonts w:ascii="Verdana" w:hAnsi="Verdana"/>
        </w:rPr>
        <w:t xml:space="preserve"> (SC)</w:t>
      </w:r>
      <w:r w:rsidR="003D2AF1" w:rsidRPr="61AC649D">
        <w:rPr>
          <w:rFonts w:ascii="Verdana" w:hAnsi="Verdana"/>
        </w:rPr>
        <w:t xml:space="preserve"> in the Test Claim</w:t>
      </w:r>
      <w:r w:rsidR="005E3A26" w:rsidRPr="61AC649D">
        <w:rPr>
          <w:rFonts w:ascii="Verdana" w:hAnsi="Verdana"/>
        </w:rPr>
        <w:t>,</w:t>
      </w:r>
      <w:r w:rsidR="003D2AF1" w:rsidRPr="61AC649D">
        <w:rPr>
          <w:rFonts w:ascii="Verdana" w:hAnsi="Verdana"/>
        </w:rPr>
        <w:t xml:space="preserve"> proceed to the</w:t>
      </w:r>
      <w:r w:rsidR="4A04496C" w:rsidRPr="61AC649D">
        <w:rPr>
          <w:rFonts w:ascii="Verdana" w:hAnsi="Verdana"/>
          <w:b/>
          <w:bCs/>
        </w:rPr>
        <w:t xml:space="preserve"> Override/PA History</w:t>
      </w:r>
      <w:r w:rsidR="003D2AF1" w:rsidRPr="61AC649D">
        <w:rPr>
          <w:rFonts w:ascii="Verdana" w:hAnsi="Verdana"/>
          <w:b/>
          <w:bCs/>
        </w:rPr>
        <w:t xml:space="preserve"> </w:t>
      </w:r>
      <w:r w:rsidR="003D2AF1" w:rsidRPr="61AC649D">
        <w:rPr>
          <w:rFonts w:ascii="Verdana" w:hAnsi="Verdana"/>
        </w:rPr>
        <w:t>screen</w:t>
      </w:r>
      <w:r w:rsidR="00A77D8E">
        <w:rPr>
          <w:rFonts w:ascii="Verdana" w:hAnsi="Verdana"/>
        </w:rPr>
        <w:t>.</w:t>
      </w:r>
    </w:p>
    <w:p w14:paraId="6849B089" w14:textId="46119482" w:rsidR="003B6E5E" w:rsidRPr="000322C3" w:rsidRDefault="174BCB7B" w:rsidP="00A77D8E">
      <w:pPr>
        <w:pStyle w:val="BlockText"/>
        <w:spacing w:before="120" w:after="120"/>
        <w:jc w:val="center"/>
      </w:pPr>
      <w:r>
        <w:rPr>
          <w:noProof/>
        </w:rPr>
        <w:drawing>
          <wp:inline distT="0" distB="0" distL="0" distR="0" wp14:anchorId="5F3F62DE" wp14:editId="72B11A29">
            <wp:extent cx="8105776" cy="933450"/>
            <wp:effectExtent l="0" t="0" r="0" b="0"/>
            <wp:docPr id="83922358" name="Picture 8392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776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EF1" w14:textId="5CCE0BF4" w:rsidR="003B6E5E" w:rsidRPr="000322C3" w:rsidRDefault="003B6E5E" w:rsidP="61AC649D">
      <w:pPr>
        <w:pStyle w:val="BlockText"/>
        <w:spacing w:before="120" w:after="120"/>
        <w:rPr>
          <w:rFonts w:ascii="Verdana" w:hAnsi="Verdana"/>
        </w:rPr>
      </w:pPr>
    </w:p>
    <w:p w14:paraId="7CF08EBA" w14:textId="6536E4E5" w:rsidR="003B6E5E" w:rsidRPr="000322C3" w:rsidRDefault="000B01E6" w:rsidP="61AC649D">
      <w:pPr>
        <w:pStyle w:val="BlockText"/>
        <w:spacing w:before="120" w:after="120"/>
        <w:rPr>
          <w:rFonts w:ascii="Verdana" w:hAnsi="Verdana"/>
          <w:b/>
          <w:bCs/>
          <w:color w:val="auto"/>
        </w:rPr>
      </w:pPr>
      <w:r w:rsidRPr="61AC649D">
        <w:rPr>
          <w:rFonts w:ascii="Verdana" w:hAnsi="Verdana"/>
        </w:rPr>
        <w:t xml:space="preserve"> </w:t>
      </w:r>
      <w:r w:rsidR="00D05A8C">
        <w:rPr>
          <w:rFonts w:ascii="Verdana" w:hAnsi="Verdana"/>
          <w:noProof/>
        </w:rPr>
        <w:drawing>
          <wp:inline distT="0" distB="0" distL="0" distR="0" wp14:anchorId="6147BD81" wp14:editId="183DEF62">
            <wp:extent cx="304762" cy="304762"/>
            <wp:effectExtent l="0" t="0" r="635" b="635"/>
            <wp:docPr id="2037809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984" name="Picture 53659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CB" w:rsidRPr="61AC649D">
        <w:rPr>
          <w:rFonts w:ascii="Verdana" w:hAnsi="Verdana"/>
          <w:color w:val="auto"/>
        </w:rPr>
        <w:t xml:space="preserve">An override </w:t>
      </w:r>
      <w:r w:rsidR="005E3A26" w:rsidRPr="61AC649D">
        <w:rPr>
          <w:rFonts w:ascii="Verdana" w:hAnsi="Verdana"/>
          <w:color w:val="auto"/>
        </w:rPr>
        <w:t>is</w:t>
      </w:r>
      <w:r w:rsidR="003B6E5E" w:rsidRPr="61AC649D">
        <w:rPr>
          <w:rFonts w:ascii="Verdana" w:hAnsi="Verdana"/>
          <w:color w:val="auto"/>
        </w:rPr>
        <w:t xml:space="preserve"> systematically added to the </w:t>
      </w:r>
      <w:r w:rsidR="514D3265" w:rsidRPr="61AC649D">
        <w:rPr>
          <w:rFonts w:ascii="Verdana" w:hAnsi="Verdana"/>
          <w:b/>
          <w:bCs/>
          <w:color w:val="auto"/>
        </w:rPr>
        <w:t>Override/ PA History</w:t>
      </w:r>
      <w:r w:rsidR="003B6E5E" w:rsidRPr="61AC649D">
        <w:rPr>
          <w:rFonts w:ascii="Verdana" w:hAnsi="Verdana"/>
          <w:color w:val="auto"/>
        </w:rPr>
        <w:t xml:space="preserve"> screen and can be identified by the following fields: </w:t>
      </w:r>
      <w:r w:rsidR="004638E0" w:rsidRPr="61AC649D">
        <w:rPr>
          <w:rFonts w:ascii="Verdana" w:hAnsi="Verdana"/>
          <w:color w:val="auto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1"/>
        <w:gridCol w:w="9819"/>
      </w:tblGrid>
      <w:tr w:rsidR="00BB48CB" w:rsidRPr="000322C3" w14:paraId="06D9809D" w14:textId="77777777" w:rsidTr="002A113B">
        <w:trPr>
          <w:trHeight w:val="440"/>
        </w:trPr>
        <w:tc>
          <w:tcPr>
            <w:tcW w:w="1209" w:type="pct"/>
            <w:shd w:val="clear" w:color="auto" w:fill="E6E6E6"/>
          </w:tcPr>
          <w:p w14:paraId="33A06F54" w14:textId="77777777" w:rsidR="00BB48CB" w:rsidRPr="000322C3" w:rsidRDefault="00BB48CB" w:rsidP="00FC75A6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 w:rsidRPr="000322C3">
              <w:rPr>
                <w:rFonts w:ascii="Verdana" w:hAnsi="Verdana"/>
                <w:b/>
                <w:color w:val="auto"/>
              </w:rPr>
              <w:t>Field</w:t>
            </w:r>
          </w:p>
        </w:tc>
        <w:tc>
          <w:tcPr>
            <w:tcW w:w="3791" w:type="pct"/>
            <w:shd w:val="clear" w:color="auto" w:fill="E6E6E6"/>
          </w:tcPr>
          <w:p w14:paraId="2CDBC9CD" w14:textId="77777777" w:rsidR="00BB48CB" w:rsidRPr="000322C3" w:rsidRDefault="00BB48CB" w:rsidP="00FC75A6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 w:rsidRPr="000322C3">
              <w:rPr>
                <w:rFonts w:ascii="Verdana" w:hAnsi="Verdana"/>
                <w:b/>
                <w:color w:val="auto"/>
              </w:rPr>
              <w:t>Description/Meaning</w:t>
            </w:r>
          </w:p>
        </w:tc>
      </w:tr>
      <w:tr w:rsidR="00BB48CB" w:rsidRPr="000322C3" w14:paraId="0640C2BA" w14:textId="77777777" w:rsidTr="002A113B">
        <w:tc>
          <w:tcPr>
            <w:tcW w:w="1209" w:type="pct"/>
          </w:tcPr>
          <w:p w14:paraId="6127B0EB" w14:textId="77777777" w:rsidR="00BB48CB" w:rsidRPr="000322C3" w:rsidRDefault="00BB48CB" w:rsidP="00FC75A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>Class/Code/Description</w:t>
            </w:r>
          </w:p>
        </w:tc>
        <w:tc>
          <w:tcPr>
            <w:tcW w:w="3791" w:type="pct"/>
          </w:tcPr>
          <w:p w14:paraId="4ABB15D1" w14:textId="77777777" w:rsidR="00BB48CB" w:rsidRPr="000322C3" w:rsidRDefault="00BB48CB" w:rsidP="00FC75A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 xml:space="preserve">69–INCENT COPAY (Override </w:t>
            </w:r>
            <w:r w:rsidR="00125FFC">
              <w:rPr>
                <w:rFonts w:ascii="Verdana" w:hAnsi="Verdana"/>
                <w:color w:val="auto"/>
              </w:rPr>
              <w:t>Entered</w:t>
            </w:r>
            <w:r w:rsidR="000B01E6">
              <w:rPr>
                <w:rFonts w:ascii="Verdana" w:hAnsi="Verdana"/>
                <w:color w:val="auto"/>
              </w:rPr>
              <w:t>-</w:t>
            </w:r>
            <w:r w:rsidRPr="000322C3">
              <w:rPr>
                <w:rFonts w:ascii="Verdana" w:hAnsi="Verdana"/>
                <w:color w:val="auto"/>
              </w:rPr>
              <w:t>Benefit available)</w:t>
            </w:r>
          </w:p>
        </w:tc>
      </w:tr>
      <w:tr w:rsidR="00BB48CB" w:rsidRPr="000322C3" w14:paraId="2FF07B37" w14:textId="77777777" w:rsidTr="002A113B">
        <w:tc>
          <w:tcPr>
            <w:tcW w:w="1209" w:type="pct"/>
          </w:tcPr>
          <w:p w14:paraId="7D7B1E34" w14:textId="77777777" w:rsidR="00BB48CB" w:rsidRPr="000322C3" w:rsidRDefault="00BB48CB" w:rsidP="00FC75A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>Comments</w:t>
            </w:r>
          </w:p>
        </w:tc>
        <w:tc>
          <w:tcPr>
            <w:tcW w:w="3791" w:type="pct"/>
          </w:tcPr>
          <w:p w14:paraId="7742996A" w14:textId="77777777" w:rsidR="00BB48CB" w:rsidRPr="000322C3" w:rsidRDefault="00BB48CB" w:rsidP="00FC75A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 xml:space="preserve">Hyperlink to the campaign details revealing what copay incentive is available to the plan </w:t>
            </w:r>
            <w:r w:rsidR="003150D8" w:rsidRPr="000322C3">
              <w:rPr>
                <w:rFonts w:ascii="Verdana" w:hAnsi="Verdana"/>
                <w:color w:val="auto"/>
              </w:rPr>
              <w:t>member</w:t>
            </w:r>
            <w:r w:rsidR="006C644D" w:rsidRPr="000322C3">
              <w:rPr>
                <w:rFonts w:ascii="Verdana" w:hAnsi="Verdana"/>
                <w:color w:val="auto"/>
              </w:rPr>
              <w:t>.</w:t>
            </w:r>
          </w:p>
          <w:p w14:paraId="51046055" w14:textId="1D7FB8E3" w:rsidR="00BB48CB" w:rsidRPr="000322C3" w:rsidRDefault="08E5037E" w:rsidP="00FC75A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42E83830">
              <w:rPr>
                <w:rFonts w:ascii="Verdana" w:hAnsi="Verdana"/>
                <w:b/>
                <w:bCs/>
                <w:color w:val="auto"/>
              </w:rPr>
              <w:t>Note</w:t>
            </w:r>
            <w:r w:rsidR="21F55DF5" w:rsidRPr="42E83830">
              <w:rPr>
                <w:rFonts w:ascii="Verdana" w:hAnsi="Verdana"/>
                <w:b/>
                <w:bCs/>
                <w:color w:val="auto"/>
              </w:rPr>
              <w:t xml:space="preserve">: </w:t>
            </w:r>
            <w:r w:rsidR="21F55DF5" w:rsidRPr="00816A0A">
              <w:rPr>
                <w:rFonts w:ascii="Verdana" w:hAnsi="Verdana"/>
                <w:color w:val="auto"/>
              </w:rPr>
              <w:t>This</w:t>
            </w:r>
            <w:r w:rsidRPr="42E83830">
              <w:rPr>
                <w:rFonts w:ascii="Verdana" w:hAnsi="Verdana"/>
                <w:color w:val="auto"/>
              </w:rPr>
              <w:t xml:space="preserve"> hyperlink will be part of the Plan Benefit Override ID.</w:t>
            </w:r>
          </w:p>
        </w:tc>
      </w:tr>
    </w:tbl>
    <w:p w14:paraId="37B3BAC2" w14:textId="77777777" w:rsidR="000322C3" w:rsidRDefault="000322C3" w:rsidP="00FC75A6">
      <w:pPr>
        <w:pStyle w:val="BlockText"/>
        <w:spacing w:before="120" w:after="120"/>
        <w:rPr>
          <w:rFonts w:ascii="Verdana" w:hAnsi="Verdana"/>
          <w:b/>
          <w:color w:val="auto"/>
        </w:rPr>
      </w:pPr>
    </w:p>
    <w:p w14:paraId="05106CC9" w14:textId="170BDD2F" w:rsidR="00BB48CB" w:rsidRPr="000322C3" w:rsidRDefault="08E5037E" w:rsidP="00FC75A6">
      <w:pPr>
        <w:pStyle w:val="BlockText"/>
        <w:spacing w:before="120" w:after="120"/>
        <w:rPr>
          <w:rFonts w:ascii="Verdana" w:hAnsi="Verdana"/>
        </w:rPr>
      </w:pPr>
      <w:r w:rsidRPr="42E83830">
        <w:rPr>
          <w:rFonts w:ascii="Verdana" w:hAnsi="Verdana"/>
          <w:b/>
          <w:bCs/>
          <w:color w:val="auto"/>
        </w:rPr>
        <w:t>Note</w:t>
      </w:r>
      <w:r w:rsidR="79C6EB3A" w:rsidRPr="42E83830">
        <w:rPr>
          <w:rFonts w:ascii="Verdana" w:hAnsi="Verdana"/>
          <w:b/>
          <w:bCs/>
          <w:color w:val="auto"/>
        </w:rPr>
        <w:t>: CCRs</w:t>
      </w:r>
      <w:r w:rsidRPr="42E83830">
        <w:rPr>
          <w:rFonts w:ascii="Verdana" w:hAnsi="Verdana"/>
          <w:color w:val="auto"/>
        </w:rPr>
        <w:t xml:space="preserve"> that have access to enter </w:t>
      </w:r>
      <w:r w:rsidR="0282692D" w:rsidRPr="42E83830">
        <w:rPr>
          <w:rFonts w:ascii="Verdana" w:hAnsi="Verdana"/>
          <w:color w:val="auto"/>
        </w:rPr>
        <w:t>PBOs</w:t>
      </w:r>
      <w:r w:rsidRPr="42E83830">
        <w:rPr>
          <w:rFonts w:ascii="Verdana" w:hAnsi="Verdana"/>
          <w:color w:val="auto"/>
        </w:rPr>
        <w:t xml:space="preserve"> will </w:t>
      </w:r>
      <w:r w:rsidRPr="42E83830">
        <w:rPr>
          <w:rFonts w:ascii="Verdana" w:hAnsi="Verdana"/>
          <w:b/>
          <w:bCs/>
          <w:color w:val="auto"/>
        </w:rPr>
        <w:t>not be able to edit</w:t>
      </w:r>
      <w:r w:rsidRPr="42E83830">
        <w:rPr>
          <w:rFonts w:ascii="Verdana" w:hAnsi="Verdana"/>
          <w:color w:val="auto"/>
        </w:rPr>
        <w:t xml:space="preserve"> active Flexible Copay Incentive Prior Authorizations</w:t>
      </w:r>
      <w:r w:rsidR="51FA0F19" w:rsidRPr="42E83830">
        <w:rPr>
          <w:rFonts w:ascii="Verdana" w:hAnsi="Verdana"/>
          <w:color w:val="auto"/>
        </w:rPr>
        <w:t xml:space="preserve"> (PA)</w:t>
      </w:r>
      <w:r w:rsidRPr="42E83830">
        <w:rPr>
          <w:rFonts w:ascii="Verdana" w:hAnsi="Verdana"/>
          <w:color w:val="auto"/>
        </w:rPr>
        <w:t xml:space="preserve">. </w:t>
      </w:r>
      <w:r w:rsidR="19EBF84A" w:rsidRPr="42E83830">
        <w:rPr>
          <w:rFonts w:ascii="Verdana" w:hAnsi="Verdana"/>
          <w:color w:val="auto"/>
        </w:rPr>
        <w:t xml:space="preserve"> </w:t>
      </w:r>
      <w:r w:rsidR="51FA0F19" w:rsidRPr="42E83830">
        <w:rPr>
          <w:rFonts w:ascii="Verdana" w:hAnsi="Verdana"/>
          <w:color w:val="auto"/>
        </w:rPr>
        <w:t>C</w:t>
      </w:r>
      <w:r w:rsidR="354E6012" w:rsidRPr="42E83830">
        <w:rPr>
          <w:rFonts w:ascii="Verdana" w:hAnsi="Verdana"/>
          <w:color w:val="auto"/>
        </w:rPr>
        <w:t>olumns within this screen can be sorted to assist with locating the appropriate PA.</w:t>
      </w:r>
      <w:r w:rsidRPr="42E83830">
        <w:rPr>
          <w:rFonts w:ascii="Verdana" w:hAnsi="Verdana"/>
          <w:b/>
          <w:bCs/>
          <w:color w:val="auto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"/>
        <w:gridCol w:w="12056"/>
      </w:tblGrid>
      <w:tr w:rsidR="002A113B" w:rsidRPr="000322C3" w14:paraId="03EE7CF8" w14:textId="77777777" w:rsidTr="002A113B">
        <w:trPr>
          <w:trHeight w:val="440"/>
        </w:trPr>
        <w:tc>
          <w:tcPr>
            <w:tcW w:w="345" w:type="pct"/>
            <w:shd w:val="clear" w:color="auto" w:fill="E6E6E6"/>
          </w:tcPr>
          <w:p w14:paraId="23A5CD7F" w14:textId="3FF4F38F" w:rsidR="002A113B" w:rsidRPr="000322C3" w:rsidRDefault="002A113B" w:rsidP="00EF4FB9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Step</w:t>
            </w:r>
          </w:p>
        </w:tc>
        <w:tc>
          <w:tcPr>
            <w:tcW w:w="4655" w:type="pct"/>
            <w:shd w:val="clear" w:color="auto" w:fill="E6E6E6"/>
          </w:tcPr>
          <w:p w14:paraId="2AC93477" w14:textId="406D2DF4" w:rsidR="002A113B" w:rsidRPr="000322C3" w:rsidRDefault="002A113B" w:rsidP="00EF4FB9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Action</w:t>
            </w:r>
          </w:p>
        </w:tc>
      </w:tr>
      <w:tr w:rsidR="002A113B" w:rsidRPr="000322C3" w14:paraId="0FA1BF4A" w14:textId="77777777" w:rsidTr="002A113B">
        <w:tc>
          <w:tcPr>
            <w:tcW w:w="345" w:type="pct"/>
          </w:tcPr>
          <w:p w14:paraId="6F3CF15C" w14:textId="28372A25" w:rsidR="002A113B" w:rsidRPr="002A113B" w:rsidRDefault="002A113B" w:rsidP="002A113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bCs/>
                <w:color w:val="auto"/>
              </w:rPr>
            </w:pPr>
            <w:r>
              <w:rPr>
                <w:rFonts w:ascii="Verdana" w:hAnsi="Verdana"/>
                <w:b/>
                <w:bCs/>
                <w:color w:val="auto"/>
              </w:rPr>
              <w:t>1</w:t>
            </w:r>
          </w:p>
        </w:tc>
        <w:tc>
          <w:tcPr>
            <w:tcW w:w="4655" w:type="pct"/>
          </w:tcPr>
          <w:p w14:paraId="10044A44" w14:textId="540842E5" w:rsidR="002A113B" w:rsidRPr="000322C3" w:rsidRDefault="002A113B" w:rsidP="002A113B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51163D2" wp14:editId="272F289C">
                  <wp:extent cx="304762" cy="304762"/>
                  <wp:effectExtent l="0" t="0" r="635" b="635"/>
                  <wp:docPr id="16422744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9984" name="Picture 5365998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113B">
              <w:rPr>
                <w:rFonts w:ascii="Verdana" w:eastAsia="Verdana" w:hAnsi="Verdana" w:cs="Verdana"/>
                <w:color w:val="000000" w:themeColor="text1"/>
              </w:rPr>
              <w:t xml:space="preserve"> Select an </w:t>
            </w:r>
            <w:r w:rsidRPr="002A113B">
              <w:rPr>
                <w:rFonts w:ascii="Verdana" w:eastAsia="Verdana" w:hAnsi="Verdana" w:cs="Verdana"/>
                <w:b/>
                <w:bCs/>
                <w:color w:val="000000" w:themeColor="text1"/>
              </w:rPr>
              <w:t>Override ID</w:t>
            </w:r>
            <w:r w:rsidRPr="002A113B">
              <w:rPr>
                <w:rFonts w:ascii="Verdana" w:eastAsia="Verdana" w:hAnsi="Verdana" w:cs="Verdana"/>
                <w:color w:val="000000" w:themeColor="text1"/>
              </w:rPr>
              <w:t xml:space="preserve"> hyperlink, the Override Details for that specific override will display.</w:t>
            </w:r>
          </w:p>
        </w:tc>
      </w:tr>
      <w:tr w:rsidR="002A113B" w:rsidRPr="000322C3" w14:paraId="6929B9B9" w14:textId="77777777" w:rsidTr="002A113B">
        <w:tc>
          <w:tcPr>
            <w:tcW w:w="345" w:type="pct"/>
          </w:tcPr>
          <w:p w14:paraId="2B3FBAC0" w14:textId="00C6D4A3" w:rsidR="002A113B" w:rsidRDefault="002A113B" w:rsidP="002A113B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bCs/>
                <w:color w:val="auto"/>
              </w:rPr>
            </w:pPr>
            <w:r>
              <w:rPr>
                <w:rFonts w:ascii="Verdana" w:hAnsi="Verdana"/>
                <w:b/>
                <w:bCs/>
                <w:color w:val="auto"/>
              </w:rPr>
              <w:t>2</w:t>
            </w:r>
          </w:p>
        </w:tc>
        <w:tc>
          <w:tcPr>
            <w:tcW w:w="4655" w:type="pct"/>
          </w:tcPr>
          <w:p w14:paraId="4FC02CD4" w14:textId="77777777" w:rsidR="002A113B" w:rsidRPr="002A113B" w:rsidRDefault="002A113B" w:rsidP="002A113B">
            <w:pPr>
              <w:spacing w:before="120" w:after="120"/>
              <w:rPr>
                <w:rFonts w:ascii="Verdana" w:eastAsia="Verdana" w:hAnsi="Verdana" w:cs="Verdana"/>
                <w:color w:val="000000" w:themeColor="text1"/>
              </w:rPr>
            </w:pPr>
            <w:r w:rsidRPr="002A113B">
              <w:rPr>
                <w:rFonts w:ascii="Verdana" w:hAnsi="Verdana"/>
              </w:rPr>
              <w:t xml:space="preserve">Select the Claims Tab. </w:t>
            </w:r>
          </w:p>
          <w:p w14:paraId="1A84B0F6" w14:textId="77777777" w:rsidR="002A113B" w:rsidRPr="003A2809" w:rsidRDefault="002A113B" w:rsidP="002A113B">
            <w:pPr>
              <w:pStyle w:val="ListParagraph"/>
              <w:spacing w:before="120" w:after="120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CED791" wp14:editId="2730C5B2">
                  <wp:extent cx="304762" cy="304762"/>
                  <wp:effectExtent l="0" t="0" r="635" b="635"/>
                  <wp:docPr id="15548379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9984" name="Picture 5365998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2809">
              <w:rPr>
                <w:rFonts w:ascii="Verdana" w:hAnsi="Verdana"/>
                <w:b/>
                <w:bCs/>
              </w:rPr>
              <w:t xml:space="preserve">Result:  </w:t>
            </w:r>
            <w:r w:rsidRPr="003A2809">
              <w:rPr>
                <w:rFonts w:ascii="Verdana" w:eastAsia="Verdana" w:hAnsi="Verdana" w:cs="Verdana"/>
                <w:color w:val="000000" w:themeColor="text1"/>
              </w:rPr>
              <w:t xml:space="preserve">Displays all claims that apply to the override </w:t>
            </w:r>
            <w:r>
              <w:rPr>
                <w:rFonts w:ascii="Verdana" w:eastAsia="Verdana" w:hAnsi="Verdana" w:cs="Verdana"/>
                <w:color w:val="000000" w:themeColor="text1"/>
              </w:rPr>
              <w:t>with</w:t>
            </w:r>
            <w:r w:rsidRPr="003A2809">
              <w:rPr>
                <w:rFonts w:ascii="Verdana" w:eastAsia="Verdana" w:hAnsi="Verdana" w:cs="Verdana"/>
                <w:color w:val="000000" w:themeColor="text1"/>
              </w:rPr>
              <w:t>in the table at the bottom of the screen.</w:t>
            </w:r>
          </w:p>
          <w:p w14:paraId="46EC0FDF" w14:textId="3F1815EF" w:rsidR="002A113B" w:rsidRDefault="002A113B" w:rsidP="002A113B">
            <w:pPr>
              <w:spacing w:before="120" w:after="120"/>
              <w:ind w:left="720"/>
              <w:rPr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51D066C" wp14:editId="158C1F06">
                  <wp:extent cx="304762" cy="304762"/>
                  <wp:effectExtent l="0" t="0" r="635" b="635"/>
                  <wp:docPr id="14559553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9984" name="Picture 5365998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1AC649D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Note: </w:t>
            </w:r>
            <w:r w:rsidRPr="61AC649D">
              <w:rPr>
                <w:rFonts w:ascii="Verdana" w:eastAsia="Verdana" w:hAnsi="Verdana" w:cs="Verdana"/>
                <w:color w:val="000000" w:themeColor="text1"/>
              </w:rPr>
              <w:t xml:space="preserve"> Tab is dynamic and only displays if claims are present.</w:t>
            </w:r>
            <w:r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</w:p>
        </w:tc>
      </w:tr>
    </w:tbl>
    <w:p w14:paraId="2C554D2C" w14:textId="77777777" w:rsidR="001C4109" w:rsidRPr="001C4109" w:rsidRDefault="001C4109" w:rsidP="001C4109"/>
    <w:p w14:paraId="7C3D80AC" w14:textId="77777777" w:rsidR="000322C3" w:rsidRPr="006C644D" w:rsidRDefault="000322C3" w:rsidP="006C644D">
      <w:pPr>
        <w:pStyle w:val="BlockText"/>
        <w:jc w:val="center"/>
        <w:rPr>
          <w:rFonts w:ascii="Verdana" w:hAnsi="Verdana"/>
          <w:b/>
        </w:rPr>
      </w:pPr>
    </w:p>
    <w:p w14:paraId="5E7E32FB" w14:textId="77777777" w:rsidR="00CE76E8" w:rsidRPr="003150D8" w:rsidRDefault="00CE76E8" w:rsidP="00CE76E8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516B4" w:rsidRPr="00B46A95" w14:paraId="242333D2" w14:textId="77777777" w:rsidTr="00207951">
        <w:tc>
          <w:tcPr>
            <w:tcW w:w="5000" w:type="pct"/>
            <w:shd w:val="clear" w:color="auto" w:fill="C0C0C0"/>
          </w:tcPr>
          <w:p w14:paraId="2A76A1A0" w14:textId="77777777" w:rsidR="007516B4" w:rsidRPr="003820FF" w:rsidRDefault="007516B4" w:rsidP="000B01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_Identifying_Campaign_ID"/>
            <w:bookmarkStart w:id="13" w:name="_Toc190176370"/>
            <w:bookmarkEnd w:id="12"/>
            <w:r w:rsidRPr="003820FF">
              <w:rPr>
                <w:rFonts w:ascii="Verdana" w:hAnsi="Verdana"/>
                <w:i w:val="0"/>
              </w:rPr>
              <w:t>Identifying Campaign ID (Prescription Details Screen)</w:t>
            </w:r>
            <w:bookmarkEnd w:id="13"/>
          </w:p>
        </w:tc>
      </w:tr>
    </w:tbl>
    <w:p w14:paraId="7587B7B5" w14:textId="0B049FB3" w:rsidR="00A366B2" w:rsidRPr="00FC75A6" w:rsidRDefault="00207951" w:rsidP="00FC75A6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F2E4BE6" wp14:editId="3E22A3E0">
            <wp:extent cx="304762" cy="304762"/>
            <wp:effectExtent l="0" t="0" r="635" b="635"/>
            <wp:docPr id="2040121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984" name="Picture 53659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6B2" w:rsidRPr="61AC649D">
        <w:rPr>
          <w:rFonts w:ascii="Verdana" w:hAnsi="Verdana"/>
        </w:rPr>
        <w:t xml:space="preserve">When the member calls </w:t>
      </w:r>
      <w:r w:rsidR="00CA4659" w:rsidRPr="61AC649D">
        <w:rPr>
          <w:rFonts w:ascii="Verdana" w:hAnsi="Verdana"/>
        </w:rPr>
        <w:t>and advises</w:t>
      </w:r>
      <w:r w:rsidR="00A366B2" w:rsidRPr="61AC649D">
        <w:rPr>
          <w:rFonts w:ascii="Verdana" w:hAnsi="Verdana"/>
        </w:rPr>
        <w:t xml:space="preserve"> they have received their prescription and the cost is different than what they paid in the past, access the </w:t>
      </w:r>
      <w:r w:rsidR="00765A3C" w:rsidRPr="61AC649D">
        <w:rPr>
          <w:rFonts w:ascii="Verdana" w:hAnsi="Verdana"/>
          <w:b/>
          <w:bCs/>
        </w:rPr>
        <w:t>Compass</w:t>
      </w:r>
      <w:r w:rsidR="00A366B2" w:rsidRPr="61AC649D">
        <w:rPr>
          <w:rFonts w:ascii="Verdana" w:hAnsi="Verdana"/>
          <w:b/>
          <w:bCs/>
        </w:rPr>
        <w:t xml:space="preserve"> </w:t>
      </w:r>
      <w:r w:rsidR="00A366B2" w:rsidRPr="61AC649D">
        <w:rPr>
          <w:rFonts w:ascii="Verdana" w:hAnsi="Verdana"/>
        </w:rPr>
        <w:t xml:space="preserve"> </w:t>
      </w:r>
      <w:r w:rsidR="24BD1A30" w:rsidRPr="61AC649D">
        <w:rPr>
          <w:rFonts w:ascii="Verdana" w:hAnsi="Verdana"/>
        </w:rPr>
        <w:t xml:space="preserve">Claims Landing Page </w:t>
      </w:r>
      <w:r w:rsidR="00A366B2" w:rsidRPr="61AC649D">
        <w:rPr>
          <w:rFonts w:ascii="Verdana" w:hAnsi="Verdana"/>
        </w:rPr>
        <w:t xml:space="preserve">and click on the </w:t>
      </w:r>
      <w:r w:rsidR="00A366B2" w:rsidRPr="61AC649D">
        <w:rPr>
          <w:rFonts w:ascii="Verdana" w:hAnsi="Verdana"/>
          <w:b/>
          <w:bCs/>
        </w:rPr>
        <w:t>prescription number</w:t>
      </w:r>
      <w:r w:rsidR="00A366B2" w:rsidRPr="61AC649D">
        <w:rPr>
          <w:rFonts w:ascii="Verdana" w:hAnsi="Verdana"/>
        </w:rPr>
        <w:t xml:space="preserve">.  </w:t>
      </w:r>
      <w:r w:rsidR="00125FFC" w:rsidRPr="61AC649D">
        <w:rPr>
          <w:rFonts w:ascii="Verdana" w:hAnsi="Verdana"/>
        </w:rPr>
        <w:t>The Prescription Details</w:t>
      </w:r>
      <w:r w:rsidR="00125FFC" w:rsidRPr="61AC649D">
        <w:rPr>
          <w:rFonts w:ascii="Verdana" w:hAnsi="Verdana"/>
          <w:b/>
          <w:bCs/>
        </w:rPr>
        <w:t xml:space="preserve"> </w:t>
      </w:r>
      <w:r w:rsidR="00125FFC" w:rsidRPr="61AC649D">
        <w:rPr>
          <w:rFonts w:ascii="Verdana" w:hAnsi="Verdana"/>
        </w:rPr>
        <w:t xml:space="preserve">screen displays </w:t>
      </w:r>
      <w:r w:rsidR="00A366B2" w:rsidRPr="61AC649D">
        <w:rPr>
          <w:rFonts w:ascii="Verdana" w:hAnsi="Verdana"/>
        </w:rPr>
        <w:t xml:space="preserve">click on the hyperlink in the </w:t>
      </w:r>
      <w:r w:rsidR="00A366B2" w:rsidRPr="61AC649D">
        <w:rPr>
          <w:rFonts w:ascii="Verdana" w:hAnsi="Verdana"/>
          <w:b/>
          <w:bCs/>
        </w:rPr>
        <w:t xml:space="preserve">Campaign ID </w:t>
      </w:r>
      <w:r w:rsidR="00A366B2" w:rsidRPr="61AC649D">
        <w:rPr>
          <w:rFonts w:ascii="Verdana" w:hAnsi="Verdana"/>
        </w:rPr>
        <w:t>(bottom middle of page)</w:t>
      </w:r>
      <w:r w:rsidR="00A366B2" w:rsidRPr="61AC649D">
        <w:rPr>
          <w:rFonts w:ascii="Verdana" w:hAnsi="Verdana"/>
          <w:b/>
          <w:bCs/>
        </w:rPr>
        <w:t xml:space="preserve"> </w:t>
      </w:r>
      <w:r w:rsidR="00A366B2" w:rsidRPr="61AC649D">
        <w:rPr>
          <w:rFonts w:ascii="Verdana" w:hAnsi="Verdana"/>
        </w:rPr>
        <w:t xml:space="preserve">field. </w:t>
      </w:r>
    </w:p>
    <w:p w14:paraId="06B586E4" w14:textId="77777777" w:rsidR="00125FFC" w:rsidRPr="00FC75A6" w:rsidRDefault="00125FFC" w:rsidP="00FC75A6">
      <w:pPr>
        <w:pStyle w:val="BlockText"/>
        <w:spacing w:before="120" w:after="120"/>
        <w:rPr>
          <w:rFonts w:ascii="Verdana" w:hAnsi="Verdana"/>
        </w:rPr>
      </w:pPr>
      <w:r w:rsidRPr="00FC75A6">
        <w:rPr>
          <w:rFonts w:ascii="Verdana" w:hAnsi="Verdana"/>
          <w:b/>
          <w:bCs/>
        </w:rPr>
        <w:t>Result:</w:t>
      </w:r>
      <w:r w:rsidRPr="00FC75A6">
        <w:rPr>
          <w:rFonts w:ascii="Verdana" w:hAnsi="Verdana"/>
        </w:rPr>
        <w:t xml:space="preserve">  A pop-up message displays.</w:t>
      </w:r>
    </w:p>
    <w:p w14:paraId="7D048302" w14:textId="77777777" w:rsidR="00A366B2" w:rsidRPr="00FC75A6" w:rsidRDefault="00A366B2" w:rsidP="00FC75A6">
      <w:pPr>
        <w:spacing w:before="120" w:after="120"/>
        <w:rPr>
          <w:rFonts w:ascii="Verdana" w:hAnsi="Verdana"/>
          <w:color w:val="000000"/>
        </w:rPr>
      </w:pPr>
    </w:p>
    <w:p w14:paraId="3122EE0C" w14:textId="70C94F24" w:rsidR="00A366B2" w:rsidRPr="00FC75A6" w:rsidRDefault="00A366B2" w:rsidP="00FC75A6">
      <w:pPr>
        <w:spacing w:before="120" w:after="120"/>
        <w:jc w:val="center"/>
        <w:rPr>
          <w:rFonts w:ascii="Verdana" w:hAnsi="Verdana"/>
          <w:noProof/>
        </w:rPr>
      </w:pPr>
    </w:p>
    <w:p w14:paraId="241301D3" w14:textId="77777777" w:rsidR="00A366B2" w:rsidRPr="00FC75A6" w:rsidRDefault="00A366B2" w:rsidP="00FC75A6">
      <w:pPr>
        <w:spacing w:before="120" w:after="120"/>
        <w:rPr>
          <w:rFonts w:ascii="Verdana" w:hAnsi="Verdana"/>
          <w:b/>
          <w:color w:val="000000"/>
        </w:rPr>
      </w:pPr>
      <w:r w:rsidRPr="00FC75A6">
        <w:rPr>
          <w:rFonts w:ascii="Verdana" w:hAnsi="Verdana"/>
          <w:b/>
          <w:color w:val="000000"/>
        </w:rPr>
        <w:t>Tips:</w:t>
      </w:r>
    </w:p>
    <w:p w14:paraId="0839CFBA" w14:textId="77777777" w:rsidR="00A366B2" w:rsidRPr="00FC75A6" w:rsidRDefault="00A366B2" w:rsidP="00FC75A6">
      <w:pPr>
        <w:numPr>
          <w:ilvl w:val="0"/>
          <w:numId w:val="49"/>
        </w:numPr>
        <w:spacing w:before="120" w:after="120"/>
        <w:ind w:left="360"/>
        <w:rPr>
          <w:rFonts w:ascii="Verdana" w:hAnsi="Verdana"/>
          <w:b/>
        </w:rPr>
      </w:pPr>
      <w:r w:rsidRPr="00FC75A6">
        <w:rPr>
          <w:rFonts w:ascii="Verdana" w:hAnsi="Verdana"/>
        </w:rPr>
        <w:t xml:space="preserve">Clicking on the </w:t>
      </w:r>
      <w:r w:rsidRPr="00FC75A6">
        <w:rPr>
          <w:rFonts w:ascii="Verdana" w:hAnsi="Verdana"/>
          <w:b/>
        </w:rPr>
        <w:t>Campaign ID</w:t>
      </w:r>
      <w:r w:rsidRPr="00FC75A6">
        <w:rPr>
          <w:rFonts w:ascii="Verdana" w:hAnsi="Verdana"/>
        </w:rPr>
        <w:t xml:space="preserve"> hyperlink reveals the Campaign Details pop-up.</w:t>
      </w:r>
    </w:p>
    <w:p w14:paraId="2CE2BE68" w14:textId="77777777" w:rsidR="005E3A26" w:rsidRPr="00FC75A6" w:rsidRDefault="00A366B2" w:rsidP="00FC75A6">
      <w:pPr>
        <w:pStyle w:val="BlockText"/>
        <w:numPr>
          <w:ilvl w:val="0"/>
          <w:numId w:val="49"/>
        </w:numPr>
        <w:spacing w:before="120" w:after="120"/>
        <w:ind w:left="360"/>
        <w:rPr>
          <w:rFonts w:ascii="Verdana" w:hAnsi="Verdana"/>
        </w:rPr>
      </w:pPr>
      <w:r w:rsidRPr="00FC75A6">
        <w:rPr>
          <w:rFonts w:ascii="Verdana" w:hAnsi="Verdana"/>
        </w:rPr>
        <w:t xml:space="preserve">Click on the </w:t>
      </w:r>
      <w:r w:rsidRPr="00FC75A6">
        <w:rPr>
          <w:rFonts w:ascii="Verdana" w:hAnsi="Verdana"/>
          <w:b/>
        </w:rPr>
        <w:t>View Settlement Codes</w:t>
      </w:r>
      <w:r w:rsidRPr="00FC75A6">
        <w:rPr>
          <w:rFonts w:ascii="Verdana" w:hAnsi="Verdana"/>
        </w:rPr>
        <w:t xml:space="preserve"> button (</w:t>
      </w:r>
      <w:r w:rsidRPr="00FC75A6">
        <w:rPr>
          <w:rFonts w:ascii="Verdana" w:hAnsi="Verdana"/>
          <w:bCs/>
        </w:rPr>
        <w:t>Prescription Details Screen</w:t>
      </w:r>
      <w:r w:rsidRPr="00FC75A6">
        <w:rPr>
          <w:rFonts w:ascii="Verdana" w:hAnsi="Verdana"/>
        </w:rPr>
        <w:t>) to reveal if the Flexible Copay Incentive override was used.</w:t>
      </w:r>
      <w:bookmarkStart w:id="14" w:name="_Log_Activity"/>
      <w:bookmarkStart w:id="15" w:name="pharm"/>
      <w:bookmarkStart w:id="16" w:name="_Test_Claim_(Flexible"/>
      <w:bookmarkStart w:id="17" w:name="_Parent_Document"/>
      <w:bookmarkEnd w:id="14"/>
      <w:bookmarkEnd w:id="15"/>
      <w:bookmarkEnd w:id="16"/>
      <w:bookmarkEnd w:id="17"/>
    </w:p>
    <w:p w14:paraId="6E09C6A6" w14:textId="77777777" w:rsidR="003A2809" w:rsidRPr="003A2809" w:rsidRDefault="00253BB2" w:rsidP="003A2809">
      <w:pPr>
        <w:pStyle w:val="ListParagraph"/>
        <w:numPr>
          <w:ilvl w:val="0"/>
          <w:numId w:val="52"/>
        </w:numPr>
        <w:spacing w:before="120" w:after="120"/>
        <w:rPr>
          <w:rFonts w:ascii="Verdana" w:hAnsi="Verdana"/>
          <w:color w:val="000000"/>
        </w:rPr>
      </w:pPr>
      <w:r>
        <w:rPr>
          <w:noProof/>
          <w:color w:val="000000"/>
        </w:rPr>
        <w:drawing>
          <wp:inline distT="0" distB="0" distL="0" distR="0" wp14:anchorId="5533459E" wp14:editId="2B02AFD7">
            <wp:extent cx="304762" cy="304762"/>
            <wp:effectExtent l="0" t="0" r="635" b="635"/>
            <wp:docPr id="1670540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984" name="Picture 53659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09">
        <w:rPr>
          <w:rFonts w:ascii="Verdana" w:hAnsi="Verdana"/>
        </w:rPr>
        <w:t xml:space="preserve"> </w:t>
      </w:r>
      <w:r w:rsidR="00254C68" w:rsidRPr="003A2809">
        <w:rPr>
          <w:rFonts w:ascii="Verdana" w:hAnsi="Verdana"/>
        </w:rPr>
        <w:t>If the medication is not part of a Flexible Copay Incentive, refer to</w:t>
      </w:r>
      <w:r w:rsidR="00266134" w:rsidRPr="003A2809">
        <w:rPr>
          <w:rFonts w:ascii="Verdana" w:hAnsi="Verdana"/>
        </w:rPr>
        <w:t xml:space="preserve"> </w:t>
      </w:r>
      <w:r w:rsidR="08AE2705" w:rsidRPr="003A2809">
        <w:rPr>
          <w:rFonts w:ascii="Verdana" w:hAnsi="Verdana"/>
        </w:rPr>
        <w:t xml:space="preserve">  </w:t>
      </w:r>
      <w:hyperlink r:id="rId16" w:anchor="!/view?docid=c559e3ac-63d0-46b5-a6e4-7b4f205c60c6" w:history="1">
        <w:r w:rsidR="08AE2705" w:rsidRPr="003A2809">
          <w:rPr>
            <w:rStyle w:val="Hyperlink"/>
            <w:rFonts w:ascii="Verdana" w:eastAsia="Helvetica" w:hAnsi="Verdana"/>
          </w:rPr>
          <w:t>Compass - Determining the Reason for Contracted Medication Price Changes (067612)</w:t>
        </w:r>
      </w:hyperlink>
      <w:r w:rsidR="003A2809">
        <w:rPr>
          <w:rFonts w:ascii="Verdana" w:eastAsia="Helvetica" w:hAnsi="Verdana" w:cs="Helvetica"/>
          <w:color w:val="000000" w:themeColor="text1"/>
        </w:rPr>
        <w:t>.</w:t>
      </w:r>
    </w:p>
    <w:p w14:paraId="11AF593A" w14:textId="152F96EA" w:rsidR="005E3A26" w:rsidRPr="003A2809" w:rsidRDefault="003A2809" w:rsidP="003A2809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3A2809">
          <w:rPr>
            <w:rStyle w:val="Hyperlink"/>
            <w:rFonts w:ascii="Verdana" w:hAnsi="Verdana"/>
          </w:rPr>
          <w:t>Top of the Document</w:t>
        </w:r>
      </w:hyperlink>
      <w:r w:rsidRPr="003A2809">
        <w:rPr>
          <w:rFonts w:ascii="Verdana" w:hAnsi="Verdana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E3A26" w:rsidRPr="00B46A95" w14:paraId="5CD08527" w14:textId="77777777" w:rsidTr="00127E19">
        <w:tc>
          <w:tcPr>
            <w:tcW w:w="5000" w:type="pct"/>
            <w:shd w:val="clear" w:color="auto" w:fill="C0C0C0"/>
          </w:tcPr>
          <w:p w14:paraId="0EFEB774" w14:textId="0E1BCF50" w:rsidR="005E3A26" w:rsidRPr="003820FF" w:rsidRDefault="005E3A26" w:rsidP="00A366B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8" w:name="_Toc190176371"/>
            <w:r>
              <w:rPr>
                <w:rFonts w:ascii="Verdana" w:hAnsi="Verdana"/>
                <w:i w:val="0"/>
              </w:rPr>
              <w:t>Related Documents</w:t>
            </w:r>
            <w:bookmarkEnd w:id="18"/>
          </w:p>
        </w:tc>
      </w:tr>
    </w:tbl>
    <w:p w14:paraId="442775A8" w14:textId="34A08B3B" w:rsidR="005E3A26" w:rsidRPr="00FC75A6" w:rsidRDefault="16EB0FCF" w:rsidP="00FC75A6">
      <w:pPr>
        <w:spacing w:before="120" w:after="120"/>
        <w:rPr>
          <w:rFonts w:ascii="Verdana" w:hAnsi="Verdana"/>
        </w:rPr>
      </w:pPr>
      <w:hyperlink r:id="rId17" w:anchor="!/view?docid=c1f1028b-e42c-4b4f-a4cf-cc0b42c91606">
        <w:r w:rsidRPr="00FC75A6">
          <w:rPr>
            <w:rFonts w:ascii="Verdana" w:hAnsi="Verdana"/>
            <w:color w:val="0000FF"/>
            <w:u w:val="single"/>
          </w:rPr>
          <w:t xml:space="preserve">Customer Care Abbreviations, Definitions, and Terms </w:t>
        </w:r>
        <w:r w:rsidR="3CE8D859" w:rsidRPr="00FC75A6">
          <w:rPr>
            <w:rFonts w:ascii="Verdana" w:hAnsi="Verdana"/>
            <w:color w:val="0000FF"/>
            <w:u w:val="single"/>
          </w:rPr>
          <w:t>(017428)</w:t>
        </w:r>
      </w:hyperlink>
    </w:p>
    <w:p w14:paraId="38D98FAA" w14:textId="77777777" w:rsidR="005E3A26" w:rsidRPr="00FC75A6" w:rsidRDefault="005E3A26" w:rsidP="00FC75A6">
      <w:pPr>
        <w:spacing w:before="120" w:after="120"/>
        <w:rPr>
          <w:rFonts w:ascii="Verdana" w:hAnsi="Verdana"/>
        </w:rPr>
      </w:pPr>
      <w:r w:rsidRPr="00FC75A6">
        <w:rPr>
          <w:rFonts w:ascii="Verdana" w:hAnsi="Verdana"/>
          <w:b/>
        </w:rPr>
        <w:t>Parent Document:</w:t>
      </w:r>
      <w:r w:rsidRPr="00FC75A6">
        <w:rPr>
          <w:rFonts w:ascii="Verdana" w:hAnsi="Verdana"/>
        </w:rPr>
        <w:t xml:space="preserve">  </w:t>
      </w:r>
      <w:hyperlink r:id="rId18" w:tgtFrame="_blank" w:history="1">
        <w:r w:rsidRPr="00FC75A6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D693A3D" w14:textId="77777777" w:rsidR="00CE76E8" w:rsidRPr="003150D8" w:rsidRDefault="00CE76E8" w:rsidP="00996AD5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p w14:paraId="18EBE298" w14:textId="77777777" w:rsidR="00021442" w:rsidRDefault="00021442" w:rsidP="00CE76E8">
      <w:pPr>
        <w:jc w:val="center"/>
        <w:rPr>
          <w:rFonts w:ascii="Verdana" w:hAnsi="Verdana"/>
          <w:sz w:val="16"/>
          <w:szCs w:val="16"/>
        </w:rPr>
      </w:pPr>
    </w:p>
    <w:p w14:paraId="2C60B00B" w14:textId="77777777" w:rsidR="00CE76E8" w:rsidRPr="00C247CB" w:rsidRDefault="00996AD5" w:rsidP="00CE76E8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="00CE76E8" w:rsidRPr="00C247CB">
        <w:rPr>
          <w:rFonts w:ascii="Verdana" w:hAnsi="Verdana"/>
          <w:sz w:val="16"/>
          <w:szCs w:val="16"/>
        </w:rPr>
        <w:t xml:space="preserve">r Disclosed to Others </w:t>
      </w:r>
      <w:r w:rsidR="005E3A26" w:rsidRPr="00C247CB">
        <w:rPr>
          <w:rFonts w:ascii="Verdana" w:hAnsi="Verdana"/>
          <w:sz w:val="16"/>
          <w:szCs w:val="16"/>
        </w:rPr>
        <w:t>without</w:t>
      </w:r>
      <w:r w:rsidR="00CE76E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44E7323" w14:textId="77777777" w:rsidR="00CE76E8" w:rsidRDefault="00CE76E8" w:rsidP="00CE76E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021442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0A3B0BA" w14:textId="77777777" w:rsidR="00021442" w:rsidRDefault="00021442" w:rsidP="00CE76E8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42BF8D16" w14:textId="77777777" w:rsidR="00021442" w:rsidRDefault="00021442" w:rsidP="00CE76E8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021442" w:rsidSect="00C67F52">
      <w:footerReference w:type="even" r:id="rId19"/>
      <w:footerReference w:type="defaul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A4E79" w14:textId="77777777" w:rsidR="000606D5" w:rsidRDefault="000606D5">
      <w:r>
        <w:separator/>
      </w:r>
    </w:p>
  </w:endnote>
  <w:endnote w:type="continuationSeparator" w:id="0">
    <w:p w14:paraId="234AAC84" w14:textId="77777777" w:rsidR="000606D5" w:rsidRDefault="000606D5">
      <w:r>
        <w:continuationSeparator/>
      </w:r>
    </w:p>
  </w:endnote>
  <w:endnote w:type="continuationNotice" w:id="1">
    <w:p w14:paraId="75558B46" w14:textId="77777777" w:rsidR="000606D5" w:rsidRDefault="00060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4A26" w14:textId="77777777" w:rsidR="00832025" w:rsidRDefault="0083202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44F5F" w14:textId="77777777" w:rsidR="00832025" w:rsidRDefault="00832025" w:rsidP="00C30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D589A" w14:textId="77777777" w:rsidR="00832025" w:rsidRDefault="0083202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3A26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29CB5E8" w14:textId="77777777" w:rsidR="00832025" w:rsidRPr="00E740EE" w:rsidRDefault="006C644D" w:rsidP="00C304B2">
    <w:pPr>
      <w:pStyle w:val="Footer"/>
      <w:ind w:right="360"/>
      <w:rPr>
        <w:b/>
      </w:rPr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A63C2" w14:textId="77777777" w:rsidR="000606D5" w:rsidRDefault="000606D5">
      <w:r>
        <w:separator/>
      </w:r>
    </w:p>
  </w:footnote>
  <w:footnote w:type="continuationSeparator" w:id="0">
    <w:p w14:paraId="57940477" w14:textId="77777777" w:rsidR="000606D5" w:rsidRDefault="000606D5">
      <w:r>
        <w:continuationSeparator/>
      </w:r>
    </w:p>
  </w:footnote>
  <w:footnote w:type="continuationNotice" w:id="1">
    <w:p w14:paraId="0D177026" w14:textId="77777777" w:rsidR="000606D5" w:rsidRDefault="000606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927"/>
    <w:multiLevelType w:val="hybridMultilevel"/>
    <w:tmpl w:val="1D0A9004"/>
    <w:lvl w:ilvl="0" w:tplc="57D27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944"/>
    <w:multiLevelType w:val="hybridMultilevel"/>
    <w:tmpl w:val="E6144104"/>
    <w:lvl w:ilvl="0" w:tplc="D65C1C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6D2"/>
    <w:multiLevelType w:val="hybridMultilevel"/>
    <w:tmpl w:val="A1AA9A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A45B75"/>
    <w:multiLevelType w:val="hybridMultilevel"/>
    <w:tmpl w:val="C454616A"/>
    <w:lvl w:ilvl="0" w:tplc="D9146A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79D8"/>
    <w:multiLevelType w:val="multilevel"/>
    <w:tmpl w:val="680C1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43732"/>
    <w:multiLevelType w:val="hybridMultilevel"/>
    <w:tmpl w:val="A640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C39AF"/>
    <w:multiLevelType w:val="hybridMultilevel"/>
    <w:tmpl w:val="684ED05A"/>
    <w:lvl w:ilvl="0" w:tplc="3468C7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4BC9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C150D"/>
    <w:multiLevelType w:val="hybridMultilevel"/>
    <w:tmpl w:val="A2366D10"/>
    <w:lvl w:ilvl="0" w:tplc="6406A93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D36CD"/>
    <w:multiLevelType w:val="hybridMultilevel"/>
    <w:tmpl w:val="7EFC1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962E5"/>
    <w:multiLevelType w:val="hybridMultilevel"/>
    <w:tmpl w:val="36A85956"/>
    <w:lvl w:ilvl="0" w:tplc="57D27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E22C5"/>
    <w:multiLevelType w:val="hybridMultilevel"/>
    <w:tmpl w:val="182CD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518D2"/>
    <w:multiLevelType w:val="hybridMultilevel"/>
    <w:tmpl w:val="DFA20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01AC0"/>
    <w:multiLevelType w:val="multilevel"/>
    <w:tmpl w:val="C454616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F0494"/>
    <w:multiLevelType w:val="hybridMultilevel"/>
    <w:tmpl w:val="A1CA3464"/>
    <w:lvl w:ilvl="0" w:tplc="31F87D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AF7"/>
    <w:multiLevelType w:val="hybridMultilevel"/>
    <w:tmpl w:val="32E275FE"/>
    <w:lvl w:ilvl="0" w:tplc="34A0349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274B3"/>
    <w:multiLevelType w:val="hybridMultilevel"/>
    <w:tmpl w:val="71A65BA0"/>
    <w:lvl w:ilvl="0" w:tplc="6776A6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821B6"/>
    <w:multiLevelType w:val="hybridMultilevel"/>
    <w:tmpl w:val="E8B8A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3F02BC"/>
    <w:multiLevelType w:val="multilevel"/>
    <w:tmpl w:val="71A65B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3282A"/>
    <w:multiLevelType w:val="hybridMultilevel"/>
    <w:tmpl w:val="1EBC5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56441"/>
    <w:multiLevelType w:val="hybridMultilevel"/>
    <w:tmpl w:val="A53C6B5A"/>
    <w:lvl w:ilvl="0" w:tplc="E4D0BA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826B8"/>
    <w:multiLevelType w:val="hybridMultilevel"/>
    <w:tmpl w:val="4CF6DA0E"/>
    <w:lvl w:ilvl="0" w:tplc="589CC1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A3623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66EAC"/>
    <w:multiLevelType w:val="multilevel"/>
    <w:tmpl w:val="DFA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00E01"/>
    <w:multiLevelType w:val="hybridMultilevel"/>
    <w:tmpl w:val="D14E30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72BA2"/>
    <w:multiLevelType w:val="hybridMultilevel"/>
    <w:tmpl w:val="3648B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F28A2"/>
    <w:multiLevelType w:val="hybridMultilevel"/>
    <w:tmpl w:val="1898F836"/>
    <w:lvl w:ilvl="0" w:tplc="A4AAAC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E0883"/>
    <w:multiLevelType w:val="hybridMultilevel"/>
    <w:tmpl w:val="70503CF2"/>
    <w:lvl w:ilvl="0" w:tplc="32F447A6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D70"/>
    <w:multiLevelType w:val="hybridMultilevel"/>
    <w:tmpl w:val="4A7CF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17ED4"/>
    <w:multiLevelType w:val="hybridMultilevel"/>
    <w:tmpl w:val="F0769B90"/>
    <w:lvl w:ilvl="0" w:tplc="04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68918E9"/>
    <w:multiLevelType w:val="hybridMultilevel"/>
    <w:tmpl w:val="C4F47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4E7E83"/>
    <w:multiLevelType w:val="hybridMultilevel"/>
    <w:tmpl w:val="64160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030B74"/>
    <w:multiLevelType w:val="multilevel"/>
    <w:tmpl w:val="A2366D1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B81"/>
    <w:multiLevelType w:val="hybridMultilevel"/>
    <w:tmpl w:val="5B54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1017B"/>
    <w:multiLevelType w:val="hybridMultilevel"/>
    <w:tmpl w:val="A82C1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BD7B3C"/>
    <w:multiLevelType w:val="multilevel"/>
    <w:tmpl w:val="DFA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17869"/>
    <w:multiLevelType w:val="multilevel"/>
    <w:tmpl w:val="E614410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06A87"/>
    <w:multiLevelType w:val="hybridMultilevel"/>
    <w:tmpl w:val="F6C8EEFE"/>
    <w:lvl w:ilvl="0" w:tplc="39420C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06D1233"/>
    <w:multiLevelType w:val="hybridMultilevel"/>
    <w:tmpl w:val="D7F685B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1B47F7F"/>
    <w:multiLevelType w:val="multilevel"/>
    <w:tmpl w:val="2DEE7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F08688D"/>
    <w:multiLevelType w:val="hybridMultilevel"/>
    <w:tmpl w:val="9DE4C9A8"/>
    <w:lvl w:ilvl="0" w:tplc="32F447A6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6F1D"/>
    <w:multiLevelType w:val="hybridMultilevel"/>
    <w:tmpl w:val="FBEE9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C00155"/>
    <w:multiLevelType w:val="hybridMultilevel"/>
    <w:tmpl w:val="8140DF74"/>
    <w:lvl w:ilvl="0" w:tplc="32F447A6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4C0B78"/>
    <w:multiLevelType w:val="hybridMultilevel"/>
    <w:tmpl w:val="680C15F4"/>
    <w:lvl w:ilvl="0" w:tplc="7FD6A9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18689B"/>
    <w:multiLevelType w:val="hybridMultilevel"/>
    <w:tmpl w:val="C2B06DC6"/>
    <w:lvl w:ilvl="0" w:tplc="550E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146A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55980"/>
    <w:multiLevelType w:val="multilevel"/>
    <w:tmpl w:val="B1F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B6E66"/>
    <w:multiLevelType w:val="hybridMultilevel"/>
    <w:tmpl w:val="3C084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00B76"/>
    <w:multiLevelType w:val="hybridMultilevel"/>
    <w:tmpl w:val="7AA0E3CA"/>
    <w:lvl w:ilvl="0" w:tplc="550E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9CC1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45880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8A7AC6"/>
    <w:multiLevelType w:val="hybridMultilevel"/>
    <w:tmpl w:val="9686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091D92"/>
    <w:multiLevelType w:val="multilevel"/>
    <w:tmpl w:val="32E275F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81997"/>
    <w:multiLevelType w:val="hybridMultilevel"/>
    <w:tmpl w:val="E400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8582611">
    <w:abstractNumId w:val="19"/>
  </w:num>
  <w:num w:numId="2" w16cid:durableId="364254630">
    <w:abstractNumId w:val="11"/>
  </w:num>
  <w:num w:numId="3" w16cid:durableId="831263410">
    <w:abstractNumId w:val="38"/>
  </w:num>
  <w:num w:numId="4" w16cid:durableId="1492136699">
    <w:abstractNumId w:val="47"/>
  </w:num>
  <w:num w:numId="5" w16cid:durableId="1914776682">
    <w:abstractNumId w:val="9"/>
  </w:num>
  <w:num w:numId="6" w16cid:durableId="462426094">
    <w:abstractNumId w:val="17"/>
  </w:num>
  <w:num w:numId="7" w16cid:durableId="1291280839">
    <w:abstractNumId w:val="12"/>
  </w:num>
  <w:num w:numId="8" w16cid:durableId="1223180525">
    <w:abstractNumId w:val="46"/>
  </w:num>
  <w:num w:numId="9" w16cid:durableId="2133134232">
    <w:abstractNumId w:val="33"/>
  </w:num>
  <w:num w:numId="10" w16cid:durableId="2121755461">
    <w:abstractNumId w:val="41"/>
  </w:num>
  <w:num w:numId="11" w16cid:durableId="268706433">
    <w:abstractNumId w:val="51"/>
  </w:num>
  <w:num w:numId="12" w16cid:durableId="1424643433">
    <w:abstractNumId w:val="35"/>
  </w:num>
  <w:num w:numId="13" w16cid:durableId="2007509757">
    <w:abstractNumId w:val="23"/>
  </w:num>
  <w:num w:numId="14" w16cid:durableId="194499849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3787254">
    <w:abstractNumId w:val="29"/>
  </w:num>
  <w:num w:numId="16" w16cid:durableId="25103802">
    <w:abstractNumId w:val="21"/>
  </w:num>
  <w:num w:numId="17" w16cid:durableId="1256480061">
    <w:abstractNumId w:val="45"/>
  </w:num>
  <w:num w:numId="18" w16cid:durableId="622343243">
    <w:abstractNumId w:val="48"/>
  </w:num>
  <w:num w:numId="19" w16cid:durableId="1352685742">
    <w:abstractNumId w:val="44"/>
  </w:num>
  <w:num w:numId="20" w16cid:durableId="1665740158">
    <w:abstractNumId w:val="22"/>
  </w:num>
  <w:num w:numId="21" w16cid:durableId="134104188">
    <w:abstractNumId w:val="3"/>
  </w:num>
  <w:num w:numId="22" w16cid:durableId="106507361">
    <w:abstractNumId w:val="13"/>
  </w:num>
  <w:num w:numId="23" w16cid:durableId="1266423480">
    <w:abstractNumId w:val="43"/>
  </w:num>
  <w:num w:numId="24" w16cid:durableId="1475833325">
    <w:abstractNumId w:val="4"/>
  </w:num>
  <w:num w:numId="25" w16cid:durableId="2044092162">
    <w:abstractNumId w:val="15"/>
  </w:num>
  <w:num w:numId="26" w16cid:durableId="542601222">
    <w:abstractNumId w:val="50"/>
  </w:num>
  <w:num w:numId="27" w16cid:durableId="1671447700">
    <w:abstractNumId w:val="16"/>
  </w:num>
  <w:num w:numId="28" w16cid:durableId="757404745">
    <w:abstractNumId w:val="18"/>
  </w:num>
  <w:num w:numId="29" w16cid:durableId="2003048773">
    <w:abstractNumId w:val="8"/>
  </w:num>
  <w:num w:numId="30" w16cid:durableId="603390949">
    <w:abstractNumId w:val="7"/>
  </w:num>
  <w:num w:numId="31" w16cid:durableId="577373695">
    <w:abstractNumId w:val="32"/>
  </w:num>
  <w:num w:numId="32" w16cid:durableId="955795316">
    <w:abstractNumId w:val="1"/>
  </w:num>
  <w:num w:numId="33" w16cid:durableId="1778720379">
    <w:abstractNumId w:val="20"/>
  </w:num>
  <w:num w:numId="34" w16cid:durableId="75520693">
    <w:abstractNumId w:val="36"/>
  </w:num>
  <w:num w:numId="35" w16cid:durableId="746154663">
    <w:abstractNumId w:val="14"/>
  </w:num>
  <w:num w:numId="36" w16cid:durableId="116655938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9035669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90328716">
    <w:abstractNumId w:val="34"/>
  </w:num>
  <w:num w:numId="39" w16cid:durableId="223221148">
    <w:abstractNumId w:val="2"/>
  </w:num>
  <w:num w:numId="40" w16cid:durableId="988746098">
    <w:abstractNumId w:val="0"/>
  </w:num>
  <w:num w:numId="41" w16cid:durableId="1855728865">
    <w:abstractNumId w:val="28"/>
  </w:num>
  <w:num w:numId="42" w16cid:durableId="1922174363">
    <w:abstractNumId w:val="10"/>
  </w:num>
  <w:num w:numId="43" w16cid:durableId="702902557">
    <w:abstractNumId w:val="42"/>
  </w:num>
  <w:num w:numId="44" w16cid:durableId="742138715">
    <w:abstractNumId w:val="40"/>
  </w:num>
  <w:num w:numId="45" w16cid:durableId="421412389">
    <w:abstractNumId w:val="37"/>
  </w:num>
  <w:num w:numId="46" w16cid:durableId="1441026602">
    <w:abstractNumId w:val="39"/>
  </w:num>
  <w:num w:numId="47" w16cid:durableId="1255820115">
    <w:abstractNumId w:val="27"/>
  </w:num>
  <w:num w:numId="48" w16cid:durableId="1741361704">
    <w:abstractNumId w:val="49"/>
  </w:num>
  <w:num w:numId="49" w16cid:durableId="833448775">
    <w:abstractNumId w:val="5"/>
  </w:num>
  <w:num w:numId="50" w16cid:durableId="476410659">
    <w:abstractNumId w:val="26"/>
  </w:num>
  <w:num w:numId="51" w16cid:durableId="1535266122">
    <w:abstractNumId w:val="24"/>
  </w:num>
  <w:num w:numId="52" w16cid:durableId="1752846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374"/>
    <w:rsid w:val="00004FB2"/>
    <w:rsid w:val="00014910"/>
    <w:rsid w:val="00015A2E"/>
    <w:rsid w:val="00021442"/>
    <w:rsid w:val="00026F02"/>
    <w:rsid w:val="00031DC8"/>
    <w:rsid w:val="000322C3"/>
    <w:rsid w:val="00032585"/>
    <w:rsid w:val="00040245"/>
    <w:rsid w:val="0004166C"/>
    <w:rsid w:val="000427AD"/>
    <w:rsid w:val="00054C09"/>
    <w:rsid w:val="00056880"/>
    <w:rsid w:val="000606D5"/>
    <w:rsid w:val="000607AD"/>
    <w:rsid w:val="00060FB7"/>
    <w:rsid w:val="00061D97"/>
    <w:rsid w:val="00063F36"/>
    <w:rsid w:val="00067DC7"/>
    <w:rsid w:val="00070F22"/>
    <w:rsid w:val="00077D55"/>
    <w:rsid w:val="0008190C"/>
    <w:rsid w:val="0008665F"/>
    <w:rsid w:val="0009478A"/>
    <w:rsid w:val="000A79F8"/>
    <w:rsid w:val="000A7B68"/>
    <w:rsid w:val="000B01E6"/>
    <w:rsid w:val="000B0452"/>
    <w:rsid w:val="000B348B"/>
    <w:rsid w:val="000B3C4C"/>
    <w:rsid w:val="000C28CD"/>
    <w:rsid w:val="000C32C5"/>
    <w:rsid w:val="000C4F22"/>
    <w:rsid w:val="000E0EEC"/>
    <w:rsid w:val="000E5192"/>
    <w:rsid w:val="000F459A"/>
    <w:rsid w:val="000F7876"/>
    <w:rsid w:val="001050EC"/>
    <w:rsid w:val="00107459"/>
    <w:rsid w:val="0011109F"/>
    <w:rsid w:val="00111221"/>
    <w:rsid w:val="001226D7"/>
    <w:rsid w:val="00125FFC"/>
    <w:rsid w:val="00127E19"/>
    <w:rsid w:val="00155FFE"/>
    <w:rsid w:val="00157B39"/>
    <w:rsid w:val="00157FB6"/>
    <w:rsid w:val="0016273A"/>
    <w:rsid w:val="0016655A"/>
    <w:rsid w:val="00170CE5"/>
    <w:rsid w:val="00177D02"/>
    <w:rsid w:val="00181178"/>
    <w:rsid w:val="001824BD"/>
    <w:rsid w:val="00182B79"/>
    <w:rsid w:val="00195C11"/>
    <w:rsid w:val="00195F80"/>
    <w:rsid w:val="001A2B69"/>
    <w:rsid w:val="001A6F3E"/>
    <w:rsid w:val="001C10B1"/>
    <w:rsid w:val="001C4109"/>
    <w:rsid w:val="001E1823"/>
    <w:rsid w:val="001E44EA"/>
    <w:rsid w:val="001E7156"/>
    <w:rsid w:val="001F5474"/>
    <w:rsid w:val="002016B4"/>
    <w:rsid w:val="00207951"/>
    <w:rsid w:val="00210CDA"/>
    <w:rsid w:val="00213CEE"/>
    <w:rsid w:val="00213D10"/>
    <w:rsid w:val="00220654"/>
    <w:rsid w:val="00227652"/>
    <w:rsid w:val="0023188D"/>
    <w:rsid w:val="00234254"/>
    <w:rsid w:val="0023613B"/>
    <w:rsid w:val="00237B06"/>
    <w:rsid w:val="00241F34"/>
    <w:rsid w:val="00253BB2"/>
    <w:rsid w:val="00253F0B"/>
    <w:rsid w:val="00254C68"/>
    <w:rsid w:val="00263AD8"/>
    <w:rsid w:val="00266134"/>
    <w:rsid w:val="002803D9"/>
    <w:rsid w:val="00284E15"/>
    <w:rsid w:val="00293054"/>
    <w:rsid w:val="002A113B"/>
    <w:rsid w:val="002A5F9C"/>
    <w:rsid w:val="002A6CF1"/>
    <w:rsid w:val="002B43E4"/>
    <w:rsid w:val="002B593E"/>
    <w:rsid w:val="002B72A2"/>
    <w:rsid w:val="002B7C0F"/>
    <w:rsid w:val="002C2071"/>
    <w:rsid w:val="002D2CD0"/>
    <w:rsid w:val="002D5E39"/>
    <w:rsid w:val="002D75D3"/>
    <w:rsid w:val="002E0CCF"/>
    <w:rsid w:val="002F788B"/>
    <w:rsid w:val="003023E0"/>
    <w:rsid w:val="00303426"/>
    <w:rsid w:val="00304FAB"/>
    <w:rsid w:val="00305F69"/>
    <w:rsid w:val="003123C7"/>
    <w:rsid w:val="003139DC"/>
    <w:rsid w:val="0031489D"/>
    <w:rsid w:val="003150D8"/>
    <w:rsid w:val="00316AED"/>
    <w:rsid w:val="00316D15"/>
    <w:rsid w:val="00322E84"/>
    <w:rsid w:val="00327EAC"/>
    <w:rsid w:val="00337122"/>
    <w:rsid w:val="00342604"/>
    <w:rsid w:val="00342B40"/>
    <w:rsid w:val="0035279F"/>
    <w:rsid w:val="0035568D"/>
    <w:rsid w:val="00361F75"/>
    <w:rsid w:val="0036249A"/>
    <w:rsid w:val="0036609C"/>
    <w:rsid w:val="00374060"/>
    <w:rsid w:val="003820FF"/>
    <w:rsid w:val="00383958"/>
    <w:rsid w:val="003910E7"/>
    <w:rsid w:val="00395203"/>
    <w:rsid w:val="003A0121"/>
    <w:rsid w:val="003A12E3"/>
    <w:rsid w:val="003A2809"/>
    <w:rsid w:val="003B1CF1"/>
    <w:rsid w:val="003B6E5E"/>
    <w:rsid w:val="003C05E5"/>
    <w:rsid w:val="003D2AF1"/>
    <w:rsid w:val="003D3AAF"/>
    <w:rsid w:val="003D573F"/>
    <w:rsid w:val="003E075B"/>
    <w:rsid w:val="00401A35"/>
    <w:rsid w:val="00406CAA"/>
    <w:rsid w:val="004160D9"/>
    <w:rsid w:val="004210E0"/>
    <w:rsid w:val="00426614"/>
    <w:rsid w:val="00430F3F"/>
    <w:rsid w:val="004325F2"/>
    <w:rsid w:val="00444522"/>
    <w:rsid w:val="00445106"/>
    <w:rsid w:val="00457EAE"/>
    <w:rsid w:val="00462780"/>
    <w:rsid w:val="00462A1D"/>
    <w:rsid w:val="004638E0"/>
    <w:rsid w:val="00480834"/>
    <w:rsid w:val="0048429C"/>
    <w:rsid w:val="004C78E1"/>
    <w:rsid w:val="004D29C5"/>
    <w:rsid w:val="004D2F50"/>
    <w:rsid w:val="004D3B06"/>
    <w:rsid w:val="004D49DE"/>
    <w:rsid w:val="004E015B"/>
    <w:rsid w:val="004E43DD"/>
    <w:rsid w:val="004F024F"/>
    <w:rsid w:val="00501AF9"/>
    <w:rsid w:val="00502955"/>
    <w:rsid w:val="00512A83"/>
    <w:rsid w:val="00514395"/>
    <w:rsid w:val="00524CDD"/>
    <w:rsid w:val="00530E39"/>
    <w:rsid w:val="00537681"/>
    <w:rsid w:val="00545597"/>
    <w:rsid w:val="00551F45"/>
    <w:rsid w:val="0055385D"/>
    <w:rsid w:val="00556CC6"/>
    <w:rsid w:val="00563BA5"/>
    <w:rsid w:val="0057023F"/>
    <w:rsid w:val="00571660"/>
    <w:rsid w:val="00581DD1"/>
    <w:rsid w:val="00583078"/>
    <w:rsid w:val="005910B5"/>
    <w:rsid w:val="00595D39"/>
    <w:rsid w:val="005A6B87"/>
    <w:rsid w:val="005C15E1"/>
    <w:rsid w:val="005C2755"/>
    <w:rsid w:val="005C335B"/>
    <w:rsid w:val="005D7FC2"/>
    <w:rsid w:val="005E3A26"/>
    <w:rsid w:val="00617A76"/>
    <w:rsid w:val="0062180B"/>
    <w:rsid w:val="00636446"/>
    <w:rsid w:val="00636B18"/>
    <w:rsid w:val="00637CA1"/>
    <w:rsid w:val="00641DEB"/>
    <w:rsid w:val="00645546"/>
    <w:rsid w:val="006501DD"/>
    <w:rsid w:val="006620E7"/>
    <w:rsid w:val="00666291"/>
    <w:rsid w:val="00680E8B"/>
    <w:rsid w:val="006A4955"/>
    <w:rsid w:val="006A4D7A"/>
    <w:rsid w:val="006B180E"/>
    <w:rsid w:val="006B1FEC"/>
    <w:rsid w:val="006B27A6"/>
    <w:rsid w:val="006B2F50"/>
    <w:rsid w:val="006B6A15"/>
    <w:rsid w:val="006B7D34"/>
    <w:rsid w:val="006C2670"/>
    <w:rsid w:val="006C2850"/>
    <w:rsid w:val="006C644D"/>
    <w:rsid w:val="006F1D81"/>
    <w:rsid w:val="006F44F3"/>
    <w:rsid w:val="006F5E51"/>
    <w:rsid w:val="00701D85"/>
    <w:rsid w:val="007040DC"/>
    <w:rsid w:val="00704AF2"/>
    <w:rsid w:val="00712DAF"/>
    <w:rsid w:val="00724FE9"/>
    <w:rsid w:val="0073294A"/>
    <w:rsid w:val="00732BE9"/>
    <w:rsid w:val="007373B4"/>
    <w:rsid w:val="007516B4"/>
    <w:rsid w:val="00752801"/>
    <w:rsid w:val="00765A3C"/>
    <w:rsid w:val="007734C3"/>
    <w:rsid w:val="00773749"/>
    <w:rsid w:val="00775CBE"/>
    <w:rsid w:val="007837E3"/>
    <w:rsid w:val="00792353"/>
    <w:rsid w:val="007D1F1B"/>
    <w:rsid w:val="007E03BC"/>
    <w:rsid w:val="007E04B9"/>
    <w:rsid w:val="007E5DEE"/>
    <w:rsid w:val="007E688E"/>
    <w:rsid w:val="007F0775"/>
    <w:rsid w:val="007F77D3"/>
    <w:rsid w:val="00806B9D"/>
    <w:rsid w:val="00811E5B"/>
    <w:rsid w:val="0081557A"/>
    <w:rsid w:val="008155F2"/>
    <w:rsid w:val="00816A0A"/>
    <w:rsid w:val="008175B9"/>
    <w:rsid w:val="00820E22"/>
    <w:rsid w:val="00822C35"/>
    <w:rsid w:val="00832025"/>
    <w:rsid w:val="00843C4D"/>
    <w:rsid w:val="00850BC5"/>
    <w:rsid w:val="00855921"/>
    <w:rsid w:val="00860D9C"/>
    <w:rsid w:val="008741C0"/>
    <w:rsid w:val="008744BA"/>
    <w:rsid w:val="00877414"/>
    <w:rsid w:val="00887ED3"/>
    <w:rsid w:val="008A02F4"/>
    <w:rsid w:val="008A4931"/>
    <w:rsid w:val="008B05C6"/>
    <w:rsid w:val="008B1CF7"/>
    <w:rsid w:val="008B46E0"/>
    <w:rsid w:val="008D11A6"/>
    <w:rsid w:val="008D23F4"/>
    <w:rsid w:val="008D2D64"/>
    <w:rsid w:val="008D476B"/>
    <w:rsid w:val="008D6500"/>
    <w:rsid w:val="008E1E9E"/>
    <w:rsid w:val="008F1155"/>
    <w:rsid w:val="00902C4F"/>
    <w:rsid w:val="00902E07"/>
    <w:rsid w:val="0091580D"/>
    <w:rsid w:val="00920B0F"/>
    <w:rsid w:val="009232CA"/>
    <w:rsid w:val="00927710"/>
    <w:rsid w:val="00932435"/>
    <w:rsid w:val="0094032F"/>
    <w:rsid w:val="00941EBB"/>
    <w:rsid w:val="00953A4B"/>
    <w:rsid w:val="00977589"/>
    <w:rsid w:val="009821CB"/>
    <w:rsid w:val="00990F0D"/>
    <w:rsid w:val="009947E9"/>
    <w:rsid w:val="00996AD5"/>
    <w:rsid w:val="009A4014"/>
    <w:rsid w:val="009B0598"/>
    <w:rsid w:val="009B3B9B"/>
    <w:rsid w:val="009B76E8"/>
    <w:rsid w:val="009C1EE5"/>
    <w:rsid w:val="009C5D89"/>
    <w:rsid w:val="009E291D"/>
    <w:rsid w:val="009F01CA"/>
    <w:rsid w:val="009F1E72"/>
    <w:rsid w:val="009F407A"/>
    <w:rsid w:val="00A04040"/>
    <w:rsid w:val="00A13AD3"/>
    <w:rsid w:val="00A17E14"/>
    <w:rsid w:val="00A23974"/>
    <w:rsid w:val="00A342EA"/>
    <w:rsid w:val="00A366B2"/>
    <w:rsid w:val="00A425BE"/>
    <w:rsid w:val="00A43374"/>
    <w:rsid w:val="00A52BB8"/>
    <w:rsid w:val="00A55AA0"/>
    <w:rsid w:val="00A601F4"/>
    <w:rsid w:val="00A64ACC"/>
    <w:rsid w:val="00A7166B"/>
    <w:rsid w:val="00A727EE"/>
    <w:rsid w:val="00A76EA0"/>
    <w:rsid w:val="00A76F72"/>
    <w:rsid w:val="00A77D8E"/>
    <w:rsid w:val="00A813B1"/>
    <w:rsid w:val="00A81CB6"/>
    <w:rsid w:val="00A85045"/>
    <w:rsid w:val="00A87007"/>
    <w:rsid w:val="00A921E8"/>
    <w:rsid w:val="00A959ED"/>
    <w:rsid w:val="00A97B7D"/>
    <w:rsid w:val="00AA3037"/>
    <w:rsid w:val="00AA51A5"/>
    <w:rsid w:val="00AB13EE"/>
    <w:rsid w:val="00AB33E1"/>
    <w:rsid w:val="00AB66A1"/>
    <w:rsid w:val="00AC5933"/>
    <w:rsid w:val="00AC6024"/>
    <w:rsid w:val="00AD3070"/>
    <w:rsid w:val="00AD400A"/>
    <w:rsid w:val="00AE28A8"/>
    <w:rsid w:val="00AE6045"/>
    <w:rsid w:val="00AF2FCA"/>
    <w:rsid w:val="00AF491A"/>
    <w:rsid w:val="00B15A45"/>
    <w:rsid w:val="00B302FB"/>
    <w:rsid w:val="00B34300"/>
    <w:rsid w:val="00B357B9"/>
    <w:rsid w:val="00B371C0"/>
    <w:rsid w:val="00B41696"/>
    <w:rsid w:val="00B46A95"/>
    <w:rsid w:val="00B51CE5"/>
    <w:rsid w:val="00B5506E"/>
    <w:rsid w:val="00B65203"/>
    <w:rsid w:val="00B70EEF"/>
    <w:rsid w:val="00B7442C"/>
    <w:rsid w:val="00B85A40"/>
    <w:rsid w:val="00B954E5"/>
    <w:rsid w:val="00BB0571"/>
    <w:rsid w:val="00BB371A"/>
    <w:rsid w:val="00BB48CB"/>
    <w:rsid w:val="00BC2B3D"/>
    <w:rsid w:val="00BC6C48"/>
    <w:rsid w:val="00BD3FDC"/>
    <w:rsid w:val="00BE1EE1"/>
    <w:rsid w:val="00BE3ACF"/>
    <w:rsid w:val="00BE7E59"/>
    <w:rsid w:val="00BF02BE"/>
    <w:rsid w:val="00BF277D"/>
    <w:rsid w:val="00BF52D1"/>
    <w:rsid w:val="00C031D5"/>
    <w:rsid w:val="00C074CF"/>
    <w:rsid w:val="00C1159D"/>
    <w:rsid w:val="00C12B0E"/>
    <w:rsid w:val="00C1526D"/>
    <w:rsid w:val="00C304B2"/>
    <w:rsid w:val="00C372D6"/>
    <w:rsid w:val="00C4544A"/>
    <w:rsid w:val="00C532CE"/>
    <w:rsid w:val="00C566B3"/>
    <w:rsid w:val="00C67AFA"/>
    <w:rsid w:val="00C67F52"/>
    <w:rsid w:val="00C83FDB"/>
    <w:rsid w:val="00C95D7A"/>
    <w:rsid w:val="00C97759"/>
    <w:rsid w:val="00CA4659"/>
    <w:rsid w:val="00CA4C98"/>
    <w:rsid w:val="00CB0C1D"/>
    <w:rsid w:val="00CC18D7"/>
    <w:rsid w:val="00CD5072"/>
    <w:rsid w:val="00CE3344"/>
    <w:rsid w:val="00CE76E8"/>
    <w:rsid w:val="00CF3743"/>
    <w:rsid w:val="00CF59E2"/>
    <w:rsid w:val="00D05A8C"/>
    <w:rsid w:val="00D12E73"/>
    <w:rsid w:val="00D211B2"/>
    <w:rsid w:val="00D23ACD"/>
    <w:rsid w:val="00D25EB8"/>
    <w:rsid w:val="00D36733"/>
    <w:rsid w:val="00D471B5"/>
    <w:rsid w:val="00D528E1"/>
    <w:rsid w:val="00D571DB"/>
    <w:rsid w:val="00D625A7"/>
    <w:rsid w:val="00D71F44"/>
    <w:rsid w:val="00D7543A"/>
    <w:rsid w:val="00D9154C"/>
    <w:rsid w:val="00D94B3B"/>
    <w:rsid w:val="00DA5F94"/>
    <w:rsid w:val="00DB7A5B"/>
    <w:rsid w:val="00DD5CDD"/>
    <w:rsid w:val="00DD6CCA"/>
    <w:rsid w:val="00DE17B1"/>
    <w:rsid w:val="00DE26BD"/>
    <w:rsid w:val="00DE49C1"/>
    <w:rsid w:val="00DE6990"/>
    <w:rsid w:val="00E02871"/>
    <w:rsid w:val="00E0620B"/>
    <w:rsid w:val="00E23B9A"/>
    <w:rsid w:val="00E27E54"/>
    <w:rsid w:val="00E35596"/>
    <w:rsid w:val="00E3565B"/>
    <w:rsid w:val="00E4A269"/>
    <w:rsid w:val="00E6196F"/>
    <w:rsid w:val="00E67D64"/>
    <w:rsid w:val="00E740EE"/>
    <w:rsid w:val="00E85A4C"/>
    <w:rsid w:val="00EB0495"/>
    <w:rsid w:val="00EB57EB"/>
    <w:rsid w:val="00EC19BE"/>
    <w:rsid w:val="00EE05B4"/>
    <w:rsid w:val="00F0019F"/>
    <w:rsid w:val="00F00892"/>
    <w:rsid w:val="00F034CE"/>
    <w:rsid w:val="00F12956"/>
    <w:rsid w:val="00F13288"/>
    <w:rsid w:val="00F23C76"/>
    <w:rsid w:val="00F26C3F"/>
    <w:rsid w:val="00F31AEC"/>
    <w:rsid w:val="00F37028"/>
    <w:rsid w:val="00F419E8"/>
    <w:rsid w:val="00F41CFA"/>
    <w:rsid w:val="00F43617"/>
    <w:rsid w:val="00F43C93"/>
    <w:rsid w:val="00F44E6E"/>
    <w:rsid w:val="00F56B44"/>
    <w:rsid w:val="00F67D84"/>
    <w:rsid w:val="00F737AD"/>
    <w:rsid w:val="00F851DC"/>
    <w:rsid w:val="00F859B7"/>
    <w:rsid w:val="00FA3744"/>
    <w:rsid w:val="00FA436F"/>
    <w:rsid w:val="00FB0160"/>
    <w:rsid w:val="00FB0E4B"/>
    <w:rsid w:val="00FB7FF8"/>
    <w:rsid w:val="00FC1C44"/>
    <w:rsid w:val="00FC486E"/>
    <w:rsid w:val="00FC5607"/>
    <w:rsid w:val="00FC75A6"/>
    <w:rsid w:val="00FD5CAA"/>
    <w:rsid w:val="00FD7F77"/>
    <w:rsid w:val="00FE48CD"/>
    <w:rsid w:val="00FE4A50"/>
    <w:rsid w:val="00FE4F4E"/>
    <w:rsid w:val="00FF3632"/>
    <w:rsid w:val="00FF3BFC"/>
    <w:rsid w:val="00FF7566"/>
    <w:rsid w:val="00FF7B56"/>
    <w:rsid w:val="0282692D"/>
    <w:rsid w:val="041B29C4"/>
    <w:rsid w:val="0688CA3D"/>
    <w:rsid w:val="0771A77A"/>
    <w:rsid w:val="08AE2705"/>
    <w:rsid w:val="08E5037E"/>
    <w:rsid w:val="0953CC28"/>
    <w:rsid w:val="0AC16969"/>
    <w:rsid w:val="109E52DE"/>
    <w:rsid w:val="13BEF15D"/>
    <w:rsid w:val="163E1417"/>
    <w:rsid w:val="16EB0FCF"/>
    <w:rsid w:val="174BCB7B"/>
    <w:rsid w:val="181EDE60"/>
    <w:rsid w:val="19EBF84A"/>
    <w:rsid w:val="1BBDE0D8"/>
    <w:rsid w:val="1FE16F6E"/>
    <w:rsid w:val="21F55DF5"/>
    <w:rsid w:val="227D7615"/>
    <w:rsid w:val="238FFE07"/>
    <w:rsid w:val="24052D2F"/>
    <w:rsid w:val="24BD1A30"/>
    <w:rsid w:val="24C59084"/>
    <w:rsid w:val="256ED42E"/>
    <w:rsid w:val="26B8C8B4"/>
    <w:rsid w:val="270AA48F"/>
    <w:rsid w:val="298B970C"/>
    <w:rsid w:val="2C724BE3"/>
    <w:rsid w:val="2D4E89AD"/>
    <w:rsid w:val="2F649EF8"/>
    <w:rsid w:val="31032668"/>
    <w:rsid w:val="31177AFE"/>
    <w:rsid w:val="343BE6B5"/>
    <w:rsid w:val="34D058C4"/>
    <w:rsid w:val="354E6012"/>
    <w:rsid w:val="3AEB746C"/>
    <w:rsid w:val="3AF5CFC7"/>
    <w:rsid w:val="3CE8D859"/>
    <w:rsid w:val="3D382C17"/>
    <w:rsid w:val="3E325F8E"/>
    <w:rsid w:val="3FCB9810"/>
    <w:rsid w:val="42E83830"/>
    <w:rsid w:val="4A04496C"/>
    <w:rsid w:val="4B7DD903"/>
    <w:rsid w:val="4CAFAE41"/>
    <w:rsid w:val="514D3265"/>
    <w:rsid w:val="51FA0F19"/>
    <w:rsid w:val="58EF223B"/>
    <w:rsid w:val="5A482A77"/>
    <w:rsid w:val="61AC649D"/>
    <w:rsid w:val="681D009B"/>
    <w:rsid w:val="688940A8"/>
    <w:rsid w:val="68A63EC0"/>
    <w:rsid w:val="690A01CB"/>
    <w:rsid w:val="6BB1A303"/>
    <w:rsid w:val="6E804570"/>
    <w:rsid w:val="6F32A791"/>
    <w:rsid w:val="6FEF6C1A"/>
    <w:rsid w:val="74B83EB7"/>
    <w:rsid w:val="791A8EBB"/>
    <w:rsid w:val="79C6E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0BF1D2"/>
  <w15:chartTrackingRefBased/>
  <w15:docId w15:val="{97AC4E2E-D090-43EC-86A5-A61DDDD1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113B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2E0C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D75D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304B2"/>
  </w:style>
  <w:style w:type="paragraph" w:styleId="BlockText">
    <w:name w:val="Block Text"/>
    <w:basedOn w:val="Normal"/>
    <w:rsid w:val="00155FFE"/>
    <w:rPr>
      <w:color w:val="000000"/>
    </w:rPr>
  </w:style>
  <w:style w:type="paragraph" w:styleId="Caption">
    <w:name w:val="caption"/>
    <w:basedOn w:val="Normal"/>
    <w:next w:val="Normal"/>
    <w:qFormat/>
    <w:rsid w:val="003B6E5E"/>
    <w:rPr>
      <w:b/>
      <w:bCs/>
      <w:sz w:val="20"/>
      <w:szCs w:val="20"/>
    </w:rPr>
  </w:style>
  <w:style w:type="paragraph" w:customStyle="1" w:styleId="BulletText2">
    <w:name w:val="Bullet Text 2"/>
    <w:basedOn w:val="Normal"/>
    <w:rsid w:val="007516B4"/>
    <w:pPr>
      <w:tabs>
        <w:tab w:val="num" w:pos="720"/>
      </w:tabs>
      <w:ind w:left="720" w:hanging="360"/>
    </w:pPr>
    <w:rPr>
      <w:color w:val="000000"/>
      <w:szCs w:val="20"/>
    </w:rPr>
  </w:style>
  <w:style w:type="paragraph" w:customStyle="1" w:styleId="BulletText1">
    <w:name w:val="Bullet Text 1"/>
    <w:basedOn w:val="Normal"/>
    <w:rsid w:val="007516B4"/>
    <w:pPr>
      <w:tabs>
        <w:tab w:val="num" w:pos="720"/>
      </w:tabs>
      <w:ind w:left="720" w:hanging="360"/>
    </w:pPr>
    <w:rPr>
      <w:color w:val="000000"/>
      <w:szCs w:val="20"/>
    </w:rPr>
  </w:style>
  <w:style w:type="paragraph" w:customStyle="1" w:styleId="MapTitleContinued">
    <w:name w:val="Map Title. Continued"/>
    <w:basedOn w:val="Normal"/>
    <w:next w:val="Normal"/>
    <w:rsid w:val="00E3565B"/>
    <w:pPr>
      <w:spacing w:after="240"/>
    </w:pPr>
    <w:rPr>
      <w:rFonts w:ascii="Arial" w:hAnsi="Arial" w:cs="Arial"/>
      <w:b/>
      <w:color w:val="000000"/>
      <w:sz w:val="32"/>
      <w:szCs w:val="20"/>
    </w:rPr>
  </w:style>
  <w:style w:type="paragraph" w:styleId="TOC2">
    <w:name w:val="toc 2"/>
    <w:basedOn w:val="Normal"/>
    <w:next w:val="Normal"/>
    <w:autoRedefine/>
    <w:uiPriority w:val="39"/>
    <w:rsid w:val="003E075B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8155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F77D3"/>
    <w:rPr>
      <w:sz w:val="24"/>
      <w:szCs w:val="24"/>
    </w:rPr>
  </w:style>
  <w:style w:type="character" w:styleId="CommentReference">
    <w:name w:val="annotation reference"/>
    <w:rsid w:val="00D21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1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211B2"/>
  </w:style>
  <w:style w:type="paragraph" w:styleId="CommentSubject">
    <w:name w:val="annotation subject"/>
    <w:basedOn w:val="CommentText"/>
    <w:next w:val="CommentText"/>
    <w:link w:val="CommentSubjectChar"/>
    <w:rsid w:val="00D211B2"/>
    <w:rPr>
      <w:b/>
      <w:bCs/>
    </w:rPr>
  </w:style>
  <w:style w:type="character" w:customStyle="1" w:styleId="CommentSubjectChar">
    <w:name w:val="Comment Subject Char"/>
    <w:link w:val="CommentSubject"/>
    <w:rsid w:val="00D211B2"/>
    <w:rPr>
      <w:b/>
      <w:bCs/>
    </w:rPr>
  </w:style>
  <w:style w:type="character" w:styleId="Mention">
    <w:name w:val="Mention"/>
    <w:uiPriority w:val="99"/>
    <w:unhideWhenUsed/>
    <w:rsid w:val="00D211B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809"/>
    <w:pPr>
      <w:ind w:left="720"/>
      <w:contextualSpacing/>
    </w:pPr>
  </w:style>
  <w:style w:type="table" w:styleId="PlainTable1">
    <w:name w:val="Plain Table 1"/>
    <w:basedOn w:val="TableNormal"/>
    <w:uiPriority w:val="41"/>
    <w:rsid w:val="001C41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FF4D5-5F70-4ABF-94BC-A765C16A7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0CEBF-995E-4A98-97E4-25058DBCE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12D62-63A4-4112-92EE-E36C4B751110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4.xml><?xml version="1.0" encoding="utf-8"?>
<ds:datastoreItem xmlns:ds="http://schemas.openxmlformats.org/officeDocument/2006/customXml" ds:itemID="{10A89624-9F39-4C13-BA4C-18CF1A1C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655</Words>
  <Characters>4520</Characters>
  <Application>Microsoft Office Word</Application>
  <DocSecurity>0</DocSecurity>
  <Lines>37</Lines>
  <Paragraphs>10</Paragraphs>
  <ScaleCrop>false</ScaleCrop>
  <Company>Caremark RX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14</cp:revision>
  <cp:lastPrinted>2008-09-25T20:15:00Z</cp:lastPrinted>
  <dcterms:created xsi:type="dcterms:W3CDTF">2025-02-11T20:07:00Z</dcterms:created>
  <dcterms:modified xsi:type="dcterms:W3CDTF">2025-02-11T20:32:00Z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2022-06-08T12:01:52Z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3c5c8dc6-e4fe-4547-a7c1-109b851daa8b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