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28B18F" w14:textId="56E29AB0" w:rsidR="00055608" w:rsidRPr="00DF0BC9" w:rsidRDefault="00055608" w:rsidP="00055608">
      <w:pPr>
        <w:spacing w:line="480" w:lineRule="auto"/>
        <w:rPr>
          <w:rStyle w:val="Heading1Char"/>
          <w:rFonts w:ascii="Verdana" w:hAnsi="Verdana"/>
          <w:b/>
          <w:bCs/>
          <w:color w:val="000000" w:themeColor="text1"/>
          <w:sz w:val="36"/>
          <w:szCs w:val="36"/>
        </w:rPr>
      </w:pPr>
      <w:bookmarkStart w:id="0" w:name="_top"/>
      <w:bookmarkEnd w:id="0"/>
      <w:r w:rsidRPr="00DF0BC9">
        <w:rPr>
          <w:rStyle w:val="Heading1Char"/>
          <w:rFonts w:ascii="Verdana" w:hAnsi="Verdana"/>
          <w:b/>
          <w:bCs/>
          <w:color w:val="000000" w:themeColor="text1"/>
          <w:sz w:val="36"/>
          <w:szCs w:val="36"/>
        </w:rPr>
        <w:t>Announcement – Formulary Changes for GLP-1</w:t>
      </w:r>
      <w:r w:rsidR="007B440E" w:rsidRPr="00DF0BC9">
        <w:rPr>
          <w:rStyle w:val="Heading1Char"/>
          <w:rFonts w:ascii="Verdana" w:hAnsi="Verdana"/>
          <w:b/>
          <w:bCs/>
          <w:color w:val="000000" w:themeColor="text1"/>
          <w:sz w:val="36"/>
          <w:szCs w:val="36"/>
        </w:rPr>
        <w:t xml:space="preserve"> Weight Loss Medications</w:t>
      </w:r>
      <w:r w:rsidRPr="00DF0BC9">
        <w:rPr>
          <w:rStyle w:val="Heading1Char"/>
          <w:rFonts w:ascii="Verdana" w:hAnsi="Verdana"/>
          <w:b/>
          <w:bCs/>
          <w:color w:val="000000" w:themeColor="text1"/>
          <w:sz w:val="36"/>
          <w:szCs w:val="36"/>
        </w:rPr>
        <w:t xml:space="preserve"> and Diabetic Supply</w:t>
      </w:r>
      <w:r w:rsidRPr="00DF0BC9">
        <w:rPr>
          <w:rFonts w:ascii="Verdana" w:hAnsi="Verdana"/>
          <w:b/>
          <w:bCs/>
          <w:sz w:val="44"/>
          <w:szCs w:val="44"/>
        </w:rPr>
        <w:t xml:space="preserve"> </w:t>
      </w:r>
      <w:r w:rsidRPr="00DF0BC9">
        <w:rPr>
          <w:rStyle w:val="Heading1Char"/>
          <w:rFonts w:ascii="Verdana" w:hAnsi="Verdana"/>
          <w:b/>
          <w:bCs/>
          <w:color w:val="000000" w:themeColor="text1"/>
          <w:sz w:val="36"/>
          <w:szCs w:val="36"/>
        </w:rPr>
        <w:t>Coverage</w:t>
      </w:r>
    </w:p>
    <w:p w14:paraId="482A9DE0" w14:textId="77777777" w:rsidR="00850C80" w:rsidRPr="00DF0BC9" w:rsidRDefault="00850C80" w:rsidP="00850C80">
      <w:pPr>
        <w:rPr>
          <w:rFonts w:ascii="Verdana" w:hAnsi="Verdana"/>
          <w:b/>
          <w:bCs/>
          <w:sz w:val="24"/>
          <w:szCs w:val="24"/>
        </w:rPr>
      </w:pPr>
    </w:p>
    <w:p w14:paraId="3F8B1018" w14:textId="5A7C6E5F" w:rsidR="00055608" w:rsidRPr="00DF0BC9" w:rsidRDefault="00055608" w:rsidP="00B05B49">
      <w:pPr>
        <w:spacing w:before="120" w:after="120" w:line="480" w:lineRule="auto"/>
        <w:rPr>
          <w:rFonts w:ascii="Verdana" w:hAnsi="Verdana"/>
          <w:b/>
          <w:bCs/>
          <w:sz w:val="24"/>
          <w:szCs w:val="24"/>
        </w:rPr>
      </w:pPr>
      <w:r w:rsidRPr="00DF0BC9">
        <w:rPr>
          <w:rFonts w:ascii="Verdana" w:hAnsi="Verdana"/>
          <w:b/>
          <w:bCs/>
          <w:sz w:val="24"/>
          <w:szCs w:val="24"/>
        </w:rPr>
        <w:t xml:space="preserve">Impacted Audience: </w:t>
      </w:r>
      <w:r w:rsidR="00B425EC" w:rsidRPr="00DF0BC9">
        <w:rPr>
          <w:rFonts w:ascii="Verdana" w:hAnsi="Verdana"/>
          <w:sz w:val="24"/>
          <w:szCs w:val="24"/>
        </w:rPr>
        <w:t>All LOB</w:t>
      </w:r>
    </w:p>
    <w:p w14:paraId="52C31F8E" w14:textId="14AAC99E" w:rsidR="00055608" w:rsidRPr="00DF0BC9" w:rsidRDefault="00055608" w:rsidP="00B05B49">
      <w:pPr>
        <w:spacing w:before="120" w:after="120" w:line="480" w:lineRule="auto"/>
        <w:rPr>
          <w:rFonts w:ascii="Verdana" w:hAnsi="Verdana"/>
          <w:sz w:val="24"/>
          <w:szCs w:val="24"/>
        </w:rPr>
      </w:pPr>
      <w:r w:rsidRPr="00DF0BC9">
        <w:rPr>
          <w:rFonts w:ascii="Verdana" w:hAnsi="Verdana"/>
          <w:b/>
          <w:bCs/>
          <w:sz w:val="24"/>
          <w:szCs w:val="24"/>
        </w:rPr>
        <w:t xml:space="preserve">Effective Date: </w:t>
      </w:r>
      <w:r w:rsidRPr="00DF0BC9">
        <w:rPr>
          <w:rFonts w:ascii="Verdana" w:hAnsi="Verdana"/>
          <w:sz w:val="24"/>
          <w:szCs w:val="24"/>
        </w:rPr>
        <w:t>July 1, 2025</w:t>
      </w:r>
    </w:p>
    <w:p w14:paraId="1A2B4CC7" w14:textId="77777777" w:rsidR="008E6ED0" w:rsidRPr="00DF0BC9" w:rsidRDefault="008E6ED0" w:rsidP="00B05B49">
      <w:pPr>
        <w:spacing w:before="120" w:after="120"/>
        <w:rPr>
          <w:rFonts w:ascii="Verdana" w:hAnsi="Verdana"/>
          <w:b/>
          <w:bCs/>
          <w:sz w:val="24"/>
          <w:szCs w:val="24"/>
        </w:rPr>
      </w:pPr>
      <w:r w:rsidRPr="00DF0BC9">
        <w:rPr>
          <w:rFonts w:ascii="Verdana" w:hAnsi="Verdana"/>
          <w:b/>
          <w:bCs/>
          <w:sz w:val="24"/>
          <w:szCs w:val="24"/>
        </w:rPr>
        <w:t xml:space="preserve">What’s Happening: </w:t>
      </w:r>
      <w:r w:rsidRPr="00DF0BC9">
        <w:rPr>
          <w:rFonts w:ascii="Verdana" w:hAnsi="Verdana"/>
          <w:sz w:val="24"/>
          <w:szCs w:val="24"/>
        </w:rPr>
        <w:t>Formulary Changes will impact the following:</w:t>
      </w:r>
    </w:p>
    <w:p w14:paraId="7E46E4C1" w14:textId="77777777" w:rsidR="008E6ED0" w:rsidRPr="00DF0BC9" w:rsidRDefault="008E6ED0" w:rsidP="00B05B49">
      <w:pPr>
        <w:spacing w:before="120" w:after="120"/>
        <w:rPr>
          <w:rFonts w:ascii="Verdana" w:hAnsi="Verdana"/>
          <w:b/>
          <w:bCs/>
          <w:sz w:val="24"/>
          <w:szCs w:val="24"/>
        </w:rPr>
      </w:pPr>
    </w:p>
    <w:p w14:paraId="69D9B8AC" w14:textId="77777777" w:rsidR="008E6ED0" w:rsidRPr="00DF0BC9" w:rsidRDefault="008E6ED0" w:rsidP="00B05B49">
      <w:pPr>
        <w:spacing w:before="120" w:after="120"/>
        <w:rPr>
          <w:rFonts w:ascii="Verdana" w:hAnsi="Verdana"/>
          <w:sz w:val="24"/>
          <w:szCs w:val="24"/>
        </w:rPr>
      </w:pPr>
      <w:r w:rsidRPr="00DF0BC9">
        <w:rPr>
          <w:rFonts w:ascii="Verdana" w:hAnsi="Verdana"/>
          <w:b/>
          <w:bCs/>
          <w:sz w:val="24"/>
          <w:szCs w:val="24"/>
        </w:rPr>
        <w:t>Zepbound Removal:</w:t>
      </w:r>
    </w:p>
    <w:p w14:paraId="608E8F8D" w14:textId="35FFBF44" w:rsidR="008E6ED0" w:rsidRPr="00DF0BC9" w:rsidRDefault="00660DCF" w:rsidP="00DF0BC9">
      <w:pPr>
        <w:pStyle w:val="ListParagraph"/>
        <w:numPr>
          <w:ilvl w:val="0"/>
          <w:numId w:val="10"/>
        </w:numPr>
        <w:spacing w:line="240" w:lineRule="auto"/>
        <w:rPr>
          <w:rFonts w:ascii="Verdana" w:eastAsia="Times New Roman" w:hAnsi="Verdana"/>
          <w:sz w:val="24"/>
          <w:szCs w:val="24"/>
        </w:rPr>
      </w:pPr>
      <w:r w:rsidRPr="00DF0BC9">
        <w:rPr>
          <w:rFonts w:ascii="Verdana" w:hAnsi="Verdana"/>
          <w:b/>
          <w:bCs/>
          <w:sz w:val="24"/>
          <w:szCs w:val="24"/>
        </w:rPr>
        <w:t xml:space="preserve"> </w:t>
      </w:r>
      <w:r w:rsidR="008E6ED0" w:rsidRPr="00DF0BC9">
        <w:rPr>
          <w:rFonts w:ascii="Verdana" w:hAnsi="Verdana"/>
          <w:b/>
          <w:bCs/>
          <w:sz w:val="24"/>
          <w:szCs w:val="24"/>
        </w:rPr>
        <w:t>Effective Date:</w:t>
      </w:r>
      <w:r w:rsidR="008E6ED0" w:rsidRPr="00DF0BC9">
        <w:rPr>
          <w:rFonts w:ascii="Verdana" w:hAnsi="Verdana"/>
          <w:sz w:val="24"/>
          <w:szCs w:val="24"/>
        </w:rPr>
        <w:t xml:space="preserve"> </w:t>
      </w:r>
      <w:r w:rsidR="00244C3A" w:rsidRPr="00DF0BC9">
        <w:rPr>
          <w:rFonts w:ascii="Verdana" w:eastAsia="Times New Roman" w:hAnsi="Verdana"/>
          <w:sz w:val="24"/>
          <w:szCs w:val="24"/>
        </w:rPr>
        <w:t>July 1, 2025, Zepbound will be removed from the select formularies (Caremark Standard/Choice formularies), but not from custom formularies.</w:t>
      </w:r>
    </w:p>
    <w:p w14:paraId="5825F1BB" w14:textId="0AEFB809" w:rsidR="008E6ED0" w:rsidRPr="00DF0BC9" w:rsidRDefault="008E6ED0" w:rsidP="00B05B49">
      <w:pPr>
        <w:pStyle w:val="ListParagraph"/>
        <w:numPr>
          <w:ilvl w:val="0"/>
          <w:numId w:val="7"/>
        </w:numPr>
        <w:spacing w:before="120" w:after="120"/>
        <w:rPr>
          <w:rFonts w:ascii="Verdana" w:hAnsi="Verdana"/>
          <w:sz w:val="24"/>
          <w:szCs w:val="24"/>
        </w:rPr>
      </w:pPr>
      <w:r w:rsidRPr="00DF0BC9">
        <w:rPr>
          <w:rFonts w:ascii="Verdana" w:hAnsi="Verdana"/>
          <w:b/>
          <w:bCs/>
          <w:sz w:val="24"/>
          <w:szCs w:val="24"/>
        </w:rPr>
        <w:t>Prior Authorization Termination:</w:t>
      </w:r>
      <w:r w:rsidRPr="00DF0BC9">
        <w:rPr>
          <w:rFonts w:ascii="Verdana" w:hAnsi="Verdana"/>
          <w:sz w:val="24"/>
          <w:szCs w:val="24"/>
        </w:rPr>
        <w:t xml:space="preserve"> </w:t>
      </w:r>
      <w:r w:rsidR="00861B78" w:rsidRPr="00DF0BC9">
        <w:rPr>
          <w:rFonts w:ascii="Verdana" w:hAnsi="Verdana"/>
          <w:sz w:val="24"/>
          <w:szCs w:val="24"/>
        </w:rPr>
        <w:t>June 30, 2025, a</w:t>
      </w:r>
      <w:r w:rsidRPr="00DF0BC9">
        <w:rPr>
          <w:rFonts w:ascii="Verdana" w:hAnsi="Verdana"/>
          <w:sz w:val="24"/>
          <w:szCs w:val="24"/>
        </w:rPr>
        <w:t>ny existing prior authorization (PA) or override for Zepbound will be terminated.</w:t>
      </w:r>
    </w:p>
    <w:p w14:paraId="42B78726" w14:textId="77777777" w:rsidR="008E6ED0" w:rsidRPr="00DF0BC9" w:rsidRDefault="008E6ED0" w:rsidP="00B05B49">
      <w:pPr>
        <w:spacing w:before="120" w:after="120"/>
        <w:ind w:left="1440"/>
        <w:rPr>
          <w:rFonts w:ascii="Verdana" w:hAnsi="Verdana"/>
          <w:sz w:val="24"/>
          <w:szCs w:val="24"/>
        </w:rPr>
      </w:pPr>
    </w:p>
    <w:p w14:paraId="15C88C15" w14:textId="77777777" w:rsidR="008E6ED0" w:rsidRPr="00DF0BC9" w:rsidRDefault="008E6ED0" w:rsidP="00B05B49">
      <w:pPr>
        <w:spacing w:before="120" w:after="120"/>
        <w:rPr>
          <w:rFonts w:ascii="Verdana" w:hAnsi="Verdana"/>
          <w:sz w:val="24"/>
          <w:szCs w:val="24"/>
        </w:rPr>
      </w:pPr>
      <w:r w:rsidRPr="00DF0BC9">
        <w:rPr>
          <w:rFonts w:ascii="Verdana" w:hAnsi="Verdana"/>
          <w:b/>
          <w:bCs/>
          <w:sz w:val="24"/>
          <w:szCs w:val="24"/>
        </w:rPr>
        <w:t>Wegovy Addition:</w:t>
      </w:r>
    </w:p>
    <w:p w14:paraId="49B2BBD9" w14:textId="48C68C87" w:rsidR="008E6ED0" w:rsidRPr="00DF0BC9" w:rsidRDefault="00660DCF" w:rsidP="00B05B49">
      <w:pPr>
        <w:pStyle w:val="ListParagraph"/>
        <w:numPr>
          <w:ilvl w:val="0"/>
          <w:numId w:val="8"/>
        </w:numPr>
        <w:spacing w:before="120" w:after="120"/>
        <w:rPr>
          <w:rFonts w:ascii="Verdana" w:hAnsi="Verdana"/>
          <w:sz w:val="24"/>
          <w:szCs w:val="24"/>
        </w:rPr>
      </w:pPr>
      <w:r w:rsidRPr="00DF0BC9">
        <w:rPr>
          <w:rFonts w:ascii="Verdana" w:hAnsi="Verdana"/>
          <w:b/>
          <w:bCs/>
          <w:sz w:val="24"/>
          <w:szCs w:val="24"/>
        </w:rPr>
        <w:t xml:space="preserve"> </w:t>
      </w:r>
      <w:r w:rsidR="008E6ED0" w:rsidRPr="00DF0BC9">
        <w:rPr>
          <w:rFonts w:ascii="Verdana" w:hAnsi="Verdana"/>
          <w:b/>
          <w:bCs/>
          <w:sz w:val="24"/>
          <w:szCs w:val="24"/>
        </w:rPr>
        <w:t>Replacement:</w:t>
      </w:r>
      <w:r w:rsidR="008E6ED0" w:rsidRPr="00DF0BC9">
        <w:rPr>
          <w:rFonts w:ascii="Verdana" w:hAnsi="Verdana"/>
          <w:sz w:val="24"/>
          <w:szCs w:val="24"/>
        </w:rPr>
        <w:t xml:space="preserve"> </w:t>
      </w:r>
      <w:r w:rsidR="00C840F6" w:rsidRPr="00DF0BC9">
        <w:rPr>
          <w:rFonts w:ascii="Verdana" w:hAnsi="Verdana"/>
          <w:sz w:val="24"/>
          <w:szCs w:val="24"/>
        </w:rPr>
        <w:t xml:space="preserve">July 1, 2025, </w:t>
      </w:r>
      <w:r w:rsidR="008E6ED0" w:rsidRPr="00DF0BC9">
        <w:rPr>
          <w:rFonts w:ascii="Verdana" w:hAnsi="Verdana"/>
          <w:sz w:val="24"/>
          <w:szCs w:val="24"/>
        </w:rPr>
        <w:t xml:space="preserve">Wegovy will replace Zepbound on </w:t>
      </w:r>
      <w:r w:rsidR="005C2489" w:rsidRPr="00DF0BC9">
        <w:rPr>
          <w:rFonts w:ascii="Verdana" w:hAnsi="Verdana"/>
          <w:sz w:val="24"/>
          <w:szCs w:val="24"/>
        </w:rPr>
        <w:t>the select formularies (Caremark Standard/Choice formularies), but not from custom formularies.</w:t>
      </w:r>
    </w:p>
    <w:p w14:paraId="68DD52D7" w14:textId="6D92FF81" w:rsidR="008E6ED0" w:rsidRPr="00DF0BC9" w:rsidRDefault="008E6ED0" w:rsidP="00B05B49">
      <w:pPr>
        <w:pStyle w:val="ListParagraph"/>
        <w:numPr>
          <w:ilvl w:val="0"/>
          <w:numId w:val="8"/>
        </w:numPr>
        <w:spacing w:before="120" w:after="120"/>
        <w:rPr>
          <w:rFonts w:ascii="Verdana" w:hAnsi="Verdana"/>
          <w:sz w:val="24"/>
          <w:szCs w:val="24"/>
        </w:rPr>
      </w:pPr>
      <w:r w:rsidRPr="00DF0BC9">
        <w:rPr>
          <w:rFonts w:ascii="Verdana" w:hAnsi="Verdana"/>
          <w:b/>
          <w:bCs/>
          <w:sz w:val="24"/>
          <w:szCs w:val="24"/>
        </w:rPr>
        <w:t>New Prior Authorization:</w:t>
      </w:r>
      <w:r w:rsidRPr="00DF0BC9">
        <w:rPr>
          <w:rFonts w:ascii="Verdana" w:hAnsi="Verdana"/>
          <w:sz w:val="24"/>
          <w:szCs w:val="24"/>
        </w:rPr>
        <w:t xml:space="preserve"> A new prior authorization for Wegovy will be proactively added for members currently using Zepbound</w:t>
      </w:r>
      <w:r w:rsidR="005146E4" w:rsidRPr="00DF0BC9">
        <w:rPr>
          <w:rFonts w:ascii="Verdana" w:hAnsi="Verdana"/>
          <w:sz w:val="24"/>
          <w:szCs w:val="24"/>
        </w:rPr>
        <w:t xml:space="preserve"> on </w:t>
      </w:r>
      <w:r w:rsidR="008D0B4D" w:rsidRPr="00DF0BC9">
        <w:rPr>
          <w:rFonts w:ascii="Verdana" w:hAnsi="Verdana"/>
          <w:sz w:val="24"/>
          <w:szCs w:val="24"/>
        </w:rPr>
        <w:t>06/0</w:t>
      </w:r>
      <w:r w:rsidR="008F6786" w:rsidRPr="00DF0BC9">
        <w:rPr>
          <w:rFonts w:ascii="Verdana" w:hAnsi="Verdana"/>
          <w:sz w:val="24"/>
          <w:szCs w:val="24"/>
        </w:rPr>
        <w:t>2/2025</w:t>
      </w:r>
      <w:r w:rsidR="00C3341D" w:rsidRPr="00DF0BC9">
        <w:rPr>
          <w:rFonts w:ascii="Verdana" w:hAnsi="Verdana"/>
          <w:sz w:val="24"/>
          <w:szCs w:val="24"/>
        </w:rPr>
        <w:t>, it will be backdated to 06/01/2025.</w:t>
      </w:r>
    </w:p>
    <w:p w14:paraId="0DBFE83C" w14:textId="13BA8006" w:rsidR="008E6ED0" w:rsidRPr="00DF0BC9" w:rsidRDefault="008E6ED0" w:rsidP="00B05B49">
      <w:pPr>
        <w:pStyle w:val="ListParagraph"/>
        <w:numPr>
          <w:ilvl w:val="0"/>
          <w:numId w:val="8"/>
        </w:numPr>
        <w:spacing w:before="120" w:after="120"/>
        <w:rPr>
          <w:rFonts w:ascii="Verdana" w:hAnsi="Verdana"/>
          <w:sz w:val="24"/>
          <w:szCs w:val="24"/>
        </w:rPr>
      </w:pPr>
      <w:r w:rsidRPr="00DF0BC9">
        <w:rPr>
          <w:rFonts w:ascii="Verdana" w:hAnsi="Verdana"/>
          <w:b/>
          <w:bCs/>
          <w:sz w:val="24"/>
          <w:szCs w:val="24"/>
        </w:rPr>
        <w:t>Validity:</w:t>
      </w:r>
      <w:r w:rsidRPr="00DF0BC9">
        <w:rPr>
          <w:rFonts w:ascii="Verdana" w:hAnsi="Verdana"/>
          <w:sz w:val="24"/>
          <w:szCs w:val="24"/>
        </w:rPr>
        <w:t xml:space="preserve"> The Wegovy prior authorization will be valid through the expiration date of the original Zepbound Prior Authorization.</w:t>
      </w:r>
    </w:p>
    <w:p w14:paraId="3C4979FD" w14:textId="77777777" w:rsidR="008E6ED0" w:rsidRPr="00DF0BC9" w:rsidRDefault="008E6ED0" w:rsidP="00B05B49">
      <w:pPr>
        <w:spacing w:before="120" w:after="120"/>
        <w:rPr>
          <w:rFonts w:ascii="Verdana" w:hAnsi="Verdana"/>
          <w:sz w:val="24"/>
          <w:szCs w:val="24"/>
        </w:rPr>
      </w:pPr>
    </w:p>
    <w:p w14:paraId="6C2DDA17" w14:textId="7AE67EAD" w:rsidR="008E6ED0" w:rsidRPr="00DF0BC9" w:rsidRDefault="00FE144C" w:rsidP="00B05B49">
      <w:pPr>
        <w:spacing w:before="120" w:after="120"/>
        <w:rPr>
          <w:rFonts w:ascii="Verdana" w:hAnsi="Verdana"/>
          <w:sz w:val="24"/>
          <w:szCs w:val="24"/>
        </w:rPr>
      </w:pPr>
      <w:r w:rsidRPr="00DF0BC9">
        <w:rPr>
          <w:rFonts w:ascii="Verdana" w:hAnsi="Verdana"/>
          <w:b/>
          <w:bCs/>
          <w:sz w:val="24"/>
          <w:szCs w:val="24"/>
        </w:rPr>
        <w:t xml:space="preserve">Example: </w:t>
      </w:r>
      <w:r w:rsidRPr="00DF0BC9">
        <w:rPr>
          <w:rFonts w:ascii="Verdana" w:hAnsi="Verdana"/>
          <w:sz w:val="24"/>
          <w:szCs w:val="24"/>
        </w:rPr>
        <w:t>Member has Zepbound Prior Authorization valid 03/01/2025-03/01/2026, it will be termed on 06/30/2025. New Wegovy Prior Authorization will automatically be entered for 0</w:t>
      </w:r>
      <w:r w:rsidR="008F6786" w:rsidRPr="00DF0BC9">
        <w:rPr>
          <w:rFonts w:ascii="Verdana" w:hAnsi="Verdana"/>
          <w:sz w:val="24"/>
          <w:szCs w:val="24"/>
        </w:rPr>
        <w:t>6</w:t>
      </w:r>
      <w:r w:rsidRPr="00DF0BC9">
        <w:rPr>
          <w:rFonts w:ascii="Verdana" w:hAnsi="Verdana"/>
          <w:sz w:val="24"/>
          <w:szCs w:val="24"/>
        </w:rPr>
        <w:t>/01/2025-03/01/2026.</w:t>
      </w:r>
      <w:r w:rsidR="00660DCF" w:rsidRPr="00DF0BC9">
        <w:rPr>
          <w:rFonts w:ascii="Verdana" w:hAnsi="Verdana"/>
          <w:b/>
          <w:bCs/>
          <w:sz w:val="24"/>
          <w:szCs w:val="24"/>
        </w:rPr>
        <w:t xml:space="preserve"> </w:t>
      </w:r>
      <w:r w:rsidR="00C445BA" w:rsidRPr="00DF0BC9">
        <w:rPr>
          <w:rFonts w:ascii="Verdana" w:hAnsi="Verdana"/>
          <w:b/>
          <w:bCs/>
          <w:sz w:val="24"/>
          <w:szCs w:val="24"/>
        </w:rPr>
        <w:t xml:space="preserve">As of July 1, 2025, </w:t>
      </w:r>
      <w:r w:rsidR="008E6ED0" w:rsidRPr="00DF0BC9">
        <w:rPr>
          <w:rFonts w:ascii="Verdana" w:hAnsi="Verdana"/>
          <w:b/>
          <w:bCs/>
          <w:sz w:val="24"/>
          <w:szCs w:val="24"/>
        </w:rPr>
        <w:t>One Touch</w:t>
      </w:r>
      <w:r w:rsidR="003501C4" w:rsidRPr="00DF0BC9">
        <w:rPr>
          <w:rFonts w:ascii="Verdana" w:hAnsi="Verdana"/>
          <w:b/>
          <w:bCs/>
          <w:sz w:val="24"/>
          <w:szCs w:val="24"/>
        </w:rPr>
        <w:t xml:space="preserve"> products listed below</w:t>
      </w:r>
      <w:r w:rsidR="0049161A" w:rsidRPr="00DF0BC9">
        <w:rPr>
          <w:rFonts w:ascii="Verdana" w:hAnsi="Verdana"/>
          <w:b/>
          <w:bCs/>
          <w:sz w:val="24"/>
          <w:szCs w:val="24"/>
        </w:rPr>
        <w:t xml:space="preserve"> will be removed </w:t>
      </w:r>
      <w:r w:rsidR="0049161A" w:rsidRPr="00DF0BC9">
        <w:rPr>
          <w:rFonts w:ascii="Verdana" w:hAnsi="Verdana"/>
          <w:b/>
          <w:bCs/>
          <w:sz w:val="24"/>
          <w:szCs w:val="24"/>
        </w:rPr>
        <w:lastRenderedPageBreak/>
        <w:t>from</w:t>
      </w:r>
      <w:r w:rsidR="008E6ED0" w:rsidRPr="00DF0BC9">
        <w:rPr>
          <w:rFonts w:ascii="Verdana" w:hAnsi="Verdana"/>
          <w:b/>
          <w:bCs/>
          <w:sz w:val="24"/>
          <w:szCs w:val="24"/>
        </w:rPr>
        <w:t xml:space="preserve"> </w:t>
      </w:r>
      <w:r w:rsidR="00E2268A" w:rsidRPr="00DF0BC9">
        <w:rPr>
          <w:rFonts w:ascii="Verdana" w:hAnsi="Verdana"/>
          <w:sz w:val="24"/>
          <w:szCs w:val="24"/>
        </w:rPr>
        <w:t>select formularies (Caremark Standard/Choice formularies), but not from custom formularies</w:t>
      </w:r>
      <w:r w:rsidR="00FD6B9E" w:rsidRPr="00DF0BC9">
        <w:rPr>
          <w:rFonts w:ascii="Verdana" w:hAnsi="Verdana"/>
          <w:sz w:val="24"/>
          <w:szCs w:val="24"/>
        </w:rPr>
        <w:t>:</w:t>
      </w:r>
    </w:p>
    <w:p w14:paraId="3614A323" w14:textId="77777777" w:rsidR="008E6ED0" w:rsidRPr="00DF0BC9" w:rsidRDefault="008E6ED0" w:rsidP="00B05B49">
      <w:pPr>
        <w:numPr>
          <w:ilvl w:val="0"/>
          <w:numId w:val="2"/>
        </w:numPr>
        <w:spacing w:before="120" w:after="120"/>
        <w:rPr>
          <w:rFonts w:ascii="Verdana" w:hAnsi="Verdana"/>
          <w:sz w:val="24"/>
          <w:szCs w:val="24"/>
        </w:rPr>
      </w:pPr>
      <w:r w:rsidRPr="00DF0BC9">
        <w:rPr>
          <w:rFonts w:ascii="Verdana" w:hAnsi="Verdana"/>
          <w:sz w:val="24"/>
          <w:szCs w:val="24"/>
        </w:rPr>
        <w:t>One Touch test strips</w:t>
      </w:r>
    </w:p>
    <w:p w14:paraId="50C33614" w14:textId="77777777" w:rsidR="008E6ED0" w:rsidRPr="00DF0BC9" w:rsidRDefault="008E6ED0" w:rsidP="00B05B49">
      <w:pPr>
        <w:numPr>
          <w:ilvl w:val="0"/>
          <w:numId w:val="2"/>
        </w:numPr>
        <w:spacing w:before="120" w:after="120"/>
        <w:rPr>
          <w:rFonts w:ascii="Verdana" w:hAnsi="Verdana"/>
          <w:sz w:val="24"/>
          <w:szCs w:val="24"/>
        </w:rPr>
      </w:pPr>
      <w:r w:rsidRPr="00DF0BC9">
        <w:rPr>
          <w:rFonts w:ascii="Verdana" w:hAnsi="Verdana"/>
          <w:sz w:val="24"/>
          <w:szCs w:val="24"/>
        </w:rPr>
        <w:t>One Touch lancets</w:t>
      </w:r>
    </w:p>
    <w:p w14:paraId="6BFE783A" w14:textId="77777777" w:rsidR="008E6ED0" w:rsidRPr="00DF0BC9" w:rsidRDefault="008E6ED0" w:rsidP="00B05B49">
      <w:pPr>
        <w:numPr>
          <w:ilvl w:val="0"/>
          <w:numId w:val="2"/>
        </w:numPr>
        <w:spacing w:before="120" w:after="120"/>
        <w:rPr>
          <w:rFonts w:ascii="Verdana" w:hAnsi="Verdana"/>
          <w:sz w:val="24"/>
          <w:szCs w:val="24"/>
        </w:rPr>
      </w:pPr>
      <w:r w:rsidRPr="00DF0BC9">
        <w:rPr>
          <w:rFonts w:ascii="Verdana" w:hAnsi="Verdana"/>
          <w:sz w:val="24"/>
          <w:szCs w:val="24"/>
        </w:rPr>
        <w:t>One Touch diabetic testing meters</w:t>
      </w:r>
    </w:p>
    <w:p w14:paraId="1C57368B" w14:textId="77777777" w:rsidR="008E6ED0" w:rsidRPr="00DF0BC9" w:rsidRDefault="008E6ED0" w:rsidP="00B05B49">
      <w:pPr>
        <w:numPr>
          <w:ilvl w:val="0"/>
          <w:numId w:val="2"/>
        </w:numPr>
        <w:spacing w:before="120" w:after="120"/>
        <w:rPr>
          <w:rFonts w:ascii="Verdana" w:hAnsi="Verdana"/>
          <w:sz w:val="24"/>
          <w:szCs w:val="24"/>
        </w:rPr>
      </w:pPr>
      <w:r w:rsidRPr="00DF0BC9">
        <w:rPr>
          <w:rFonts w:ascii="Verdana" w:hAnsi="Verdana"/>
          <w:sz w:val="24"/>
          <w:szCs w:val="24"/>
        </w:rPr>
        <w:t>Other One Touch diabetic supplies</w:t>
      </w:r>
    </w:p>
    <w:p w14:paraId="58D43482" w14:textId="77777777" w:rsidR="008E6ED0" w:rsidRPr="00DF0BC9" w:rsidRDefault="008E6ED0" w:rsidP="00B05B49">
      <w:pPr>
        <w:spacing w:before="120" w:after="120"/>
        <w:rPr>
          <w:rFonts w:ascii="Verdana" w:hAnsi="Verdana"/>
          <w:sz w:val="24"/>
          <w:szCs w:val="24"/>
        </w:rPr>
      </w:pPr>
    </w:p>
    <w:p w14:paraId="5FEF3A0A" w14:textId="2E2C6E89" w:rsidR="008E6ED0" w:rsidRPr="00DF0BC9" w:rsidRDefault="000A3140" w:rsidP="00B05B49">
      <w:pPr>
        <w:spacing w:before="120" w:after="120"/>
        <w:rPr>
          <w:rFonts w:ascii="Verdana" w:hAnsi="Verdana"/>
          <w:b/>
          <w:bCs/>
          <w:sz w:val="24"/>
          <w:szCs w:val="24"/>
        </w:rPr>
      </w:pPr>
      <w:r w:rsidRPr="00DF0BC9">
        <w:rPr>
          <w:rFonts w:ascii="Verdana" w:hAnsi="Verdana"/>
          <w:b/>
          <w:bCs/>
          <w:sz w:val="24"/>
          <w:szCs w:val="24"/>
        </w:rPr>
        <w:t xml:space="preserve">Starting July 1, 2025, </w:t>
      </w:r>
      <w:r w:rsidR="008E6ED0" w:rsidRPr="00DF0BC9">
        <w:rPr>
          <w:rFonts w:ascii="Verdana" w:hAnsi="Verdana"/>
          <w:b/>
          <w:bCs/>
          <w:sz w:val="24"/>
          <w:szCs w:val="24"/>
        </w:rPr>
        <w:t>Accu-Chek</w:t>
      </w:r>
      <w:r w:rsidR="008575A4" w:rsidRPr="00DF0BC9">
        <w:rPr>
          <w:rFonts w:ascii="Verdana" w:hAnsi="Verdana"/>
          <w:b/>
          <w:bCs/>
          <w:sz w:val="24"/>
          <w:szCs w:val="24"/>
        </w:rPr>
        <w:t xml:space="preserve"> and True Metrix</w:t>
      </w:r>
      <w:r w:rsidR="008E6ED0" w:rsidRPr="00DF0BC9">
        <w:rPr>
          <w:rFonts w:ascii="Verdana" w:hAnsi="Verdana"/>
          <w:b/>
          <w:bCs/>
          <w:sz w:val="24"/>
          <w:szCs w:val="24"/>
        </w:rPr>
        <w:t xml:space="preserve"> will be the preferred formulary Diabetic Supplies:</w:t>
      </w:r>
    </w:p>
    <w:p w14:paraId="7792712A" w14:textId="39660994" w:rsidR="008E6ED0" w:rsidRPr="00DF0BC9" w:rsidRDefault="008E6ED0" w:rsidP="00B05B49">
      <w:pPr>
        <w:numPr>
          <w:ilvl w:val="0"/>
          <w:numId w:val="3"/>
        </w:numPr>
        <w:spacing w:before="120" w:after="120"/>
        <w:rPr>
          <w:rFonts w:ascii="Verdana" w:hAnsi="Verdana"/>
          <w:sz w:val="24"/>
          <w:szCs w:val="24"/>
        </w:rPr>
      </w:pPr>
      <w:r w:rsidRPr="00DF0BC9">
        <w:rPr>
          <w:rFonts w:ascii="Verdana" w:hAnsi="Verdana"/>
          <w:sz w:val="24"/>
          <w:szCs w:val="24"/>
        </w:rPr>
        <w:t>Accu-Chek</w:t>
      </w:r>
      <w:r w:rsidR="008575A4" w:rsidRPr="00DF0BC9">
        <w:rPr>
          <w:rFonts w:ascii="Verdana" w:hAnsi="Verdana"/>
          <w:sz w:val="24"/>
          <w:szCs w:val="24"/>
        </w:rPr>
        <w:t xml:space="preserve"> and True Metrix</w:t>
      </w:r>
      <w:r w:rsidRPr="00DF0BC9">
        <w:rPr>
          <w:rFonts w:ascii="Verdana" w:hAnsi="Verdana"/>
          <w:sz w:val="24"/>
          <w:szCs w:val="24"/>
        </w:rPr>
        <w:t xml:space="preserve"> brand test strips and supplies will be covered under the formulary.</w:t>
      </w:r>
      <w:r w:rsidR="00FE4663" w:rsidRPr="00DF0BC9">
        <w:rPr>
          <w:rFonts w:ascii="Verdana" w:hAnsi="Verdana"/>
          <w:sz w:val="24"/>
          <w:szCs w:val="24"/>
        </w:rPr>
        <w:t xml:space="preserve"> </w:t>
      </w:r>
    </w:p>
    <w:p w14:paraId="4AAD0F39" w14:textId="77777777" w:rsidR="008E6ED0" w:rsidRPr="00DF0BC9" w:rsidRDefault="008E6ED0" w:rsidP="00B05B49">
      <w:pPr>
        <w:spacing w:before="120" w:after="120"/>
        <w:rPr>
          <w:rFonts w:ascii="Verdana" w:hAnsi="Verdana"/>
          <w:sz w:val="24"/>
          <w:szCs w:val="24"/>
        </w:rPr>
      </w:pPr>
    </w:p>
    <w:p w14:paraId="51B9C9B4" w14:textId="77777777" w:rsidR="008E6ED0" w:rsidRPr="00DF0BC9" w:rsidRDefault="008E6ED0" w:rsidP="00B05B49">
      <w:pPr>
        <w:spacing w:before="120" w:after="120"/>
        <w:rPr>
          <w:rFonts w:ascii="Verdana" w:hAnsi="Verdana"/>
          <w:sz w:val="24"/>
          <w:szCs w:val="24"/>
        </w:rPr>
      </w:pPr>
    </w:p>
    <w:p w14:paraId="2F033925" w14:textId="55BB4881" w:rsidR="008E6ED0" w:rsidRPr="00DF0BC9" w:rsidRDefault="008E6ED0" w:rsidP="00B05B49">
      <w:pPr>
        <w:spacing w:before="120" w:after="120"/>
        <w:rPr>
          <w:rFonts w:ascii="Verdana" w:hAnsi="Verdana"/>
          <w:b/>
          <w:bCs/>
          <w:sz w:val="24"/>
          <w:szCs w:val="24"/>
        </w:rPr>
      </w:pPr>
      <w:r w:rsidRPr="00DF0BC9">
        <w:rPr>
          <w:rFonts w:ascii="Verdana" w:hAnsi="Verdana"/>
          <w:b/>
          <w:bCs/>
          <w:sz w:val="24"/>
          <w:szCs w:val="24"/>
        </w:rPr>
        <w:t>Need to Know:</w:t>
      </w:r>
    </w:p>
    <w:p w14:paraId="498A17C3" w14:textId="0CD951C3" w:rsidR="008E6ED0" w:rsidRPr="00DF0BC9" w:rsidRDefault="008E6ED0" w:rsidP="00B05B49">
      <w:pPr>
        <w:pStyle w:val="ListParagraph"/>
        <w:numPr>
          <w:ilvl w:val="0"/>
          <w:numId w:val="5"/>
        </w:numPr>
        <w:spacing w:before="120" w:after="120"/>
        <w:rPr>
          <w:rFonts w:ascii="Verdana" w:hAnsi="Verdana"/>
          <w:sz w:val="24"/>
          <w:szCs w:val="24"/>
        </w:rPr>
      </w:pPr>
      <w:r w:rsidRPr="00DF0BC9">
        <w:rPr>
          <w:rFonts w:ascii="Verdana" w:hAnsi="Verdana"/>
          <w:sz w:val="24"/>
          <w:szCs w:val="24"/>
        </w:rPr>
        <w:t>Letters informing impacted members about the formulary change will be sent starting Thursday, May 1, 2025.</w:t>
      </w:r>
    </w:p>
    <w:p w14:paraId="793A66F2" w14:textId="5710605F" w:rsidR="008E6ED0" w:rsidRPr="00DF0BC9" w:rsidRDefault="008E6ED0" w:rsidP="00B05B49">
      <w:pPr>
        <w:pStyle w:val="ListParagraph"/>
        <w:numPr>
          <w:ilvl w:val="0"/>
          <w:numId w:val="5"/>
        </w:numPr>
        <w:spacing w:before="120" w:after="120"/>
        <w:rPr>
          <w:rFonts w:ascii="Verdana" w:hAnsi="Verdana"/>
          <w:sz w:val="24"/>
          <w:szCs w:val="24"/>
        </w:rPr>
      </w:pPr>
      <w:r w:rsidRPr="00DF0BC9">
        <w:rPr>
          <w:rFonts w:ascii="Verdana" w:hAnsi="Verdana"/>
          <w:sz w:val="24"/>
          <w:szCs w:val="24"/>
        </w:rPr>
        <w:t xml:space="preserve">Members should continue filling their current formulary medications until July 1, </w:t>
      </w:r>
      <w:r w:rsidR="00EC0250" w:rsidRPr="00DF0BC9">
        <w:rPr>
          <w:rFonts w:ascii="Verdana" w:hAnsi="Verdana"/>
          <w:sz w:val="24"/>
          <w:szCs w:val="24"/>
        </w:rPr>
        <w:t>2025</w:t>
      </w:r>
      <w:r w:rsidR="1B988E24" w:rsidRPr="00DF0BC9">
        <w:rPr>
          <w:rFonts w:ascii="Verdana" w:hAnsi="Verdana"/>
          <w:sz w:val="24"/>
          <w:szCs w:val="24"/>
        </w:rPr>
        <w:t>. They should</w:t>
      </w:r>
      <w:r w:rsidR="0E9ACD73" w:rsidRPr="00DF0BC9">
        <w:rPr>
          <w:rFonts w:ascii="Verdana" w:hAnsi="Verdana"/>
          <w:sz w:val="24"/>
          <w:szCs w:val="24"/>
        </w:rPr>
        <w:t xml:space="preserve"> work with their physician to have prescriptions for the formulary alternative sent to their preferred pharmacy location.</w:t>
      </w:r>
    </w:p>
    <w:p w14:paraId="47C53A9C" w14:textId="40A98690" w:rsidR="00671C1D" w:rsidRPr="00DF0BC9" w:rsidRDefault="00671C1D" w:rsidP="00B05B49">
      <w:pPr>
        <w:pStyle w:val="ListParagraph"/>
        <w:numPr>
          <w:ilvl w:val="0"/>
          <w:numId w:val="5"/>
        </w:numPr>
        <w:spacing w:before="120" w:after="120"/>
        <w:rPr>
          <w:rFonts w:ascii="Verdana" w:hAnsi="Verdana"/>
          <w:sz w:val="24"/>
          <w:szCs w:val="24"/>
        </w:rPr>
      </w:pPr>
      <w:r w:rsidRPr="00DF0BC9">
        <w:rPr>
          <w:rFonts w:ascii="Verdana" w:hAnsi="Verdana"/>
          <w:sz w:val="24"/>
          <w:szCs w:val="24"/>
        </w:rPr>
        <w:t xml:space="preserve">Letters will be loaded into Compass for reference. Refer to </w:t>
      </w:r>
      <w:hyperlink r:id="rId8" w:anchor="!/view?docid=c0238ae3-ea9b-4da2-b9c9-90c8d4ad62a8" w:history="1">
        <w:r w:rsidRPr="006208EB">
          <w:rPr>
            <w:rStyle w:val="Hyperlink"/>
            <w:rFonts w:ascii="Verdana" w:hAnsi="Verdana"/>
            <w:color w:val="0000FF"/>
            <w:sz w:val="24"/>
            <w:szCs w:val="24"/>
          </w:rPr>
          <w:t xml:space="preserve">Compass - Viewing Communications </w:t>
        </w:r>
        <w:r w:rsidR="009E30E4" w:rsidRPr="006208EB">
          <w:rPr>
            <w:rStyle w:val="Hyperlink"/>
            <w:rFonts w:ascii="Verdana" w:hAnsi="Verdana"/>
            <w:color w:val="0000FF"/>
            <w:sz w:val="24"/>
            <w:szCs w:val="24"/>
          </w:rPr>
          <w:t>(</w:t>
        </w:r>
        <w:r w:rsidRPr="006208EB">
          <w:rPr>
            <w:rStyle w:val="Hyperlink"/>
            <w:rFonts w:ascii="Verdana" w:hAnsi="Verdana"/>
            <w:color w:val="0000FF"/>
            <w:sz w:val="24"/>
            <w:szCs w:val="24"/>
          </w:rPr>
          <w:t>056371</w:t>
        </w:r>
        <w:r w:rsidR="009E30E4" w:rsidRPr="006208EB">
          <w:rPr>
            <w:rStyle w:val="Hyperlink"/>
            <w:rFonts w:ascii="Verdana" w:hAnsi="Verdana"/>
            <w:color w:val="0000FF"/>
            <w:sz w:val="24"/>
            <w:szCs w:val="24"/>
          </w:rPr>
          <w:t>)</w:t>
        </w:r>
      </w:hyperlink>
      <w:r w:rsidRPr="00DF0BC9">
        <w:rPr>
          <w:rFonts w:ascii="Verdana" w:hAnsi="Verdana"/>
          <w:sz w:val="24"/>
          <w:szCs w:val="24"/>
        </w:rPr>
        <w:t xml:space="preserve"> for steps on viewing communications. </w:t>
      </w:r>
    </w:p>
    <w:p w14:paraId="0C2E4953" w14:textId="77777777" w:rsidR="008E6ED0" w:rsidRPr="00DF0BC9" w:rsidRDefault="008E6ED0" w:rsidP="00B05B49">
      <w:pPr>
        <w:spacing w:before="120" w:after="120"/>
        <w:rPr>
          <w:rFonts w:ascii="Verdana" w:hAnsi="Verdana"/>
          <w:sz w:val="24"/>
          <w:szCs w:val="24"/>
        </w:rPr>
      </w:pPr>
    </w:p>
    <w:p w14:paraId="0ECFBE8B" w14:textId="77777777" w:rsidR="008E6ED0" w:rsidRPr="00DF0BC9" w:rsidRDefault="008E6ED0" w:rsidP="00B05B49">
      <w:pPr>
        <w:spacing w:before="120" w:after="120"/>
        <w:rPr>
          <w:rFonts w:ascii="Verdana" w:hAnsi="Verdana"/>
          <w:sz w:val="24"/>
          <w:szCs w:val="24"/>
        </w:rPr>
      </w:pPr>
    </w:p>
    <w:p w14:paraId="344AA9EE" w14:textId="2D3CAF7C" w:rsidR="008E6ED0" w:rsidRDefault="008E6ED0" w:rsidP="00B05B49">
      <w:pPr>
        <w:spacing w:before="120" w:after="120"/>
        <w:rPr>
          <w:rFonts w:ascii="Verdana" w:hAnsi="Verdana"/>
          <w:b/>
          <w:bCs/>
          <w:sz w:val="24"/>
          <w:szCs w:val="24"/>
        </w:rPr>
      </w:pPr>
      <w:r w:rsidRPr="00DF0BC9">
        <w:rPr>
          <w:rFonts w:ascii="Verdana" w:hAnsi="Verdana"/>
          <w:b/>
          <w:bCs/>
          <w:sz w:val="24"/>
          <w:szCs w:val="24"/>
        </w:rPr>
        <w:t>Agent Actions:</w:t>
      </w:r>
    </w:p>
    <w:p w14:paraId="74EC8DA3" w14:textId="121014E1" w:rsidR="00897817" w:rsidRDefault="00DD5D3C" w:rsidP="00897817">
      <w:pPr>
        <w:pStyle w:val="ListParagraph"/>
        <w:numPr>
          <w:ilvl w:val="0"/>
          <w:numId w:val="9"/>
        </w:numPr>
        <w:spacing w:before="120" w:after="1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</w:t>
      </w:r>
      <w:r w:rsidR="00897817" w:rsidRPr="006378ED">
        <w:rPr>
          <w:rFonts w:ascii="Verdana" w:hAnsi="Verdana"/>
          <w:sz w:val="24"/>
          <w:szCs w:val="24"/>
        </w:rPr>
        <w:t xml:space="preserve">eview the CIF for plan specific rules or exceptions. </w:t>
      </w:r>
    </w:p>
    <w:p w14:paraId="0FC36FA0" w14:textId="699AA51E" w:rsidR="00897817" w:rsidRPr="00E542E5" w:rsidRDefault="00DD5D3C" w:rsidP="00E542E5">
      <w:pPr>
        <w:pStyle w:val="ListParagraph"/>
        <w:numPr>
          <w:ilvl w:val="0"/>
          <w:numId w:val="9"/>
        </w:numPr>
        <w:spacing w:before="120" w:after="120"/>
        <w:rPr>
          <w:rFonts w:ascii="Verdana" w:hAnsi="Verdana"/>
          <w:sz w:val="24"/>
          <w:szCs w:val="24"/>
        </w:rPr>
      </w:pPr>
      <w:r w:rsidRPr="00DF0BC9">
        <w:rPr>
          <w:rFonts w:ascii="Verdana" w:hAnsi="Verdana"/>
          <w:b/>
          <w:bCs/>
          <w:noProof/>
          <w:sz w:val="24"/>
          <w:szCs w:val="24"/>
        </w:rPr>
        <w:drawing>
          <wp:inline distT="0" distB="0" distL="0" distR="0" wp14:anchorId="5F5E5065" wp14:editId="403F28B4">
            <wp:extent cx="304762" cy="304762"/>
            <wp:effectExtent l="0" t="0" r="635" b="635"/>
            <wp:docPr id="1153660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234934" name="Picture 162323493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7817" w:rsidRPr="006378ED">
        <w:rPr>
          <w:rFonts w:ascii="Verdana" w:hAnsi="Verdana"/>
          <w:sz w:val="24"/>
          <w:szCs w:val="24"/>
        </w:rPr>
        <w:t>Run a test claim before providing coverage details to ensure accurate information is communicated to members regarding formulary changes. Refer to </w:t>
      </w:r>
      <w:hyperlink r:id="rId10" w:anchor="!/view?docid=60c20ea0-1d07-46e3-809a-b54734b80fbe" w:tgtFrame="_blank" w:history="1">
        <w:r w:rsidR="00897817" w:rsidRPr="006208EB">
          <w:rPr>
            <w:rStyle w:val="Hyperlink"/>
            <w:rFonts w:ascii="Verdana" w:hAnsi="Verdana"/>
            <w:color w:val="0000FF"/>
            <w:sz w:val="24"/>
            <w:szCs w:val="24"/>
          </w:rPr>
          <w:t>Compass - Test Claims (050041)</w:t>
        </w:r>
      </w:hyperlink>
      <w:r w:rsidR="00A53E0E" w:rsidRPr="0022315A">
        <w:rPr>
          <w:rStyle w:val="Hyperlink"/>
          <w:rFonts w:ascii="Verdana" w:hAnsi="Verdana"/>
          <w:color w:val="auto"/>
          <w:sz w:val="24"/>
          <w:szCs w:val="24"/>
          <w:u w:val="none"/>
        </w:rPr>
        <w:t xml:space="preserve"> or </w:t>
      </w:r>
      <w:hyperlink r:id="rId11" w:anchor="!/view?docid=bf264650-c4b2-4b12-a7da-15d39fa128c3" w:history="1">
        <w:r w:rsidR="00A53E0E" w:rsidRPr="006208EB">
          <w:rPr>
            <w:rStyle w:val="Hyperlink"/>
            <w:rFonts w:ascii="Verdana" w:hAnsi="Verdana"/>
            <w:color w:val="0000FF"/>
            <w:sz w:val="24"/>
            <w:szCs w:val="24"/>
          </w:rPr>
          <w:t>Aetna Compass – Test Claims (064</w:t>
        </w:r>
        <w:r w:rsidR="0018706E" w:rsidRPr="006208EB">
          <w:rPr>
            <w:rStyle w:val="Hyperlink"/>
            <w:rFonts w:ascii="Verdana" w:hAnsi="Verdana"/>
            <w:color w:val="0000FF"/>
            <w:sz w:val="24"/>
            <w:szCs w:val="24"/>
          </w:rPr>
          <w:t>284)</w:t>
        </w:r>
      </w:hyperlink>
      <w:r w:rsidR="00897817" w:rsidRPr="006378ED">
        <w:rPr>
          <w:rFonts w:ascii="Verdana" w:hAnsi="Verdana"/>
          <w:sz w:val="24"/>
          <w:szCs w:val="24"/>
        </w:rPr>
        <w:t>, as needed.</w:t>
      </w:r>
    </w:p>
    <w:p w14:paraId="0BCCDAF8" w14:textId="0DFDBA15" w:rsidR="008E6ED0" w:rsidRPr="006208EB" w:rsidRDefault="008E6ED0" w:rsidP="00850C80">
      <w:pPr>
        <w:pStyle w:val="ListParagraph"/>
        <w:numPr>
          <w:ilvl w:val="0"/>
          <w:numId w:val="9"/>
        </w:numPr>
        <w:spacing w:before="120" w:after="120"/>
        <w:rPr>
          <w:rFonts w:ascii="Verdana" w:hAnsi="Verdana"/>
          <w:color w:val="0000FF"/>
          <w:sz w:val="24"/>
          <w:szCs w:val="24"/>
        </w:rPr>
      </w:pPr>
      <w:r w:rsidRPr="00DF0BC9">
        <w:rPr>
          <w:rFonts w:ascii="Verdana" w:hAnsi="Verdana"/>
          <w:sz w:val="24"/>
          <w:szCs w:val="24"/>
        </w:rPr>
        <w:t xml:space="preserve">For information on Zepbound and Wegovy changes, refer to </w:t>
      </w:r>
      <w:hyperlink r:id="rId12" w:anchor="!/view?docid=c746a1ed-5394-4841-8191-86f9724b2372" w:history="1">
        <w:r w:rsidRPr="006208EB">
          <w:rPr>
            <w:rStyle w:val="Hyperlink"/>
            <w:rFonts w:ascii="Verdana" w:hAnsi="Verdana"/>
            <w:color w:val="0000FF"/>
            <w:sz w:val="24"/>
            <w:szCs w:val="24"/>
          </w:rPr>
          <w:t>Formulary Changes Starting July 1</w:t>
        </w:r>
        <w:r w:rsidRPr="006208EB">
          <w:rPr>
            <w:rStyle w:val="Hyperlink"/>
            <w:rFonts w:ascii="Verdana" w:hAnsi="Verdana"/>
            <w:color w:val="0000FF"/>
            <w:sz w:val="24"/>
            <w:szCs w:val="24"/>
            <w:vertAlign w:val="superscript"/>
          </w:rPr>
          <w:t>st</w:t>
        </w:r>
        <w:r w:rsidRPr="006208EB">
          <w:rPr>
            <w:rStyle w:val="Hyperlink"/>
            <w:rFonts w:ascii="Verdana" w:hAnsi="Verdana"/>
            <w:color w:val="0000FF"/>
            <w:sz w:val="24"/>
            <w:szCs w:val="24"/>
          </w:rPr>
          <w:t xml:space="preserve">, </w:t>
        </w:r>
        <w:r w:rsidR="00520F38" w:rsidRPr="006208EB">
          <w:rPr>
            <w:rStyle w:val="Hyperlink"/>
            <w:rFonts w:ascii="Verdana" w:hAnsi="Verdana"/>
            <w:color w:val="0000FF"/>
            <w:sz w:val="24"/>
            <w:szCs w:val="24"/>
          </w:rPr>
          <w:t>2025,</w:t>
        </w:r>
        <w:r w:rsidRPr="006208EB">
          <w:rPr>
            <w:rStyle w:val="Hyperlink"/>
            <w:rFonts w:ascii="Verdana" w:hAnsi="Verdana"/>
            <w:color w:val="0000FF"/>
            <w:sz w:val="24"/>
            <w:szCs w:val="24"/>
          </w:rPr>
          <w:t xml:space="preserve"> for GLP-1</w:t>
        </w:r>
        <w:r w:rsidR="00411408" w:rsidRPr="006208EB">
          <w:rPr>
            <w:rStyle w:val="Hyperlink"/>
            <w:rFonts w:ascii="Verdana" w:hAnsi="Verdana"/>
            <w:color w:val="0000FF"/>
            <w:sz w:val="24"/>
            <w:szCs w:val="24"/>
          </w:rPr>
          <w:t xml:space="preserve"> Weight Loss</w:t>
        </w:r>
        <w:r w:rsidRPr="006208EB">
          <w:rPr>
            <w:rStyle w:val="Hyperlink"/>
            <w:rFonts w:ascii="Verdana" w:hAnsi="Verdana"/>
            <w:color w:val="0000FF"/>
            <w:sz w:val="24"/>
            <w:szCs w:val="24"/>
          </w:rPr>
          <w:t xml:space="preserve"> Medications</w:t>
        </w:r>
        <w:r w:rsidR="00DE56B5" w:rsidRPr="006208EB">
          <w:rPr>
            <w:rStyle w:val="Hyperlink"/>
            <w:rFonts w:ascii="Verdana" w:hAnsi="Verdana"/>
            <w:color w:val="0000FF"/>
            <w:sz w:val="24"/>
            <w:szCs w:val="24"/>
          </w:rPr>
          <w:t xml:space="preserve"> (074827)</w:t>
        </w:r>
        <w:r w:rsidR="00E57104" w:rsidRPr="006208EB">
          <w:rPr>
            <w:rStyle w:val="Hyperlink"/>
            <w:rFonts w:ascii="Verdana" w:hAnsi="Verdana"/>
            <w:color w:val="0000FF"/>
            <w:sz w:val="24"/>
            <w:szCs w:val="24"/>
          </w:rPr>
          <w:t>.</w:t>
        </w:r>
      </w:hyperlink>
    </w:p>
    <w:p w14:paraId="1A55B51F" w14:textId="59D86FE6" w:rsidR="008E6ED0" w:rsidRPr="00E542E5" w:rsidRDefault="008E6ED0" w:rsidP="00850C80">
      <w:pPr>
        <w:pStyle w:val="ListParagraph"/>
        <w:numPr>
          <w:ilvl w:val="0"/>
          <w:numId w:val="9"/>
        </w:numPr>
        <w:spacing w:before="120" w:after="120"/>
        <w:rPr>
          <w:rStyle w:val="Hyperlink"/>
          <w:rFonts w:ascii="Verdana" w:hAnsi="Verdana"/>
          <w:color w:val="auto"/>
          <w:sz w:val="24"/>
          <w:szCs w:val="24"/>
          <w:u w:val="none"/>
        </w:rPr>
      </w:pPr>
      <w:r w:rsidRPr="00DF0BC9">
        <w:rPr>
          <w:rFonts w:ascii="Verdana" w:hAnsi="Verdana"/>
          <w:sz w:val="24"/>
          <w:szCs w:val="24"/>
        </w:rPr>
        <w:lastRenderedPageBreak/>
        <w:t xml:space="preserve">For information on One Touch and Accu-Chek changes, refer to </w:t>
      </w:r>
      <w:hyperlink r:id="rId13" w:anchor="!/view?docid=b6d9f3e2-1f09-48d9-82d9-f14b4fb9f55a" w:history="1">
        <w:r w:rsidRPr="006208EB">
          <w:rPr>
            <w:rStyle w:val="Hyperlink"/>
            <w:rFonts w:ascii="Verdana" w:hAnsi="Verdana"/>
            <w:color w:val="0000FF"/>
            <w:sz w:val="24"/>
            <w:szCs w:val="24"/>
          </w:rPr>
          <w:t>Formulary Change in Diabetic Supply Coverage Starting July 1, 2025</w:t>
        </w:r>
        <w:r w:rsidR="00DE56B5" w:rsidRPr="006208EB">
          <w:rPr>
            <w:rStyle w:val="Hyperlink"/>
            <w:rFonts w:ascii="Verdana" w:hAnsi="Verdana"/>
            <w:color w:val="0000FF"/>
            <w:sz w:val="24"/>
            <w:szCs w:val="24"/>
          </w:rPr>
          <w:t xml:space="preserve"> (074825)</w:t>
        </w:r>
        <w:r w:rsidR="00E57104" w:rsidRPr="00DF0BC9">
          <w:rPr>
            <w:rStyle w:val="Hyperlink"/>
            <w:rFonts w:ascii="Verdana" w:hAnsi="Verdana"/>
            <w:sz w:val="24"/>
            <w:szCs w:val="24"/>
          </w:rPr>
          <w:t>.</w:t>
        </w:r>
      </w:hyperlink>
    </w:p>
    <w:p w14:paraId="1BC13211" w14:textId="65121E28" w:rsidR="008E6ED0" w:rsidRPr="00DF0BC9" w:rsidRDefault="008E6ED0" w:rsidP="00B05B49">
      <w:pPr>
        <w:spacing w:before="120" w:after="120"/>
        <w:rPr>
          <w:rFonts w:ascii="Verdana" w:hAnsi="Verdana"/>
          <w:sz w:val="24"/>
          <w:szCs w:val="24"/>
        </w:rPr>
      </w:pPr>
    </w:p>
    <w:p w14:paraId="6935A1B9" w14:textId="0346E6A8" w:rsidR="008E6ED0" w:rsidRPr="00DF0BC9" w:rsidRDefault="001B41C6" w:rsidP="001B41C6">
      <w:pPr>
        <w:spacing w:before="120" w:after="120"/>
        <w:jc w:val="right"/>
        <w:rPr>
          <w:rFonts w:ascii="Verdana" w:hAnsi="Verdana"/>
        </w:rPr>
      </w:pPr>
      <w:hyperlink w:anchor="_top" w:history="1">
        <w:r w:rsidRPr="00DF0BC9">
          <w:rPr>
            <w:rStyle w:val="Hyperlink"/>
            <w:rFonts w:ascii="Verdana" w:hAnsi="Verdana"/>
            <w:sz w:val="24"/>
            <w:szCs w:val="24"/>
          </w:rPr>
          <w:t>Top of the Document</w:t>
        </w:r>
      </w:hyperlink>
    </w:p>
    <w:p w14:paraId="28FE2B35" w14:textId="77777777" w:rsidR="00EB2364" w:rsidRPr="00DF0BC9" w:rsidRDefault="00EB2364" w:rsidP="00FD6B9E">
      <w:pPr>
        <w:pStyle w:val="NormalWeb"/>
        <w:spacing w:before="0" w:beforeAutospacing="0" w:after="0" w:afterAutospacing="0"/>
        <w:jc w:val="center"/>
        <w:rPr>
          <w:rFonts w:ascii="Verdana" w:hAnsi="Verdana"/>
          <w:color w:val="000000"/>
          <w:sz w:val="27"/>
          <w:szCs w:val="27"/>
        </w:rPr>
      </w:pPr>
      <w:r w:rsidRPr="00DF0BC9">
        <w:rPr>
          <w:rFonts w:ascii="Verdana" w:hAnsi="Verdana"/>
          <w:color w:val="000000"/>
          <w:sz w:val="16"/>
          <w:szCs w:val="16"/>
        </w:rPr>
        <w:t>Not to Be Reproduced or Disclosed to Others Without Prior Written Approval</w:t>
      </w:r>
    </w:p>
    <w:p w14:paraId="39CC4754" w14:textId="77777777" w:rsidR="00EB2364" w:rsidRPr="00DF0BC9" w:rsidRDefault="00EB2364" w:rsidP="00FD6B9E">
      <w:pPr>
        <w:pStyle w:val="NormalWeb"/>
        <w:spacing w:before="0" w:beforeAutospacing="0" w:after="0" w:afterAutospacing="0"/>
        <w:jc w:val="center"/>
        <w:rPr>
          <w:rFonts w:ascii="Verdana" w:eastAsia="Calibri" w:hAnsi="Verdana" w:cs="Calibri"/>
        </w:rPr>
      </w:pPr>
      <w:r w:rsidRPr="00DF0BC9">
        <w:rPr>
          <w:rFonts w:ascii="Verdana" w:hAnsi="Verdana"/>
          <w:b/>
          <w:bCs/>
          <w:color w:val="000000"/>
          <w:sz w:val="16"/>
          <w:szCs w:val="16"/>
        </w:rPr>
        <w:t>ELECTRONIC DATA = OFFICIAL VERSION / PAPER COPY = INFORMATIONAL ONLY</w:t>
      </w:r>
    </w:p>
    <w:p w14:paraId="1526F464" w14:textId="77777777" w:rsidR="00EB2364" w:rsidRPr="00DF0BC9" w:rsidRDefault="00EB2364" w:rsidP="001B41C6">
      <w:pPr>
        <w:spacing w:before="120" w:after="120"/>
        <w:jc w:val="right"/>
        <w:rPr>
          <w:rFonts w:ascii="Verdana" w:hAnsi="Verdana"/>
          <w:sz w:val="24"/>
          <w:szCs w:val="24"/>
        </w:rPr>
      </w:pPr>
    </w:p>
    <w:sectPr w:rsidR="00EB2364" w:rsidRPr="00DF0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8.75pt;height:16.5pt;visibility:visible;mso-wrap-style:square" o:bullet="t">
        <v:imagedata r:id="rId1" o:title=""/>
      </v:shape>
    </w:pict>
  </w:numPicBullet>
  <w:abstractNum w:abstractNumId="0" w15:restartNumberingAfterBreak="0">
    <w:nsid w:val="0A8A7841"/>
    <w:multiLevelType w:val="multilevel"/>
    <w:tmpl w:val="72709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4D4E47"/>
    <w:multiLevelType w:val="multilevel"/>
    <w:tmpl w:val="9A589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4E089B"/>
    <w:multiLevelType w:val="hybridMultilevel"/>
    <w:tmpl w:val="A00A3C38"/>
    <w:lvl w:ilvl="0" w:tplc="2072330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DB4063"/>
    <w:multiLevelType w:val="hybridMultilevel"/>
    <w:tmpl w:val="AFACD88C"/>
    <w:lvl w:ilvl="0" w:tplc="20723308">
      <w:start w:val="1"/>
      <w:numFmt w:val="bullet"/>
      <w:lvlText w:val=""/>
      <w:lvlJc w:val="righ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CC41105"/>
    <w:multiLevelType w:val="multilevel"/>
    <w:tmpl w:val="400E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6F51AD"/>
    <w:multiLevelType w:val="hybridMultilevel"/>
    <w:tmpl w:val="1FFA3BDA"/>
    <w:lvl w:ilvl="0" w:tplc="3468C7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496C93"/>
    <w:multiLevelType w:val="hybridMultilevel"/>
    <w:tmpl w:val="13B457C4"/>
    <w:lvl w:ilvl="0" w:tplc="3468C7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114CAE"/>
    <w:multiLevelType w:val="multilevel"/>
    <w:tmpl w:val="DDC2D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3E112B"/>
    <w:multiLevelType w:val="hybridMultilevel"/>
    <w:tmpl w:val="9738C31C"/>
    <w:lvl w:ilvl="0" w:tplc="3468C7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F41F44"/>
    <w:multiLevelType w:val="hybridMultilevel"/>
    <w:tmpl w:val="25FCB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9862005">
    <w:abstractNumId w:val="7"/>
  </w:num>
  <w:num w:numId="2" w16cid:durableId="1840074698">
    <w:abstractNumId w:val="4"/>
  </w:num>
  <w:num w:numId="3" w16cid:durableId="686709548">
    <w:abstractNumId w:val="1"/>
  </w:num>
  <w:num w:numId="4" w16cid:durableId="2073698308">
    <w:abstractNumId w:val="0"/>
  </w:num>
  <w:num w:numId="5" w16cid:durableId="353652047">
    <w:abstractNumId w:val="2"/>
  </w:num>
  <w:num w:numId="6" w16cid:durableId="441194965">
    <w:abstractNumId w:val="3"/>
  </w:num>
  <w:num w:numId="7" w16cid:durableId="182322588">
    <w:abstractNumId w:val="8"/>
  </w:num>
  <w:num w:numId="8" w16cid:durableId="1319844695">
    <w:abstractNumId w:val="6"/>
  </w:num>
  <w:num w:numId="9" w16cid:durableId="351222872">
    <w:abstractNumId w:val="5"/>
  </w:num>
  <w:num w:numId="10" w16cid:durableId="41891646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608"/>
    <w:rsid w:val="0002766C"/>
    <w:rsid w:val="00042157"/>
    <w:rsid w:val="00055608"/>
    <w:rsid w:val="000A3140"/>
    <w:rsid w:val="000C6563"/>
    <w:rsid w:val="001351CE"/>
    <w:rsid w:val="0018706E"/>
    <w:rsid w:val="001B0B42"/>
    <w:rsid w:val="001B41C6"/>
    <w:rsid w:val="001C3C00"/>
    <w:rsid w:val="001C77AA"/>
    <w:rsid w:val="001E03B8"/>
    <w:rsid w:val="002044B3"/>
    <w:rsid w:val="00222CEF"/>
    <w:rsid w:val="0022315A"/>
    <w:rsid w:val="00244C3A"/>
    <w:rsid w:val="002501CD"/>
    <w:rsid w:val="00281B67"/>
    <w:rsid w:val="00294C71"/>
    <w:rsid w:val="003230B1"/>
    <w:rsid w:val="00345516"/>
    <w:rsid w:val="003501C4"/>
    <w:rsid w:val="00355300"/>
    <w:rsid w:val="003B4585"/>
    <w:rsid w:val="003B4DFB"/>
    <w:rsid w:val="003D07D4"/>
    <w:rsid w:val="00401739"/>
    <w:rsid w:val="00411408"/>
    <w:rsid w:val="0042622C"/>
    <w:rsid w:val="00431F44"/>
    <w:rsid w:val="00437997"/>
    <w:rsid w:val="0047080C"/>
    <w:rsid w:val="0049161A"/>
    <w:rsid w:val="004A4851"/>
    <w:rsid w:val="004C6982"/>
    <w:rsid w:val="004D6115"/>
    <w:rsid w:val="004E1C70"/>
    <w:rsid w:val="005146E4"/>
    <w:rsid w:val="00520F38"/>
    <w:rsid w:val="0056766D"/>
    <w:rsid w:val="005C2489"/>
    <w:rsid w:val="005D5B78"/>
    <w:rsid w:val="006208EB"/>
    <w:rsid w:val="00620DB9"/>
    <w:rsid w:val="006378ED"/>
    <w:rsid w:val="006531DD"/>
    <w:rsid w:val="00660DCF"/>
    <w:rsid w:val="00671C1D"/>
    <w:rsid w:val="006727EF"/>
    <w:rsid w:val="006A2C95"/>
    <w:rsid w:val="006B5361"/>
    <w:rsid w:val="006C585E"/>
    <w:rsid w:val="006E58B2"/>
    <w:rsid w:val="00735A24"/>
    <w:rsid w:val="007571B3"/>
    <w:rsid w:val="007A3F11"/>
    <w:rsid w:val="007B440E"/>
    <w:rsid w:val="007F08C5"/>
    <w:rsid w:val="008464F1"/>
    <w:rsid w:val="00850C80"/>
    <w:rsid w:val="008575A4"/>
    <w:rsid w:val="00861B78"/>
    <w:rsid w:val="008729FE"/>
    <w:rsid w:val="00897817"/>
    <w:rsid w:val="008C6712"/>
    <w:rsid w:val="008D0B4D"/>
    <w:rsid w:val="008E6ED0"/>
    <w:rsid w:val="008E7BCF"/>
    <w:rsid w:val="008F6786"/>
    <w:rsid w:val="00912A46"/>
    <w:rsid w:val="00946DB0"/>
    <w:rsid w:val="009558F7"/>
    <w:rsid w:val="009E30E4"/>
    <w:rsid w:val="00A44628"/>
    <w:rsid w:val="00A46DEC"/>
    <w:rsid w:val="00A53E0E"/>
    <w:rsid w:val="00A579F5"/>
    <w:rsid w:val="00A942A2"/>
    <w:rsid w:val="00A9729E"/>
    <w:rsid w:val="00AC7ADF"/>
    <w:rsid w:val="00AD13B6"/>
    <w:rsid w:val="00B05B49"/>
    <w:rsid w:val="00B34E1A"/>
    <w:rsid w:val="00B36FA5"/>
    <w:rsid w:val="00B410A0"/>
    <w:rsid w:val="00B422AB"/>
    <w:rsid w:val="00B425EC"/>
    <w:rsid w:val="00B75B5E"/>
    <w:rsid w:val="00BE44CD"/>
    <w:rsid w:val="00C05A03"/>
    <w:rsid w:val="00C12809"/>
    <w:rsid w:val="00C3341D"/>
    <w:rsid w:val="00C33CB7"/>
    <w:rsid w:val="00C4375D"/>
    <w:rsid w:val="00C445BA"/>
    <w:rsid w:val="00C840F6"/>
    <w:rsid w:val="00CA3AA1"/>
    <w:rsid w:val="00CB1EFE"/>
    <w:rsid w:val="00CB5E87"/>
    <w:rsid w:val="00CC0AE0"/>
    <w:rsid w:val="00D70986"/>
    <w:rsid w:val="00D74242"/>
    <w:rsid w:val="00DD5D3C"/>
    <w:rsid w:val="00DE21A7"/>
    <w:rsid w:val="00DE56B5"/>
    <w:rsid w:val="00DF0BC9"/>
    <w:rsid w:val="00E2268A"/>
    <w:rsid w:val="00E22779"/>
    <w:rsid w:val="00E328F8"/>
    <w:rsid w:val="00E542E5"/>
    <w:rsid w:val="00E57104"/>
    <w:rsid w:val="00EB2364"/>
    <w:rsid w:val="00EB6A72"/>
    <w:rsid w:val="00EC0250"/>
    <w:rsid w:val="00F703E9"/>
    <w:rsid w:val="00F83209"/>
    <w:rsid w:val="00FD1BB3"/>
    <w:rsid w:val="00FD6B9E"/>
    <w:rsid w:val="00FE144C"/>
    <w:rsid w:val="00FE4663"/>
    <w:rsid w:val="0E9ACD73"/>
    <w:rsid w:val="1B13CC53"/>
    <w:rsid w:val="1B988E24"/>
    <w:rsid w:val="365E4454"/>
    <w:rsid w:val="3752FC3C"/>
    <w:rsid w:val="4C390434"/>
    <w:rsid w:val="591D1216"/>
    <w:rsid w:val="59B9BFA9"/>
    <w:rsid w:val="6BA6B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15E5EFF"/>
  <w15:chartTrackingRefBased/>
  <w15:docId w15:val="{3FA02598-9C4F-4919-916F-D65776297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608"/>
  </w:style>
  <w:style w:type="paragraph" w:styleId="Heading1">
    <w:name w:val="heading 1"/>
    <w:basedOn w:val="Normal"/>
    <w:next w:val="Normal"/>
    <w:link w:val="Heading1Char"/>
    <w:uiPriority w:val="9"/>
    <w:qFormat/>
    <w:rsid w:val="000556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6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6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6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6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60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60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60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60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6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6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6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6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6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6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6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6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6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6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6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60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6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60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6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6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6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6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6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608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AD13B6"/>
    <w:pPr>
      <w:spacing w:line="240" w:lineRule="auto"/>
    </w:pPr>
  </w:style>
  <w:style w:type="paragraph" w:styleId="CommentText">
    <w:name w:val="annotation text"/>
    <w:basedOn w:val="Normal"/>
    <w:link w:val="CommentTextChar"/>
    <w:uiPriority w:val="99"/>
    <w:unhideWhenUsed/>
    <w:rsid w:val="00FD1B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D1BB3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D1BB3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C585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585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B23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source.cvshealth.com/nuxeo/thesource/" TargetMode="External"/><Relationship Id="rId13" Type="http://schemas.openxmlformats.org/officeDocument/2006/relationships/hyperlink" Target="https://thesource.cvshealth.com/nuxeo/thesource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thesource.cvshealth.com/nuxeo/thesource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thesource.cvshealth.com/nuxeo/thesource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thesource.cvshealth.com/nuxeo/thesource/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fe6fb3c-ae69-4363-9eac-f91567448a6f" xsi:nil="true"/>
    <lcf76f155ced4ddcb4097134ff3c332f xmlns="d19e0082-693e-45ae-8f74-da0dd659fa03">
      <Terms xmlns="http://schemas.microsoft.com/office/infopath/2007/PartnerControls"/>
    </lcf76f155ced4ddcb4097134ff3c332f>
    <BPO xmlns="d19e0082-693e-45ae-8f74-da0dd659fa03" xsi:nil="true"/>
    <ProjectAnalyst xmlns="d19e0082-693e-45ae-8f74-da0dd659fa03" xsi:nil="true"/>
    <DocumentConsultatnt xmlns="d19e0082-693e-45ae-8f74-da0dd659fa03" xsi:nil="true"/>
    <DueDate xmlns="d19e0082-693e-45ae-8f74-da0dd659fa03" xsi:nil="true"/>
    <LifelineQuickChat xmlns="d19e0082-693e-45ae-8f74-da0dd659fa03" xsi:nil="true"/>
    <Status xmlns="d19e0082-693e-45ae-8f74-da0dd659fa0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57E074260378499F7E81CCDE102D50" ma:contentTypeVersion="17" ma:contentTypeDescription="Create a new document." ma:contentTypeScope="" ma:versionID="d102769cacfb248b0a4cd372c95ae198">
  <xsd:schema xmlns:xsd="http://www.w3.org/2001/XMLSchema" xmlns:xs="http://www.w3.org/2001/XMLSchema" xmlns:p="http://schemas.microsoft.com/office/2006/metadata/properties" xmlns:ns2="d19e0082-693e-45ae-8f74-da0dd659fa03" xmlns:ns3="2fe6fb3c-ae69-4363-9eac-f91567448a6f" targetNamespace="http://schemas.microsoft.com/office/2006/metadata/properties" ma:root="true" ma:fieldsID="b2f750f4410df7e9588eaa14b27124da" ns2:_="" ns3:_="">
    <xsd:import namespace="d19e0082-693e-45ae-8f74-da0dd659fa03"/>
    <xsd:import namespace="2fe6fb3c-ae69-4363-9eac-f91567448a6f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ifelineQuickChat" minOccurs="0"/>
                <xsd:element ref="ns2:ProjectAnalyst" minOccurs="0"/>
                <xsd:element ref="ns2:DocumentConsultatnt" minOccurs="0"/>
                <xsd:element ref="ns2:BPO" minOccurs="0"/>
                <xsd:element ref="ns2:Status" minOccurs="0"/>
                <xsd:element ref="ns2:Due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9e0082-693e-45ae-8f74-da0dd659fa03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LifelineQuickChat" ma:index="19" nillable="true" ma:displayName="Project Owner/Lead" ma:format="Dropdown" ma:internalName="LifelineQuickChat">
      <xsd:simpleType>
        <xsd:restriction base="dms:Text">
          <xsd:maxLength value="255"/>
        </xsd:restriction>
      </xsd:simpleType>
    </xsd:element>
    <xsd:element name="ProjectAnalyst" ma:index="20" nillable="true" ma:displayName="Project Analyst" ma:format="Dropdown" ma:internalName="ProjectAnalyst">
      <xsd:simpleType>
        <xsd:restriction base="dms:Text">
          <xsd:maxLength value="255"/>
        </xsd:restriction>
      </xsd:simpleType>
    </xsd:element>
    <xsd:element name="DocumentConsultatnt" ma:index="21" nillable="true" ma:displayName="Document Consultant" ma:format="Dropdown" ma:internalName="DocumentConsultatnt">
      <xsd:simpleType>
        <xsd:restriction base="dms:Text">
          <xsd:maxLength value="255"/>
        </xsd:restriction>
      </xsd:simpleType>
    </xsd:element>
    <xsd:element name="BPO" ma:index="22" nillable="true" ma:displayName="BPO" ma:format="Dropdown" ma:internalName="BPO">
      <xsd:simpleType>
        <xsd:restriction base="dms:Text">
          <xsd:maxLength value="255"/>
        </xsd:restriction>
      </xsd:simpleType>
    </xsd:element>
    <xsd:element name="Status" ma:index="23" nillable="true" ma:displayName="Status" ma:format="Dropdown" ma:internalName="Status">
      <xsd:simpleType>
        <xsd:restriction base="dms:Text">
          <xsd:maxLength value="255"/>
        </xsd:restriction>
      </xsd:simpleType>
    </xsd:element>
    <xsd:element name="DueDate" ma:index="24" nillable="true" ma:displayName="Due Date" ma:format="Dropdown" ma:internalName="DueDat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e6fb3c-ae69-4363-9eac-f91567448a6f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b3843f2a-4ea9-4ff2-ae93-95147ee77641}" ma:internalName="TaxCatchAll" ma:showField="CatchAllData" ma:web="2fe6fb3c-ae69-4363-9eac-f91567448a6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07C3F64-86D0-4D06-BA1A-8A23930CE18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F1D2EAF-5037-4582-A6E2-E70A3AD2B93A}">
  <ds:schemaRefs>
    <ds:schemaRef ds:uri="http://schemas.microsoft.com/office/2006/metadata/properties"/>
    <ds:schemaRef ds:uri="http://schemas.microsoft.com/office/infopath/2007/PartnerControls"/>
    <ds:schemaRef ds:uri="2fe6fb3c-ae69-4363-9eac-f91567448a6f"/>
    <ds:schemaRef ds:uri="d19e0082-693e-45ae-8f74-da0dd659fa03"/>
  </ds:schemaRefs>
</ds:datastoreItem>
</file>

<file path=customXml/itemProps3.xml><?xml version="1.0" encoding="utf-8"?>
<ds:datastoreItem xmlns:ds="http://schemas.openxmlformats.org/officeDocument/2006/customXml" ds:itemID="{AD8348D3-6E60-4BEA-8083-5247F8AB9D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9e0082-693e-45ae-8f74-da0dd659fa03"/>
    <ds:schemaRef ds:uri="2fe6fb3c-ae69-4363-9eac-f91567448a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527</Words>
  <Characters>3009</Characters>
  <Application>Microsoft Office Word</Application>
  <DocSecurity>0</DocSecurity>
  <Lines>25</Lines>
  <Paragraphs>7</Paragraphs>
  <ScaleCrop>false</ScaleCrop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Blondell, Michael S</dc:creator>
  <cp:keywords/>
  <dc:description/>
  <cp:lastModifiedBy>Davis, David P.</cp:lastModifiedBy>
  <cp:revision>6</cp:revision>
  <dcterms:created xsi:type="dcterms:W3CDTF">2025-08-11T15:51:00Z</dcterms:created>
  <dcterms:modified xsi:type="dcterms:W3CDTF">2025-08-11T16:47:00Z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2025-04-29T20:14:12Z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b284f30d-dd38-4f27-abcd-010ab0e5a692</vt:lpwstr>
  </property>
  <property fmtid="{D5CDD505-2E9C-101B-9397-08002B2CF9AE}" pid="8" name="MSIP_Label_1ecdf243-b9b0-4f63-8694-76742e4201b7_ContentBits">
    <vt:lpwstr>0</vt:lpwstr>
  </property>
  <property fmtid="{D5CDD505-2E9C-101B-9397-08002B2CF9AE}" pid="9" name="ContentTypeId">
    <vt:lpwstr>0x010100EB57E074260378499F7E81CCDE102D50</vt:lpwstr>
  </property>
  <property fmtid="{D5CDD505-2E9C-101B-9397-08002B2CF9AE}" pid="10" name="MediaServiceImageTags">
    <vt:lpwstr/>
  </property>
</Properties>
</file>