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D280" w14:textId="27A23DE0" w:rsidR="00E21DAC" w:rsidRDefault="00D37444" w:rsidP="003A183D">
      <w:pPr>
        <w:pStyle w:val="Heading1"/>
        <w:spacing w:after="0"/>
        <w:rPr>
          <w:rFonts w:ascii="Verdana" w:hAnsi="Verdana"/>
          <w:bCs/>
          <w:color w:val="auto"/>
          <w:sz w:val="36"/>
        </w:rPr>
      </w:pPr>
      <w:bookmarkStart w:id="0" w:name="_top"/>
      <w:bookmarkEnd w:id="0"/>
      <w:r>
        <w:rPr>
          <w:rFonts w:ascii="Verdana" w:hAnsi="Verdana"/>
          <w:bCs/>
          <w:color w:val="auto"/>
          <w:sz w:val="36"/>
        </w:rPr>
        <w:t>DAW</w:t>
      </w:r>
      <w:r w:rsidR="00C9606C">
        <w:rPr>
          <w:rFonts w:ascii="Verdana" w:hAnsi="Verdana"/>
          <w:bCs/>
          <w:color w:val="auto"/>
          <w:sz w:val="36"/>
        </w:rPr>
        <w:t xml:space="preserve"> (Dispense as Written)</w:t>
      </w:r>
      <w:r>
        <w:rPr>
          <w:rFonts w:ascii="Verdana" w:hAnsi="Verdana"/>
          <w:bCs/>
          <w:color w:val="auto"/>
          <w:sz w:val="36"/>
        </w:rPr>
        <w:t xml:space="preserve"> and RBP</w:t>
      </w:r>
      <w:r w:rsidR="00C9606C">
        <w:rPr>
          <w:rFonts w:ascii="Verdana" w:hAnsi="Verdana"/>
          <w:bCs/>
          <w:color w:val="auto"/>
          <w:sz w:val="36"/>
        </w:rPr>
        <w:t xml:space="preserve"> (Reference Based Pricing)</w:t>
      </w:r>
      <w:r>
        <w:rPr>
          <w:rFonts w:ascii="Verdana" w:hAnsi="Verdana"/>
          <w:bCs/>
          <w:color w:val="auto"/>
          <w:sz w:val="36"/>
        </w:rPr>
        <w:t xml:space="preserve"> </w:t>
      </w:r>
      <w:r w:rsidR="00457A46">
        <w:rPr>
          <w:rFonts w:ascii="Verdana" w:hAnsi="Verdana"/>
          <w:bCs/>
          <w:color w:val="auto"/>
          <w:sz w:val="36"/>
        </w:rPr>
        <w:t>Cost Differen</w:t>
      </w:r>
      <w:r w:rsidR="004851BC">
        <w:rPr>
          <w:rFonts w:ascii="Verdana" w:hAnsi="Verdana"/>
          <w:bCs/>
          <w:color w:val="auto"/>
          <w:sz w:val="36"/>
        </w:rPr>
        <w:t>ce</w:t>
      </w:r>
    </w:p>
    <w:p w14:paraId="7F632694" w14:textId="77777777" w:rsidR="00E21DAC" w:rsidRDefault="00E21DAC" w:rsidP="00735F60">
      <w:pPr>
        <w:pStyle w:val="TOC1"/>
      </w:pPr>
    </w:p>
    <w:p w14:paraId="1A7FCEE2" w14:textId="63B6BFD4" w:rsidR="00B36A1E" w:rsidRPr="00B36A1E" w:rsidRDefault="00E21DAC">
      <w:pPr>
        <w:pStyle w:val="TOC1"/>
        <w:rPr>
          <w:rFonts w:eastAsiaTheme="minorEastAsia" w:cstheme="minorBidi"/>
          <w:noProof/>
          <w:sz w:val="22"/>
          <w:szCs w:val="22"/>
        </w:rPr>
      </w:pPr>
      <w:r w:rsidRPr="00B36A1E">
        <w:rPr>
          <w:rFonts w:cs="Arial"/>
          <w:b/>
        </w:rPr>
        <w:fldChar w:fldCharType="begin"/>
      </w:r>
      <w:r w:rsidRPr="00B36A1E">
        <w:rPr>
          <w:rFonts w:cs="Arial"/>
          <w:b/>
        </w:rPr>
        <w:instrText xml:space="preserve"> TOC \n \h \z \u \t "Heading 2,1" </w:instrText>
      </w:r>
      <w:r w:rsidRPr="00B36A1E">
        <w:rPr>
          <w:rFonts w:cs="Arial"/>
          <w:b/>
        </w:rPr>
        <w:fldChar w:fldCharType="separate"/>
      </w:r>
      <w:hyperlink w:anchor="_Toc145394306" w:history="1">
        <w:r w:rsidR="00B36A1E" w:rsidRPr="00B36A1E">
          <w:rPr>
            <w:rStyle w:val="Hyperlink"/>
            <w:rFonts w:ascii="Verdana" w:hAnsi="Verdana"/>
            <w:noProof/>
          </w:rPr>
          <w:t>Reminders and Copay Example</w:t>
        </w:r>
      </w:hyperlink>
    </w:p>
    <w:p w14:paraId="34306477" w14:textId="537ADC05" w:rsidR="00B36A1E" w:rsidRPr="00B36A1E" w:rsidRDefault="00D82017">
      <w:pPr>
        <w:pStyle w:val="TOC1"/>
        <w:rPr>
          <w:rFonts w:ascii="Verdana" w:eastAsiaTheme="minorEastAsia" w:hAnsi="Verdana" w:cstheme="minorBidi"/>
          <w:noProof/>
          <w:sz w:val="22"/>
          <w:szCs w:val="22"/>
        </w:rPr>
      </w:pPr>
      <w:hyperlink w:anchor="_Toc145394307" w:history="1">
        <w:r w:rsidR="00B36A1E" w:rsidRPr="00B36A1E">
          <w:rPr>
            <w:rStyle w:val="Hyperlink"/>
            <w:rFonts w:ascii="Verdana" w:hAnsi="Verdana"/>
            <w:noProof/>
          </w:rPr>
          <w:t>Claim Example</w:t>
        </w:r>
      </w:hyperlink>
    </w:p>
    <w:p w14:paraId="3F8B08CD" w14:textId="5730D564" w:rsidR="00B36A1E" w:rsidRPr="00B36A1E" w:rsidRDefault="00D82017">
      <w:pPr>
        <w:pStyle w:val="TOC1"/>
        <w:rPr>
          <w:rFonts w:ascii="Verdana" w:eastAsiaTheme="minorEastAsia" w:hAnsi="Verdana" w:cstheme="minorBidi"/>
          <w:noProof/>
          <w:sz w:val="22"/>
          <w:szCs w:val="22"/>
        </w:rPr>
      </w:pPr>
      <w:hyperlink w:anchor="_Toc145394308" w:history="1">
        <w:r w:rsidR="00B36A1E" w:rsidRPr="00B36A1E">
          <w:rPr>
            <w:rStyle w:val="Hyperlink"/>
            <w:rFonts w:ascii="Verdana" w:hAnsi="Verdana"/>
            <w:noProof/>
          </w:rPr>
          <w:t>DAW Cost Difference</w:t>
        </w:r>
      </w:hyperlink>
    </w:p>
    <w:p w14:paraId="53DD8151" w14:textId="355317E0" w:rsidR="00B36A1E" w:rsidRPr="00B36A1E" w:rsidRDefault="00D82017">
      <w:pPr>
        <w:pStyle w:val="TOC1"/>
        <w:rPr>
          <w:rFonts w:eastAsiaTheme="minorEastAsia" w:cstheme="minorBidi"/>
          <w:noProof/>
          <w:sz w:val="22"/>
          <w:szCs w:val="22"/>
        </w:rPr>
      </w:pPr>
      <w:hyperlink w:anchor="_Toc145394309" w:history="1">
        <w:r w:rsidR="00B36A1E" w:rsidRPr="00B36A1E">
          <w:rPr>
            <w:rStyle w:val="Hyperlink"/>
            <w:rFonts w:ascii="Verdana" w:hAnsi="Verdana"/>
            <w:noProof/>
          </w:rPr>
          <w:t>Brand Name Preferred (DAW 9) and Substitution Allowed (DAW 5) Brand as Generic Drugs</w:t>
        </w:r>
      </w:hyperlink>
    </w:p>
    <w:p w14:paraId="73B6E4AD" w14:textId="522691A7" w:rsidR="00B36A1E" w:rsidRPr="00B36A1E" w:rsidRDefault="00D82017">
      <w:pPr>
        <w:pStyle w:val="TOC1"/>
        <w:rPr>
          <w:rFonts w:eastAsiaTheme="minorEastAsia" w:cstheme="minorBidi"/>
          <w:noProof/>
          <w:sz w:val="22"/>
          <w:szCs w:val="22"/>
        </w:rPr>
      </w:pPr>
      <w:hyperlink w:anchor="_Toc145394310" w:history="1">
        <w:r w:rsidR="00B36A1E" w:rsidRPr="00B36A1E">
          <w:rPr>
            <w:rStyle w:val="Hyperlink"/>
            <w:rFonts w:ascii="Verdana" w:hAnsi="Verdana"/>
            <w:noProof/>
          </w:rPr>
          <w:t>RBP (Reference Based Pricing) Cost Difference</w:t>
        </w:r>
      </w:hyperlink>
    </w:p>
    <w:p w14:paraId="4A6FC266" w14:textId="3FAB4392" w:rsidR="00B36A1E" w:rsidRPr="00B36A1E" w:rsidRDefault="00D82017">
      <w:pPr>
        <w:pStyle w:val="TOC1"/>
        <w:rPr>
          <w:rFonts w:eastAsiaTheme="minorEastAsia" w:cstheme="minorBidi"/>
          <w:noProof/>
          <w:sz w:val="22"/>
          <w:szCs w:val="22"/>
        </w:rPr>
      </w:pPr>
      <w:hyperlink w:anchor="_Toc145394311" w:history="1">
        <w:r w:rsidR="00B36A1E" w:rsidRPr="00B36A1E">
          <w:rPr>
            <w:rStyle w:val="Hyperlink"/>
            <w:rFonts w:ascii="Verdana" w:hAnsi="Verdana"/>
            <w:noProof/>
          </w:rPr>
          <w:t>Explanations of the Cost Difference</w:t>
        </w:r>
      </w:hyperlink>
    </w:p>
    <w:p w14:paraId="3C819F24" w14:textId="09A732CB" w:rsidR="00B36A1E" w:rsidRPr="00B36A1E" w:rsidRDefault="00D82017">
      <w:pPr>
        <w:pStyle w:val="TOC1"/>
        <w:rPr>
          <w:rFonts w:ascii="Verdana" w:eastAsiaTheme="minorEastAsia" w:hAnsi="Verdana" w:cstheme="minorBidi"/>
          <w:noProof/>
          <w:sz w:val="22"/>
          <w:szCs w:val="22"/>
        </w:rPr>
      </w:pPr>
      <w:hyperlink w:anchor="_Toc145394312" w:history="1">
        <w:r w:rsidR="00B36A1E" w:rsidRPr="00B36A1E">
          <w:rPr>
            <w:rStyle w:val="Hyperlink"/>
            <w:rFonts w:ascii="Verdana" w:hAnsi="Verdana"/>
            <w:noProof/>
          </w:rPr>
          <w:t>Related Documents</w:t>
        </w:r>
      </w:hyperlink>
    </w:p>
    <w:p w14:paraId="64773B84" w14:textId="53C30AFC" w:rsidR="00177276" w:rsidRPr="00391FE2" w:rsidRDefault="00E21DAC" w:rsidP="00D36ACF">
      <w:pPr>
        <w:pStyle w:val="TOC2"/>
        <w:rPr>
          <w:rFonts w:ascii="Verdana" w:hAnsi="Verdana"/>
          <w:color w:val="000000"/>
        </w:rPr>
      </w:pPr>
      <w:r w:rsidRPr="00B36A1E">
        <w:rPr>
          <w:rFonts w:ascii="Verdana" w:hAnsi="Verdana" w:cs="Arial"/>
          <w:b/>
          <w:color w:val="FF9900"/>
        </w:rPr>
        <w:fldChar w:fldCharType="end"/>
      </w:r>
    </w:p>
    <w:p w14:paraId="61A5D015" w14:textId="3E750E64" w:rsidR="001B6235" w:rsidRDefault="001B6235" w:rsidP="000D59D0">
      <w:pPr>
        <w:spacing w:before="120" w:after="120"/>
        <w:rPr>
          <w:rFonts w:ascii="Verdana" w:hAnsi="Verdana"/>
          <w:color w:val="000000"/>
        </w:rPr>
      </w:pPr>
      <w:r w:rsidRPr="001B6235">
        <w:rPr>
          <w:rFonts w:ascii="Verdana" w:hAnsi="Verdana"/>
          <w:b/>
          <w:bCs/>
          <w:color w:val="000000"/>
        </w:rPr>
        <w:t>Description:</w:t>
      </w:r>
      <w:r>
        <w:rPr>
          <w:rFonts w:ascii="Verdana" w:hAnsi="Verdana"/>
          <w:color w:val="000000"/>
        </w:rPr>
        <w:t xml:space="preserve">  </w:t>
      </w:r>
      <w:bookmarkStart w:id="1" w:name="OLE_LINK23"/>
      <w:r w:rsidR="00371439">
        <w:rPr>
          <w:rFonts w:ascii="Verdana" w:hAnsi="Verdana"/>
          <w:color w:val="000000"/>
        </w:rPr>
        <w:t>P</w:t>
      </w:r>
      <w:r>
        <w:rPr>
          <w:rFonts w:ascii="Verdana" w:hAnsi="Verdana"/>
          <w:color w:val="000000"/>
        </w:rPr>
        <w:t xml:space="preserve">rovides </w:t>
      </w:r>
      <w:r w:rsidR="00992423">
        <w:rPr>
          <w:rFonts w:ascii="Verdana" w:hAnsi="Verdana"/>
          <w:color w:val="000000"/>
        </w:rPr>
        <w:t>information about</w:t>
      </w:r>
      <w:r>
        <w:rPr>
          <w:rFonts w:ascii="Verdana" w:hAnsi="Verdana"/>
          <w:color w:val="000000"/>
        </w:rPr>
        <w:t xml:space="preserve"> when </w:t>
      </w:r>
      <w:r w:rsidR="009D5F9B">
        <w:rPr>
          <w:rFonts w:ascii="Verdana" w:hAnsi="Verdana"/>
          <w:color w:val="000000"/>
        </w:rPr>
        <w:t>m</w:t>
      </w:r>
      <w:r w:rsidR="009D5F9B" w:rsidRPr="00D37444">
        <w:rPr>
          <w:rFonts w:ascii="Verdana" w:hAnsi="Verdana"/>
          <w:color w:val="000000"/>
        </w:rPr>
        <w:t xml:space="preserve">embers </w:t>
      </w:r>
      <w:r w:rsidR="005D0BAA" w:rsidRPr="00D37444">
        <w:rPr>
          <w:rFonts w:ascii="Verdana" w:hAnsi="Verdana"/>
          <w:color w:val="000000"/>
        </w:rPr>
        <w:t xml:space="preserve">may have the option to obtain coverage on brand medications when available.  The plan may choose to offer a certain amount of coverage towards the medication.  If a brand is chosen when it has a direct generic </w:t>
      </w:r>
      <w:r w:rsidR="00A21351" w:rsidRPr="00D37444">
        <w:rPr>
          <w:rFonts w:ascii="Verdana" w:hAnsi="Verdana"/>
          <w:color w:val="000000"/>
        </w:rPr>
        <w:t>available,</w:t>
      </w:r>
      <w:r w:rsidR="005D0BAA" w:rsidRPr="00D37444">
        <w:rPr>
          <w:rFonts w:ascii="Verdana" w:hAnsi="Verdana"/>
          <w:color w:val="000000"/>
        </w:rPr>
        <w:t xml:space="preserve"> then the member usually pays the difference between the brand and generic along with the appropriate copay.  Afterwards, the client pay</w:t>
      </w:r>
      <w:r w:rsidR="00E63560">
        <w:rPr>
          <w:rFonts w:ascii="Verdana" w:hAnsi="Verdana"/>
          <w:color w:val="000000"/>
        </w:rPr>
        <w:t>s</w:t>
      </w:r>
      <w:r w:rsidR="005D0BAA" w:rsidRPr="00D37444">
        <w:rPr>
          <w:rFonts w:ascii="Verdana" w:hAnsi="Verdana"/>
          <w:color w:val="000000"/>
        </w:rPr>
        <w:t xml:space="preserve"> the </w:t>
      </w:r>
      <w:r w:rsidR="009D5F9B">
        <w:rPr>
          <w:rFonts w:ascii="Verdana" w:hAnsi="Verdana"/>
          <w:color w:val="000000"/>
        </w:rPr>
        <w:t>remainder</w:t>
      </w:r>
      <w:r w:rsidR="005D0BAA" w:rsidRPr="00D37444">
        <w:rPr>
          <w:rFonts w:ascii="Verdana" w:hAnsi="Verdana"/>
          <w:color w:val="000000"/>
        </w:rPr>
        <w:t>.</w:t>
      </w:r>
      <w:bookmarkEnd w:id="1"/>
    </w:p>
    <w:p w14:paraId="5E0537B3" w14:textId="2FC4E346" w:rsidR="009F351E" w:rsidRDefault="009F351E" w:rsidP="009F351E">
      <w:pPr>
        <w:spacing w:before="120" w:after="120"/>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B6235" w14:paraId="17D8E5A1" w14:textId="77777777" w:rsidTr="009F351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12C9EE8" w14:textId="0B8DC612" w:rsidR="001B6235" w:rsidRDefault="001B6235" w:rsidP="000D59D0">
            <w:pPr>
              <w:pStyle w:val="Heading2"/>
              <w:spacing w:before="120" w:after="120"/>
            </w:pPr>
            <w:bookmarkStart w:id="2" w:name="_Toc145394306"/>
            <w:r>
              <w:t>Reminders</w:t>
            </w:r>
            <w:r w:rsidR="004851BC">
              <w:t xml:space="preserve"> and Copay Example</w:t>
            </w:r>
            <w:bookmarkEnd w:id="2"/>
          </w:p>
        </w:tc>
      </w:tr>
    </w:tbl>
    <w:p w14:paraId="61CB43EF" w14:textId="77777777" w:rsidR="00070B1F" w:rsidRDefault="00070B1F" w:rsidP="000D59D0">
      <w:pPr>
        <w:spacing w:before="120" w:after="120"/>
        <w:rPr>
          <w:rFonts w:ascii="Verdana" w:hAnsi="Verdana"/>
          <w:color w:val="000000"/>
        </w:rPr>
      </w:pPr>
    </w:p>
    <w:p w14:paraId="6EB182EB" w14:textId="7BE7B098" w:rsidR="001B6235" w:rsidRDefault="00D82017" w:rsidP="000D59D0">
      <w:pPr>
        <w:spacing w:before="120" w:after="120"/>
        <w:rPr>
          <w:rFonts w:ascii="Verdana" w:hAnsi="Verdana"/>
          <w:b/>
          <w:color w:val="00B0F0"/>
        </w:rPr>
      </w:pPr>
      <w:r>
        <w:pict w14:anchorId="48C3001A">
          <v:shape id="Picture 2" o:spid="_x0000_i1027" type="#_x0000_t75" style="width:18.75pt;height:16.5pt;visibility:visible;mso-wrap-style:square">
            <v:imagedata r:id="rId8" o:title=""/>
          </v:shape>
        </w:pict>
      </w:r>
      <w:r w:rsidR="00A963CD" w:rsidRPr="001B6235">
        <w:rPr>
          <w:rFonts w:ascii="Verdana" w:hAnsi="Verdana"/>
          <w:b/>
          <w:color w:val="00B0F0"/>
        </w:rPr>
        <w:t xml:space="preserve"> </w:t>
      </w:r>
    </w:p>
    <w:p w14:paraId="4DFA0303" w14:textId="0AA036FD" w:rsidR="000A77FD" w:rsidRPr="009F6524" w:rsidRDefault="007A6EFA" w:rsidP="000D59D0">
      <w:pPr>
        <w:pStyle w:val="ListParagraph"/>
        <w:numPr>
          <w:ilvl w:val="0"/>
          <w:numId w:val="4"/>
        </w:numPr>
        <w:spacing w:before="120" w:after="120"/>
        <w:ind w:left="360"/>
      </w:pPr>
      <w:r>
        <w:rPr>
          <w:rFonts w:ascii="Verdana" w:hAnsi="Verdana"/>
        </w:rPr>
        <w:t>R</w:t>
      </w:r>
      <w:r w:rsidR="00A963CD" w:rsidRPr="001B6235">
        <w:rPr>
          <w:rFonts w:ascii="Verdana" w:hAnsi="Verdana"/>
        </w:rPr>
        <w:t xml:space="preserve">efer to the </w:t>
      </w:r>
      <w:r w:rsidR="009D5F9B">
        <w:rPr>
          <w:rFonts w:ascii="Verdana" w:hAnsi="Verdana"/>
        </w:rPr>
        <w:t>c</w:t>
      </w:r>
      <w:r w:rsidR="009D5F9B" w:rsidRPr="001B6235">
        <w:rPr>
          <w:rFonts w:ascii="Verdana" w:hAnsi="Verdana"/>
        </w:rPr>
        <w:t xml:space="preserve">lient’s </w:t>
      </w:r>
      <w:r w:rsidR="00A963CD" w:rsidRPr="001B6235">
        <w:rPr>
          <w:rFonts w:ascii="Verdana" w:hAnsi="Verdana"/>
        </w:rPr>
        <w:t xml:space="preserve">CIF to </w:t>
      </w:r>
      <w:r w:rsidR="009D5F9B">
        <w:rPr>
          <w:rFonts w:ascii="Verdana" w:hAnsi="Verdana"/>
        </w:rPr>
        <w:t>determine</w:t>
      </w:r>
      <w:r w:rsidR="009D5F9B" w:rsidRPr="001B6235">
        <w:rPr>
          <w:rFonts w:ascii="Verdana" w:hAnsi="Verdana"/>
        </w:rPr>
        <w:t xml:space="preserve"> </w:t>
      </w:r>
      <w:r w:rsidR="00A963CD" w:rsidRPr="001B6235">
        <w:rPr>
          <w:rFonts w:ascii="Verdana" w:hAnsi="Verdana"/>
        </w:rPr>
        <w:t xml:space="preserve">if any </w:t>
      </w:r>
      <w:r w:rsidR="00457A46">
        <w:rPr>
          <w:rFonts w:ascii="Verdana" w:hAnsi="Verdana"/>
        </w:rPr>
        <w:t>Cost Differen</w:t>
      </w:r>
      <w:r w:rsidR="004851BC">
        <w:rPr>
          <w:rFonts w:ascii="Verdana" w:hAnsi="Verdana"/>
        </w:rPr>
        <w:t>ce</w:t>
      </w:r>
      <w:r w:rsidR="00711B28" w:rsidRPr="001B6235">
        <w:rPr>
          <w:rFonts w:ascii="Verdana" w:hAnsi="Verdana"/>
        </w:rPr>
        <w:t xml:space="preserve"> </w:t>
      </w:r>
      <w:r w:rsidR="00A963CD" w:rsidRPr="001B6235">
        <w:rPr>
          <w:rFonts w:ascii="Verdana" w:hAnsi="Verdana"/>
        </w:rPr>
        <w:t xml:space="preserve">exception for a DAW 1 </w:t>
      </w:r>
      <w:r w:rsidR="004851BC">
        <w:rPr>
          <w:rFonts w:ascii="Verdana" w:hAnsi="Verdana"/>
        </w:rPr>
        <w:t xml:space="preserve">or DAW 2 </w:t>
      </w:r>
      <w:r w:rsidR="00A963CD" w:rsidRPr="001B6235">
        <w:rPr>
          <w:rFonts w:ascii="Verdana" w:hAnsi="Verdana"/>
        </w:rPr>
        <w:t>is allowed</w:t>
      </w:r>
      <w:r w:rsidR="00430695" w:rsidRPr="001B6235">
        <w:rPr>
          <w:rFonts w:ascii="Verdana" w:hAnsi="Verdana"/>
        </w:rPr>
        <w:t>/applicable</w:t>
      </w:r>
      <w:r w:rsidR="000A77FD" w:rsidRPr="001B6235">
        <w:rPr>
          <w:rFonts w:ascii="Verdana" w:hAnsi="Verdana"/>
        </w:rPr>
        <w:t>.</w:t>
      </w:r>
      <w:r w:rsidR="000A77FD" w:rsidRPr="009F6524">
        <w:t xml:space="preserve"> </w:t>
      </w:r>
    </w:p>
    <w:p w14:paraId="6A565FB1" w14:textId="77777777" w:rsidR="001B6235" w:rsidRDefault="001B6235" w:rsidP="000D59D0">
      <w:pPr>
        <w:spacing w:before="120" w:after="120"/>
        <w:ind w:left="90" w:hanging="450"/>
        <w:rPr>
          <w:b/>
          <w:noProof/>
          <w:color w:val="00B0F0"/>
        </w:rPr>
      </w:pPr>
    </w:p>
    <w:p w14:paraId="0B52661B" w14:textId="459EF902" w:rsidR="000A77FD" w:rsidRDefault="001B6235" w:rsidP="000D59D0">
      <w:pPr>
        <w:pStyle w:val="ListParagraph"/>
        <w:numPr>
          <w:ilvl w:val="0"/>
          <w:numId w:val="4"/>
        </w:numPr>
        <w:spacing w:before="120" w:after="120"/>
        <w:ind w:left="360"/>
        <w:rPr>
          <w:rFonts w:ascii="Verdana" w:hAnsi="Verdana"/>
        </w:rPr>
      </w:pPr>
      <w:r>
        <w:rPr>
          <w:rFonts w:ascii="Verdana" w:hAnsi="Verdana"/>
        </w:rPr>
        <w:t>R</w:t>
      </w:r>
      <w:r w:rsidR="000A77FD" w:rsidRPr="001B6235">
        <w:rPr>
          <w:rFonts w:ascii="Verdana" w:hAnsi="Verdana"/>
        </w:rPr>
        <w:t xml:space="preserve">un a </w:t>
      </w:r>
      <w:r w:rsidR="00AD3914" w:rsidRPr="00992423">
        <w:rPr>
          <w:rFonts w:ascii="Verdana" w:hAnsi="Verdana"/>
        </w:rPr>
        <w:t>Test Claim</w:t>
      </w:r>
      <w:r w:rsidRPr="00992423">
        <w:rPr>
          <w:rFonts w:ascii="Verdana" w:hAnsi="Verdana"/>
        </w:rPr>
        <w:t xml:space="preserve"> </w:t>
      </w:r>
      <w:r w:rsidR="000A77FD" w:rsidRPr="00992423">
        <w:rPr>
          <w:rFonts w:ascii="Verdana" w:hAnsi="Verdana"/>
        </w:rPr>
        <w:t xml:space="preserve">for </w:t>
      </w:r>
      <w:r w:rsidR="00992423" w:rsidRPr="00992423">
        <w:rPr>
          <w:rFonts w:ascii="Verdana" w:hAnsi="Verdana"/>
        </w:rPr>
        <w:t>DAW</w:t>
      </w:r>
      <w:r w:rsidR="000A77FD" w:rsidRPr="00992423">
        <w:rPr>
          <w:rFonts w:ascii="Verdana" w:hAnsi="Verdana"/>
        </w:rPr>
        <w:t xml:space="preserve"> 1</w:t>
      </w:r>
      <w:r w:rsidR="000A77FD" w:rsidRPr="001B6235">
        <w:rPr>
          <w:rFonts w:ascii="Verdana" w:hAnsi="Verdana"/>
        </w:rPr>
        <w:t xml:space="preserve"> and DAW 2 to </w:t>
      </w:r>
      <w:r w:rsidR="009D5F9B">
        <w:rPr>
          <w:rFonts w:ascii="Verdana" w:hAnsi="Verdana"/>
        </w:rPr>
        <w:t>determine</w:t>
      </w:r>
      <w:r w:rsidR="009D5F9B" w:rsidRPr="001B6235">
        <w:rPr>
          <w:rFonts w:ascii="Verdana" w:hAnsi="Verdana"/>
        </w:rPr>
        <w:t xml:space="preserve"> </w:t>
      </w:r>
      <w:r w:rsidR="000A77FD" w:rsidRPr="001B6235">
        <w:rPr>
          <w:rFonts w:ascii="Verdana" w:hAnsi="Verdana"/>
        </w:rPr>
        <w:t xml:space="preserve">if there </w:t>
      </w:r>
      <w:r w:rsidR="00F827D5" w:rsidRPr="001B6235">
        <w:rPr>
          <w:rFonts w:ascii="Verdana" w:hAnsi="Verdana"/>
        </w:rPr>
        <w:t>are</w:t>
      </w:r>
      <w:r w:rsidR="000A77FD" w:rsidRPr="001B6235">
        <w:rPr>
          <w:rFonts w:ascii="Verdana" w:hAnsi="Verdana"/>
        </w:rPr>
        <w:t xml:space="preserve"> difference</w:t>
      </w:r>
      <w:r w:rsidR="00F827D5" w:rsidRPr="001B6235">
        <w:rPr>
          <w:rFonts w:ascii="Verdana" w:hAnsi="Verdana"/>
        </w:rPr>
        <w:t>s</w:t>
      </w:r>
      <w:r w:rsidR="000A77FD" w:rsidRPr="001B6235">
        <w:rPr>
          <w:rFonts w:ascii="Verdana" w:hAnsi="Verdana"/>
        </w:rPr>
        <w:t xml:space="preserve"> in the cost.</w:t>
      </w:r>
      <w:r w:rsidR="009F6524" w:rsidRPr="001B6235">
        <w:rPr>
          <w:rFonts w:ascii="Verdana" w:hAnsi="Verdana"/>
        </w:rPr>
        <w:t xml:space="preserve"> </w:t>
      </w:r>
    </w:p>
    <w:p w14:paraId="1EC5C9A5" w14:textId="0DF18874" w:rsidR="00711B28" w:rsidRPr="003351B1" w:rsidRDefault="00711B28" w:rsidP="003351B1">
      <w:pPr>
        <w:rPr>
          <w:rFonts w:ascii="Verdana" w:hAnsi="Verdana"/>
        </w:rPr>
      </w:pPr>
    </w:p>
    <w:p w14:paraId="2E8E28F3" w14:textId="32194DD8" w:rsidR="00711B28" w:rsidRDefault="00711B28" w:rsidP="000D59D0">
      <w:pPr>
        <w:pStyle w:val="ListParagraph"/>
        <w:numPr>
          <w:ilvl w:val="0"/>
          <w:numId w:val="4"/>
        </w:numPr>
        <w:spacing w:before="120" w:after="120"/>
        <w:ind w:left="360"/>
        <w:rPr>
          <w:rFonts w:ascii="Verdana" w:hAnsi="Verdana"/>
        </w:rPr>
      </w:pPr>
      <w:r w:rsidRPr="00711B28">
        <w:rPr>
          <w:rFonts w:ascii="Verdana" w:hAnsi="Verdana"/>
        </w:rPr>
        <w:t>Members may have the option to obtain coverage on brand and/or generic medications when available. If a brand is chosen when it has a direct generic available, then the member pay</w:t>
      </w:r>
      <w:r w:rsidR="00026C99">
        <w:rPr>
          <w:rFonts w:ascii="Verdana" w:hAnsi="Verdana"/>
        </w:rPr>
        <w:t>s</w:t>
      </w:r>
      <w:r w:rsidRPr="00711B28">
        <w:rPr>
          <w:rFonts w:ascii="Verdana" w:hAnsi="Verdana"/>
        </w:rPr>
        <w:t xml:space="preserve"> the difference between the brand and generic cost along with the generic co-pay.</w:t>
      </w:r>
    </w:p>
    <w:p w14:paraId="44DE83C2" w14:textId="77777777" w:rsidR="008D1017" w:rsidRDefault="008D1017" w:rsidP="00711B28">
      <w:pPr>
        <w:spacing w:before="120" w:after="120"/>
        <w:ind w:left="360"/>
        <w:rPr>
          <w:rFonts w:ascii="Verdana" w:hAnsi="Verdana"/>
          <w:b/>
          <w:bCs/>
        </w:rPr>
      </w:pPr>
    </w:p>
    <w:p w14:paraId="3D60A706" w14:textId="66B4E90A" w:rsidR="00711B28" w:rsidRDefault="001872F6" w:rsidP="00E63560">
      <w:pPr>
        <w:spacing w:before="120" w:after="120"/>
        <w:ind w:left="270"/>
        <w:rPr>
          <w:rFonts w:ascii="Verdana" w:hAnsi="Verdana"/>
        </w:rPr>
      </w:pPr>
      <w:r>
        <w:rPr>
          <w:rFonts w:ascii="Verdana" w:hAnsi="Verdana"/>
          <w:b/>
          <w:bCs/>
        </w:rPr>
        <w:t xml:space="preserve"> </w:t>
      </w:r>
      <w:r w:rsidR="004851BC">
        <w:rPr>
          <w:rFonts w:ascii="Verdana" w:hAnsi="Verdana"/>
          <w:b/>
          <w:bCs/>
          <w:noProof/>
        </w:rPr>
        <w:drawing>
          <wp:inline distT="0" distB="0" distL="0" distR="0" wp14:anchorId="1502790E" wp14:editId="2C86923E">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711B28">
        <w:rPr>
          <w:rFonts w:ascii="Verdana" w:hAnsi="Verdana"/>
          <w:b/>
          <w:bCs/>
        </w:rPr>
        <w:t xml:space="preserve"> </w:t>
      </w:r>
      <w:r w:rsidR="004851BC">
        <w:rPr>
          <w:rFonts w:ascii="Verdana" w:hAnsi="Verdana"/>
        </w:rPr>
        <w:t>Refer to this as a DAW Cost Difference</w:t>
      </w:r>
      <w:r w:rsidR="000560C1">
        <w:rPr>
          <w:rFonts w:ascii="Verdana" w:hAnsi="Verdana"/>
        </w:rPr>
        <w:t>.</w:t>
      </w:r>
      <w:r w:rsidR="00DC6607">
        <w:rPr>
          <w:rFonts w:ascii="Verdana" w:hAnsi="Verdana"/>
        </w:rPr>
        <w:t xml:space="preserve">  Do not refer to it as a DAW penalty.</w:t>
      </w:r>
    </w:p>
    <w:p w14:paraId="52774839" w14:textId="7921D5A5" w:rsidR="00711B28" w:rsidRDefault="00711B28" w:rsidP="00711B28">
      <w:pPr>
        <w:spacing w:before="120" w:after="120"/>
        <w:ind w:left="360"/>
        <w:rPr>
          <w:rFonts w:ascii="Verdana" w:hAnsi="Verdana"/>
        </w:rPr>
      </w:pPr>
      <w:r>
        <w:rPr>
          <w:rFonts w:ascii="Verdana" w:hAnsi="Verdana"/>
          <w:b/>
          <w:bCs/>
        </w:rPr>
        <w:t>Example:</w:t>
      </w:r>
      <w:r>
        <w:rPr>
          <w:rFonts w:ascii="Verdana" w:hAnsi="Verdana"/>
        </w:rPr>
        <w:t xml:space="preserve">  </w:t>
      </w:r>
    </w:p>
    <w:p w14:paraId="794BE489" w14:textId="2B059852" w:rsidR="00711B28" w:rsidRPr="00095C06" w:rsidRDefault="00711B28" w:rsidP="00095C06">
      <w:pPr>
        <w:spacing w:before="120" w:after="120"/>
        <w:ind w:left="360"/>
        <w:rPr>
          <w:rFonts w:ascii="Verdana" w:hAnsi="Verdana"/>
        </w:rPr>
      </w:pPr>
      <w:r w:rsidRPr="00095C06">
        <w:rPr>
          <w:rFonts w:ascii="Verdana" w:hAnsi="Verdana"/>
        </w:rPr>
        <w:t xml:space="preserve">Total Cost Brand: </w:t>
      </w:r>
      <w:r w:rsidR="004851BC" w:rsidRPr="00095C06">
        <w:rPr>
          <w:rFonts w:ascii="Verdana" w:hAnsi="Verdana"/>
        </w:rPr>
        <w:t xml:space="preserve"> </w:t>
      </w:r>
      <w:r w:rsidRPr="00095C06">
        <w:rPr>
          <w:rFonts w:ascii="Verdana" w:hAnsi="Verdana"/>
        </w:rPr>
        <w:t>$100</w:t>
      </w:r>
    </w:p>
    <w:p w14:paraId="6F8B4198" w14:textId="10B149CC" w:rsidR="00711B28" w:rsidRPr="00095C06" w:rsidRDefault="00711B28" w:rsidP="00095C06">
      <w:pPr>
        <w:spacing w:before="120" w:after="120"/>
        <w:ind w:left="360"/>
        <w:rPr>
          <w:rFonts w:ascii="Verdana" w:hAnsi="Verdana"/>
        </w:rPr>
      </w:pPr>
      <w:r w:rsidRPr="00095C06">
        <w:rPr>
          <w:rFonts w:ascii="Verdana" w:hAnsi="Verdana"/>
        </w:rPr>
        <w:t>Total Cost of Generic:</w:t>
      </w:r>
      <w:r w:rsidR="004851BC" w:rsidRPr="00095C06">
        <w:rPr>
          <w:rFonts w:ascii="Verdana" w:hAnsi="Verdana"/>
        </w:rPr>
        <w:t xml:space="preserve"> </w:t>
      </w:r>
      <w:r w:rsidRPr="00095C06">
        <w:rPr>
          <w:rFonts w:ascii="Verdana" w:hAnsi="Verdana"/>
        </w:rPr>
        <w:t xml:space="preserve"> $20</w:t>
      </w:r>
    </w:p>
    <w:p w14:paraId="4C605EBA" w14:textId="7C68DFF0" w:rsidR="00711B28" w:rsidRPr="00095C06" w:rsidRDefault="00711B28" w:rsidP="00095C06">
      <w:pPr>
        <w:spacing w:before="120" w:after="120"/>
        <w:ind w:left="360"/>
        <w:rPr>
          <w:rFonts w:ascii="Verdana" w:hAnsi="Verdana"/>
        </w:rPr>
      </w:pPr>
      <w:r w:rsidRPr="00095C06">
        <w:rPr>
          <w:rFonts w:ascii="Verdana" w:hAnsi="Verdana"/>
        </w:rPr>
        <w:t xml:space="preserve">Generic Co-Payment: </w:t>
      </w:r>
      <w:r w:rsidR="004851BC" w:rsidRPr="00095C06">
        <w:rPr>
          <w:rFonts w:ascii="Verdana" w:hAnsi="Verdana"/>
        </w:rPr>
        <w:t xml:space="preserve"> </w:t>
      </w:r>
      <w:r w:rsidRPr="00095C06">
        <w:rPr>
          <w:rFonts w:ascii="Verdana" w:hAnsi="Verdana"/>
        </w:rPr>
        <w:t>$10</w:t>
      </w:r>
    </w:p>
    <w:p w14:paraId="435691DA" w14:textId="3CF5728D" w:rsidR="00711B28" w:rsidRPr="003351B1" w:rsidRDefault="00711B28" w:rsidP="003351B1">
      <w:pPr>
        <w:pStyle w:val="ListParagraph"/>
        <w:numPr>
          <w:ilvl w:val="0"/>
          <w:numId w:val="4"/>
        </w:numPr>
        <w:spacing w:before="120" w:after="120"/>
        <w:rPr>
          <w:rFonts w:ascii="Verdana" w:hAnsi="Verdana"/>
        </w:rPr>
      </w:pPr>
      <w:r w:rsidRPr="003351B1">
        <w:rPr>
          <w:rFonts w:ascii="Verdana" w:hAnsi="Verdana"/>
        </w:rPr>
        <w:t xml:space="preserve">$100 - $20 = $80 dollar DAW </w:t>
      </w:r>
      <w:r w:rsidR="00457A46">
        <w:rPr>
          <w:rFonts w:ascii="Verdana" w:hAnsi="Verdana"/>
        </w:rPr>
        <w:t>Cost Differen</w:t>
      </w:r>
      <w:r w:rsidR="004851BC">
        <w:rPr>
          <w:rFonts w:ascii="Verdana" w:hAnsi="Verdana"/>
        </w:rPr>
        <w:t>ce</w:t>
      </w:r>
    </w:p>
    <w:p w14:paraId="220E11DB" w14:textId="2F385734" w:rsidR="00711B28" w:rsidRPr="003351B1" w:rsidRDefault="00711B28" w:rsidP="003351B1">
      <w:pPr>
        <w:pStyle w:val="ListParagraph"/>
        <w:numPr>
          <w:ilvl w:val="0"/>
          <w:numId w:val="4"/>
        </w:numPr>
        <w:spacing w:before="120" w:after="120"/>
        <w:rPr>
          <w:rFonts w:ascii="Verdana" w:hAnsi="Verdana"/>
        </w:rPr>
      </w:pPr>
      <w:r w:rsidRPr="003351B1">
        <w:rPr>
          <w:rFonts w:ascii="Verdana" w:hAnsi="Verdana"/>
        </w:rPr>
        <w:t>$80 + $10 (co-payment) = $90 member</w:t>
      </w:r>
      <w:r w:rsidR="004851BC">
        <w:rPr>
          <w:rFonts w:ascii="Verdana" w:hAnsi="Verdana"/>
        </w:rPr>
        <w:t xml:space="preserve"> copay</w:t>
      </w:r>
    </w:p>
    <w:bookmarkStart w:id="3" w:name="OLE_LINK31"/>
    <w:p w14:paraId="0792E107" w14:textId="2E702B45" w:rsidR="007E2318" w:rsidRPr="007E2318" w:rsidRDefault="000560C1" w:rsidP="007E2318">
      <w:pPr>
        <w:pStyle w:val="ListParagraph"/>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7E2318" w:rsidRPr="000560C1">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294C" w14:paraId="09CACB73" w14:textId="77777777" w:rsidTr="007E2318">
        <w:tc>
          <w:tcPr>
            <w:tcW w:w="5000" w:type="pct"/>
            <w:shd w:val="clear" w:color="auto" w:fill="C0C0C0"/>
          </w:tcPr>
          <w:p w14:paraId="51AA3547" w14:textId="77777777" w:rsidR="0032294C" w:rsidRPr="00EF372E" w:rsidRDefault="00D37444" w:rsidP="000D59D0">
            <w:pPr>
              <w:pStyle w:val="Heading2"/>
              <w:spacing w:before="120" w:after="120"/>
            </w:pPr>
            <w:bookmarkStart w:id="4" w:name="_Overview"/>
            <w:bookmarkStart w:id="5" w:name="_Toc145394307"/>
            <w:bookmarkEnd w:id="4"/>
            <w:r>
              <w:t>Claim Example</w:t>
            </w:r>
            <w:bookmarkEnd w:id="5"/>
          </w:p>
        </w:tc>
      </w:tr>
    </w:tbl>
    <w:bookmarkEnd w:id="3"/>
    <w:p w14:paraId="43EBA869" w14:textId="5BDB26CD" w:rsidR="00D37444" w:rsidRDefault="009D5F9B" w:rsidP="000D59D0">
      <w:pPr>
        <w:spacing w:before="120" w:after="120"/>
        <w:rPr>
          <w:rFonts w:ascii="Verdana" w:hAnsi="Verdana"/>
        </w:rPr>
      </w:pPr>
      <w:r>
        <w:rPr>
          <w:rFonts w:ascii="Verdana" w:hAnsi="Verdana"/>
        </w:rPr>
        <w:t>Displayed</w:t>
      </w:r>
      <w:r w:rsidR="00D37444" w:rsidRPr="00D37444">
        <w:rPr>
          <w:rFonts w:ascii="Verdana" w:hAnsi="Verdana"/>
        </w:rPr>
        <w:t xml:space="preserve"> </w:t>
      </w:r>
      <w:r w:rsidR="00C9606C">
        <w:rPr>
          <w:rFonts w:ascii="Verdana" w:hAnsi="Verdana"/>
        </w:rPr>
        <w:t>on</w:t>
      </w:r>
      <w:r w:rsidR="00C9606C" w:rsidRPr="00D37444">
        <w:rPr>
          <w:rFonts w:ascii="Verdana" w:hAnsi="Verdana"/>
        </w:rPr>
        <w:t xml:space="preserve"> </w:t>
      </w:r>
      <w:r w:rsidR="00D37444" w:rsidRPr="00D37444">
        <w:rPr>
          <w:rFonts w:ascii="Verdana" w:hAnsi="Verdana"/>
        </w:rPr>
        <w:t xml:space="preserve">the </w:t>
      </w:r>
      <w:r w:rsidR="00585DF8">
        <w:rPr>
          <w:rFonts w:ascii="Verdana" w:hAnsi="Verdana"/>
        </w:rPr>
        <w:t>P</w:t>
      </w:r>
      <w:r w:rsidR="00D37444" w:rsidRPr="00D37444">
        <w:rPr>
          <w:rFonts w:ascii="Verdana" w:hAnsi="Verdana"/>
        </w:rPr>
        <w:t xml:space="preserve">rescription </w:t>
      </w:r>
      <w:r w:rsidR="00585DF8">
        <w:rPr>
          <w:rFonts w:ascii="Verdana" w:hAnsi="Verdana"/>
        </w:rPr>
        <w:t>D</w:t>
      </w:r>
      <w:r w:rsidR="00D37444" w:rsidRPr="00D37444">
        <w:rPr>
          <w:rFonts w:ascii="Verdana" w:hAnsi="Verdana"/>
        </w:rPr>
        <w:t xml:space="preserve">etail screen, using </w:t>
      </w:r>
      <w:r w:rsidR="00D37444" w:rsidRPr="00EF372E">
        <w:rPr>
          <w:rFonts w:ascii="Verdana" w:hAnsi="Verdana"/>
          <w:b/>
        </w:rPr>
        <w:t>DAW 1 – Physician</w:t>
      </w:r>
      <w:r>
        <w:rPr>
          <w:rFonts w:ascii="Verdana" w:hAnsi="Verdana"/>
          <w:b/>
        </w:rPr>
        <w:t xml:space="preserve"> </w:t>
      </w:r>
      <w:r w:rsidRPr="000D59D0">
        <w:rPr>
          <w:rFonts w:ascii="Verdana" w:hAnsi="Verdana"/>
          <w:bCs/>
        </w:rPr>
        <w:t xml:space="preserve">and it </w:t>
      </w:r>
      <w:r w:rsidR="00D37444" w:rsidRPr="00D37444">
        <w:rPr>
          <w:rFonts w:ascii="Verdana" w:hAnsi="Verdana"/>
        </w:rPr>
        <w:t>may be applicable</w:t>
      </w:r>
      <w:r w:rsidR="00A875F5">
        <w:rPr>
          <w:rFonts w:ascii="Verdana" w:hAnsi="Verdana"/>
        </w:rPr>
        <w:t xml:space="preserve"> with other DAW codes</w:t>
      </w:r>
      <w:r>
        <w:rPr>
          <w:rFonts w:ascii="Verdana" w:hAnsi="Verdana"/>
        </w:rPr>
        <w:t xml:space="preserve">. </w:t>
      </w:r>
    </w:p>
    <w:p w14:paraId="42A88F5F" w14:textId="77777777" w:rsidR="00A875F5" w:rsidRPr="00D37444" w:rsidRDefault="00A875F5" w:rsidP="000D59D0">
      <w:pPr>
        <w:spacing w:before="120" w:after="120"/>
        <w:rPr>
          <w:rFonts w:ascii="Verdana" w:hAnsi="Verdana"/>
        </w:rPr>
      </w:pPr>
    </w:p>
    <w:p w14:paraId="57911770" w14:textId="77777777" w:rsidR="00177276" w:rsidRDefault="00EF372E" w:rsidP="00D37444">
      <w:pPr>
        <w:jc w:val="center"/>
        <w:rPr>
          <w:rFonts w:ascii="Verdana" w:hAnsi="Verdana"/>
        </w:rPr>
      </w:pPr>
      <w:r w:rsidRPr="00D37444">
        <w:rPr>
          <w:rFonts w:ascii="Verdana" w:hAnsi="Verdana"/>
          <w:noProof/>
        </w:rPr>
        <w:drawing>
          <wp:inline distT="0" distB="0" distL="0" distR="0" wp14:anchorId="79802E7D" wp14:editId="45846F4A">
            <wp:extent cx="5486400" cy="1171575"/>
            <wp:effectExtent l="19050" t="19050" r="19050" b="285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71575"/>
                    </a:xfrm>
                    <a:prstGeom prst="rect">
                      <a:avLst/>
                    </a:prstGeom>
                    <a:noFill/>
                    <a:ln w="9525" cmpd="sng">
                      <a:solidFill>
                        <a:srgbClr val="000000"/>
                      </a:solidFill>
                      <a:miter lim="800000"/>
                      <a:headEnd/>
                      <a:tailEnd/>
                    </a:ln>
                    <a:effectLst/>
                  </pic:spPr>
                </pic:pic>
              </a:graphicData>
            </a:graphic>
          </wp:inline>
        </w:drawing>
      </w:r>
    </w:p>
    <w:p w14:paraId="743CFB0D" w14:textId="068E3F3C" w:rsidR="00D37444" w:rsidRPr="00377283" w:rsidRDefault="001B6235" w:rsidP="00D37444">
      <w:pPr>
        <w:jc w:val="center"/>
        <w:rPr>
          <w:rFonts w:ascii="Verdana" w:hAnsi="Verdana"/>
          <w:b/>
        </w:rPr>
      </w:pPr>
      <w:r>
        <w:rPr>
          <w:rFonts w:ascii="Verdana" w:hAnsi="Verdana"/>
          <w:b/>
        </w:rPr>
        <w:t xml:space="preserve"> </w:t>
      </w:r>
    </w:p>
    <w:p w14:paraId="627819FB" w14:textId="77777777" w:rsidR="00177276" w:rsidRPr="00123CE4" w:rsidRDefault="00477D30" w:rsidP="000D59D0">
      <w:pPr>
        <w:rPr>
          <w:rFonts w:ascii="Verdana" w:hAnsi="Verdana"/>
          <w:color w:val="000000"/>
        </w:rPr>
      </w:pPr>
      <w:r>
        <w:rPr>
          <w:rFonts w:ascii="Verdana" w:hAnsi="Verdana"/>
        </w:rPr>
        <w:t xml:space="preserve"> </w:t>
      </w:r>
    </w:p>
    <w:p w14:paraId="3FBB1FB5" w14:textId="12B7B9DF" w:rsidR="007E2318" w:rsidRDefault="00D82017" w:rsidP="007E2318">
      <w:pPr>
        <w:spacing w:before="120" w:after="120"/>
        <w:jc w:val="right"/>
        <w:rPr>
          <w:rFonts w:ascii="Verdana" w:hAnsi="Verdana"/>
        </w:rPr>
      </w:pPr>
      <w:hyperlink w:anchor="_top" w:history="1">
        <w:r w:rsidR="007E2318" w:rsidRPr="000560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37444" w14:paraId="400B41A0" w14:textId="77777777" w:rsidTr="001872F6">
        <w:tc>
          <w:tcPr>
            <w:tcW w:w="5000" w:type="pct"/>
            <w:shd w:val="clear" w:color="auto" w:fill="C0C0C0"/>
          </w:tcPr>
          <w:p w14:paraId="1EE1306B" w14:textId="2FE91365" w:rsidR="00D37444" w:rsidRPr="00EF372E" w:rsidRDefault="00D37444" w:rsidP="000D59D0">
            <w:pPr>
              <w:pStyle w:val="Heading2"/>
              <w:spacing w:before="120" w:after="120"/>
            </w:pPr>
            <w:bookmarkStart w:id="6" w:name="_Toc145394308"/>
            <w:r>
              <w:t xml:space="preserve">DAW </w:t>
            </w:r>
            <w:r w:rsidR="00457A46">
              <w:t>Cost Differen</w:t>
            </w:r>
            <w:r w:rsidR="004851BC">
              <w:t>ce</w:t>
            </w:r>
            <w:bookmarkEnd w:id="6"/>
          </w:p>
        </w:tc>
      </w:tr>
    </w:tbl>
    <w:p w14:paraId="0AE17F47" w14:textId="74FC0150" w:rsidR="00D37444" w:rsidRDefault="00D37444" w:rsidP="000D59D0">
      <w:pPr>
        <w:spacing w:before="120" w:after="120"/>
        <w:rPr>
          <w:rFonts w:ascii="Verdana" w:hAnsi="Verdana"/>
        </w:rPr>
      </w:pPr>
      <w:r w:rsidRPr="00D37444">
        <w:rPr>
          <w:rFonts w:ascii="Verdana" w:hAnsi="Verdana"/>
        </w:rPr>
        <w:t>Financials screen of member’s cost with the copay and DAW difference highlighted.</w:t>
      </w:r>
    </w:p>
    <w:p w14:paraId="02CB5D91" w14:textId="76D4361B" w:rsidR="00711B28" w:rsidRDefault="003351B1" w:rsidP="000D59D0">
      <w:pPr>
        <w:spacing w:before="120" w:after="120"/>
        <w:rPr>
          <w:rFonts w:ascii="Verdana" w:hAnsi="Verdana"/>
        </w:rPr>
      </w:pPr>
      <w:bookmarkStart w:id="7" w:name="OLE_LINK5"/>
      <w:bookmarkStart w:id="8" w:name="OLE_LINK6"/>
      <w:r>
        <w:rPr>
          <w:rFonts w:ascii="Verdana" w:hAnsi="Verdana"/>
          <w:b/>
          <w:bCs/>
        </w:rPr>
        <w:t xml:space="preserve"> </w:t>
      </w:r>
      <w:r w:rsidR="00711B28">
        <w:rPr>
          <w:rFonts w:ascii="Verdana" w:hAnsi="Verdana"/>
          <w:b/>
          <w:bCs/>
          <w:noProof/>
        </w:rPr>
        <w:drawing>
          <wp:inline distT="0" distB="0" distL="0" distR="0" wp14:anchorId="6AE0FF41" wp14:editId="2B57C58D">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711B28">
        <w:rPr>
          <w:rFonts w:ascii="Verdana" w:hAnsi="Verdana"/>
          <w:b/>
          <w:bCs/>
        </w:rPr>
        <w:t xml:space="preserve"> </w:t>
      </w:r>
      <w:r w:rsidR="00711B28" w:rsidRPr="000560C1">
        <w:rPr>
          <w:rFonts w:ascii="Verdana" w:hAnsi="Verdana"/>
          <w:b/>
          <w:bCs/>
        </w:rPr>
        <w:t>Do</w:t>
      </w:r>
      <w:r w:rsidR="00711B28" w:rsidRPr="004851BC">
        <w:rPr>
          <w:rFonts w:ascii="Verdana" w:hAnsi="Verdana"/>
          <w:b/>
          <w:bCs/>
        </w:rPr>
        <w:t xml:space="preserve"> </w:t>
      </w:r>
      <w:r w:rsidR="00711B28" w:rsidRPr="000560C1">
        <w:rPr>
          <w:rFonts w:ascii="Verdana" w:hAnsi="Verdana"/>
          <w:b/>
          <w:bCs/>
        </w:rPr>
        <w:t xml:space="preserve">not refer to the DAW Copay as a </w:t>
      </w:r>
      <w:r w:rsidR="00457A46" w:rsidRPr="000560C1">
        <w:rPr>
          <w:rFonts w:ascii="Verdana" w:hAnsi="Verdana"/>
          <w:b/>
          <w:bCs/>
        </w:rPr>
        <w:t>penalty.</w:t>
      </w:r>
      <w:r w:rsidR="00457A46">
        <w:rPr>
          <w:rFonts w:ascii="Verdana" w:hAnsi="Verdana"/>
        </w:rPr>
        <w:t xml:space="preserve"> </w:t>
      </w:r>
      <w:r w:rsidR="00DC6607">
        <w:rPr>
          <w:rFonts w:ascii="Verdana" w:hAnsi="Verdana"/>
        </w:rPr>
        <w:t xml:space="preserve"> Refer to it as a DAW Cost difference.</w:t>
      </w:r>
    </w:p>
    <w:p w14:paraId="67D425B4" w14:textId="21E69A23" w:rsidR="00605646" w:rsidRDefault="00605646" w:rsidP="00605646">
      <w:pPr>
        <w:spacing w:before="120" w:after="120"/>
        <w:rPr>
          <w:rFonts w:ascii="Verdana" w:hAnsi="Verdana"/>
        </w:rPr>
      </w:pPr>
      <w:r>
        <w:rPr>
          <w:rFonts w:ascii="Verdana" w:hAnsi="Verdana"/>
          <w:b/>
        </w:rPr>
        <w:t xml:space="preserve"> </w:t>
      </w:r>
      <w:r>
        <w:rPr>
          <w:rFonts w:ascii="Verdana" w:hAnsi="Verdana"/>
          <w:noProof/>
        </w:rPr>
        <w:drawing>
          <wp:inline distT="0" distB="0" distL="0" distR="0" wp14:anchorId="67D81616" wp14:editId="3431BE2E">
            <wp:extent cx="241300" cy="21209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12090"/>
                    </a:xfrm>
                    <a:prstGeom prst="rect">
                      <a:avLst/>
                    </a:prstGeom>
                    <a:noFill/>
                    <a:ln>
                      <a:noFill/>
                    </a:ln>
                  </pic:spPr>
                </pic:pic>
              </a:graphicData>
            </a:graphic>
          </wp:inline>
        </w:drawing>
      </w:r>
      <w:r>
        <w:rPr>
          <w:rFonts w:ascii="Verdana" w:hAnsi="Verdana"/>
        </w:rPr>
        <w:t xml:space="preserve"> DAW Cost Difference does not apply towards the members MOOP.</w:t>
      </w:r>
    </w:p>
    <w:p w14:paraId="61D73F6D" w14:textId="77777777" w:rsidR="00605646" w:rsidRPr="00457A46" w:rsidRDefault="00605646" w:rsidP="000D59D0">
      <w:pPr>
        <w:spacing w:before="120" w:after="120"/>
        <w:rPr>
          <w:rFonts w:ascii="Verdana" w:hAnsi="Verdana"/>
        </w:rPr>
      </w:pPr>
    </w:p>
    <w:bookmarkEnd w:id="7"/>
    <w:p w14:paraId="07DC8CB4" w14:textId="77777777" w:rsidR="00A875F5" w:rsidRPr="00D37444" w:rsidRDefault="00A875F5" w:rsidP="000D59D0">
      <w:pPr>
        <w:spacing w:before="120" w:after="120"/>
        <w:rPr>
          <w:rFonts w:ascii="Verdana" w:hAnsi="Verdana"/>
        </w:rPr>
      </w:pPr>
    </w:p>
    <w:bookmarkEnd w:id="8"/>
    <w:p w14:paraId="330E9AED" w14:textId="77777777" w:rsidR="00D37444" w:rsidRDefault="00EF372E" w:rsidP="000D59D0">
      <w:pPr>
        <w:spacing w:before="120" w:after="120"/>
        <w:jc w:val="center"/>
        <w:rPr>
          <w:rFonts w:ascii="Verdana" w:hAnsi="Verdana"/>
        </w:rPr>
      </w:pPr>
      <w:r w:rsidRPr="00D37444">
        <w:rPr>
          <w:rFonts w:ascii="Verdana" w:hAnsi="Verdana"/>
          <w:noProof/>
        </w:rPr>
        <w:drawing>
          <wp:inline distT="0" distB="0" distL="0" distR="0" wp14:anchorId="04AE49B8" wp14:editId="2D4ED789">
            <wp:extent cx="3657600" cy="2724150"/>
            <wp:effectExtent l="19050" t="19050" r="19050" b="1905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24150"/>
                    </a:xfrm>
                    <a:prstGeom prst="rect">
                      <a:avLst/>
                    </a:prstGeom>
                    <a:noFill/>
                    <a:ln w="12700" cmpd="sng" algn="ctr">
                      <a:solidFill>
                        <a:srgbClr val="000000"/>
                      </a:solidFill>
                      <a:miter lim="800000"/>
                      <a:headEnd/>
                      <a:tailEnd/>
                    </a:ln>
                    <a:effectLst/>
                  </pic:spPr>
                </pic:pic>
              </a:graphicData>
            </a:graphic>
          </wp:inline>
        </w:drawing>
      </w:r>
    </w:p>
    <w:p w14:paraId="525A3F27" w14:textId="562E5BEC" w:rsidR="00D37444" w:rsidRPr="000560C1" w:rsidRDefault="001B6235" w:rsidP="000D59D0">
      <w:pPr>
        <w:spacing w:before="120" w:after="120"/>
        <w:jc w:val="center"/>
        <w:rPr>
          <w:rFonts w:ascii="Verdana" w:hAnsi="Verdana"/>
          <w:b/>
        </w:rPr>
      </w:pPr>
      <w:r>
        <w:rPr>
          <w:rFonts w:ascii="Verdana" w:hAnsi="Verdana"/>
          <w:b/>
        </w:rPr>
        <w:t xml:space="preserve"> </w:t>
      </w:r>
    </w:p>
    <w:p w14:paraId="1AAD3A4A" w14:textId="6DF73BF6" w:rsidR="007E2318" w:rsidRDefault="00D82017" w:rsidP="007E2318">
      <w:pPr>
        <w:spacing w:before="120" w:after="120"/>
        <w:jc w:val="right"/>
        <w:rPr>
          <w:rFonts w:ascii="Verdana" w:hAnsi="Verdana"/>
        </w:rPr>
      </w:pPr>
      <w:hyperlink w:anchor="_top" w:history="1">
        <w:r w:rsidR="007E2318" w:rsidRPr="000560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294C" w14:paraId="5B7F8EDA" w14:textId="77777777" w:rsidTr="004851BC">
        <w:tc>
          <w:tcPr>
            <w:tcW w:w="5000" w:type="pct"/>
            <w:shd w:val="clear" w:color="auto" w:fill="C0C0C0"/>
          </w:tcPr>
          <w:p w14:paraId="406E1DF1" w14:textId="038C7AE9" w:rsidR="0032294C" w:rsidRPr="00EF372E" w:rsidRDefault="004E5BBB" w:rsidP="000D59D0">
            <w:pPr>
              <w:pStyle w:val="Heading2"/>
              <w:spacing w:before="120" w:after="120"/>
            </w:pPr>
            <w:bookmarkStart w:id="9" w:name="_Toc145394309"/>
            <w:bookmarkStart w:id="10" w:name="_Hlk80367854"/>
            <w:r>
              <w:t xml:space="preserve">Brand Name Preferred (DAW 9) </w:t>
            </w:r>
            <w:r w:rsidR="005406FD">
              <w:t xml:space="preserve">and </w:t>
            </w:r>
            <w:r>
              <w:t xml:space="preserve">Substitution Allowed (DAW </w:t>
            </w:r>
            <w:r w:rsidR="005406FD">
              <w:t>5</w:t>
            </w:r>
            <w:r>
              <w:t>)</w:t>
            </w:r>
            <w:r w:rsidR="00D37444">
              <w:t xml:space="preserve"> Brand as Generic Drugs</w:t>
            </w:r>
            <w:bookmarkEnd w:id="9"/>
          </w:p>
        </w:tc>
      </w:tr>
      <w:bookmarkEnd w:id="10"/>
    </w:tbl>
    <w:p w14:paraId="5B177F1C" w14:textId="6096D2A0" w:rsidR="00CF5DDE" w:rsidRDefault="00CF5DDE" w:rsidP="00C735EC">
      <w:pPr>
        <w:spacing w:before="120" w:after="120"/>
        <w:rPr>
          <w:rFonts w:ascii="Verdana" w:hAnsi="Verdana"/>
        </w:rPr>
      </w:pPr>
    </w:p>
    <w:p w14:paraId="44F447AD" w14:textId="2B78559B" w:rsidR="004E5BBB" w:rsidRDefault="00E44350" w:rsidP="00C735EC">
      <w:pPr>
        <w:spacing w:before="120" w:after="120"/>
        <w:rPr>
          <w:rFonts w:ascii="Verdana" w:hAnsi="Verdana"/>
        </w:rPr>
      </w:pPr>
      <w:r>
        <w:rPr>
          <w:rFonts w:ascii="Verdana" w:hAnsi="Verdana"/>
          <w:noProof/>
        </w:rPr>
        <w:drawing>
          <wp:inline distT="0" distB="0" distL="0" distR="0" wp14:anchorId="68D00E7C" wp14:editId="1909E3E4">
            <wp:extent cx="238095" cy="20952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rPr>
        <w:t xml:space="preserve"> </w:t>
      </w:r>
      <w:r w:rsidR="004E5BBB">
        <w:rPr>
          <w:rFonts w:ascii="Verdana" w:hAnsi="Verdana"/>
        </w:rPr>
        <w:t>These codes should not be discussed with the members.</w:t>
      </w:r>
    </w:p>
    <w:p w14:paraId="4DFC583A" w14:textId="77777777" w:rsidR="004E5BBB" w:rsidRDefault="004E5BBB" w:rsidP="00C735EC">
      <w:pPr>
        <w:spacing w:before="120" w:after="120"/>
        <w:rPr>
          <w:rFonts w:ascii="Verdana" w:hAnsi="Verdana"/>
        </w:rPr>
      </w:pPr>
    </w:p>
    <w:p w14:paraId="0FA997D0" w14:textId="3BC49FB9" w:rsidR="0067602D" w:rsidRDefault="00E44350" w:rsidP="00C735EC">
      <w:pPr>
        <w:spacing w:before="120" w:after="120"/>
        <w:rPr>
          <w:rFonts w:ascii="Verdana" w:hAnsi="Verdana"/>
        </w:rPr>
      </w:pPr>
      <w:r>
        <w:rPr>
          <w:noProof/>
        </w:rPr>
        <w:drawing>
          <wp:inline distT="0" distB="0" distL="0" distR="0" wp14:anchorId="4EF8BF80" wp14:editId="37D7675E">
            <wp:extent cx="237490" cy="208915"/>
            <wp:effectExtent l="0" t="0" r="0" b="635"/>
            <wp:docPr id="28" name="Picture 28"/>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237490" cy="208915"/>
                    </a:xfrm>
                    <a:prstGeom prst="rect">
                      <a:avLst/>
                    </a:prstGeom>
                  </pic:spPr>
                </pic:pic>
              </a:graphicData>
            </a:graphic>
          </wp:inline>
        </w:drawing>
      </w:r>
      <w:r>
        <w:rPr>
          <w:rFonts w:ascii="Verdana" w:hAnsi="Verdana"/>
        </w:rPr>
        <w:t xml:space="preserve"> </w:t>
      </w:r>
      <w:r w:rsidR="00641641">
        <w:rPr>
          <w:rFonts w:ascii="Verdana" w:hAnsi="Verdana"/>
        </w:rPr>
        <w:t>Do not use internal jar</w:t>
      </w:r>
      <w:r w:rsidR="00C735EC">
        <w:rPr>
          <w:rFonts w:ascii="Verdana" w:hAnsi="Verdana"/>
        </w:rPr>
        <w:t>gon</w:t>
      </w:r>
      <w:r w:rsidR="00641641">
        <w:rPr>
          <w:rFonts w:ascii="Verdana" w:hAnsi="Verdana"/>
        </w:rPr>
        <w:t xml:space="preserve"> with the </w:t>
      </w:r>
      <w:r w:rsidR="004E5BBB">
        <w:rPr>
          <w:rFonts w:ascii="Verdana" w:hAnsi="Verdana"/>
        </w:rPr>
        <w:t>caller</w:t>
      </w:r>
      <w:r w:rsidR="00C735EC">
        <w:rPr>
          <w:rFonts w:ascii="Verdana" w:hAnsi="Verdana"/>
        </w:rPr>
        <w:t xml:space="preserve"> such as “DAW” and “codes</w:t>
      </w:r>
      <w:r w:rsidR="004851BC">
        <w:rPr>
          <w:rFonts w:ascii="Verdana" w:hAnsi="Verdana"/>
        </w:rPr>
        <w:t>.</w:t>
      </w:r>
      <w:r w:rsidR="00C735EC">
        <w:rPr>
          <w:rFonts w:ascii="Verdana" w:hAnsi="Verdana"/>
        </w:rPr>
        <w:t xml:space="preserve">” </w:t>
      </w:r>
      <w:r w:rsidR="004851BC">
        <w:rPr>
          <w:rFonts w:ascii="Verdana" w:hAnsi="Verdana"/>
        </w:rPr>
        <w:t>E</w:t>
      </w:r>
      <w:r w:rsidR="00C735EC">
        <w:rPr>
          <w:rFonts w:ascii="Verdana" w:hAnsi="Verdana"/>
        </w:rPr>
        <w:t>xplain in plain language as shown below:</w:t>
      </w:r>
    </w:p>
    <w:p w14:paraId="15D0AA72" w14:textId="77777777" w:rsidR="00C735EC" w:rsidRDefault="00C735EC" w:rsidP="00CF5DDE">
      <w:pPr>
        <w:spacing w:before="120" w:after="120"/>
        <w:rPr>
          <w:rFonts w:ascii="Verdana" w:hAnsi="Verdana"/>
        </w:rPr>
      </w:pPr>
    </w:p>
    <w:p w14:paraId="78C5C556" w14:textId="61A1EDC1" w:rsidR="00641641" w:rsidRPr="00E44350" w:rsidRDefault="00641641" w:rsidP="000D59D0">
      <w:pPr>
        <w:numPr>
          <w:ilvl w:val="0"/>
          <w:numId w:val="1"/>
        </w:numPr>
        <w:spacing w:before="120" w:after="120"/>
        <w:ind w:left="540"/>
        <w:rPr>
          <w:rFonts w:ascii="Verdana" w:hAnsi="Verdana"/>
        </w:rPr>
      </w:pPr>
      <w:bookmarkStart w:id="11" w:name="OLE_LINK1"/>
      <w:bookmarkStart w:id="12" w:name="OLE_LINK2"/>
      <w:r>
        <w:rPr>
          <w:rFonts w:ascii="Verdana" w:hAnsi="Verdana"/>
          <w:b/>
          <w:bCs/>
        </w:rPr>
        <w:t>Substitutions Allowed</w:t>
      </w:r>
      <w:r w:rsidR="004E5BBB">
        <w:rPr>
          <w:rFonts w:ascii="Verdana" w:hAnsi="Verdana"/>
          <w:b/>
          <w:bCs/>
        </w:rPr>
        <w:t xml:space="preserve"> (DAW 5)</w:t>
      </w:r>
      <w:r w:rsidR="00C735EC" w:rsidRPr="00CF5DDE">
        <w:rPr>
          <w:rFonts w:ascii="Verdana" w:hAnsi="Verdana"/>
          <w:b/>
          <w:bCs/>
        </w:rPr>
        <w:t>:</w:t>
      </w:r>
      <w:r w:rsidR="00C735EC">
        <w:rPr>
          <w:rFonts w:ascii="Verdana" w:hAnsi="Verdana"/>
        </w:rPr>
        <w:t xml:space="preserve">  This means that the prescription can be filled with a </w:t>
      </w:r>
      <w:r w:rsidR="00C735EC">
        <w:rPr>
          <w:rFonts w:ascii="Verdana" w:hAnsi="Verdana"/>
          <w:b/>
          <w:bCs/>
        </w:rPr>
        <w:t>Brand</w:t>
      </w:r>
      <w:r w:rsidR="00C735EC">
        <w:rPr>
          <w:rFonts w:ascii="Verdana" w:hAnsi="Verdana"/>
        </w:rPr>
        <w:t xml:space="preserve"> name </w:t>
      </w:r>
      <w:r w:rsidR="00FF489C">
        <w:rPr>
          <w:rFonts w:ascii="Verdana" w:hAnsi="Verdana"/>
        </w:rPr>
        <w:t>medication,</w:t>
      </w:r>
      <w:r w:rsidR="00C735EC">
        <w:rPr>
          <w:rFonts w:ascii="Verdana" w:hAnsi="Verdana"/>
        </w:rPr>
        <w:t xml:space="preserve"> but the</w:t>
      </w:r>
      <w:r>
        <w:rPr>
          <w:rFonts w:ascii="Verdana" w:hAnsi="Verdana"/>
        </w:rPr>
        <w:t xml:space="preserve"> </w:t>
      </w:r>
      <w:r w:rsidR="00C735EC">
        <w:rPr>
          <w:rFonts w:ascii="Verdana" w:hAnsi="Verdana"/>
        </w:rPr>
        <w:t xml:space="preserve">member is charged at the </w:t>
      </w:r>
      <w:r w:rsidR="00C735EC">
        <w:rPr>
          <w:rFonts w:ascii="Verdana" w:hAnsi="Verdana"/>
          <w:b/>
          <w:bCs/>
        </w:rPr>
        <w:t>Generic rate</w:t>
      </w:r>
      <w:r w:rsidR="00AC3C41" w:rsidRPr="00CF5DDE">
        <w:rPr>
          <w:rFonts w:ascii="Verdana" w:hAnsi="Verdana"/>
        </w:rPr>
        <w:t>.</w:t>
      </w:r>
      <w:r w:rsidR="00C735EC">
        <w:rPr>
          <w:rFonts w:ascii="Verdana" w:hAnsi="Verdana"/>
          <w:b/>
          <w:bCs/>
        </w:rPr>
        <w:t xml:space="preserve"> </w:t>
      </w:r>
      <w:r w:rsidR="00C735EC">
        <w:rPr>
          <w:rFonts w:ascii="Verdana" w:hAnsi="Verdana"/>
        </w:rPr>
        <w:t>This</w:t>
      </w:r>
      <w:r w:rsidR="00C735EC">
        <w:rPr>
          <w:rFonts w:ascii="Verdana" w:hAnsi="Verdana"/>
          <w:b/>
          <w:bCs/>
        </w:rPr>
        <w:t xml:space="preserve"> </w:t>
      </w:r>
      <w:r w:rsidR="00C735EC">
        <w:rPr>
          <w:rFonts w:ascii="Verdana" w:hAnsi="Verdana"/>
        </w:rPr>
        <w:t>is known as “</w:t>
      </w:r>
      <w:hyperlink r:id="rId13" w:anchor="!/view?docid=e4b59eca-33ba-4e5c-bb8f-e54669906f71" w:history="1">
        <w:r w:rsidR="000611B7">
          <w:rPr>
            <w:rStyle w:val="Hyperlink"/>
            <w:rFonts w:ascii="Verdana" w:hAnsi="Verdana"/>
          </w:rPr>
          <w:t>Branded Generics (059091)</w:t>
        </w:r>
      </w:hyperlink>
      <w:r w:rsidR="00C735EC">
        <w:rPr>
          <w:rFonts w:ascii="Verdana" w:hAnsi="Verdana"/>
        </w:rPr>
        <w:t>” and is processed as a DAW 5.</w:t>
      </w:r>
      <w:r>
        <w:rPr>
          <w:rFonts w:ascii="Verdana" w:hAnsi="Verdana"/>
        </w:rPr>
        <w:t xml:space="preserve">  </w:t>
      </w:r>
      <w:r w:rsidRPr="00E44350">
        <w:rPr>
          <w:rFonts w:ascii="Verdana" w:hAnsi="Verdana"/>
        </w:rPr>
        <w:t xml:space="preserve">Refer to </w:t>
      </w:r>
      <w:hyperlink r:id="rId14" w:anchor="!/view?docid=7e5c2587-d679-4b42-b9b1-e98b754c6bff" w:history="1">
        <w:r w:rsidR="00120DF4">
          <w:rPr>
            <w:rStyle w:val="Hyperlink"/>
            <w:rFonts w:ascii="Verdana" w:hAnsi="Verdana" w:cs="Helvetica"/>
            <w:shd w:val="clear" w:color="auto" w:fill="FFFFFF"/>
          </w:rPr>
          <w:t>Dispense as Written (DAW) Codes (040459)</w:t>
        </w:r>
      </w:hyperlink>
      <w:r w:rsidR="0031214E">
        <w:rPr>
          <w:rStyle w:val="Hyperlink"/>
          <w:rFonts w:ascii="Verdana" w:hAnsi="Verdana" w:cs="Helvetica"/>
          <w:shd w:val="clear" w:color="auto" w:fill="FFFFFF"/>
        </w:rPr>
        <w:t>.</w:t>
      </w:r>
    </w:p>
    <w:p w14:paraId="1FE4B7A1" w14:textId="139755D1" w:rsidR="00C735EC" w:rsidRPr="00E44350" w:rsidRDefault="00C735EC" w:rsidP="00CF5DDE">
      <w:pPr>
        <w:spacing w:before="120" w:after="120"/>
        <w:ind w:left="540"/>
        <w:rPr>
          <w:rFonts w:ascii="Verdana" w:hAnsi="Verdana"/>
        </w:rPr>
      </w:pPr>
    </w:p>
    <w:p w14:paraId="09D3C4FC" w14:textId="424B8ABD" w:rsidR="00C735EC" w:rsidRPr="00E44350" w:rsidRDefault="00641641" w:rsidP="00CF5DDE">
      <w:pPr>
        <w:numPr>
          <w:ilvl w:val="0"/>
          <w:numId w:val="7"/>
        </w:numPr>
        <w:spacing w:before="120" w:after="120"/>
        <w:ind w:left="540"/>
        <w:rPr>
          <w:rFonts w:ascii="Verdana" w:hAnsi="Verdana"/>
        </w:rPr>
      </w:pPr>
      <w:r>
        <w:rPr>
          <w:rFonts w:ascii="Verdana" w:hAnsi="Verdana"/>
          <w:b/>
          <w:bCs/>
        </w:rPr>
        <w:t>Brand Name Preferred</w:t>
      </w:r>
      <w:r w:rsidR="004E5BBB">
        <w:rPr>
          <w:rFonts w:ascii="Verdana" w:hAnsi="Verdana"/>
          <w:b/>
          <w:bCs/>
        </w:rPr>
        <w:t xml:space="preserve"> (DAW 9)</w:t>
      </w:r>
      <w:r w:rsidR="00C735EC" w:rsidRPr="00CF5DDE">
        <w:rPr>
          <w:rFonts w:ascii="Verdana" w:hAnsi="Verdana"/>
          <w:b/>
          <w:bCs/>
        </w:rPr>
        <w:t>:</w:t>
      </w:r>
      <w:r w:rsidR="00C735EC">
        <w:rPr>
          <w:rFonts w:ascii="Verdana" w:hAnsi="Verdana"/>
        </w:rPr>
        <w:t xml:space="preserve">  </w:t>
      </w:r>
      <w:bookmarkStart w:id="13" w:name="OLE_LINK25"/>
      <w:r>
        <w:rPr>
          <w:rFonts w:ascii="Verdana" w:hAnsi="Verdana"/>
        </w:rPr>
        <w:t xml:space="preserve">The </w:t>
      </w:r>
      <w:r>
        <w:rPr>
          <w:rFonts w:ascii="Verdana" w:hAnsi="Verdana"/>
          <w:color w:val="000000"/>
        </w:rPr>
        <w:t>brand-name drug is a preferred and is a covered option versus substituting with a generic.</w:t>
      </w:r>
      <w:bookmarkEnd w:id="13"/>
      <w:r>
        <w:rPr>
          <w:rFonts w:ascii="Verdana" w:hAnsi="Verdana"/>
        </w:rPr>
        <w:t xml:space="preserve"> </w:t>
      </w:r>
      <w:r w:rsidR="00AC3C41">
        <w:rPr>
          <w:rFonts w:ascii="Verdana" w:hAnsi="Verdana"/>
        </w:rPr>
        <w:t>When medications are</w:t>
      </w:r>
      <w:r w:rsidR="00C735EC">
        <w:rPr>
          <w:rFonts w:ascii="Verdana" w:hAnsi="Verdana"/>
        </w:rPr>
        <w:t xml:space="preserve"> filled</w:t>
      </w:r>
      <w:r w:rsidR="00AC3C41">
        <w:rPr>
          <w:rFonts w:ascii="Verdana" w:hAnsi="Verdana"/>
        </w:rPr>
        <w:t>, the member is charged</w:t>
      </w:r>
      <w:r w:rsidR="00C735EC">
        <w:rPr>
          <w:rFonts w:ascii="Verdana" w:hAnsi="Verdana"/>
        </w:rPr>
        <w:t xml:space="preserve"> the generic co-pay while allowing the pharmacy to dispense the brand-name drug.  This practice is </w:t>
      </w:r>
      <w:r w:rsidR="00C735EC">
        <w:rPr>
          <w:rFonts w:ascii="Verdana" w:hAnsi="Verdana"/>
          <w:color w:val="000000"/>
        </w:rPr>
        <w:t>due to the generic cost being more expensive than the brand cost</w:t>
      </w:r>
      <w:r w:rsidR="00C735EC">
        <w:rPr>
          <w:rFonts w:ascii="Verdana" w:hAnsi="Verdana"/>
        </w:rPr>
        <w:t xml:space="preserve">. </w:t>
      </w:r>
      <w:r>
        <w:rPr>
          <w:rFonts w:ascii="Verdana" w:hAnsi="Verdana"/>
        </w:rPr>
        <w:t xml:space="preserve"> When the generic is more </w:t>
      </w:r>
      <w:r w:rsidR="00AC3C41">
        <w:rPr>
          <w:rFonts w:ascii="Verdana" w:hAnsi="Verdana"/>
        </w:rPr>
        <w:t>expensive,</w:t>
      </w:r>
      <w:r>
        <w:rPr>
          <w:rFonts w:ascii="Verdana" w:hAnsi="Verdana"/>
        </w:rPr>
        <w:t xml:space="preserve"> the</w:t>
      </w:r>
      <w:r w:rsidR="00AC3C41">
        <w:rPr>
          <w:rFonts w:ascii="Verdana" w:hAnsi="Verdana"/>
        </w:rPr>
        <w:t xml:space="preserve"> claim</w:t>
      </w:r>
      <w:r>
        <w:rPr>
          <w:rFonts w:ascii="Verdana" w:hAnsi="Verdana"/>
        </w:rPr>
        <w:t xml:space="preserve"> reject</w:t>
      </w:r>
      <w:r w:rsidR="00026C99">
        <w:rPr>
          <w:rFonts w:ascii="Verdana" w:hAnsi="Verdana"/>
        </w:rPr>
        <w:t>s</w:t>
      </w:r>
      <w:r>
        <w:rPr>
          <w:rFonts w:ascii="Verdana" w:hAnsi="Verdana"/>
        </w:rPr>
        <w:t xml:space="preserve"> as not covered.  </w:t>
      </w:r>
      <w:r w:rsidRPr="00E44350">
        <w:rPr>
          <w:rFonts w:ascii="Verdana" w:hAnsi="Verdana"/>
        </w:rPr>
        <w:t xml:space="preserve">Refer to </w:t>
      </w:r>
      <w:hyperlink r:id="rId15" w:anchor="!/view?docid=294e5d29-e781-4b76-b80a-4623740b9913" w:history="1">
        <w:r w:rsidR="00120DF4">
          <w:rPr>
            <w:rStyle w:val="Hyperlink"/>
            <w:rFonts w:ascii="Verdana" w:hAnsi="Verdana" w:cs="Helvetica"/>
            <w:shd w:val="clear" w:color="auto" w:fill="FFFFFF"/>
          </w:rPr>
          <w:t>Commercial as Tier 1 Preferred (DAW 9) (049768)</w:t>
        </w:r>
      </w:hyperlink>
      <w:r w:rsidR="00E44350">
        <w:rPr>
          <w:rFonts w:ascii="Verdana" w:hAnsi="Verdana" w:cs="Helvetica"/>
          <w:color w:val="000000"/>
          <w:shd w:val="clear" w:color="auto" w:fill="FFFFFF"/>
        </w:rPr>
        <w:t>.</w:t>
      </w:r>
    </w:p>
    <w:p w14:paraId="60C386AC" w14:textId="77777777" w:rsidR="00C735EC" w:rsidRDefault="00C735EC" w:rsidP="00CF5DDE">
      <w:pPr>
        <w:spacing w:before="120" w:after="120"/>
        <w:ind w:left="540"/>
        <w:rPr>
          <w:rFonts w:ascii="Verdana" w:hAnsi="Verdana"/>
        </w:rPr>
      </w:pPr>
    </w:p>
    <w:bookmarkEnd w:id="11"/>
    <w:bookmarkEnd w:id="12"/>
    <w:p w14:paraId="4EEBAD5D" w14:textId="77777777" w:rsidR="00855824" w:rsidRDefault="0067602D" w:rsidP="00CF5DDE">
      <w:pPr>
        <w:spacing w:before="120" w:after="120"/>
        <w:rPr>
          <w:rFonts w:ascii="Verdana" w:hAnsi="Verdana"/>
        </w:rPr>
      </w:pPr>
      <w:r w:rsidRPr="00C735EC">
        <w:rPr>
          <w:rFonts w:ascii="Verdana" w:hAnsi="Verdana"/>
          <w:b/>
          <w:bCs/>
        </w:rPr>
        <w:t>Note</w:t>
      </w:r>
      <w:r w:rsidRPr="00021763">
        <w:rPr>
          <w:rFonts w:ascii="Verdana" w:hAnsi="Verdana"/>
          <w:b/>
          <w:bCs/>
        </w:rPr>
        <w:t>:</w:t>
      </w:r>
      <w:r w:rsidRPr="00C735EC">
        <w:rPr>
          <w:rFonts w:ascii="Verdana" w:hAnsi="Verdana"/>
        </w:rPr>
        <w:t xml:space="preserve"> </w:t>
      </w:r>
      <w:r w:rsidR="004851BC">
        <w:rPr>
          <w:rFonts w:ascii="Verdana" w:hAnsi="Verdana"/>
        </w:rPr>
        <w:t xml:space="preserve"> </w:t>
      </w:r>
      <w:r w:rsidR="009D5F9B" w:rsidRPr="00C735EC">
        <w:rPr>
          <w:rFonts w:ascii="Verdana" w:hAnsi="Verdana"/>
        </w:rPr>
        <w:t xml:space="preserve">Review the </w:t>
      </w:r>
      <w:r w:rsidR="00A90C12" w:rsidRPr="00C735EC">
        <w:rPr>
          <w:rFonts w:ascii="Verdana" w:hAnsi="Verdana"/>
        </w:rPr>
        <w:t xml:space="preserve">CIF </w:t>
      </w:r>
      <w:r w:rsidRPr="00C735EC">
        <w:rPr>
          <w:rFonts w:ascii="Verdana" w:hAnsi="Verdana"/>
        </w:rPr>
        <w:t xml:space="preserve">for </w:t>
      </w:r>
      <w:r w:rsidR="00A90C12" w:rsidRPr="00C735EC">
        <w:rPr>
          <w:rFonts w:ascii="Verdana" w:hAnsi="Verdana"/>
        </w:rPr>
        <w:t>client specific drugs</w:t>
      </w:r>
      <w:r w:rsidR="00491DFA" w:rsidRPr="00C735EC">
        <w:rPr>
          <w:rFonts w:ascii="Verdana" w:hAnsi="Verdana"/>
        </w:rPr>
        <w:t xml:space="preserve"> </w:t>
      </w:r>
      <w:r w:rsidRPr="00C735EC">
        <w:rPr>
          <w:rFonts w:ascii="Verdana" w:hAnsi="Verdana"/>
        </w:rPr>
        <w:t>that maybe</w:t>
      </w:r>
      <w:r w:rsidR="00491DFA" w:rsidRPr="00C735EC">
        <w:rPr>
          <w:rFonts w:ascii="Verdana" w:hAnsi="Verdana"/>
        </w:rPr>
        <w:t xml:space="preserve"> </w:t>
      </w:r>
      <w:r w:rsidR="00641641">
        <w:rPr>
          <w:rFonts w:ascii="Verdana" w:hAnsi="Verdana"/>
        </w:rPr>
        <w:t>impacted</w:t>
      </w:r>
      <w:r w:rsidR="00855824">
        <w:rPr>
          <w:rFonts w:ascii="Verdana" w:hAnsi="Verdana"/>
        </w:rPr>
        <w:t>.</w:t>
      </w:r>
    </w:p>
    <w:p w14:paraId="037C6FAD" w14:textId="181A95A6" w:rsidR="004851BC" w:rsidRPr="00021763" w:rsidRDefault="00641641" w:rsidP="00CF5DDE">
      <w:pPr>
        <w:spacing w:before="120" w:after="120"/>
        <w:rPr>
          <w:rFonts w:ascii="Verdana" w:hAnsi="Verdana"/>
          <w:bCs/>
        </w:rPr>
      </w:pPr>
      <w:r w:rsidRPr="00C735EC">
        <w:rPr>
          <w:rFonts w:ascii="Verdana" w:hAnsi="Verdana"/>
        </w:rPr>
        <w:t xml:space="preserve"> </w:t>
      </w:r>
      <w:bookmarkStart w:id="14" w:name="OLE_LINK3"/>
      <w:r w:rsidR="00855824">
        <w:rPr>
          <w:rFonts w:ascii="Verdana" w:hAnsi="Verdana"/>
        </w:rPr>
        <w:t xml:space="preserve"> </w:t>
      </w:r>
    </w:p>
    <w:bookmarkEnd w:id="14"/>
    <w:p w14:paraId="08FEC915" w14:textId="79914CB0" w:rsidR="005D0BAA" w:rsidRPr="000D59D0" w:rsidRDefault="000560C1" w:rsidP="000560C1">
      <w:pPr>
        <w:spacing w:before="120" w:after="120"/>
        <w:rPr>
          <w:rFonts w:ascii="Verdana" w:hAnsi="Verdana"/>
        </w:rPr>
      </w:pPr>
      <w:r>
        <w:rPr>
          <w:rFonts w:ascii="Verdana" w:hAnsi="Verdana"/>
        </w:rPr>
        <w:t xml:space="preserve"> </w:t>
      </w:r>
      <w:r w:rsidR="00E76DF9">
        <w:rPr>
          <w:rFonts w:ascii="Verdana" w:hAnsi="Verdana"/>
          <w:b/>
          <w:bCs/>
          <w:noProof/>
        </w:rPr>
        <w:drawing>
          <wp:inline distT="0" distB="0" distL="0" distR="0" wp14:anchorId="6A617AE4" wp14:editId="68132168">
            <wp:extent cx="238095"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E76DF9">
        <w:rPr>
          <w:rFonts w:ascii="Verdana" w:hAnsi="Verdana"/>
          <w:b/>
          <w:bCs/>
        </w:rPr>
        <w:t xml:space="preserve"> </w:t>
      </w:r>
      <w:r w:rsidR="002E3FE2">
        <w:rPr>
          <w:rFonts w:ascii="Verdana" w:hAnsi="Verdana"/>
        </w:rPr>
        <w:t xml:space="preserve">Not all clients participate in the DAW 9 and/or DAW 5 process. </w:t>
      </w:r>
      <w:r w:rsidR="00D37444" w:rsidRPr="000D59D0">
        <w:rPr>
          <w:rFonts w:ascii="Verdana" w:hAnsi="Verdana"/>
          <w:b/>
          <w:bCs/>
        </w:rPr>
        <w:t>D</w:t>
      </w:r>
      <w:r w:rsidR="001B6235" w:rsidRPr="000D59D0">
        <w:rPr>
          <w:rFonts w:ascii="Verdana" w:hAnsi="Verdana"/>
          <w:b/>
          <w:bCs/>
        </w:rPr>
        <w:t>o</w:t>
      </w:r>
      <w:r w:rsidR="00F824E3" w:rsidRPr="000D59D0">
        <w:rPr>
          <w:rFonts w:ascii="Verdana" w:hAnsi="Verdana"/>
          <w:b/>
          <w:bCs/>
        </w:rPr>
        <w:t xml:space="preserve"> </w:t>
      </w:r>
      <w:r w:rsidR="00697021" w:rsidRPr="000D59D0">
        <w:rPr>
          <w:rFonts w:ascii="Verdana" w:hAnsi="Verdana"/>
          <w:b/>
          <w:bCs/>
        </w:rPr>
        <w:t>not</w:t>
      </w:r>
      <w:r w:rsidR="005D0BAA" w:rsidRPr="000D59D0">
        <w:rPr>
          <w:rFonts w:ascii="Verdana" w:hAnsi="Verdana"/>
          <w:b/>
          <w:bCs/>
        </w:rPr>
        <w:t xml:space="preserve"> instruct the member </w:t>
      </w:r>
      <w:r w:rsidR="00021763">
        <w:rPr>
          <w:rFonts w:ascii="Verdana" w:hAnsi="Verdana"/>
          <w:b/>
          <w:bCs/>
        </w:rPr>
        <w:t xml:space="preserve">or pharmacy </w:t>
      </w:r>
      <w:r w:rsidR="005D0BAA" w:rsidRPr="000D59D0">
        <w:rPr>
          <w:rFonts w:ascii="Verdana" w:hAnsi="Verdana"/>
          <w:b/>
          <w:bCs/>
        </w:rPr>
        <w:t xml:space="preserve">to have a physician write “DAW </w:t>
      </w:r>
      <w:r w:rsidR="00A90C12" w:rsidRPr="000D59D0">
        <w:rPr>
          <w:rFonts w:ascii="Verdana" w:hAnsi="Verdana"/>
          <w:b/>
          <w:bCs/>
        </w:rPr>
        <w:t>9 or DAW 5</w:t>
      </w:r>
      <w:r w:rsidR="005D0BAA" w:rsidRPr="000D59D0">
        <w:rPr>
          <w:rFonts w:ascii="Verdana" w:hAnsi="Verdana"/>
          <w:b/>
          <w:bCs/>
        </w:rPr>
        <w:t>” on the prescr</w:t>
      </w:r>
      <w:r w:rsidR="00EF372E" w:rsidRPr="000D59D0">
        <w:rPr>
          <w:rFonts w:ascii="Verdana" w:hAnsi="Verdana"/>
          <w:b/>
          <w:bCs/>
        </w:rPr>
        <w:t>iption</w:t>
      </w:r>
      <w:r w:rsidR="00EF372E" w:rsidRPr="000D59D0">
        <w:rPr>
          <w:rFonts w:ascii="Verdana" w:hAnsi="Verdana"/>
        </w:rPr>
        <w:t xml:space="preserve">.  This </w:t>
      </w:r>
      <w:r w:rsidR="002E3FE2">
        <w:rPr>
          <w:rFonts w:ascii="Verdana" w:hAnsi="Verdana"/>
        </w:rPr>
        <w:t xml:space="preserve">should not be considered a standard process and </w:t>
      </w:r>
      <w:r w:rsidR="005D0BAA" w:rsidRPr="000D59D0">
        <w:rPr>
          <w:rFonts w:ascii="Verdana" w:hAnsi="Verdana"/>
        </w:rPr>
        <w:t>may cause a delay in dispensing.</w:t>
      </w:r>
      <w:r w:rsidR="00A21351">
        <w:rPr>
          <w:rFonts w:ascii="Verdana" w:hAnsi="Verdana"/>
        </w:rPr>
        <w:t xml:space="preserve"> Instead</w:t>
      </w:r>
      <w:r w:rsidR="002E3FE2">
        <w:rPr>
          <w:rFonts w:ascii="Verdana" w:hAnsi="Verdana"/>
        </w:rPr>
        <w:t>,</w:t>
      </w:r>
      <w:r w:rsidR="00A21351">
        <w:rPr>
          <w:rFonts w:ascii="Verdana" w:hAnsi="Verdana"/>
        </w:rPr>
        <w:t xml:space="preserve"> advise that the prescriber should write the prescription as “substitution allowed.”</w:t>
      </w:r>
    </w:p>
    <w:p w14:paraId="3174D1E4" w14:textId="77777777" w:rsidR="00D36ACF" w:rsidRPr="00697021" w:rsidRDefault="00D36ACF" w:rsidP="000D59D0">
      <w:pPr>
        <w:spacing w:before="120" w:after="120"/>
        <w:ind w:left="1080"/>
        <w:rPr>
          <w:rFonts w:ascii="Verdana" w:hAnsi="Verdana"/>
        </w:rPr>
      </w:pPr>
    </w:p>
    <w:p w14:paraId="78E072E4" w14:textId="0CD239B0" w:rsidR="0032294C" w:rsidRPr="00B86235" w:rsidRDefault="00D82017" w:rsidP="00E63560">
      <w:pPr>
        <w:spacing w:before="120" w:after="120"/>
        <w:rPr>
          <w:rFonts w:ascii="Verdana" w:hAnsi="Verdana"/>
        </w:rPr>
      </w:pPr>
      <w:r>
        <w:rPr>
          <w:rFonts w:ascii="Verdana" w:hAnsi="Verdana"/>
          <w:noProof/>
        </w:rPr>
        <w:drawing>
          <wp:inline distT="0" distB="0" distL="0" distR="0" wp14:anchorId="77FBCC02" wp14:editId="285DBF25">
            <wp:extent cx="304762" cy="304762"/>
            <wp:effectExtent l="0" t="0" r="635" b="635"/>
            <wp:docPr id="120067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74969" name="Picture 1200674969"/>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234AC">
        <w:rPr>
          <w:rFonts w:ascii="Verdana" w:hAnsi="Verdana"/>
          <w:noProof/>
        </w:rPr>
        <w:drawing>
          <wp:inline distT="0" distB="0" distL="0" distR="0" wp14:anchorId="133FFA41" wp14:editId="18703F1F">
            <wp:extent cx="238095" cy="209524"/>
            <wp:effectExtent l="0" t="0" r="0" b="635"/>
            <wp:docPr id="870913392" name="Picture 870913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E63560">
        <w:rPr>
          <w:rFonts w:ascii="Verdana" w:hAnsi="Verdana" w:cstheme="minorBidi"/>
        </w:rPr>
        <w:t xml:space="preserve"> </w:t>
      </w:r>
      <w:r w:rsidR="00F440EB" w:rsidRPr="00E63560">
        <w:rPr>
          <w:rFonts w:ascii="Verdana" w:hAnsi="Verdana" w:cstheme="minorBidi"/>
        </w:rPr>
        <w:t>Do not tell the member that the Retail pharmacy process</w:t>
      </w:r>
      <w:r w:rsidR="00E63560">
        <w:rPr>
          <w:rFonts w:ascii="Verdana" w:hAnsi="Verdana" w:cstheme="minorBidi"/>
        </w:rPr>
        <w:t>es</w:t>
      </w:r>
      <w:r w:rsidR="00F440EB" w:rsidRPr="00E63560">
        <w:rPr>
          <w:rFonts w:ascii="Verdana" w:hAnsi="Verdana" w:cstheme="minorBidi"/>
        </w:rPr>
        <w:t xml:space="preserve"> a “DAW 5” claim using this practice. This is only applicable to Home Delivery/Mail Service.</w:t>
      </w:r>
    </w:p>
    <w:p w14:paraId="670795EF" w14:textId="5AEBDF89" w:rsidR="007E2318" w:rsidRDefault="00D82017" w:rsidP="007E2318">
      <w:pPr>
        <w:spacing w:before="120" w:after="120"/>
        <w:jc w:val="right"/>
        <w:rPr>
          <w:rFonts w:ascii="Verdana" w:hAnsi="Verdana"/>
        </w:rPr>
      </w:pPr>
      <w:hyperlink w:anchor="_top" w:history="1">
        <w:r w:rsidR="007E2318" w:rsidRPr="000560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37444" w14:paraId="31E9AE1F" w14:textId="77777777" w:rsidTr="000560C1">
        <w:tc>
          <w:tcPr>
            <w:tcW w:w="5000" w:type="pct"/>
            <w:shd w:val="clear" w:color="auto" w:fill="C0C0C0"/>
          </w:tcPr>
          <w:p w14:paraId="26915EAC" w14:textId="59A5E1B9" w:rsidR="00D37444" w:rsidRDefault="00D37444" w:rsidP="000D59D0">
            <w:pPr>
              <w:pStyle w:val="Heading2"/>
              <w:spacing w:before="120" w:after="120"/>
            </w:pPr>
            <w:bookmarkStart w:id="15" w:name="_Toc145394310"/>
            <w:r>
              <w:t xml:space="preserve">RBP (Reference Based Pricing) </w:t>
            </w:r>
            <w:r w:rsidR="00457A46">
              <w:t>Cost Differen</w:t>
            </w:r>
            <w:r w:rsidR="002E3FE2">
              <w:t>ce</w:t>
            </w:r>
            <w:bookmarkEnd w:id="15"/>
          </w:p>
        </w:tc>
      </w:tr>
    </w:tbl>
    <w:p w14:paraId="6CC9B998" w14:textId="1B99D1A0" w:rsidR="00A875F5" w:rsidRDefault="00D37444" w:rsidP="000D59D0">
      <w:pPr>
        <w:spacing w:before="120" w:after="120"/>
        <w:rPr>
          <w:rFonts w:ascii="Verdana" w:hAnsi="Verdana"/>
        </w:rPr>
      </w:pPr>
      <w:r w:rsidRPr="00D37444">
        <w:rPr>
          <w:rFonts w:ascii="Verdana" w:hAnsi="Verdana"/>
        </w:rPr>
        <w:t xml:space="preserve">This </w:t>
      </w:r>
      <w:r w:rsidR="00457A46">
        <w:rPr>
          <w:rFonts w:ascii="Verdana" w:hAnsi="Verdana"/>
        </w:rPr>
        <w:t xml:space="preserve">Cost </w:t>
      </w:r>
      <w:r w:rsidR="002E3FE2">
        <w:rPr>
          <w:rFonts w:ascii="Verdana" w:hAnsi="Verdana"/>
        </w:rPr>
        <w:t xml:space="preserve">RBP </w:t>
      </w:r>
      <w:r w:rsidR="00457A46">
        <w:rPr>
          <w:rFonts w:ascii="Verdana" w:hAnsi="Verdana"/>
        </w:rPr>
        <w:t>Differen</w:t>
      </w:r>
      <w:r w:rsidR="002E3FE2">
        <w:rPr>
          <w:rFonts w:ascii="Verdana" w:hAnsi="Verdana"/>
        </w:rPr>
        <w:t>ce</w:t>
      </w:r>
      <w:r w:rsidRPr="00D37444">
        <w:rPr>
          <w:rFonts w:ascii="Verdana" w:hAnsi="Verdana"/>
        </w:rPr>
        <w:t xml:space="preserve"> is </w:t>
      </w:r>
      <w:r w:rsidR="000650DD" w:rsidRPr="00D37444">
        <w:rPr>
          <w:rFonts w:ascii="Verdana" w:hAnsi="Verdana"/>
        </w:rPr>
        <w:t>like</w:t>
      </w:r>
      <w:r w:rsidRPr="00D37444">
        <w:rPr>
          <w:rFonts w:ascii="Verdana" w:hAnsi="Verdana"/>
        </w:rPr>
        <w:t xml:space="preserve"> the DAW </w:t>
      </w:r>
      <w:r w:rsidR="00457A46">
        <w:rPr>
          <w:rFonts w:ascii="Verdana" w:hAnsi="Verdana"/>
        </w:rPr>
        <w:t>Cost Differen</w:t>
      </w:r>
      <w:r w:rsidR="002E3FE2">
        <w:rPr>
          <w:rFonts w:ascii="Verdana" w:hAnsi="Verdana"/>
        </w:rPr>
        <w:t>ce</w:t>
      </w:r>
      <w:r w:rsidR="00457A46" w:rsidRPr="00D37444">
        <w:rPr>
          <w:rFonts w:ascii="Verdana" w:hAnsi="Verdana"/>
        </w:rPr>
        <w:t xml:space="preserve"> </w:t>
      </w:r>
      <w:r w:rsidRPr="00D37444">
        <w:rPr>
          <w:rFonts w:ascii="Verdana" w:hAnsi="Verdana"/>
        </w:rPr>
        <w:t xml:space="preserve">with </w:t>
      </w:r>
      <w:r w:rsidR="009D5F9B">
        <w:rPr>
          <w:rFonts w:ascii="Verdana" w:hAnsi="Verdana"/>
        </w:rPr>
        <w:t>a</w:t>
      </w:r>
      <w:r w:rsidR="009D5F9B" w:rsidRPr="00D37444">
        <w:rPr>
          <w:rFonts w:ascii="Verdana" w:hAnsi="Verdana"/>
        </w:rPr>
        <w:t xml:space="preserve"> </w:t>
      </w:r>
      <w:r w:rsidRPr="00D37444">
        <w:rPr>
          <w:rFonts w:ascii="Verdana" w:hAnsi="Verdana"/>
        </w:rPr>
        <w:t xml:space="preserve">slight </w:t>
      </w:r>
      <w:r w:rsidR="002E3FE2">
        <w:rPr>
          <w:rFonts w:ascii="Verdana" w:hAnsi="Verdana"/>
        </w:rPr>
        <w:t>variation</w:t>
      </w:r>
      <w:r w:rsidRPr="00D37444">
        <w:rPr>
          <w:rFonts w:ascii="Verdana" w:hAnsi="Verdana"/>
        </w:rPr>
        <w:t xml:space="preserve">.  Members may be given coverage to obtain brand and/or generic medications within a certain drug class.  However, the client may select (or have the PBM select) the most clinically sound and </w:t>
      </w:r>
      <w:r w:rsidR="00A21351" w:rsidRPr="00D37444">
        <w:rPr>
          <w:rFonts w:ascii="Verdana" w:hAnsi="Verdana"/>
        </w:rPr>
        <w:t>cost-effective</w:t>
      </w:r>
      <w:r w:rsidRPr="00D37444">
        <w:rPr>
          <w:rFonts w:ascii="Verdana" w:hAnsi="Verdana"/>
        </w:rPr>
        <w:t xml:space="preserve"> medication(s) within the drug class. </w:t>
      </w:r>
    </w:p>
    <w:p w14:paraId="11E1F05C" w14:textId="77777777" w:rsidR="00A875F5" w:rsidRDefault="00A875F5" w:rsidP="000D59D0">
      <w:pPr>
        <w:spacing w:before="120" w:after="120"/>
        <w:rPr>
          <w:rFonts w:ascii="Verdana" w:hAnsi="Verdana"/>
        </w:rPr>
      </w:pPr>
    </w:p>
    <w:p w14:paraId="23CEC1E1" w14:textId="49F8E613" w:rsidR="001A28CB" w:rsidRDefault="00D37444" w:rsidP="000D59D0">
      <w:pPr>
        <w:spacing w:before="120" w:after="120"/>
        <w:rPr>
          <w:rFonts w:ascii="Verdana" w:hAnsi="Verdana"/>
        </w:rPr>
      </w:pPr>
      <w:r w:rsidRPr="00D37444">
        <w:rPr>
          <w:rFonts w:ascii="Verdana" w:hAnsi="Verdana"/>
        </w:rPr>
        <w:t xml:space="preserve">Next, they set the limit for how much </w:t>
      </w:r>
      <w:r w:rsidR="00026C99">
        <w:rPr>
          <w:rFonts w:ascii="Verdana" w:hAnsi="Verdana"/>
        </w:rPr>
        <w:t>is</w:t>
      </w:r>
      <w:r w:rsidR="00697021">
        <w:rPr>
          <w:rFonts w:ascii="Verdana" w:hAnsi="Verdana"/>
        </w:rPr>
        <w:t xml:space="preserve"> paid</w:t>
      </w:r>
      <w:r w:rsidRPr="00D37444">
        <w:rPr>
          <w:rFonts w:ascii="Verdana" w:hAnsi="Verdana"/>
        </w:rPr>
        <w:t xml:space="preserve"> towards a medication within that drug class. </w:t>
      </w:r>
      <w:r w:rsidR="001B6235">
        <w:rPr>
          <w:rFonts w:ascii="Verdana" w:hAnsi="Verdana"/>
        </w:rPr>
        <w:t xml:space="preserve"> </w:t>
      </w:r>
      <w:r w:rsidRPr="00D37444">
        <w:rPr>
          <w:rFonts w:ascii="Verdana" w:hAnsi="Verdana"/>
        </w:rPr>
        <w:t>The member may select a non-preferred medication and pay a price difference between the preferred medication and the non-preferred medication plus the applicable copay.  The client pay</w:t>
      </w:r>
      <w:r w:rsidR="00E63560">
        <w:rPr>
          <w:rFonts w:ascii="Verdana" w:hAnsi="Verdana"/>
        </w:rPr>
        <w:t>s</w:t>
      </w:r>
      <w:r w:rsidRPr="00D37444">
        <w:rPr>
          <w:rFonts w:ascii="Verdana" w:hAnsi="Verdana"/>
        </w:rPr>
        <w:t xml:space="preserve"> </w:t>
      </w:r>
      <w:r w:rsidR="009D5F9B">
        <w:rPr>
          <w:rFonts w:ascii="Verdana" w:hAnsi="Verdana"/>
        </w:rPr>
        <w:t>the remainder.</w:t>
      </w:r>
    </w:p>
    <w:p w14:paraId="717966B8" w14:textId="59668FF6" w:rsidR="00FB10AD" w:rsidRDefault="00FB10AD" w:rsidP="000D59D0">
      <w:pPr>
        <w:spacing w:before="120" w:after="120"/>
        <w:rPr>
          <w:rFonts w:ascii="Verdana" w:hAnsi="Verdana"/>
        </w:rPr>
      </w:pPr>
    </w:p>
    <w:p w14:paraId="1485BE38" w14:textId="6BFD5DC3" w:rsidR="00FB10AD" w:rsidRDefault="00FB10AD" w:rsidP="00FB10AD">
      <w:pPr>
        <w:spacing w:before="120" w:after="120"/>
        <w:rPr>
          <w:rFonts w:ascii="Verdana" w:hAnsi="Verdana"/>
        </w:rPr>
      </w:pPr>
      <w:r>
        <w:rPr>
          <w:rFonts w:ascii="Verdana" w:hAnsi="Verdana"/>
          <w:b/>
          <w:bCs/>
        </w:rPr>
        <w:t xml:space="preserve"> </w:t>
      </w:r>
      <w:r>
        <w:rPr>
          <w:rFonts w:ascii="Verdana" w:hAnsi="Verdana"/>
          <w:b/>
          <w:noProof/>
        </w:rPr>
        <w:drawing>
          <wp:inline distT="0" distB="0" distL="0" distR="0" wp14:anchorId="64DD2FF5" wp14:editId="1813B72F">
            <wp:extent cx="233680" cy="212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Pr>
          <w:rFonts w:ascii="Verdana" w:hAnsi="Verdana"/>
          <w:b/>
          <w:bCs/>
        </w:rPr>
        <w:t xml:space="preserve"> </w:t>
      </w:r>
      <w:r>
        <w:rPr>
          <w:rFonts w:ascii="Verdana" w:hAnsi="Verdana"/>
        </w:rPr>
        <w:t>Do</w:t>
      </w:r>
      <w:r>
        <w:rPr>
          <w:rFonts w:ascii="Verdana" w:hAnsi="Verdana"/>
          <w:b/>
          <w:bCs/>
        </w:rPr>
        <w:t xml:space="preserve"> </w:t>
      </w:r>
      <w:r>
        <w:rPr>
          <w:rFonts w:ascii="Verdana" w:hAnsi="Verdana"/>
        </w:rPr>
        <w:t xml:space="preserve">not refer to the RBP Copay as a penalty. </w:t>
      </w:r>
      <w:r w:rsidR="009D68F8">
        <w:rPr>
          <w:rFonts w:ascii="Verdana" w:hAnsi="Verdana"/>
        </w:rPr>
        <w:t xml:space="preserve">  Refer to it as a Cost Difference.</w:t>
      </w:r>
    </w:p>
    <w:p w14:paraId="4EADB898" w14:textId="77777777" w:rsidR="00FB10AD" w:rsidRDefault="00FB10AD" w:rsidP="000D59D0">
      <w:pPr>
        <w:spacing w:before="120" w:after="120"/>
        <w:rPr>
          <w:rFonts w:ascii="Verdana" w:hAnsi="Verdana"/>
        </w:rPr>
      </w:pPr>
    </w:p>
    <w:p w14:paraId="4DF0A104" w14:textId="77777777" w:rsidR="00D37444" w:rsidRDefault="00D37444" w:rsidP="000D59D0">
      <w:pPr>
        <w:spacing w:before="120" w:after="120"/>
        <w:rPr>
          <w:rFonts w:ascii="Verdana" w:hAnsi="Verdana"/>
        </w:rPr>
      </w:pPr>
    </w:p>
    <w:p w14:paraId="235DECD9" w14:textId="4687A365" w:rsidR="00D37444" w:rsidRDefault="000560C1" w:rsidP="000D59D0">
      <w:pPr>
        <w:spacing w:before="120" w:after="120"/>
        <w:rPr>
          <w:rFonts w:ascii="Verdana" w:hAnsi="Verdana"/>
        </w:rPr>
      </w:pPr>
      <w:bookmarkStart w:id="16" w:name="OLE_LINK4"/>
      <w:r>
        <w:rPr>
          <w:rFonts w:ascii="Verdana" w:hAnsi="Verdana"/>
          <w:b/>
        </w:rPr>
        <w:t xml:space="preserve"> </w:t>
      </w:r>
      <w:bookmarkEnd w:id="16"/>
      <w:r w:rsidR="003A183D" w:rsidRPr="003A183D">
        <w:rPr>
          <w:rFonts w:ascii="Verdana" w:hAnsi="Verdana"/>
          <w:b/>
        </w:rPr>
        <w:t>Example:</w:t>
      </w:r>
      <w:r w:rsidR="003A183D">
        <w:rPr>
          <w:rFonts w:ascii="Verdana" w:hAnsi="Verdana"/>
        </w:rPr>
        <w:t xml:space="preserve">  </w:t>
      </w:r>
      <w:r w:rsidR="00D37444" w:rsidRPr="00D37444">
        <w:rPr>
          <w:rFonts w:ascii="Verdana" w:hAnsi="Verdana"/>
        </w:rPr>
        <w:t xml:space="preserve">Test Claim </w:t>
      </w:r>
      <w:r w:rsidR="003A183D">
        <w:rPr>
          <w:rFonts w:ascii="Verdana" w:hAnsi="Verdana"/>
        </w:rPr>
        <w:t>for a</w:t>
      </w:r>
      <w:r w:rsidR="00D37444" w:rsidRPr="00D37444">
        <w:rPr>
          <w:rFonts w:ascii="Verdana" w:hAnsi="Verdana"/>
        </w:rPr>
        <w:t xml:space="preserve"> medication </w:t>
      </w:r>
      <w:r w:rsidR="003A183D">
        <w:rPr>
          <w:rFonts w:ascii="Verdana" w:hAnsi="Verdana"/>
        </w:rPr>
        <w:t>where a</w:t>
      </w:r>
      <w:r w:rsidR="00D37444" w:rsidRPr="00D37444">
        <w:rPr>
          <w:rFonts w:ascii="Verdana" w:hAnsi="Verdana"/>
        </w:rPr>
        <w:t xml:space="preserve"> RBP </w:t>
      </w:r>
      <w:r w:rsidR="00457A46">
        <w:rPr>
          <w:rFonts w:ascii="Verdana" w:hAnsi="Verdana"/>
        </w:rPr>
        <w:t>Cost Differen</w:t>
      </w:r>
      <w:r w:rsidR="002E3FE2">
        <w:rPr>
          <w:rFonts w:ascii="Verdana" w:hAnsi="Verdana"/>
        </w:rPr>
        <w:t>ce</w:t>
      </w:r>
      <w:r w:rsidR="00D37444" w:rsidRPr="00D37444">
        <w:rPr>
          <w:rFonts w:ascii="Verdana" w:hAnsi="Verdana"/>
        </w:rPr>
        <w:t xml:space="preserve"> </w:t>
      </w:r>
      <w:r w:rsidR="003A183D">
        <w:rPr>
          <w:rFonts w:ascii="Verdana" w:hAnsi="Verdana"/>
        </w:rPr>
        <w:t xml:space="preserve">was </w:t>
      </w:r>
      <w:r w:rsidR="00D37444" w:rsidRPr="00D37444">
        <w:rPr>
          <w:rFonts w:ascii="Verdana" w:hAnsi="Verdana"/>
        </w:rPr>
        <w:t xml:space="preserve">assessed. </w:t>
      </w:r>
    </w:p>
    <w:p w14:paraId="655404DD" w14:textId="77777777" w:rsidR="00377283" w:rsidRPr="00D37444" w:rsidRDefault="00377283" w:rsidP="000D59D0">
      <w:pPr>
        <w:spacing w:before="120" w:after="120"/>
        <w:rPr>
          <w:rFonts w:ascii="Verdana" w:hAnsi="Verdana"/>
        </w:rPr>
      </w:pPr>
    </w:p>
    <w:p w14:paraId="634B8FCA" w14:textId="77777777" w:rsidR="00D37444" w:rsidRDefault="00EF372E" w:rsidP="000D59D0">
      <w:pPr>
        <w:spacing w:before="120" w:after="120"/>
        <w:jc w:val="center"/>
        <w:rPr>
          <w:rFonts w:ascii="Verdana" w:hAnsi="Verdana"/>
        </w:rPr>
      </w:pPr>
      <w:r w:rsidRPr="00D37444">
        <w:rPr>
          <w:rFonts w:ascii="Verdana" w:hAnsi="Verdana"/>
          <w:noProof/>
        </w:rPr>
        <w:drawing>
          <wp:inline distT="0" distB="0" distL="0" distR="0" wp14:anchorId="4D1F6BCA" wp14:editId="497701AB">
            <wp:extent cx="5486400" cy="1905000"/>
            <wp:effectExtent l="19050" t="19050" r="19050" b="190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w="9525" cmpd="sng">
                      <a:solidFill>
                        <a:srgbClr val="000000"/>
                      </a:solidFill>
                      <a:miter lim="800000"/>
                      <a:headEnd/>
                      <a:tailEnd/>
                    </a:ln>
                    <a:effectLst/>
                  </pic:spPr>
                </pic:pic>
              </a:graphicData>
            </a:graphic>
          </wp:inline>
        </w:drawing>
      </w:r>
    </w:p>
    <w:p w14:paraId="039BF8BA" w14:textId="77777777" w:rsidR="00D45A1B" w:rsidRDefault="00D45A1B" w:rsidP="000D59D0">
      <w:pPr>
        <w:spacing w:before="120" w:after="120"/>
        <w:rPr>
          <w:rFonts w:ascii="Verdana" w:hAnsi="Verdana"/>
          <w:b/>
        </w:rPr>
      </w:pPr>
    </w:p>
    <w:p w14:paraId="7078E876" w14:textId="77188B11" w:rsidR="00EF372E" w:rsidRDefault="000560C1" w:rsidP="000D59D0">
      <w:pPr>
        <w:spacing w:before="120" w:after="120"/>
        <w:rPr>
          <w:rFonts w:ascii="Verdana" w:hAnsi="Verdana"/>
        </w:rPr>
      </w:pPr>
      <w:r>
        <w:rPr>
          <w:rFonts w:ascii="Verdana" w:hAnsi="Verdana"/>
          <w:b/>
        </w:rPr>
        <w:t xml:space="preserve"> </w:t>
      </w:r>
      <w:r w:rsidR="003A183D" w:rsidRPr="003A183D">
        <w:rPr>
          <w:rFonts w:ascii="Verdana" w:hAnsi="Verdana"/>
          <w:b/>
        </w:rPr>
        <w:t>Example:</w:t>
      </w:r>
      <w:r w:rsidR="003A183D">
        <w:rPr>
          <w:rFonts w:ascii="Verdana" w:hAnsi="Verdana"/>
        </w:rPr>
        <w:t xml:space="preserve">  </w:t>
      </w:r>
      <w:r w:rsidR="00D37444" w:rsidRPr="00D37444">
        <w:rPr>
          <w:rFonts w:ascii="Verdana" w:hAnsi="Verdana"/>
        </w:rPr>
        <w:t xml:space="preserve">Financials screen of member’s cost with the RBP </w:t>
      </w:r>
      <w:r w:rsidR="00457A46">
        <w:rPr>
          <w:rFonts w:ascii="Verdana" w:hAnsi="Verdana"/>
        </w:rPr>
        <w:t>Cost Differen</w:t>
      </w:r>
      <w:r w:rsidR="002E3FE2">
        <w:rPr>
          <w:rFonts w:ascii="Verdana" w:hAnsi="Verdana"/>
        </w:rPr>
        <w:t>ce</w:t>
      </w:r>
      <w:r w:rsidR="00D37444" w:rsidRPr="00D37444">
        <w:rPr>
          <w:rFonts w:ascii="Verdana" w:hAnsi="Verdana"/>
        </w:rPr>
        <w:t xml:space="preserve"> shown</w:t>
      </w:r>
      <w:r w:rsidR="00EF372E">
        <w:rPr>
          <w:rFonts w:ascii="Verdana" w:hAnsi="Verdana"/>
        </w:rPr>
        <w:t>.</w:t>
      </w:r>
    </w:p>
    <w:p w14:paraId="3C1D20D3" w14:textId="77777777" w:rsidR="000650DD" w:rsidRDefault="000650DD" w:rsidP="000650DD">
      <w:pPr>
        <w:spacing w:before="120" w:after="120"/>
        <w:rPr>
          <w:rFonts w:ascii="Verdana" w:hAnsi="Verdana"/>
        </w:rPr>
      </w:pPr>
    </w:p>
    <w:p w14:paraId="73442ECC" w14:textId="664AFFAB" w:rsidR="002143D8" w:rsidRDefault="000560C1" w:rsidP="000650DD">
      <w:pPr>
        <w:spacing w:before="120" w:after="120"/>
        <w:rPr>
          <w:rFonts w:ascii="Verdana" w:hAnsi="Verdana"/>
        </w:rPr>
      </w:pPr>
      <w:bookmarkStart w:id="17" w:name="OLE_LINK8"/>
      <w:r>
        <w:rPr>
          <w:rFonts w:ascii="Verdana" w:hAnsi="Verdana"/>
          <w:b/>
        </w:rPr>
        <w:t xml:space="preserve"> </w:t>
      </w:r>
      <w:r w:rsidR="00784047">
        <w:rPr>
          <w:rFonts w:ascii="Verdana" w:hAnsi="Verdana"/>
          <w:noProof/>
        </w:rPr>
        <w:drawing>
          <wp:inline distT="0" distB="0" distL="0" distR="0" wp14:anchorId="0DED4B13" wp14:editId="10562123">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784047">
        <w:rPr>
          <w:rFonts w:ascii="Verdana" w:hAnsi="Verdana"/>
        </w:rPr>
        <w:t xml:space="preserve"> </w:t>
      </w:r>
      <w:bookmarkStart w:id="18" w:name="OLE_LINK22"/>
      <w:r w:rsidR="002143D8">
        <w:rPr>
          <w:rFonts w:ascii="Verdana" w:hAnsi="Verdana"/>
        </w:rPr>
        <w:t xml:space="preserve">DAW </w:t>
      </w:r>
      <w:r w:rsidR="00457A46">
        <w:rPr>
          <w:rFonts w:ascii="Verdana" w:hAnsi="Verdana"/>
        </w:rPr>
        <w:t>Cost Differen</w:t>
      </w:r>
      <w:r w:rsidR="002E3FE2">
        <w:rPr>
          <w:rFonts w:ascii="Verdana" w:hAnsi="Verdana"/>
        </w:rPr>
        <w:t>ce</w:t>
      </w:r>
      <w:r w:rsidR="00457A46">
        <w:rPr>
          <w:rFonts w:ascii="Verdana" w:hAnsi="Verdana"/>
        </w:rPr>
        <w:t xml:space="preserve"> </w:t>
      </w:r>
      <w:r w:rsidR="002143D8">
        <w:rPr>
          <w:rFonts w:ascii="Verdana" w:hAnsi="Verdana"/>
        </w:rPr>
        <w:t>do</w:t>
      </w:r>
      <w:r w:rsidR="002E3FE2">
        <w:rPr>
          <w:rFonts w:ascii="Verdana" w:hAnsi="Verdana"/>
        </w:rPr>
        <w:t>es</w:t>
      </w:r>
      <w:r w:rsidR="002143D8">
        <w:rPr>
          <w:rFonts w:ascii="Verdana" w:hAnsi="Verdana"/>
        </w:rPr>
        <w:t xml:space="preserve"> not apply towards the members MOOP</w:t>
      </w:r>
      <w:r w:rsidR="009D5F9B">
        <w:rPr>
          <w:rFonts w:ascii="Verdana" w:hAnsi="Verdana"/>
        </w:rPr>
        <w:t>.</w:t>
      </w:r>
    </w:p>
    <w:bookmarkEnd w:id="17"/>
    <w:bookmarkEnd w:id="18"/>
    <w:p w14:paraId="2D42C0D7" w14:textId="792D02DF" w:rsidR="00D37444" w:rsidRDefault="00EF372E" w:rsidP="000D59D0">
      <w:pPr>
        <w:spacing w:before="120" w:after="120"/>
        <w:jc w:val="center"/>
        <w:rPr>
          <w:rFonts w:ascii="Verdana" w:hAnsi="Verdana"/>
          <w:b/>
        </w:rPr>
      </w:pPr>
      <w:r w:rsidRPr="00D37444">
        <w:rPr>
          <w:rFonts w:ascii="Verdana" w:hAnsi="Verdana"/>
          <w:noProof/>
        </w:rPr>
        <w:drawing>
          <wp:inline distT="0" distB="0" distL="0" distR="0" wp14:anchorId="7587DC6D" wp14:editId="78204398">
            <wp:extent cx="3657600" cy="3476625"/>
            <wp:effectExtent l="19050" t="19050" r="19050" b="2857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476625"/>
                    </a:xfrm>
                    <a:prstGeom prst="rect">
                      <a:avLst/>
                    </a:prstGeom>
                    <a:noFill/>
                    <a:ln w="9525" cmpd="sng">
                      <a:solidFill>
                        <a:srgbClr val="000000"/>
                      </a:solidFill>
                      <a:miter lim="800000"/>
                      <a:headEnd/>
                      <a:tailEnd/>
                    </a:ln>
                    <a:effectLst/>
                  </pic:spPr>
                </pic:pic>
              </a:graphicData>
            </a:graphic>
          </wp:inline>
        </w:drawing>
      </w:r>
      <w:r w:rsidR="001B6235">
        <w:rPr>
          <w:rFonts w:ascii="Verdana" w:hAnsi="Verdana"/>
          <w:b/>
        </w:rPr>
        <w:t xml:space="preserve"> </w:t>
      </w:r>
    </w:p>
    <w:p w14:paraId="74ECBD30" w14:textId="77777777" w:rsidR="00A875F5" w:rsidRPr="003A183D" w:rsidRDefault="00A875F5" w:rsidP="000D59D0">
      <w:pPr>
        <w:jc w:val="center"/>
        <w:rPr>
          <w:rFonts w:ascii="Verdana" w:hAnsi="Verdana"/>
          <w:b/>
        </w:rPr>
      </w:pPr>
    </w:p>
    <w:p w14:paraId="5FFDE909" w14:textId="3B76F936" w:rsidR="007E2318" w:rsidRDefault="00D82017" w:rsidP="007E2318">
      <w:pPr>
        <w:spacing w:before="120" w:after="120"/>
        <w:jc w:val="right"/>
        <w:rPr>
          <w:rFonts w:ascii="Verdana" w:hAnsi="Verdana"/>
        </w:rPr>
      </w:pPr>
      <w:hyperlink w:anchor="_top" w:history="1">
        <w:r w:rsidR="007E2318" w:rsidRPr="000560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37444" w14:paraId="73B87D07" w14:textId="77777777" w:rsidTr="000560C1">
        <w:tc>
          <w:tcPr>
            <w:tcW w:w="5000" w:type="pct"/>
            <w:shd w:val="clear" w:color="auto" w:fill="C0C0C0"/>
          </w:tcPr>
          <w:p w14:paraId="06227A3F" w14:textId="6C58FE4A" w:rsidR="00D37444" w:rsidRPr="00EF372E" w:rsidRDefault="000560C1" w:rsidP="000D59D0">
            <w:pPr>
              <w:pStyle w:val="Heading2"/>
              <w:spacing w:before="120" w:after="120"/>
            </w:pPr>
            <w:r>
              <w:rPr>
                <w:b w:val="0"/>
              </w:rPr>
              <w:t xml:space="preserve"> </w:t>
            </w:r>
            <w:bookmarkStart w:id="19" w:name="_Toc145394311"/>
            <w:r w:rsidR="000147D7">
              <w:t xml:space="preserve">Explanations of the </w:t>
            </w:r>
            <w:r w:rsidR="00457A46">
              <w:t>Cost Differen</w:t>
            </w:r>
            <w:r w:rsidR="002E3FE2">
              <w:t>ce</w:t>
            </w:r>
            <w:bookmarkEnd w:id="19"/>
            <w:r w:rsidR="00904E4F">
              <w:t xml:space="preserve"> </w:t>
            </w:r>
          </w:p>
        </w:tc>
      </w:tr>
    </w:tbl>
    <w:p w14:paraId="380ECF04" w14:textId="2B289AFB" w:rsidR="00407902" w:rsidRDefault="000147D7" w:rsidP="000D59D0">
      <w:pPr>
        <w:spacing w:before="120" w:after="120"/>
        <w:rPr>
          <w:rFonts w:ascii="Verdana" w:hAnsi="Verdana"/>
        </w:rPr>
      </w:pPr>
      <w:r w:rsidRPr="00D37444">
        <w:rPr>
          <w:rFonts w:ascii="Verdana" w:hAnsi="Verdana"/>
        </w:rPr>
        <w:t xml:space="preserve">Before providing an explanation, remember that the members are concerned with how this issue affects them.  </w:t>
      </w:r>
      <w:r w:rsidR="005D0BAA" w:rsidRPr="00D37444">
        <w:rPr>
          <w:rFonts w:ascii="Verdana" w:hAnsi="Verdana"/>
        </w:rPr>
        <w:t>We are committed to helping our clients and members with choosing clinically sound and affordable drug therapy.</w:t>
      </w:r>
    </w:p>
    <w:p w14:paraId="667E08D0" w14:textId="674D8B77" w:rsidR="00407902" w:rsidRDefault="00D82017" w:rsidP="000650DD">
      <w:pPr>
        <w:spacing w:before="120" w:after="120"/>
        <w:rPr>
          <w:rFonts w:ascii="Verdana" w:hAnsi="Verdana"/>
        </w:rPr>
      </w:pPr>
      <w:r>
        <w:pict w14:anchorId="04951B86">
          <v:shape id="_x0000_i1028" type="#_x0000_t75" style="width:18.75pt;height:16.5pt;visibility:visible;mso-wrap-style:square">
            <v:imagedata r:id="rId19" o:title=""/>
          </v:shape>
        </w:pict>
      </w:r>
      <w:r w:rsidR="000650DD">
        <w:rPr>
          <w:rFonts w:ascii="Verdana" w:hAnsi="Verdana"/>
        </w:rPr>
        <w:t xml:space="preserve"> </w:t>
      </w:r>
      <w:r w:rsidR="00407902" w:rsidRPr="000650DD">
        <w:rPr>
          <w:rFonts w:ascii="Verdana" w:hAnsi="Verdana"/>
        </w:rPr>
        <w:t xml:space="preserve">Today, most drug classes offer several options.  Some are higher-cost brand name drugs and others are lower-cost generic options. </w:t>
      </w:r>
      <w:r w:rsidR="009D5F9B" w:rsidRPr="000650DD">
        <w:rPr>
          <w:rFonts w:ascii="Verdana" w:hAnsi="Verdana"/>
        </w:rPr>
        <w:t xml:space="preserve"> </w:t>
      </w:r>
      <w:r w:rsidR="00407902" w:rsidRPr="000650DD">
        <w:rPr>
          <w:rFonts w:ascii="Verdana" w:hAnsi="Verdana"/>
        </w:rPr>
        <w:t>Choosing a generic medicine can save you money each time you fill your prescription while still safely and effectively treating your condition. </w:t>
      </w:r>
    </w:p>
    <w:p w14:paraId="501AD1A9" w14:textId="3EB29B83" w:rsidR="002E3FE2" w:rsidRDefault="002E3FE2" w:rsidP="000650DD">
      <w:pPr>
        <w:spacing w:before="120" w:after="120"/>
        <w:rPr>
          <w:rFonts w:ascii="Verdana" w:hAnsi="Verdana"/>
        </w:rPr>
      </w:pPr>
    </w:p>
    <w:p w14:paraId="2414C57E" w14:textId="483389B1" w:rsidR="00D45A1B" w:rsidRDefault="00574AE2" w:rsidP="002E3FE2">
      <w:pPr>
        <w:spacing w:before="120" w:after="120"/>
        <w:rPr>
          <w:rFonts w:ascii="Verdana" w:hAnsi="Verdana"/>
        </w:rPr>
      </w:pPr>
      <w:r>
        <w:rPr>
          <w:rFonts w:ascii="Verdana" w:hAnsi="Verdana"/>
        </w:rPr>
        <w:t>If a brand is chosen when it has a direct generic available, then the member pay</w:t>
      </w:r>
      <w:r w:rsidR="00026C99">
        <w:rPr>
          <w:rFonts w:ascii="Verdana" w:hAnsi="Verdana"/>
        </w:rPr>
        <w:t>s</w:t>
      </w:r>
      <w:r>
        <w:rPr>
          <w:rFonts w:ascii="Verdana" w:hAnsi="Verdana"/>
        </w:rPr>
        <w:t xml:space="preserve"> the difference between the brand and generic cost along with the Brand or generic co-pay (client specific, check CIF for DAW Drug Rules).</w:t>
      </w:r>
      <w:r w:rsidR="000E2D59">
        <w:rPr>
          <w:rFonts w:ascii="Verdana" w:hAnsi="Verdana"/>
        </w:rPr>
        <w:t xml:space="preserve"> </w:t>
      </w:r>
      <w:r w:rsidR="00D45A1B">
        <w:rPr>
          <w:rFonts w:ascii="Verdana" w:hAnsi="Verdana"/>
        </w:rPr>
        <w:t xml:space="preserve"> </w:t>
      </w:r>
      <w:r w:rsidR="000E2D59">
        <w:rPr>
          <w:rFonts w:ascii="Verdana" w:hAnsi="Verdana"/>
        </w:rPr>
        <w:t xml:space="preserve"> </w:t>
      </w:r>
    </w:p>
    <w:p w14:paraId="6504CF5F" w14:textId="5D0597C3" w:rsidR="002E3FE2" w:rsidRDefault="00574AE2" w:rsidP="00D45A1B">
      <w:pPr>
        <w:spacing w:before="120" w:after="120"/>
        <w:ind w:left="720"/>
        <w:rPr>
          <w:rFonts w:ascii="Verdana" w:hAnsi="Verdana"/>
        </w:rPr>
      </w:pPr>
      <w:r>
        <w:rPr>
          <w:rFonts w:ascii="Verdana" w:hAnsi="Verdana"/>
          <w:b/>
        </w:rPr>
        <w:br/>
      </w:r>
      <w:r w:rsidR="000560C1">
        <w:rPr>
          <w:rFonts w:ascii="Verdana" w:hAnsi="Verdana"/>
          <w:b/>
        </w:rPr>
        <w:t xml:space="preserve"> </w:t>
      </w:r>
      <w:r w:rsidR="002E3FE2">
        <w:rPr>
          <w:rFonts w:ascii="Verdana" w:hAnsi="Verdana"/>
          <w:noProof/>
        </w:rPr>
        <w:drawing>
          <wp:inline distT="0" distB="0" distL="0" distR="0" wp14:anchorId="48253E36" wp14:editId="4364CB5C">
            <wp:extent cx="238158" cy="20957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2E3FE2">
        <w:rPr>
          <w:rFonts w:ascii="Verdana" w:hAnsi="Verdana"/>
        </w:rPr>
        <w:t xml:space="preserve"> </w:t>
      </w:r>
      <w:bookmarkStart w:id="20" w:name="OLE_LINK9"/>
      <w:bookmarkStart w:id="21" w:name="OLE_LINK10"/>
      <w:r w:rsidR="002E3FE2" w:rsidRPr="000560C1">
        <w:rPr>
          <w:rFonts w:ascii="Verdana" w:hAnsi="Verdana"/>
        </w:rPr>
        <w:t xml:space="preserve">There is a generic version of </w:t>
      </w:r>
      <w:r w:rsidR="0046450D">
        <w:rPr>
          <w:rFonts w:ascii="Verdana" w:hAnsi="Verdana"/>
        </w:rPr>
        <w:t>the</w:t>
      </w:r>
      <w:r w:rsidR="0046450D" w:rsidRPr="000560C1">
        <w:rPr>
          <w:rFonts w:ascii="Verdana" w:hAnsi="Verdana"/>
        </w:rPr>
        <w:t xml:space="preserve"> </w:t>
      </w:r>
      <w:r w:rsidR="002E3FE2" w:rsidRPr="000560C1">
        <w:rPr>
          <w:rFonts w:ascii="Verdana" w:hAnsi="Verdana"/>
        </w:rPr>
        <w:t>medication available. This option is less expensive and is safe and effective for condition</w:t>
      </w:r>
      <w:r w:rsidR="0046450D">
        <w:rPr>
          <w:rFonts w:ascii="Verdana" w:hAnsi="Verdana"/>
        </w:rPr>
        <w:t xml:space="preserve">s </w:t>
      </w:r>
      <w:r w:rsidR="00F34417">
        <w:rPr>
          <w:rFonts w:ascii="Verdana" w:hAnsi="Verdana"/>
        </w:rPr>
        <w:t>in the drug class</w:t>
      </w:r>
      <w:r w:rsidR="002E3FE2" w:rsidRPr="000560C1">
        <w:rPr>
          <w:rFonts w:ascii="Verdana" w:hAnsi="Verdana"/>
        </w:rPr>
        <w:t xml:space="preserve">. If </w:t>
      </w:r>
      <w:r w:rsidR="008F10FF">
        <w:rPr>
          <w:rFonts w:ascii="Verdana" w:hAnsi="Verdana"/>
        </w:rPr>
        <w:t xml:space="preserve">the </w:t>
      </w:r>
      <w:r w:rsidR="00BF68C7">
        <w:rPr>
          <w:rFonts w:ascii="Verdana" w:hAnsi="Verdana"/>
        </w:rPr>
        <w:t>brand medication is chosen</w:t>
      </w:r>
      <w:r w:rsidR="002E3FE2" w:rsidRPr="000560C1">
        <w:rPr>
          <w:rFonts w:ascii="Verdana" w:hAnsi="Verdana"/>
        </w:rPr>
        <w:t xml:space="preserve"> to fill prescriptions, </w:t>
      </w:r>
      <w:r>
        <w:rPr>
          <w:rFonts w:ascii="Verdana" w:hAnsi="Verdana"/>
        </w:rPr>
        <w:t xml:space="preserve">there </w:t>
      </w:r>
      <w:r w:rsidR="00026C99">
        <w:rPr>
          <w:rFonts w:ascii="Verdana" w:hAnsi="Verdana"/>
        </w:rPr>
        <w:t>is</w:t>
      </w:r>
      <w:r>
        <w:rPr>
          <w:rFonts w:ascii="Verdana" w:hAnsi="Verdana"/>
        </w:rPr>
        <w:t xml:space="preserve"> a higher cost</w:t>
      </w:r>
      <w:r w:rsidR="002E3FE2" w:rsidRPr="000560C1">
        <w:rPr>
          <w:rFonts w:ascii="Verdana" w:hAnsi="Verdana"/>
        </w:rPr>
        <w:t xml:space="preserve">. </w:t>
      </w:r>
      <w:bookmarkStart w:id="22" w:name="OLE_LINK7"/>
      <w:r w:rsidR="008F10FF">
        <w:rPr>
          <w:rFonts w:ascii="Verdana" w:hAnsi="Verdana"/>
          <w:color w:val="000000"/>
        </w:rPr>
        <w:t>The member </w:t>
      </w:r>
      <w:r w:rsidR="008F10FF" w:rsidRPr="00371439">
        <w:rPr>
          <w:rFonts w:ascii="Verdana" w:hAnsi="Verdana"/>
        </w:rPr>
        <w:t>should discuss these and other treatment options with their physician.</w:t>
      </w:r>
      <w:bookmarkEnd w:id="20"/>
    </w:p>
    <w:bookmarkEnd w:id="21"/>
    <w:bookmarkEnd w:id="22"/>
    <w:p w14:paraId="7C33793D" w14:textId="77777777" w:rsidR="008E4A08" w:rsidRDefault="008E4A08" w:rsidP="008E4A08">
      <w:pPr>
        <w:spacing w:before="120" w:after="120"/>
        <w:ind w:left="720"/>
        <w:rPr>
          <w:rFonts w:ascii="Verdana" w:hAnsi="Verdana"/>
          <w:b/>
          <w:bCs/>
        </w:rPr>
      </w:pPr>
    </w:p>
    <w:p w14:paraId="3B16B58D" w14:textId="4ED5D404" w:rsidR="002E3FE2" w:rsidRPr="00371439" w:rsidRDefault="008E4A08" w:rsidP="008E4A08">
      <w:pPr>
        <w:spacing w:before="120" w:after="120"/>
        <w:ind w:left="720"/>
        <w:rPr>
          <w:rFonts w:ascii="Verdana" w:hAnsi="Verdana"/>
          <w:b/>
        </w:rPr>
      </w:pPr>
      <w:r w:rsidRPr="008E4A08">
        <w:rPr>
          <w:rFonts w:ascii="Verdana" w:hAnsi="Verdana"/>
          <w:b/>
          <w:bCs/>
        </w:rPr>
        <w:t>Note:</w:t>
      </w:r>
      <w:r>
        <w:rPr>
          <w:rFonts w:ascii="Verdana" w:hAnsi="Verdana"/>
        </w:rPr>
        <w:t xml:space="preserve">  W</w:t>
      </w:r>
      <w:r w:rsidR="002E3FE2">
        <w:rPr>
          <w:rFonts w:ascii="Verdana" w:hAnsi="Verdana"/>
        </w:rPr>
        <w:t xml:space="preserve">e do not provide clinical advice, so if the caller has questions clinical in nature, transfer to clinical or </w:t>
      </w:r>
      <w:r w:rsidR="005D68AA">
        <w:rPr>
          <w:rFonts w:ascii="Verdana" w:hAnsi="Verdana"/>
        </w:rPr>
        <w:t>refer</w:t>
      </w:r>
      <w:r w:rsidR="002E3FE2">
        <w:rPr>
          <w:rFonts w:ascii="Verdana" w:hAnsi="Verdana"/>
        </w:rPr>
        <w:t xml:space="preserve"> to their MD. </w:t>
      </w:r>
    </w:p>
    <w:p w14:paraId="34A6917B" w14:textId="7527FB10" w:rsidR="00D77595" w:rsidRDefault="00D77595" w:rsidP="002E3FE2">
      <w:pPr>
        <w:spacing w:before="120" w:after="120"/>
        <w:rPr>
          <w:rFonts w:ascii="Verdana" w:hAnsi="Verdana"/>
        </w:rPr>
      </w:pPr>
    </w:p>
    <w:p w14:paraId="19D79DC9" w14:textId="14FA1A4E" w:rsidR="00D77595" w:rsidRPr="000560C1" w:rsidRDefault="000560C1" w:rsidP="002E3FE2">
      <w:pPr>
        <w:spacing w:before="120" w:after="120"/>
        <w:rPr>
          <w:rFonts w:ascii="Verdana" w:hAnsi="Verdana"/>
          <w:b/>
          <w:bCs/>
        </w:rPr>
      </w:pPr>
      <w:r>
        <w:rPr>
          <w:rFonts w:ascii="Verdana" w:hAnsi="Verdana"/>
          <w:b/>
        </w:rPr>
        <w:t xml:space="preserve"> </w:t>
      </w:r>
      <w:r w:rsidR="00D77595">
        <w:rPr>
          <w:rFonts w:ascii="Verdana" w:hAnsi="Verdana"/>
          <w:b/>
          <w:bCs/>
        </w:rPr>
        <w:t>Reminders:</w:t>
      </w:r>
    </w:p>
    <w:p w14:paraId="495F90BA" w14:textId="02347646" w:rsidR="00C7568F" w:rsidRPr="00407006" w:rsidRDefault="00407902" w:rsidP="00407006">
      <w:pPr>
        <w:spacing w:before="120" w:after="120"/>
        <w:rPr>
          <w:rFonts w:ascii="Verdana" w:hAnsi="Verdana"/>
        </w:rPr>
      </w:pPr>
      <w:r>
        <w:rPr>
          <w:noProof/>
        </w:rPr>
        <w:drawing>
          <wp:inline distT="0" distB="0" distL="0" distR="0" wp14:anchorId="007AB12C" wp14:editId="7DEB8832">
            <wp:extent cx="238125" cy="209550"/>
            <wp:effectExtent l="0" t="0" r="9525" b="0"/>
            <wp:docPr id="14" name="Picture 14"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Important 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B6235" w:rsidRPr="00407006">
        <w:rPr>
          <w:rFonts w:ascii="Verdana" w:hAnsi="Verdana"/>
        </w:rPr>
        <w:t xml:space="preserve"> </w:t>
      </w:r>
      <w:r w:rsidRPr="00407006">
        <w:rPr>
          <w:rFonts w:ascii="Verdana" w:hAnsi="Verdana"/>
        </w:rPr>
        <w:t xml:space="preserve">Do not blame the client for making the decision.  It is possible that this may have been the only option that they could afford </w:t>
      </w:r>
      <w:r w:rsidR="00697021" w:rsidRPr="00407006">
        <w:rPr>
          <w:rFonts w:ascii="Verdana" w:hAnsi="Verdana"/>
        </w:rPr>
        <w:t>when providing</w:t>
      </w:r>
      <w:r w:rsidRPr="00407006">
        <w:rPr>
          <w:rFonts w:ascii="Verdana" w:hAnsi="Verdana"/>
        </w:rPr>
        <w:t xml:space="preserve"> comprehensive healthcare to their members.</w:t>
      </w:r>
    </w:p>
    <w:p w14:paraId="7D25DEC8" w14:textId="40BCC2DB" w:rsidR="00D77595" w:rsidRDefault="00D77595" w:rsidP="000D59D0">
      <w:pPr>
        <w:numPr>
          <w:ilvl w:val="0"/>
          <w:numId w:val="2"/>
        </w:numPr>
        <w:spacing w:before="120" w:after="120"/>
        <w:ind w:left="540"/>
        <w:rPr>
          <w:rFonts w:ascii="Verdana" w:hAnsi="Verdana"/>
        </w:rPr>
      </w:pPr>
      <w:r>
        <w:rPr>
          <w:rFonts w:ascii="Verdana" w:hAnsi="Verdana"/>
        </w:rPr>
        <w:t xml:space="preserve">Always show empathy for the </w:t>
      </w:r>
      <w:r w:rsidR="00B00C83">
        <w:rPr>
          <w:rFonts w:ascii="Verdana" w:hAnsi="Verdana"/>
        </w:rPr>
        <w:t>members’</w:t>
      </w:r>
      <w:r>
        <w:rPr>
          <w:rFonts w:ascii="Verdana" w:hAnsi="Verdana"/>
        </w:rPr>
        <w:t xml:space="preserve"> concerns. </w:t>
      </w:r>
    </w:p>
    <w:p w14:paraId="7470C9D8" w14:textId="4BD1518B" w:rsidR="00D77595" w:rsidRDefault="00D77595" w:rsidP="000D59D0">
      <w:pPr>
        <w:numPr>
          <w:ilvl w:val="0"/>
          <w:numId w:val="2"/>
        </w:numPr>
        <w:spacing w:before="120" w:after="120"/>
        <w:ind w:left="540"/>
        <w:rPr>
          <w:rFonts w:ascii="Verdana" w:hAnsi="Verdana"/>
        </w:rPr>
      </w:pPr>
      <w:r>
        <w:rPr>
          <w:rFonts w:ascii="Verdana" w:hAnsi="Verdana"/>
        </w:rPr>
        <w:t>Avoid calling the additional DAW Copay a penalty as this can cause distress for our members. Refer to the DAW Copay as a Cost Difference. (Reference above example.)</w:t>
      </w:r>
    </w:p>
    <w:p w14:paraId="57E9F53C" w14:textId="3DAB6C91" w:rsidR="005D0BAA" w:rsidRPr="00D37444" w:rsidRDefault="005D0BAA" w:rsidP="000D59D0">
      <w:pPr>
        <w:numPr>
          <w:ilvl w:val="0"/>
          <w:numId w:val="2"/>
        </w:numPr>
        <w:spacing w:before="120" w:after="120"/>
        <w:ind w:left="540"/>
        <w:rPr>
          <w:rFonts w:ascii="Verdana" w:hAnsi="Verdana"/>
        </w:rPr>
      </w:pPr>
      <w:r w:rsidRPr="00D37444">
        <w:rPr>
          <w:rFonts w:ascii="Verdana" w:hAnsi="Verdana"/>
        </w:rPr>
        <w:t xml:space="preserve">Implying these types of </w:t>
      </w:r>
      <w:r w:rsidR="00457A46">
        <w:rPr>
          <w:rFonts w:ascii="Verdana" w:hAnsi="Verdana"/>
        </w:rPr>
        <w:t>Cost Differentials</w:t>
      </w:r>
      <w:r w:rsidRPr="00D37444">
        <w:rPr>
          <w:rFonts w:ascii="Verdana" w:hAnsi="Verdana"/>
        </w:rPr>
        <w:t xml:space="preserve"> helps create a more consumer (member) driven, prescription plan.</w:t>
      </w:r>
    </w:p>
    <w:p w14:paraId="3FDDA55B" w14:textId="5F3A299D" w:rsidR="00377283" w:rsidRPr="000147D7" w:rsidRDefault="005D0BAA" w:rsidP="000D59D0">
      <w:pPr>
        <w:numPr>
          <w:ilvl w:val="0"/>
          <w:numId w:val="2"/>
        </w:numPr>
        <w:spacing w:before="120" w:after="120"/>
        <w:ind w:left="540"/>
        <w:rPr>
          <w:rFonts w:ascii="Verdana" w:hAnsi="Verdana"/>
        </w:rPr>
      </w:pPr>
      <w:r w:rsidRPr="00D37444">
        <w:rPr>
          <w:rFonts w:ascii="Verdana" w:hAnsi="Verdana"/>
        </w:rPr>
        <w:t xml:space="preserve">It gives our members the opportunity to have more control over their own healthcare, which </w:t>
      </w:r>
      <w:r w:rsidR="009D5F9B">
        <w:rPr>
          <w:rFonts w:ascii="Verdana" w:hAnsi="Verdana"/>
        </w:rPr>
        <w:t>may</w:t>
      </w:r>
      <w:r w:rsidR="009D5F9B" w:rsidRPr="00D37444">
        <w:rPr>
          <w:rFonts w:ascii="Verdana" w:hAnsi="Verdana"/>
        </w:rPr>
        <w:t xml:space="preserve"> </w:t>
      </w:r>
      <w:r w:rsidRPr="00D37444">
        <w:rPr>
          <w:rFonts w:ascii="Verdana" w:hAnsi="Verdana"/>
        </w:rPr>
        <w:t>lead to a more active role in pursuing healthy options.</w:t>
      </w:r>
    </w:p>
    <w:p w14:paraId="35A15113" w14:textId="5EDD0305" w:rsidR="00D36ACF" w:rsidRDefault="005D0BAA" w:rsidP="000D59D0">
      <w:pPr>
        <w:spacing w:before="120" w:after="120"/>
        <w:ind w:left="540"/>
        <w:rPr>
          <w:rFonts w:ascii="Verdana" w:hAnsi="Verdana"/>
        </w:rPr>
      </w:pPr>
      <w:r w:rsidRPr="003A183D">
        <w:rPr>
          <w:rFonts w:ascii="Verdana" w:hAnsi="Verdana"/>
          <w:b/>
          <w:iCs/>
        </w:rPr>
        <w:t>Note:</w:t>
      </w:r>
      <w:r w:rsidRPr="003A183D">
        <w:rPr>
          <w:rFonts w:ascii="Verdana" w:hAnsi="Verdana"/>
          <w:iCs/>
        </w:rPr>
        <w:t xml:space="preserve">  The prescriber makes the ultimate determination as to the most appropriate course of therapy.</w:t>
      </w:r>
    </w:p>
    <w:p w14:paraId="6714F553" w14:textId="22BD5D1A" w:rsidR="00D36ACF" w:rsidRPr="00407902" w:rsidRDefault="005D0BAA" w:rsidP="000D59D0">
      <w:pPr>
        <w:numPr>
          <w:ilvl w:val="0"/>
          <w:numId w:val="2"/>
        </w:numPr>
        <w:spacing w:before="120" w:after="120"/>
        <w:ind w:left="540"/>
        <w:rPr>
          <w:rFonts w:ascii="Verdana" w:hAnsi="Verdana"/>
        </w:rPr>
      </w:pPr>
      <w:r w:rsidRPr="00D37444">
        <w:rPr>
          <w:rFonts w:ascii="Verdana" w:hAnsi="Verdana"/>
        </w:rPr>
        <w:t>Keep the focus on what the members</w:t>
      </w:r>
      <w:r w:rsidR="00EF372E">
        <w:rPr>
          <w:rFonts w:ascii="Verdana" w:hAnsi="Verdana"/>
        </w:rPr>
        <w:t xml:space="preserve"> can</w:t>
      </w:r>
      <w:r w:rsidRPr="00D37444">
        <w:rPr>
          <w:rFonts w:ascii="Verdana" w:hAnsi="Verdana"/>
        </w:rPr>
        <w:t xml:space="preserve"> d</w:t>
      </w:r>
      <w:r w:rsidR="00697021">
        <w:rPr>
          <w:rFonts w:ascii="Verdana" w:hAnsi="Verdana"/>
        </w:rPr>
        <w:t>o</w:t>
      </w:r>
      <w:r w:rsidRPr="00D37444">
        <w:rPr>
          <w:rFonts w:ascii="Verdana" w:hAnsi="Verdana"/>
        </w:rPr>
        <w:t>.</w:t>
      </w:r>
    </w:p>
    <w:p w14:paraId="003E50D1" w14:textId="5DE4AA0B" w:rsidR="00D77595" w:rsidRPr="00D77595" w:rsidRDefault="005D0BAA" w:rsidP="00D77595">
      <w:pPr>
        <w:numPr>
          <w:ilvl w:val="0"/>
          <w:numId w:val="2"/>
        </w:numPr>
        <w:spacing w:before="120" w:after="120"/>
        <w:ind w:left="540"/>
        <w:rPr>
          <w:rFonts w:ascii="Verdana" w:hAnsi="Verdana"/>
        </w:rPr>
      </w:pPr>
      <w:r w:rsidRPr="00D37444">
        <w:rPr>
          <w:rFonts w:ascii="Verdana" w:hAnsi="Verdana"/>
        </w:rPr>
        <w:t xml:space="preserve">The list of preferred medications </w:t>
      </w:r>
      <w:r w:rsidR="00A21351">
        <w:rPr>
          <w:rFonts w:ascii="Verdana" w:hAnsi="Verdana"/>
        </w:rPr>
        <w:t>is</w:t>
      </w:r>
      <w:r w:rsidRPr="00D37444">
        <w:rPr>
          <w:rFonts w:ascii="Verdana" w:hAnsi="Verdana"/>
        </w:rPr>
        <w:t xml:space="preserve"> non-biased, quality driven</w:t>
      </w:r>
      <w:r w:rsidR="00A21351">
        <w:rPr>
          <w:rFonts w:ascii="Verdana" w:hAnsi="Verdana"/>
        </w:rPr>
        <w:t>,</w:t>
      </w:r>
      <w:r w:rsidRPr="00D37444">
        <w:rPr>
          <w:rFonts w:ascii="Verdana" w:hAnsi="Verdana"/>
        </w:rPr>
        <w:t xml:space="preserve"> and </w:t>
      </w:r>
      <w:r w:rsidR="00ED5E70" w:rsidRPr="00D37444">
        <w:rPr>
          <w:rFonts w:ascii="Verdana" w:hAnsi="Verdana"/>
        </w:rPr>
        <w:t>evidence based</w:t>
      </w:r>
      <w:r w:rsidRPr="00D37444">
        <w:rPr>
          <w:rFonts w:ascii="Verdana" w:hAnsi="Verdana"/>
        </w:rPr>
        <w:t>.  The medications are selected based on the clinical merit of the drug and not always the cost when making the primary consideration.</w:t>
      </w:r>
    </w:p>
    <w:p w14:paraId="6D3C14D8" w14:textId="68368765" w:rsidR="005D0BAA" w:rsidRDefault="00D82017" w:rsidP="000D59D0">
      <w:pPr>
        <w:spacing w:before="120" w:after="120"/>
        <w:ind w:left="630"/>
        <w:rPr>
          <w:rFonts w:ascii="Verdana" w:hAnsi="Verdana"/>
        </w:rPr>
      </w:pPr>
      <w:r>
        <w:pict w14:anchorId="779E7B3B">
          <v:shape id="_x0000_i1029" type="#_x0000_t75" alt="Icon - Conversation" style="width:18.75pt;height:16.5pt;visibility:visible;mso-wrap-style:square">
            <v:imagedata r:id="rId21" o:title="Icon - Conversation"/>
          </v:shape>
        </w:pict>
      </w:r>
      <w:r w:rsidR="00D36ACF">
        <w:rPr>
          <w:rFonts w:ascii="Verdana" w:hAnsi="Verdana"/>
        </w:rPr>
        <w:t xml:space="preserve"> </w:t>
      </w:r>
      <w:r w:rsidR="005D0BAA" w:rsidRPr="00D37444">
        <w:rPr>
          <w:rFonts w:ascii="Verdana" w:hAnsi="Verdana"/>
        </w:rPr>
        <w:t xml:space="preserve">Your plan gives you options for coverage to give you a more </w:t>
      </w:r>
      <w:r w:rsidR="00145443" w:rsidRPr="00D37444">
        <w:rPr>
          <w:rFonts w:ascii="Verdana" w:hAnsi="Verdana"/>
        </w:rPr>
        <w:t>cost-effective</w:t>
      </w:r>
      <w:r w:rsidR="005D0BAA" w:rsidRPr="00D37444">
        <w:rPr>
          <w:rFonts w:ascii="Verdana" w:hAnsi="Verdana"/>
        </w:rPr>
        <w:t xml:space="preserve"> price.  There are medications that may save you more money overall.  Would you like for me to determine what similar medications are available at a lesser cost?</w:t>
      </w:r>
    </w:p>
    <w:p w14:paraId="343C6815" w14:textId="77777777" w:rsidR="00697021" w:rsidRDefault="00697021" w:rsidP="000D59D0">
      <w:pPr>
        <w:pStyle w:val="ListParagraph"/>
        <w:spacing w:before="120" w:after="120"/>
        <w:ind w:left="1440"/>
        <w:rPr>
          <w:rFonts w:ascii="Verdana" w:hAnsi="Verdana"/>
        </w:rPr>
      </w:pPr>
    </w:p>
    <w:p w14:paraId="750F567C" w14:textId="48E61B52" w:rsidR="00407902" w:rsidRPr="0081088F" w:rsidRDefault="005D0BAA" w:rsidP="000D59D0">
      <w:pPr>
        <w:pStyle w:val="ListParagraph"/>
        <w:numPr>
          <w:ilvl w:val="1"/>
          <w:numId w:val="5"/>
        </w:numPr>
        <w:spacing w:before="120" w:after="120"/>
        <w:ind w:left="1440"/>
        <w:rPr>
          <w:rFonts w:ascii="Verdana" w:hAnsi="Verdana"/>
        </w:rPr>
      </w:pPr>
      <w:r w:rsidRPr="0081088F">
        <w:rPr>
          <w:rFonts w:ascii="Verdana" w:hAnsi="Verdana"/>
        </w:rPr>
        <w:t xml:space="preserve">If </w:t>
      </w:r>
      <w:r w:rsidRPr="0081088F">
        <w:rPr>
          <w:rFonts w:ascii="Verdana" w:hAnsi="Verdana"/>
          <w:b/>
        </w:rPr>
        <w:t>yes</w:t>
      </w:r>
      <w:r w:rsidR="003A183D" w:rsidRPr="00B00C83">
        <w:rPr>
          <w:rFonts w:ascii="Verdana" w:hAnsi="Verdana"/>
        </w:rPr>
        <w:t>,</w:t>
      </w:r>
      <w:r w:rsidRPr="00B00C83">
        <w:rPr>
          <w:rFonts w:ascii="Verdana" w:hAnsi="Verdana"/>
        </w:rPr>
        <w:t xml:space="preserve"> </w:t>
      </w:r>
      <w:r w:rsidR="00C23E39" w:rsidRPr="00B00C83">
        <w:rPr>
          <w:rFonts w:ascii="Verdana" w:hAnsi="Verdana"/>
        </w:rPr>
        <w:t>r</w:t>
      </w:r>
      <w:r w:rsidRPr="00B00C83">
        <w:rPr>
          <w:rFonts w:ascii="Verdana" w:hAnsi="Verdana"/>
        </w:rPr>
        <w:t xml:space="preserve">un </w:t>
      </w:r>
      <w:r w:rsidR="00120DF4" w:rsidRPr="00B00C83">
        <w:rPr>
          <w:rFonts w:ascii="Verdana" w:hAnsi="Verdana"/>
        </w:rPr>
        <w:t>Test Claims</w:t>
      </w:r>
      <w:r w:rsidRPr="0081088F">
        <w:rPr>
          <w:rFonts w:ascii="Verdana" w:hAnsi="Verdana"/>
        </w:rPr>
        <w:t xml:space="preserve"> for pricing</w:t>
      </w:r>
      <w:r w:rsidR="009D5F9B">
        <w:rPr>
          <w:rFonts w:ascii="Verdana" w:hAnsi="Verdana"/>
        </w:rPr>
        <w:t xml:space="preserve"> and locate alternative medications</w:t>
      </w:r>
      <w:r w:rsidRPr="0081088F">
        <w:rPr>
          <w:rFonts w:ascii="Verdana" w:hAnsi="Verdana"/>
        </w:rPr>
        <w:t>.</w:t>
      </w:r>
      <w:r w:rsidR="003A183D" w:rsidRPr="0081088F">
        <w:rPr>
          <w:rFonts w:ascii="Verdana" w:hAnsi="Verdana"/>
        </w:rPr>
        <w:t xml:space="preserve"> </w:t>
      </w:r>
      <w:r w:rsidR="00697021">
        <w:rPr>
          <w:rFonts w:ascii="Verdana" w:hAnsi="Verdana"/>
        </w:rPr>
        <w:t xml:space="preserve"> </w:t>
      </w:r>
      <w:r w:rsidR="003A183D" w:rsidRPr="0081088F">
        <w:rPr>
          <w:rFonts w:ascii="Verdana" w:hAnsi="Verdana"/>
        </w:rPr>
        <w:t>I</w:t>
      </w:r>
      <w:r w:rsidRPr="0081088F">
        <w:rPr>
          <w:rFonts w:ascii="Verdana" w:hAnsi="Verdana"/>
        </w:rPr>
        <w:t>nform the member that the prescriber makes the ultimate determination as to the most appropriate course of therapy.  The member need</w:t>
      </w:r>
      <w:r w:rsidR="00026C99">
        <w:rPr>
          <w:rFonts w:ascii="Verdana" w:hAnsi="Verdana"/>
        </w:rPr>
        <w:t>s</w:t>
      </w:r>
      <w:r w:rsidRPr="0081088F">
        <w:rPr>
          <w:rFonts w:ascii="Verdana" w:hAnsi="Verdana"/>
        </w:rPr>
        <w:t xml:space="preserve"> to discuss this change with the prescriber and obtain a new prescription to </w:t>
      </w:r>
      <w:r w:rsidR="009D5F9B">
        <w:rPr>
          <w:rFonts w:ascii="Verdana" w:hAnsi="Verdana"/>
        </w:rPr>
        <w:t>receive</w:t>
      </w:r>
      <w:r w:rsidR="009D5F9B" w:rsidRPr="0081088F">
        <w:rPr>
          <w:rFonts w:ascii="Verdana" w:hAnsi="Verdana"/>
        </w:rPr>
        <w:t xml:space="preserve"> </w:t>
      </w:r>
      <w:r w:rsidRPr="0081088F">
        <w:rPr>
          <w:rFonts w:ascii="Verdana" w:hAnsi="Verdana"/>
        </w:rPr>
        <w:t xml:space="preserve">the more </w:t>
      </w:r>
      <w:r w:rsidR="00A21351" w:rsidRPr="0081088F">
        <w:rPr>
          <w:rFonts w:ascii="Verdana" w:hAnsi="Verdana"/>
        </w:rPr>
        <w:t>cost-effective</w:t>
      </w:r>
      <w:r w:rsidRPr="0081088F">
        <w:rPr>
          <w:rFonts w:ascii="Verdana" w:hAnsi="Verdana"/>
        </w:rPr>
        <w:t xml:space="preserve"> medication.</w:t>
      </w:r>
    </w:p>
    <w:p w14:paraId="305D05F7" w14:textId="77777777" w:rsidR="00D37444" w:rsidRPr="00407902" w:rsidRDefault="00D37444" w:rsidP="000D59D0">
      <w:pPr>
        <w:spacing w:before="120" w:after="120"/>
        <w:ind w:left="2520"/>
        <w:rPr>
          <w:rFonts w:ascii="Verdana" w:hAnsi="Verdana"/>
        </w:rPr>
      </w:pPr>
    </w:p>
    <w:p w14:paraId="41BCC040" w14:textId="7C46A79F" w:rsidR="00686A6C" w:rsidRPr="00407902" w:rsidRDefault="005D0BAA" w:rsidP="000D59D0">
      <w:pPr>
        <w:numPr>
          <w:ilvl w:val="0"/>
          <w:numId w:val="3"/>
        </w:numPr>
        <w:tabs>
          <w:tab w:val="clear" w:pos="720"/>
        </w:tabs>
        <w:spacing w:before="120" w:after="120"/>
        <w:ind w:left="540"/>
        <w:rPr>
          <w:rFonts w:ascii="Verdana" w:hAnsi="Verdana"/>
        </w:rPr>
      </w:pPr>
      <w:r w:rsidRPr="00D37444">
        <w:rPr>
          <w:rFonts w:ascii="Verdana" w:hAnsi="Verdana"/>
        </w:rPr>
        <w:t>Generics a</w:t>
      </w:r>
      <w:r w:rsidR="00EF372E">
        <w:rPr>
          <w:rFonts w:ascii="Verdana" w:hAnsi="Verdana"/>
        </w:rPr>
        <w:t xml:space="preserve">re the first line of therapy </w:t>
      </w:r>
      <w:r w:rsidRPr="00D37444">
        <w:rPr>
          <w:rFonts w:ascii="Verdana" w:hAnsi="Verdana"/>
        </w:rPr>
        <w:t xml:space="preserve">even over preferred brands.  The generics represented on the standard drug list reflect highly utilized, recently released, effective products in chronic categories including hypertension, high cholesterol, diabetes, depression, and many others. </w:t>
      </w:r>
    </w:p>
    <w:p w14:paraId="01281F69" w14:textId="6814CE45" w:rsidR="00912079" w:rsidRPr="00904E4F" w:rsidRDefault="00686A6C" w:rsidP="000D59D0">
      <w:pPr>
        <w:numPr>
          <w:ilvl w:val="0"/>
          <w:numId w:val="3"/>
        </w:numPr>
        <w:tabs>
          <w:tab w:val="clear" w:pos="720"/>
        </w:tabs>
        <w:spacing w:before="120" w:after="120"/>
        <w:ind w:left="540"/>
        <w:rPr>
          <w:rFonts w:ascii="Verdana" w:hAnsi="Verdana"/>
        </w:rPr>
      </w:pPr>
      <w:r w:rsidRPr="00904E4F">
        <w:rPr>
          <w:rFonts w:ascii="Verdana" w:hAnsi="Verdana"/>
        </w:rPr>
        <w:t>If a drug is medically necessary and all other alternatives have been explored, the member</w:t>
      </w:r>
      <w:r w:rsidR="005C3E76">
        <w:rPr>
          <w:rFonts w:ascii="Verdana" w:hAnsi="Verdana"/>
        </w:rPr>
        <w:t xml:space="preserve"> or </w:t>
      </w:r>
      <w:r w:rsidRPr="00904E4F">
        <w:rPr>
          <w:rFonts w:ascii="Verdana" w:hAnsi="Verdana"/>
        </w:rPr>
        <w:t xml:space="preserve">doctor can request and appeal for a Brand </w:t>
      </w:r>
      <w:r w:rsidR="00457A46">
        <w:rPr>
          <w:rFonts w:ascii="Verdana" w:hAnsi="Verdana"/>
        </w:rPr>
        <w:t>Cost Differen</w:t>
      </w:r>
      <w:r w:rsidR="00D77595">
        <w:rPr>
          <w:rFonts w:ascii="Verdana" w:hAnsi="Verdana"/>
        </w:rPr>
        <w:t>ce</w:t>
      </w:r>
      <w:r w:rsidRPr="00904E4F">
        <w:rPr>
          <w:rFonts w:ascii="Verdana" w:hAnsi="Verdana"/>
        </w:rPr>
        <w:t xml:space="preserve"> Exception. </w:t>
      </w:r>
      <w:r w:rsidR="005C3E76">
        <w:rPr>
          <w:rFonts w:ascii="Verdana" w:hAnsi="Verdana"/>
        </w:rPr>
        <w:t xml:space="preserve"> </w:t>
      </w:r>
      <w:r w:rsidR="00904E4F">
        <w:rPr>
          <w:rFonts w:ascii="Verdana" w:hAnsi="Verdana"/>
        </w:rPr>
        <w:t>Review the</w:t>
      </w:r>
      <w:r w:rsidR="00912079" w:rsidRPr="00904E4F">
        <w:rPr>
          <w:rFonts w:ascii="Verdana" w:hAnsi="Verdana"/>
          <w:color w:val="000000"/>
        </w:rPr>
        <w:t xml:space="preserve"> CIF for client specific appeals process.</w:t>
      </w:r>
      <w:r w:rsidR="00904E4F" w:rsidRPr="00904E4F">
        <w:rPr>
          <w:rFonts w:ascii="Verdana" w:hAnsi="Verdana"/>
          <w:color w:val="000000"/>
        </w:rPr>
        <w:t xml:space="preserve">  </w:t>
      </w:r>
      <w:r w:rsidRPr="00904E4F">
        <w:rPr>
          <w:rFonts w:ascii="Verdana" w:hAnsi="Verdana"/>
        </w:rPr>
        <w:t xml:space="preserve">Refer to </w:t>
      </w:r>
      <w:hyperlink r:id="rId22" w:anchor="!/view?docid=cd7126d2-19b7-4743-913c-8e9dd7329c08" w:history="1">
        <w:r w:rsidR="009F1932">
          <w:rPr>
            <w:rStyle w:val="Hyperlink"/>
            <w:rFonts w:ascii="Verdana" w:hAnsi="Verdana"/>
          </w:rPr>
          <w:t>Appeals (007339)</w:t>
        </w:r>
      </w:hyperlink>
      <w:r w:rsidR="00904E4F">
        <w:rPr>
          <w:rFonts w:ascii="Verdana" w:hAnsi="Verdana"/>
        </w:rPr>
        <w:t>.</w:t>
      </w:r>
      <w:r w:rsidR="00912079" w:rsidRPr="00904E4F">
        <w:rPr>
          <w:rFonts w:ascii="Verdana" w:hAnsi="Verdana"/>
        </w:rPr>
        <w:t xml:space="preserve"> </w:t>
      </w:r>
    </w:p>
    <w:p w14:paraId="7B49AF8B" w14:textId="77777777" w:rsidR="00E21DAC" w:rsidRPr="00E21DAC" w:rsidRDefault="00E21DAC" w:rsidP="000D59D0">
      <w:pPr>
        <w:spacing w:before="120" w:after="120"/>
        <w:jc w:val="right"/>
        <w:rPr>
          <w:rFonts w:ascii="Verdana" w:hAnsi="Verdana"/>
        </w:rPr>
      </w:pPr>
    </w:p>
    <w:bookmarkStart w:id="23" w:name="OLE_LINK71"/>
    <w:p w14:paraId="1AAABBD9" w14:textId="567C54F3" w:rsidR="007E2318" w:rsidRDefault="000560C1" w:rsidP="007E2318">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7E2318" w:rsidRPr="000560C1">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21DAC" w:rsidRPr="00E21DAC" w14:paraId="79BBA458" w14:textId="77777777" w:rsidTr="007E2318">
        <w:tc>
          <w:tcPr>
            <w:tcW w:w="5000" w:type="pct"/>
            <w:shd w:val="clear" w:color="auto" w:fill="C0C0C0"/>
          </w:tcPr>
          <w:p w14:paraId="41EB44D0" w14:textId="77777777" w:rsidR="00E21DAC" w:rsidRPr="00E21DAC" w:rsidRDefault="00E21DAC" w:rsidP="000D59D0">
            <w:pPr>
              <w:pStyle w:val="Heading2"/>
              <w:spacing w:before="120" w:after="120"/>
            </w:pPr>
            <w:bookmarkStart w:id="24" w:name="_Toc145394312"/>
            <w:bookmarkEnd w:id="23"/>
            <w:r w:rsidRPr="00E21DAC">
              <w:t>Related Documents</w:t>
            </w:r>
            <w:bookmarkEnd w:id="24"/>
          </w:p>
        </w:tc>
      </w:tr>
    </w:tbl>
    <w:p w14:paraId="3A491FFE" w14:textId="0CFA3B20" w:rsidR="00E21DAC" w:rsidRPr="00E21DAC" w:rsidRDefault="00D82017" w:rsidP="00391FE2">
      <w:pPr>
        <w:spacing w:before="120" w:after="120"/>
        <w:rPr>
          <w:rFonts w:ascii="Verdana" w:hAnsi="Verdana"/>
        </w:rPr>
      </w:pPr>
      <w:hyperlink r:id="rId23" w:anchor="!/view?docid=c1f1028b-e42c-4b4f-a4cf-cc0b42c91606" w:history="1">
        <w:r w:rsidR="00AD3914">
          <w:rPr>
            <w:rFonts w:ascii="Verdana" w:hAnsi="Verdana"/>
            <w:color w:val="0000FF"/>
            <w:u w:val="single"/>
          </w:rPr>
          <w:t>Customer Care Abbreviations, Definitions, and Terms Index (017428)</w:t>
        </w:r>
      </w:hyperlink>
    </w:p>
    <w:bookmarkStart w:id="25" w:name="OLE_LINK72"/>
    <w:bookmarkStart w:id="26" w:name="OLE_LINK70"/>
    <w:p w14:paraId="57E15F0C" w14:textId="64FE8C58" w:rsidR="009F351E" w:rsidRDefault="000560C1" w:rsidP="009F351E">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7E2318" w:rsidRPr="000560C1">
        <w:rPr>
          <w:rStyle w:val="Hyperlink"/>
          <w:rFonts w:ascii="Verdana" w:hAnsi="Verdana"/>
        </w:rPr>
        <w:t>Top of the Document</w:t>
      </w:r>
      <w:r>
        <w:rPr>
          <w:rFonts w:ascii="Verdana" w:hAnsi="Verdana"/>
        </w:rPr>
        <w:fldChar w:fldCharType="end"/>
      </w:r>
    </w:p>
    <w:bookmarkEnd w:id="25"/>
    <w:p w14:paraId="5B3E9F5E" w14:textId="1E3D6F5A" w:rsidR="00E21DAC" w:rsidRPr="00A25F2E" w:rsidRDefault="00E21DAC" w:rsidP="00391FE2">
      <w:pPr>
        <w:jc w:val="right"/>
        <w:rPr>
          <w:rFonts w:ascii="Verdana" w:hAnsi="Verdana"/>
        </w:rPr>
      </w:pPr>
    </w:p>
    <w:bookmarkEnd w:id="26"/>
    <w:p w14:paraId="0C74C92B" w14:textId="77777777" w:rsidR="00E21DAC" w:rsidRPr="00E21DAC" w:rsidRDefault="00E21DAC" w:rsidP="00E21DAC">
      <w:pPr>
        <w:jc w:val="center"/>
        <w:rPr>
          <w:rFonts w:ascii="Verdana" w:hAnsi="Verdana"/>
          <w:sz w:val="16"/>
          <w:szCs w:val="16"/>
        </w:rPr>
      </w:pPr>
    </w:p>
    <w:p w14:paraId="77563F4C" w14:textId="77777777" w:rsidR="00E21DAC" w:rsidRPr="00E21DAC" w:rsidRDefault="00E21DAC" w:rsidP="00E21DAC">
      <w:pPr>
        <w:jc w:val="center"/>
        <w:rPr>
          <w:rFonts w:ascii="Verdana" w:hAnsi="Verdana"/>
          <w:sz w:val="16"/>
          <w:szCs w:val="16"/>
        </w:rPr>
      </w:pPr>
      <w:r w:rsidRPr="00E21DAC">
        <w:rPr>
          <w:rFonts w:ascii="Verdana" w:hAnsi="Verdana"/>
          <w:sz w:val="16"/>
          <w:szCs w:val="16"/>
        </w:rPr>
        <w:t>Not to Be Reproduced or Disclosed to Others without Prior Written Approval</w:t>
      </w:r>
    </w:p>
    <w:p w14:paraId="42C74E28" w14:textId="77777777" w:rsidR="00E21DAC" w:rsidRPr="00E21DAC" w:rsidRDefault="00E21DAC" w:rsidP="00E21DAC">
      <w:pPr>
        <w:jc w:val="center"/>
        <w:rPr>
          <w:rFonts w:ascii="Verdana" w:hAnsi="Verdana"/>
          <w:b/>
          <w:color w:val="000000"/>
          <w:sz w:val="16"/>
          <w:szCs w:val="16"/>
        </w:rPr>
      </w:pPr>
      <w:r w:rsidRPr="00E21DAC">
        <w:rPr>
          <w:rFonts w:ascii="Verdana" w:hAnsi="Verdana"/>
          <w:b/>
          <w:color w:val="000000"/>
          <w:sz w:val="16"/>
          <w:szCs w:val="16"/>
        </w:rPr>
        <w:t>ELECTRONIC DATA = OFFICIAL VERSION / PAPER COPY = INFORMATIONAL ONLY</w:t>
      </w:r>
    </w:p>
    <w:p w14:paraId="730E1EA2" w14:textId="77777777" w:rsidR="0002766B" w:rsidRPr="00C247CB" w:rsidRDefault="0002766B" w:rsidP="00E21DAC">
      <w:pPr>
        <w:jc w:val="right"/>
        <w:rPr>
          <w:rFonts w:ascii="Verdana" w:hAnsi="Verdana"/>
          <w:sz w:val="16"/>
          <w:szCs w:val="16"/>
        </w:rPr>
      </w:pPr>
    </w:p>
    <w:sectPr w:rsidR="0002766B" w:rsidRPr="00C247CB" w:rsidSect="001B6289">
      <w:footerReference w:type="even" r:id="rId24"/>
      <w:footerReference w:type="default" r:id="rId2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E4358" w14:textId="77777777" w:rsidR="006C7621" w:rsidRDefault="006C7621">
      <w:r>
        <w:separator/>
      </w:r>
    </w:p>
  </w:endnote>
  <w:endnote w:type="continuationSeparator" w:id="0">
    <w:p w14:paraId="75AC218C" w14:textId="77777777" w:rsidR="006C7621" w:rsidRDefault="006C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E5CF6"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F130EC" w14:textId="77777777" w:rsidR="00064378" w:rsidRDefault="00064378"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047A"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6524">
      <w:rPr>
        <w:rStyle w:val="PageNumber"/>
        <w:noProof/>
      </w:rPr>
      <w:t>2</w:t>
    </w:r>
    <w:r>
      <w:rPr>
        <w:rStyle w:val="PageNumber"/>
      </w:rPr>
      <w:fldChar w:fldCharType="end"/>
    </w:r>
  </w:p>
  <w:p w14:paraId="30A0A8BE" w14:textId="77777777" w:rsidR="00064378" w:rsidRDefault="00064378"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9817" w14:textId="77777777" w:rsidR="006C7621" w:rsidRDefault="006C7621">
      <w:r>
        <w:separator/>
      </w:r>
    </w:p>
  </w:footnote>
  <w:footnote w:type="continuationSeparator" w:id="0">
    <w:p w14:paraId="4A602AE4" w14:textId="77777777" w:rsidR="006C7621" w:rsidRDefault="006C7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alt="Icon - Conversation" style="width:18.75pt;height:16.5pt;visibility:visible;mso-wrap-style:square" o:bullet="t">
        <v:imagedata r:id="rId1" o:title="Icon - Conversation"/>
      </v:shape>
    </w:pict>
  </w:numPicBullet>
  <w:numPicBullet w:numPicBulletId="1">
    <w:pict>
      <v:shape id="_x0000_i1160" type="#_x0000_t75" style="width:18.75pt;height:16.5pt;visibility:visible;mso-wrap-style:square" o:bullet="t">
        <v:imagedata r:id="rId2" o:title=""/>
      </v:shape>
    </w:pict>
  </w:numPicBullet>
  <w:abstractNum w:abstractNumId="0" w15:restartNumberingAfterBreak="0">
    <w:nsid w:val="02BF11C1"/>
    <w:multiLevelType w:val="hybridMultilevel"/>
    <w:tmpl w:val="73C00A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4102D"/>
    <w:multiLevelType w:val="hybridMultilevel"/>
    <w:tmpl w:val="7EC0F2CC"/>
    <w:lvl w:ilvl="0" w:tplc="33A257A0">
      <w:start w:val="1"/>
      <w:numFmt w:val="bullet"/>
      <w:lvlText w:val=""/>
      <w:lvlPicBulletId w:val="1"/>
      <w:lvlJc w:val="left"/>
      <w:pPr>
        <w:tabs>
          <w:tab w:val="num" w:pos="360"/>
        </w:tabs>
        <w:ind w:left="360" w:hanging="360"/>
      </w:pPr>
      <w:rPr>
        <w:rFonts w:ascii="Symbol" w:hAnsi="Symbol" w:hint="default"/>
      </w:rPr>
    </w:lvl>
    <w:lvl w:ilvl="1" w:tplc="2C702264" w:tentative="1">
      <w:start w:val="1"/>
      <w:numFmt w:val="bullet"/>
      <w:lvlText w:val=""/>
      <w:lvlJc w:val="left"/>
      <w:pPr>
        <w:tabs>
          <w:tab w:val="num" w:pos="1080"/>
        </w:tabs>
        <w:ind w:left="1080" w:hanging="360"/>
      </w:pPr>
      <w:rPr>
        <w:rFonts w:ascii="Symbol" w:hAnsi="Symbol" w:hint="default"/>
      </w:rPr>
    </w:lvl>
    <w:lvl w:ilvl="2" w:tplc="A2762276" w:tentative="1">
      <w:start w:val="1"/>
      <w:numFmt w:val="bullet"/>
      <w:lvlText w:val=""/>
      <w:lvlJc w:val="left"/>
      <w:pPr>
        <w:tabs>
          <w:tab w:val="num" w:pos="1800"/>
        </w:tabs>
        <w:ind w:left="1800" w:hanging="360"/>
      </w:pPr>
      <w:rPr>
        <w:rFonts w:ascii="Symbol" w:hAnsi="Symbol" w:hint="default"/>
      </w:rPr>
    </w:lvl>
    <w:lvl w:ilvl="3" w:tplc="874C12D4" w:tentative="1">
      <w:start w:val="1"/>
      <w:numFmt w:val="bullet"/>
      <w:lvlText w:val=""/>
      <w:lvlJc w:val="left"/>
      <w:pPr>
        <w:tabs>
          <w:tab w:val="num" w:pos="2520"/>
        </w:tabs>
        <w:ind w:left="2520" w:hanging="360"/>
      </w:pPr>
      <w:rPr>
        <w:rFonts w:ascii="Symbol" w:hAnsi="Symbol" w:hint="default"/>
      </w:rPr>
    </w:lvl>
    <w:lvl w:ilvl="4" w:tplc="AB2A1B54" w:tentative="1">
      <w:start w:val="1"/>
      <w:numFmt w:val="bullet"/>
      <w:lvlText w:val=""/>
      <w:lvlJc w:val="left"/>
      <w:pPr>
        <w:tabs>
          <w:tab w:val="num" w:pos="3240"/>
        </w:tabs>
        <w:ind w:left="3240" w:hanging="360"/>
      </w:pPr>
      <w:rPr>
        <w:rFonts w:ascii="Symbol" w:hAnsi="Symbol" w:hint="default"/>
      </w:rPr>
    </w:lvl>
    <w:lvl w:ilvl="5" w:tplc="CB84FFB8" w:tentative="1">
      <w:start w:val="1"/>
      <w:numFmt w:val="bullet"/>
      <w:lvlText w:val=""/>
      <w:lvlJc w:val="left"/>
      <w:pPr>
        <w:tabs>
          <w:tab w:val="num" w:pos="3960"/>
        </w:tabs>
        <w:ind w:left="3960" w:hanging="360"/>
      </w:pPr>
      <w:rPr>
        <w:rFonts w:ascii="Symbol" w:hAnsi="Symbol" w:hint="default"/>
      </w:rPr>
    </w:lvl>
    <w:lvl w:ilvl="6" w:tplc="C5000F54" w:tentative="1">
      <w:start w:val="1"/>
      <w:numFmt w:val="bullet"/>
      <w:lvlText w:val=""/>
      <w:lvlJc w:val="left"/>
      <w:pPr>
        <w:tabs>
          <w:tab w:val="num" w:pos="4680"/>
        </w:tabs>
        <w:ind w:left="4680" w:hanging="360"/>
      </w:pPr>
      <w:rPr>
        <w:rFonts w:ascii="Symbol" w:hAnsi="Symbol" w:hint="default"/>
      </w:rPr>
    </w:lvl>
    <w:lvl w:ilvl="7" w:tplc="523880A6" w:tentative="1">
      <w:start w:val="1"/>
      <w:numFmt w:val="bullet"/>
      <w:lvlText w:val=""/>
      <w:lvlJc w:val="left"/>
      <w:pPr>
        <w:tabs>
          <w:tab w:val="num" w:pos="5400"/>
        </w:tabs>
        <w:ind w:left="5400" w:hanging="360"/>
      </w:pPr>
      <w:rPr>
        <w:rFonts w:ascii="Symbol" w:hAnsi="Symbol" w:hint="default"/>
      </w:rPr>
    </w:lvl>
    <w:lvl w:ilvl="8" w:tplc="E3C494D0"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0EB4134"/>
    <w:multiLevelType w:val="hybridMultilevel"/>
    <w:tmpl w:val="51383D26"/>
    <w:lvl w:ilvl="0" w:tplc="2E34F732">
      <w:start w:val="1"/>
      <w:numFmt w:val="bullet"/>
      <w:lvlText w:val=""/>
      <w:lvlPicBulletId w:val="0"/>
      <w:lvlJc w:val="left"/>
      <w:pPr>
        <w:tabs>
          <w:tab w:val="num" w:pos="720"/>
        </w:tabs>
        <w:ind w:left="720" w:hanging="360"/>
      </w:pPr>
      <w:rPr>
        <w:rFonts w:ascii="Symbol" w:hAnsi="Symbol" w:hint="default"/>
      </w:rPr>
    </w:lvl>
    <w:lvl w:ilvl="1" w:tplc="CA409F78" w:tentative="1">
      <w:start w:val="1"/>
      <w:numFmt w:val="bullet"/>
      <w:lvlText w:val=""/>
      <w:lvlJc w:val="left"/>
      <w:pPr>
        <w:tabs>
          <w:tab w:val="num" w:pos="1440"/>
        </w:tabs>
        <w:ind w:left="1440" w:hanging="360"/>
      </w:pPr>
      <w:rPr>
        <w:rFonts w:ascii="Symbol" w:hAnsi="Symbol" w:hint="default"/>
      </w:rPr>
    </w:lvl>
    <w:lvl w:ilvl="2" w:tplc="600E8A64" w:tentative="1">
      <w:start w:val="1"/>
      <w:numFmt w:val="bullet"/>
      <w:lvlText w:val=""/>
      <w:lvlJc w:val="left"/>
      <w:pPr>
        <w:tabs>
          <w:tab w:val="num" w:pos="2160"/>
        </w:tabs>
        <w:ind w:left="2160" w:hanging="360"/>
      </w:pPr>
      <w:rPr>
        <w:rFonts w:ascii="Symbol" w:hAnsi="Symbol" w:hint="default"/>
      </w:rPr>
    </w:lvl>
    <w:lvl w:ilvl="3" w:tplc="B8CE6692" w:tentative="1">
      <w:start w:val="1"/>
      <w:numFmt w:val="bullet"/>
      <w:lvlText w:val=""/>
      <w:lvlJc w:val="left"/>
      <w:pPr>
        <w:tabs>
          <w:tab w:val="num" w:pos="2880"/>
        </w:tabs>
        <w:ind w:left="2880" w:hanging="360"/>
      </w:pPr>
      <w:rPr>
        <w:rFonts w:ascii="Symbol" w:hAnsi="Symbol" w:hint="default"/>
      </w:rPr>
    </w:lvl>
    <w:lvl w:ilvl="4" w:tplc="44E21EB6" w:tentative="1">
      <w:start w:val="1"/>
      <w:numFmt w:val="bullet"/>
      <w:lvlText w:val=""/>
      <w:lvlJc w:val="left"/>
      <w:pPr>
        <w:tabs>
          <w:tab w:val="num" w:pos="3600"/>
        </w:tabs>
        <w:ind w:left="3600" w:hanging="360"/>
      </w:pPr>
      <w:rPr>
        <w:rFonts w:ascii="Symbol" w:hAnsi="Symbol" w:hint="default"/>
      </w:rPr>
    </w:lvl>
    <w:lvl w:ilvl="5" w:tplc="A156F5FC" w:tentative="1">
      <w:start w:val="1"/>
      <w:numFmt w:val="bullet"/>
      <w:lvlText w:val=""/>
      <w:lvlJc w:val="left"/>
      <w:pPr>
        <w:tabs>
          <w:tab w:val="num" w:pos="4320"/>
        </w:tabs>
        <w:ind w:left="4320" w:hanging="360"/>
      </w:pPr>
      <w:rPr>
        <w:rFonts w:ascii="Symbol" w:hAnsi="Symbol" w:hint="default"/>
      </w:rPr>
    </w:lvl>
    <w:lvl w:ilvl="6" w:tplc="8272B92A" w:tentative="1">
      <w:start w:val="1"/>
      <w:numFmt w:val="bullet"/>
      <w:lvlText w:val=""/>
      <w:lvlJc w:val="left"/>
      <w:pPr>
        <w:tabs>
          <w:tab w:val="num" w:pos="5040"/>
        </w:tabs>
        <w:ind w:left="5040" w:hanging="360"/>
      </w:pPr>
      <w:rPr>
        <w:rFonts w:ascii="Symbol" w:hAnsi="Symbol" w:hint="default"/>
      </w:rPr>
    </w:lvl>
    <w:lvl w:ilvl="7" w:tplc="2F36A118" w:tentative="1">
      <w:start w:val="1"/>
      <w:numFmt w:val="bullet"/>
      <w:lvlText w:val=""/>
      <w:lvlJc w:val="left"/>
      <w:pPr>
        <w:tabs>
          <w:tab w:val="num" w:pos="5760"/>
        </w:tabs>
        <w:ind w:left="5760" w:hanging="360"/>
      </w:pPr>
      <w:rPr>
        <w:rFonts w:ascii="Symbol" w:hAnsi="Symbol" w:hint="default"/>
      </w:rPr>
    </w:lvl>
    <w:lvl w:ilvl="8" w:tplc="8E6A07D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42132A"/>
    <w:multiLevelType w:val="hybridMultilevel"/>
    <w:tmpl w:val="1AE2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D6FA2"/>
    <w:multiLevelType w:val="hybridMultilevel"/>
    <w:tmpl w:val="61FC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109EA"/>
    <w:multiLevelType w:val="hybridMultilevel"/>
    <w:tmpl w:val="12386D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5148CB"/>
    <w:multiLevelType w:val="hybridMultilevel"/>
    <w:tmpl w:val="8258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D4B9C"/>
    <w:multiLevelType w:val="hybridMultilevel"/>
    <w:tmpl w:val="A6B2AE34"/>
    <w:lvl w:ilvl="0" w:tplc="04090001">
      <w:start w:val="1"/>
      <w:numFmt w:val="bullet"/>
      <w:lvlText w:val=""/>
      <w:lvlJc w:val="left"/>
      <w:pPr>
        <w:tabs>
          <w:tab w:val="num" w:pos="720"/>
        </w:tabs>
        <w:ind w:left="720" w:hanging="360"/>
      </w:pPr>
      <w:rPr>
        <w:rFonts w:ascii="Symbol" w:hAnsi="Symbol" w:hint="default"/>
      </w:rPr>
    </w:lvl>
    <w:lvl w:ilvl="1" w:tplc="6F440E5C">
      <w:start w:val="1"/>
      <w:numFmt w:val="bullet"/>
      <w:lvlText w:val="–"/>
      <w:lvlJc w:val="left"/>
      <w:pPr>
        <w:tabs>
          <w:tab w:val="num" w:pos="1440"/>
        </w:tabs>
        <w:ind w:left="1440" w:hanging="360"/>
      </w:pPr>
      <w:rPr>
        <w:rFonts w:ascii="Times New Roman" w:hAnsi="Times New Roman" w:hint="default"/>
      </w:rPr>
    </w:lvl>
    <w:lvl w:ilvl="2" w:tplc="42182208">
      <w:start w:val="2547"/>
      <w:numFmt w:val="bullet"/>
      <w:lvlText w:val="•"/>
      <w:lvlJc w:val="left"/>
      <w:pPr>
        <w:tabs>
          <w:tab w:val="num" w:pos="2160"/>
        </w:tabs>
        <w:ind w:left="2160" w:hanging="360"/>
      </w:pPr>
      <w:rPr>
        <w:rFonts w:ascii="Times New Roman" w:hAnsi="Times New Roman" w:hint="default"/>
      </w:rPr>
    </w:lvl>
    <w:lvl w:ilvl="3" w:tplc="E3D04A88" w:tentative="1">
      <w:start w:val="1"/>
      <w:numFmt w:val="bullet"/>
      <w:lvlText w:val="–"/>
      <w:lvlJc w:val="left"/>
      <w:pPr>
        <w:tabs>
          <w:tab w:val="num" w:pos="2880"/>
        </w:tabs>
        <w:ind w:left="2880" w:hanging="360"/>
      </w:pPr>
      <w:rPr>
        <w:rFonts w:ascii="Times New Roman" w:hAnsi="Times New Roman" w:hint="default"/>
      </w:rPr>
    </w:lvl>
    <w:lvl w:ilvl="4" w:tplc="C4126D80" w:tentative="1">
      <w:start w:val="1"/>
      <w:numFmt w:val="bullet"/>
      <w:lvlText w:val="–"/>
      <w:lvlJc w:val="left"/>
      <w:pPr>
        <w:tabs>
          <w:tab w:val="num" w:pos="3600"/>
        </w:tabs>
        <w:ind w:left="3600" w:hanging="360"/>
      </w:pPr>
      <w:rPr>
        <w:rFonts w:ascii="Times New Roman" w:hAnsi="Times New Roman" w:hint="default"/>
      </w:rPr>
    </w:lvl>
    <w:lvl w:ilvl="5" w:tplc="423A1278" w:tentative="1">
      <w:start w:val="1"/>
      <w:numFmt w:val="bullet"/>
      <w:lvlText w:val="–"/>
      <w:lvlJc w:val="left"/>
      <w:pPr>
        <w:tabs>
          <w:tab w:val="num" w:pos="4320"/>
        </w:tabs>
        <w:ind w:left="4320" w:hanging="360"/>
      </w:pPr>
      <w:rPr>
        <w:rFonts w:ascii="Times New Roman" w:hAnsi="Times New Roman" w:hint="default"/>
      </w:rPr>
    </w:lvl>
    <w:lvl w:ilvl="6" w:tplc="C434BC76" w:tentative="1">
      <w:start w:val="1"/>
      <w:numFmt w:val="bullet"/>
      <w:lvlText w:val="–"/>
      <w:lvlJc w:val="left"/>
      <w:pPr>
        <w:tabs>
          <w:tab w:val="num" w:pos="5040"/>
        </w:tabs>
        <w:ind w:left="5040" w:hanging="360"/>
      </w:pPr>
      <w:rPr>
        <w:rFonts w:ascii="Times New Roman" w:hAnsi="Times New Roman" w:hint="default"/>
      </w:rPr>
    </w:lvl>
    <w:lvl w:ilvl="7" w:tplc="A0B27334" w:tentative="1">
      <w:start w:val="1"/>
      <w:numFmt w:val="bullet"/>
      <w:lvlText w:val="–"/>
      <w:lvlJc w:val="left"/>
      <w:pPr>
        <w:tabs>
          <w:tab w:val="num" w:pos="5760"/>
        </w:tabs>
        <w:ind w:left="5760" w:hanging="360"/>
      </w:pPr>
      <w:rPr>
        <w:rFonts w:ascii="Times New Roman" w:hAnsi="Times New Roman" w:hint="default"/>
      </w:rPr>
    </w:lvl>
    <w:lvl w:ilvl="8" w:tplc="0B145734" w:tentative="1">
      <w:start w:val="1"/>
      <w:numFmt w:val="bullet"/>
      <w:lvlText w:val="–"/>
      <w:lvlJc w:val="left"/>
      <w:pPr>
        <w:tabs>
          <w:tab w:val="num" w:pos="6480"/>
        </w:tabs>
        <w:ind w:left="6480" w:hanging="360"/>
      </w:pPr>
      <w:rPr>
        <w:rFonts w:ascii="Times New Roman" w:hAnsi="Times New Roman" w:hint="default"/>
      </w:rPr>
    </w:lvl>
  </w:abstractNum>
  <w:num w:numId="1" w16cid:durableId="1883906204">
    <w:abstractNumId w:val="4"/>
  </w:num>
  <w:num w:numId="2" w16cid:durableId="1783963677">
    <w:abstractNumId w:val="3"/>
  </w:num>
  <w:num w:numId="3" w16cid:durableId="605699270">
    <w:abstractNumId w:val="7"/>
  </w:num>
  <w:num w:numId="4" w16cid:durableId="871453047">
    <w:abstractNumId w:val="6"/>
  </w:num>
  <w:num w:numId="5" w16cid:durableId="934632187">
    <w:abstractNumId w:val="5"/>
  </w:num>
  <w:num w:numId="6" w16cid:durableId="991175597">
    <w:abstractNumId w:val="2"/>
  </w:num>
  <w:num w:numId="7" w16cid:durableId="1290471834">
    <w:abstractNumId w:val="4"/>
  </w:num>
  <w:num w:numId="8" w16cid:durableId="154534190">
    <w:abstractNumId w:val="1"/>
  </w:num>
  <w:num w:numId="9" w16cid:durableId="1694696270">
    <w:abstractNumId w:val="3"/>
  </w:num>
  <w:num w:numId="10" w16cid:durableId="65418876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347"/>
    <w:rsid w:val="00000BE8"/>
    <w:rsid w:val="00006FE1"/>
    <w:rsid w:val="000128F4"/>
    <w:rsid w:val="0001466C"/>
    <w:rsid w:val="000147D7"/>
    <w:rsid w:val="00021763"/>
    <w:rsid w:val="00026765"/>
    <w:rsid w:val="00026C99"/>
    <w:rsid w:val="0002766B"/>
    <w:rsid w:val="00030B68"/>
    <w:rsid w:val="00036F50"/>
    <w:rsid w:val="00040C5B"/>
    <w:rsid w:val="00040CAD"/>
    <w:rsid w:val="00046717"/>
    <w:rsid w:val="00046D7D"/>
    <w:rsid w:val="000560C1"/>
    <w:rsid w:val="000611B7"/>
    <w:rsid w:val="00061F15"/>
    <w:rsid w:val="00063161"/>
    <w:rsid w:val="00064378"/>
    <w:rsid w:val="000650DD"/>
    <w:rsid w:val="00070B1F"/>
    <w:rsid w:val="00072248"/>
    <w:rsid w:val="00092E73"/>
    <w:rsid w:val="00095C06"/>
    <w:rsid w:val="000974BD"/>
    <w:rsid w:val="00097F84"/>
    <w:rsid w:val="000A7311"/>
    <w:rsid w:val="000A77FD"/>
    <w:rsid w:val="000A7958"/>
    <w:rsid w:val="000D2381"/>
    <w:rsid w:val="000D3959"/>
    <w:rsid w:val="000D59D0"/>
    <w:rsid w:val="000E2030"/>
    <w:rsid w:val="000E20DA"/>
    <w:rsid w:val="000E2D59"/>
    <w:rsid w:val="000E59E2"/>
    <w:rsid w:val="000F4BB5"/>
    <w:rsid w:val="000F552F"/>
    <w:rsid w:val="00100648"/>
    <w:rsid w:val="001110D7"/>
    <w:rsid w:val="00116E14"/>
    <w:rsid w:val="00120DF4"/>
    <w:rsid w:val="00123CE4"/>
    <w:rsid w:val="0012791B"/>
    <w:rsid w:val="00130EF7"/>
    <w:rsid w:val="0014469E"/>
    <w:rsid w:val="00145443"/>
    <w:rsid w:val="00146437"/>
    <w:rsid w:val="00161CA7"/>
    <w:rsid w:val="0016673C"/>
    <w:rsid w:val="00177276"/>
    <w:rsid w:val="00177FA1"/>
    <w:rsid w:val="00183532"/>
    <w:rsid w:val="001872F6"/>
    <w:rsid w:val="00187D44"/>
    <w:rsid w:val="00195596"/>
    <w:rsid w:val="001A28CB"/>
    <w:rsid w:val="001B0373"/>
    <w:rsid w:val="001B6235"/>
    <w:rsid w:val="001B6289"/>
    <w:rsid w:val="001B7D63"/>
    <w:rsid w:val="001F0E95"/>
    <w:rsid w:val="001F2816"/>
    <w:rsid w:val="001F5535"/>
    <w:rsid w:val="00200C29"/>
    <w:rsid w:val="00204EAD"/>
    <w:rsid w:val="0021237A"/>
    <w:rsid w:val="002143D8"/>
    <w:rsid w:val="00217D07"/>
    <w:rsid w:val="002207D9"/>
    <w:rsid w:val="00230483"/>
    <w:rsid w:val="00235B24"/>
    <w:rsid w:val="00246831"/>
    <w:rsid w:val="00246ACF"/>
    <w:rsid w:val="00250287"/>
    <w:rsid w:val="0025658F"/>
    <w:rsid w:val="0026019A"/>
    <w:rsid w:val="00271080"/>
    <w:rsid w:val="002808BE"/>
    <w:rsid w:val="00297D15"/>
    <w:rsid w:val="002C4634"/>
    <w:rsid w:val="002C5810"/>
    <w:rsid w:val="002D0276"/>
    <w:rsid w:val="002D2908"/>
    <w:rsid w:val="002E3FE2"/>
    <w:rsid w:val="002F08B6"/>
    <w:rsid w:val="002F1D71"/>
    <w:rsid w:val="00301347"/>
    <w:rsid w:val="0030141E"/>
    <w:rsid w:val="00310568"/>
    <w:rsid w:val="00310E99"/>
    <w:rsid w:val="0031214E"/>
    <w:rsid w:val="00317C44"/>
    <w:rsid w:val="0032294C"/>
    <w:rsid w:val="003261AA"/>
    <w:rsid w:val="003351B1"/>
    <w:rsid w:val="003457C3"/>
    <w:rsid w:val="003521EA"/>
    <w:rsid w:val="00365EDB"/>
    <w:rsid w:val="00371439"/>
    <w:rsid w:val="00377283"/>
    <w:rsid w:val="00380340"/>
    <w:rsid w:val="003855A5"/>
    <w:rsid w:val="00387437"/>
    <w:rsid w:val="00391FE2"/>
    <w:rsid w:val="003A183D"/>
    <w:rsid w:val="003A2534"/>
    <w:rsid w:val="003A7D6C"/>
    <w:rsid w:val="003C2746"/>
    <w:rsid w:val="003D0429"/>
    <w:rsid w:val="003D22B7"/>
    <w:rsid w:val="003D3E30"/>
    <w:rsid w:val="003E12FE"/>
    <w:rsid w:val="003E14FF"/>
    <w:rsid w:val="003E1B7E"/>
    <w:rsid w:val="003E3CB4"/>
    <w:rsid w:val="003F1307"/>
    <w:rsid w:val="003F7EC8"/>
    <w:rsid w:val="00407006"/>
    <w:rsid w:val="00407902"/>
    <w:rsid w:val="004204CB"/>
    <w:rsid w:val="004234AC"/>
    <w:rsid w:val="00427387"/>
    <w:rsid w:val="00430695"/>
    <w:rsid w:val="00433EE7"/>
    <w:rsid w:val="00435270"/>
    <w:rsid w:val="00453D6F"/>
    <w:rsid w:val="00457A46"/>
    <w:rsid w:val="00463A2C"/>
    <w:rsid w:val="0046450D"/>
    <w:rsid w:val="00474987"/>
    <w:rsid w:val="00477D30"/>
    <w:rsid w:val="004851BC"/>
    <w:rsid w:val="00485408"/>
    <w:rsid w:val="0048648D"/>
    <w:rsid w:val="00491DFA"/>
    <w:rsid w:val="00494F5C"/>
    <w:rsid w:val="004A0E36"/>
    <w:rsid w:val="004A2123"/>
    <w:rsid w:val="004A5F36"/>
    <w:rsid w:val="004C0979"/>
    <w:rsid w:val="004C206F"/>
    <w:rsid w:val="004C5B09"/>
    <w:rsid w:val="004C6EA9"/>
    <w:rsid w:val="004E5BBB"/>
    <w:rsid w:val="004F1457"/>
    <w:rsid w:val="004F4530"/>
    <w:rsid w:val="004F5A23"/>
    <w:rsid w:val="00500BE1"/>
    <w:rsid w:val="005033CE"/>
    <w:rsid w:val="00503AAD"/>
    <w:rsid w:val="0051143B"/>
    <w:rsid w:val="00511F92"/>
    <w:rsid w:val="005200DD"/>
    <w:rsid w:val="00526286"/>
    <w:rsid w:val="00526334"/>
    <w:rsid w:val="005406FD"/>
    <w:rsid w:val="005448F5"/>
    <w:rsid w:val="0055522F"/>
    <w:rsid w:val="00574AE2"/>
    <w:rsid w:val="0058158A"/>
    <w:rsid w:val="00583CA8"/>
    <w:rsid w:val="005856FD"/>
    <w:rsid w:val="0058579D"/>
    <w:rsid w:val="00585A28"/>
    <w:rsid w:val="00585DF8"/>
    <w:rsid w:val="005A2C68"/>
    <w:rsid w:val="005B60B7"/>
    <w:rsid w:val="005B6A35"/>
    <w:rsid w:val="005C0717"/>
    <w:rsid w:val="005C1ADC"/>
    <w:rsid w:val="005C3E76"/>
    <w:rsid w:val="005C6FA6"/>
    <w:rsid w:val="005C7C3B"/>
    <w:rsid w:val="005D0BAA"/>
    <w:rsid w:val="005D5A7E"/>
    <w:rsid w:val="005D5BB8"/>
    <w:rsid w:val="005D68AA"/>
    <w:rsid w:val="005E41E8"/>
    <w:rsid w:val="005E5253"/>
    <w:rsid w:val="005F1E44"/>
    <w:rsid w:val="005F6841"/>
    <w:rsid w:val="005F736C"/>
    <w:rsid w:val="0060025F"/>
    <w:rsid w:val="006027CC"/>
    <w:rsid w:val="006041BA"/>
    <w:rsid w:val="00605646"/>
    <w:rsid w:val="00611464"/>
    <w:rsid w:val="00614745"/>
    <w:rsid w:val="00621AE4"/>
    <w:rsid w:val="00627D37"/>
    <w:rsid w:val="0063722B"/>
    <w:rsid w:val="00641641"/>
    <w:rsid w:val="006570F4"/>
    <w:rsid w:val="006627EE"/>
    <w:rsid w:val="00662808"/>
    <w:rsid w:val="006710F0"/>
    <w:rsid w:val="006738AA"/>
    <w:rsid w:val="0067602D"/>
    <w:rsid w:val="00686A6C"/>
    <w:rsid w:val="00697021"/>
    <w:rsid w:val="006A78B5"/>
    <w:rsid w:val="006A7DA7"/>
    <w:rsid w:val="006B0DCB"/>
    <w:rsid w:val="006B169E"/>
    <w:rsid w:val="006C7621"/>
    <w:rsid w:val="006E48EB"/>
    <w:rsid w:val="006F1C7E"/>
    <w:rsid w:val="007007FE"/>
    <w:rsid w:val="00701D29"/>
    <w:rsid w:val="00702E69"/>
    <w:rsid w:val="00702EB8"/>
    <w:rsid w:val="00703AA9"/>
    <w:rsid w:val="00705048"/>
    <w:rsid w:val="00711B28"/>
    <w:rsid w:val="0072021D"/>
    <w:rsid w:val="00724B8A"/>
    <w:rsid w:val="0072785D"/>
    <w:rsid w:val="0073016A"/>
    <w:rsid w:val="00735F60"/>
    <w:rsid w:val="00737EC6"/>
    <w:rsid w:val="00743EA8"/>
    <w:rsid w:val="00751075"/>
    <w:rsid w:val="00756E6F"/>
    <w:rsid w:val="00761D4F"/>
    <w:rsid w:val="00770154"/>
    <w:rsid w:val="00770DF9"/>
    <w:rsid w:val="0078045D"/>
    <w:rsid w:val="00782930"/>
    <w:rsid w:val="00783475"/>
    <w:rsid w:val="00784047"/>
    <w:rsid w:val="0078641B"/>
    <w:rsid w:val="007A6EFA"/>
    <w:rsid w:val="007B042C"/>
    <w:rsid w:val="007B5296"/>
    <w:rsid w:val="007C7AF2"/>
    <w:rsid w:val="007D04B0"/>
    <w:rsid w:val="007D0D24"/>
    <w:rsid w:val="007E2318"/>
    <w:rsid w:val="007F42FD"/>
    <w:rsid w:val="00803499"/>
    <w:rsid w:val="0081088F"/>
    <w:rsid w:val="0082396F"/>
    <w:rsid w:val="00843688"/>
    <w:rsid w:val="00845B5A"/>
    <w:rsid w:val="00852DF8"/>
    <w:rsid w:val="00855824"/>
    <w:rsid w:val="00867F6A"/>
    <w:rsid w:val="0087436E"/>
    <w:rsid w:val="00887D28"/>
    <w:rsid w:val="00892B73"/>
    <w:rsid w:val="008A77FF"/>
    <w:rsid w:val="008B5066"/>
    <w:rsid w:val="008B6FD3"/>
    <w:rsid w:val="008B7971"/>
    <w:rsid w:val="008C4E67"/>
    <w:rsid w:val="008C5171"/>
    <w:rsid w:val="008C5459"/>
    <w:rsid w:val="008D1017"/>
    <w:rsid w:val="008D1657"/>
    <w:rsid w:val="008E4A08"/>
    <w:rsid w:val="008E6039"/>
    <w:rsid w:val="008F10FF"/>
    <w:rsid w:val="008F17A3"/>
    <w:rsid w:val="008F3A3E"/>
    <w:rsid w:val="008F3B37"/>
    <w:rsid w:val="00904E4F"/>
    <w:rsid w:val="0091123D"/>
    <w:rsid w:val="00912079"/>
    <w:rsid w:val="00924ECB"/>
    <w:rsid w:val="009261DF"/>
    <w:rsid w:val="00926E64"/>
    <w:rsid w:val="00933D86"/>
    <w:rsid w:val="009443B7"/>
    <w:rsid w:val="009541AE"/>
    <w:rsid w:val="0097678A"/>
    <w:rsid w:val="009860F4"/>
    <w:rsid w:val="00992423"/>
    <w:rsid w:val="00993EF5"/>
    <w:rsid w:val="009A0ED3"/>
    <w:rsid w:val="009A75EB"/>
    <w:rsid w:val="009D0152"/>
    <w:rsid w:val="009D1594"/>
    <w:rsid w:val="009D1D14"/>
    <w:rsid w:val="009D2C6E"/>
    <w:rsid w:val="009D5F9B"/>
    <w:rsid w:val="009D68F8"/>
    <w:rsid w:val="009E5268"/>
    <w:rsid w:val="009E6AD3"/>
    <w:rsid w:val="009E7769"/>
    <w:rsid w:val="009F08A0"/>
    <w:rsid w:val="009F1910"/>
    <w:rsid w:val="009F1932"/>
    <w:rsid w:val="009F19F1"/>
    <w:rsid w:val="009F351E"/>
    <w:rsid w:val="009F360F"/>
    <w:rsid w:val="009F6524"/>
    <w:rsid w:val="00A04674"/>
    <w:rsid w:val="00A21351"/>
    <w:rsid w:val="00A21D15"/>
    <w:rsid w:val="00A24BFC"/>
    <w:rsid w:val="00A25F2E"/>
    <w:rsid w:val="00A34F76"/>
    <w:rsid w:val="00A509A9"/>
    <w:rsid w:val="00A86B94"/>
    <w:rsid w:val="00A875F5"/>
    <w:rsid w:val="00A90C12"/>
    <w:rsid w:val="00A91843"/>
    <w:rsid w:val="00A91A8E"/>
    <w:rsid w:val="00A963CD"/>
    <w:rsid w:val="00AA54D5"/>
    <w:rsid w:val="00AB03B7"/>
    <w:rsid w:val="00AB7396"/>
    <w:rsid w:val="00AB7959"/>
    <w:rsid w:val="00AC3C41"/>
    <w:rsid w:val="00AD3914"/>
    <w:rsid w:val="00AD4C22"/>
    <w:rsid w:val="00AE0A87"/>
    <w:rsid w:val="00AE2080"/>
    <w:rsid w:val="00B00C83"/>
    <w:rsid w:val="00B03893"/>
    <w:rsid w:val="00B054BD"/>
    <w:rsid w:val="00B05A5F"/>
    <w:rsid w:val="00B11414"/>
    <w:rsid w:val="00B26BA2"/>
    <w:rsid w:val="00B36A1E"/>
    <w:rsid w:val="00B37D6F"/>
    <w:rsid w:val="00B424E0"/>
    <w:rsid w:val="00B4636A"/>
    <w:rsid w:val="00B70C50"/>
    <w:rsid w:val="00B86235"/>
    <w:rsid w:val="00B86FFE"/>
    <w:rsid w:val="00BA653D"/>
    <w:rsid w:val="00BB59A0"/>
    <w:rsid w:val="00BB75C8"/>
    <w:rsid w:val="00BC5E0D"/>
    <w:rsid w:val="00BD22D5"/>
    <w:rsid w:val="00BD68D4"/>
    <w:rsid w:val="00BF68C7"/>
    <w:rsid w:val="00BF72BB"/>
    <w:rsid w:val="00C116E6"/>
    <w:rsid w:val="00C13DC8"/>
    <w:rsid w:val="00C23E39"/>
    <w:rsid w:val="00C26CFE"/>
    <w:rsid w:val="00C32FEF"/>
    <w:rsid w:val="00C45947"/>
    <w:rsid w:val="00C50C38"/>
    <w:rsid w:val="00C50D20"/>
    <w:rsid w:val="00C51563"/>
    <w:rsid w:val="00C52EF6"/>
    <w:rsid w:val="00C561BA"/>
    <w:rsid w:val="00C66197"/>
    <w:rsid w:val="00C735EC"/>
    <w:rsid w:val="00C7568F"/>
    <w:rsid w:val="00C83A8F"/>
    <w:rsid w:val="00C949F8"/>
    <w:rsid w:val="00C9606C"/>
    <w:rsid w:val="00CA4EEB"/>
    <w:rsid w:val="00CA745C"/>
    <w:rsid w:val="00CB47E4"/>
    <w:rsid w:val="00CC681C"/>
    <w:rsid w:val="00CE023F"/>
    <w:rsid w:val="00CE4811"/>
    <w:rsid w:val="00CF5DDE"/>
    <w:rsid w:val="00D000E3"/>
    <w:rsid w:val="00D034D8"/>
    <w:rsid w:val="00D04753"/>
    <w:rsid w:val="00D22783"/>
    <w:rsid w:val="00D2420B"/>
    <w:rsid w:val="00D25D77"/>
    <w:rsid w:val="00D36ACF"/>
    <w:rsid w:val="00D37444"/>
    <w:rsid w:val="00D43E88"/>
    <w:rsid w:val="00D4584B"/>
    <w:rsid w:val="00D45901"/>
    <w:rsid w:val="00D45A1B"/>
    <w:rsid w:val="00D57362"/>
    <w:rsid w:val="00D62A38"/>
    <w:rsid w:val="00D71113"/>
    <w:rsid w:val="00D7249C"/>
    <w:rsid w:val="00D747AF"/>
    <w:rsid w:val="00D76F9D"/>
    <w:rsid w:val="00D77595"/>
    <w:rsid w:val="00D82017"/>
    <w:rsid w:val="00D97D19"/>
    <w:rsid w:val="00DA0673"/>
    <w:rsid w:val="00DC0DC3"/>
    <w:rsid w:val="00DC10C7"/>
    <w:rsid w:val="00DC1671"/>
    <w:rsid w:val="00DC6607"/>
    <w:rsid w:val="00DD065F"/>
    <w:rsid w:val="00DD284C"/>
    <w:rsid w:val="00DD53A2"/>
    <w:rsid w:val="00DD77A2"/>
    <w:rsid w:val="00DE68FA"/>
    <w:rsid w:val="00DF56E8"/>
    <w:rsid w:val="00E0554C"/>
    <w:rsid w:val="00E149E3"/>
    <w:rsid w:val="00E1552E"/>
    <w:rsid w:val="00E21DAC"/>
    <w:rsid w:val="00E26A80"/>
    <w:rsid w:val="00E352EB"/>
    <w:rsid w:val="00E434DB"/>
    <w:rsid w:val="00E44350"/>
    <w:rsid w:val="00E45ED0"/>
    <w:rsid w:val="00E53444"/>
    <w:rsid w:val="00E54835"/>
    <w:rsid w:val="00E54E39"/>
    <w:rsid w:val="00E60FCE"/>
    <w:rsid w:val="00E63560"/>
    <w:rsid w:val="00E6591A"/>
    <w:rsid w:val="00E66167"/>
    <w:rsid w:val="00E66953"/>
    <w:rsid w:val="00E76DF9"/>
    <w:rsid w:val="00E93822"/>
    <w:rsid w:val="00E960F9"/>
    <w:rsid w:val="00EA2DD0"/>
    <w:rsid w:val="00EB5363"/>
    <w:rsid w:val="00EC0BDC"/>
    <w:rsid w:val="00EC1B53"/>
    <w:rsid w:val="00EC1C8C"/>
    <w:rsid w:val="00EC2D0A"/>
    <w:rsid w:val="00EC3B3A"/>
    <w:rsid w:val="00ED5215"/>
    <w:rsid w:val="00ED5E70"/>
    <w:rsid w:val="00EE0E62"/>
    <w:rsid w:val="00EE6A28"/>
    <w:rsid w:val="00EE6D7E"/>
    <w:rsid w:val="00EF372E"/>
    <w:rsid w:val="00EF5531"/>
    <w:rsid w:val="00F058D6"/>
    <w:rsid w:val="00F1589F"/>
    <w:rsid w:val="00F34417"/>
    <w:rsid w:val="00F35670"/>
    <w:rsid w:val="00F36BAA"/>
    <w:rsid w:val="00F440EB"/>
    <w:rsid w:val="00F50407"/>
    <w:rsid w:val="00F63818"/>
    <w:rsid w:val="00F63FB1"/>
    <w:rsid w:val="00F65453"/>
    <w:rsid w:val="00F824E3"/>
    <w:rsid w:val="00F827D5"/>
    <w:rsid w:val="00F91B40"/>
    <w:rsid w:val="00F95C42"/>
    <w:rsid w:val="00FA43FA"/>
    <w:rsid w:val="00FB10AD"/>
    <w:rsid w:val="00FB6DF9"/>
    <w:rsid w:val="00FC5594"/>
    <w:rsid w:val="00FD1489"/>
    <w:rsid w:val="00FD4AAA"/>
    <w:rsid w:val="00FE29F4"/>
    <w:rsid w:val="00FF1EFC"/>
    <w:rsid w:val="00FF489C"/>
    <w:rsid w:val="00FF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2"/>
    </o:shapelayout>
  </w:shapeDefaults>
  <w:decimalSymbol w:val="."/>
  <w:listSeparator w:val=","/>
  <w14:docId w14:val="0D4A08AF"/>
  <w15:chartTrackingRefBased/>
  <w15:docId w15:val="{19DDB4D5-9E42-4985-BE43-2A49DA67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EF372E"/>
    <w:pPr>
      <w:keepNext/>
      <w:spacing w:before="240" w:after="60"/>
      <w:outlineLvl w:val="1"/>
    </w:pPr>
    <w:rPr>
      <w:rFonts w:ascii="Verdana" w:hAnsi="Verdana" w:cs="Arial"/>
      <w:b/>
      <w:bCs/>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EF372E"/>
    <w:rPr>
      <w:rFonts w:ascii="Verdana" w:hAnsi="Verdana" w:cs="Arial"/>
      <w:b/>
      <w:bCs/>
      <w:iCs/>
      <w:sz w:val="28"/>
      <w:szCs w:val="28"/>
    </w:rPr>
  </w:style>
  <w:style w:type="character" w:styleId="PageNumber">
    <w:name w:val="page number"/>
    <w:basedOn w:val="DefaultParagraphFont"/>
    <w:rsid w:val="00B05A5F"/>
  </w:style>
  <w:style w:type="paragraph" w:styleId="TOC2">
    <w:name w:val="toc 2"/>
    <w:basedOn w:val="Normal"/>
    <w:next w:val="Normal"/>
    <w:autoRedefine/>
    <w:uiPriority w:val="39"/>
    <w:rsid w:val="002808BE"/>
    <w:pPr>
      <w:tabs>
        <w:tab w:val="right" w:leader="dot" w:pos="12950"/>
      </w:tabs>
    </w:pPr>
  </w:style>
  <w:style w:type="paragraph" w:styleId="ListParagraph">
    <w:name w:val="List Paragraph"/>
    <w:basedOn w:val="Normal"/>
    <w:uiPriority w:val="34"/>
    <w:qFormat/>
    <w:rsid w:val="00D37444"/>
    <w:pPr>
      <w:ind w:left="720"/>
      <w:contextualSpacing/>
    </w:pPr>
  </w:style>
  <w:style w:type="paragraph" w:styleId="TOC1">
    <w:name w:val="toc 1"/>
    <w:basedOn w:val="Normal"/>
    <w:next w:val="Normal"/>
    <w:autoRedefine/>
    <w:uiPriority w:val="39"/>
    <w:rsid w:val="00C50D20"/>
    <w:pPr>
      <w:tabs>
        <w:tab w:val="right" w:leader="dot" w:pos="12950"/>
      </w:tabs>
      <w:spacing w:after="100"/>
    </w:pPr>
  </w:style>
  <w:style w:type="character" w:styleId="UnresolvedMention">
    <w:name w:val="Unresolved Mention"/>
    <w:basedOn w:val="DefaultParagraphFont"/>
    <w:uiPriority w:val="99"/>
    <w:semiHidden/>
    <w:unhideWhenUsed/>
    <w:rsid w:val="00491DFA"/>
    <w:rPr>
      <w:color w:val="605E5C"/>
      <w:shd w:val="clear" w:color="auto" w:fill="E1DFDD"/>
    </w:rPr>
  </w:style>
  <w:style w:type="paragraph" w:styleId="Revision">
    <w:name w:val="Revision"/>
    <w:hidden/>
    <w:uiPriority w:val="99"/>
    <w:semiHidden/>
    <w:rsid w:val="0052633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3733">
      <w:bodyDiv w:val="1"/>
      <w:marLeft w:val="0"/>
      <w:marRight w:val="0"/>
      <w:marTop w:val="0"/>
      <w:marBottom w:val="0"/>
      <w:divBdr>
        <w:top w:val="none" w:sz="0" w:space="0" w:color="auto"/>
        <w:left w:val="none" w:sz="0" w:space="0" w:color="auto"/>
        <w:bottom w:val="none" w:sz="0" w:space="0" w:color="auto"/>
        <w:right w:val="none" w:sz="0" w:space="0" w:color="auto"/>
      </w:divBdr>
    </w:div>
    <w:div w:id="148138996">
      <w:bodyDiv w:val="1"/>
      <w:marLeft w:val="0"/>
      <w:marRight w:val="0"/>
      <w:marTop w:val="0"/>
      <w:marBottom w:val="0"/>
      <w:divBdr>
        <w:top w:val="none" w:sz="0" w:space="0" w:color="auto"/>
        <w:left w:val="none" w:sz="0" w:space="0" w:color="auto"/>
        <w:bottom w:val="none" w:sz="0" w:space="0" w:color="auto"/>
        <w:right w:val="none" w:sz="0" w:space="0" w:color="auto"/>
      </w:divBdr>
    </w:div>
    <w:div w:id="199827597">
      <w:bodyDiv w:val="1"/>
      <w:marLeft w:val="0"/>
      <w:marRight w:val="0"/>
      <w:marTop w:val="0"/>
      <w:marBottom w:val="0"/>
      <w:divBdr>
        <w:top w:val="none" w:sz="0" w:space="0" w:color="auto"/>
        <w:left w:val="none" w:sz="0" w:space="0" w:color="auto"/>
        <w:bottom w:val="none" w:sz="0" w:space="0" w:color="auto"/>
        <w:right w:val="none" w:sz="0" w:space="0" w:color="auto"/>
      </w:divBdr>
    </w:div>
    <w:div w:id="259264289">
      <w:bodyDiv w:val="1"/>
      <w:marLeft w:val="0"/>
      <w:marRight w:val="0"/>
      <w:marTop w:val="0"/>
      <w:marBottom w:val="0"/>
      <w:divBdr>
        <w:top w:val="none" w:sz="0" w:space="0" w:color="auto"/>
        <w:left w:val="none" w:sz="0" w:space="0" w:color="auto"/>
        <w:bottom w:val="none" w:sz="0" w:space="0" w:color="auto"/>
        <w:right w:val="none" w:sz="0" w:space="0" w:color="auto"/>
      </w:divBdr>
    </w:div>
    <w:div w:id="301614746">
      <w:bodyDiv w:val="1"/>
      <w:marLeft w:val="0"/>
      <w:marRight w:val="0"/>
      <w:marTop w:val="0"/>
      <w:marBottom w:val="0"/>
      <w:divBdr>
        <w:top w:val="none" w:sz="0" w:space="0" w:color="auto"/>
        <w:left w:val="none" w:sz="0" w:space="0" w:color="auto"/>
        <w:bottom w:val="none" w:sz="0" w:space="0" w:color="auto"/>
        <w:right w:val="none" w:sz="0" w:space="0" w:color="auto"/>
      </w:divBdr>
    </w:div>
    <w:div w:id="324743464">
      <w:bodyDiv w:val="1"/>
      <w:marLeft w:val="0"/>
      <w:marRight w:val="0"/>
      <w:marTop w:val="0"/>
      <w:marBottom w:val="0"/>
      <w:divBdr>
        <w:top w:val="none" w:sz="0" w:space="0" w:color="auto"/>
        <w:left w:val="none" w:sz="0" w:space="0" w:color="auto"/>
        <w:bottom w:val="none" w:sz="0" w:space="0" w:color="auto"/>
        <w:right w:val="none" w:sz="0" w:space="0" w:color="auto"/>
      </w:divBdr>
    </w:div>
    <w:div w:id="426272012">
      <w:bodyDiv w:val="1"/>
      <w:marLeft w:val="0"/>
      <w:marRight w:val="0"/>
      <w:marTop w:val="0"/>
      <w:marBottom w:val="0"/>
      <w:divBdr>
        <w:top w:val="none" w:sz="0" w:space="0" w:color="auto"/>
        <w:left w:val="none" w:sz="0" w:space="0" w:color="auto"/>
        <w:bottom w:val="none" w:sz="0" w:space="0" w:color="auto"/>
        <w:right w:val="none" w:sz="0" w:space="0" w:color="auto"/>
      </w:divBdr>
      <w:divsChild>
        <w:div w:id="873616340">
          <w:marLeft w:val="706"/>
          <w:marRight w:val="0"/>
          <w:marTop w:val="48"/>
          <w:marBottom w:val="48"/>
          <w:divBdr>
            <w:top w:val="none" w:sz="0" w:space="0" w:color="auto"/>
            <w:left w:val="none" w:sz="0" w:space="0" w:color="auto"/>
            <w:bottom w:val="none" w:sz="0" w:space="0" w:color="auto"/>
            <w:right w:val="none" w:sz="0" w:space="0" w:color="auto"/>
          </w:divBdr>
        </w:div>
      </w:divsChild>
    </w:div>
    <w:div w:id="487327915">
      <w:bodyDiv w:val="1"/>
      <w:marLeft w:val="0"/>
      <w:marRight w:val="0"/>
      <w:marTop w:val="0"/>
      <w:marBottom w:val="0"/>
      <w:divBdr>
        <w:top w:val="none" w:sz="0" w:space="0" w:color="auto"/>
        <w:left w:val="none" w:sz="0" w:space="0" w:color="auto"/>
        <w:bottom w:val="none" w:sz="0" w:space="0" w:color="auto"/>
        <w:right w:val="none" w:sz="0" w:space="0" w:color="auto"/>
      </w:divBdr>
    </w:div>
    <w:div w:id="649289365">
      <w:bodyDiv w:val="1"/>
      <w:marLeft w:val="0"/>
      <w:marRight w:val="0"/>
      <w:marTop w:val="0"/>
      <w:marBottom w:val="0"/>
      <w:divBdr>
        <w:top w:val="none" w:sz="0" w:space="0" w:color="auto"/>
        <w:left w:val="none" w:sz="0" w:space="0" w:color="auto"/>
        <w:bottom w:val="none" w:sz="0" w:space="0" w:color="auto"/>
        <w:right w:val="none" w:sz="0" w:space="0" w:color="auto"/>
      </w:divBdr>
      <w:divsChild>
        <w:div w:id="95635514">
          <w:marLeft w:val="706"/>
          <w:marRight w:val="0"/>
          <w:marTop w:val="48"/>
          <w:marBottom w:val="48"/>
          <w:divBdr>
            <w:top w:val="none" w:sz="0" w:space="0" w:color="auto"/>
            <w:left w:val="none" w:sz="0" w:space="0" w:color="auto"/>
            <w:bottom w:val="none" w:sz="0" w:space="0" w:color="auto"/>
            <w:right w:val="none" w:sz="0" w:space="0" w:color="auto"/>
          </w:divBdr>
        </w:div>
        <w:div w:id="1753701882">
          <w:marLeft w:val="274"/>
          <w:marRight w:val="0"/>
          <w:marTop w:val="230"/>
          <w:marBottom w:val="0"/>
          <w:divBdr>
            <w:top w:val="none" w:sz="0" w:space="0" w:color="auto"/>
            <w:left w:val="none" w:sz="0" w:space="0" w:color="auto"/>
            <w:bottom w:val="none" w:sz="0" w:space="0" w:color="auto"/>
            <w:right w:val="none" w:sz="0" w:space="0" w:color="auto"/>
          </w:divBdr>
        </w:div>
        <w:div w:id="1831673101">
          <w:marLeft w:val="706"/>
          <w:marRight w:val="0"/>
          <w:marTop w:val="48"/>
          <w:marBottom w:val="48"/>
          <w:divBdr>
            <w:top w:val="none" w:sz="0" w:space="0" w:color="auto"/>
            <w:left w:val="none" w:sz="0" w:space="0" w:color="auto"/>
            <w:bottom w:val="none" w:sz="0" w:space="0" w:color="auto"/>
            <w:right w:val="none" w:sz="0" w:space="0" w:color="auto"/>
          </w:divBdr>
        </w:div>
        <w:div w:id="1965383067">
          <w:marLeft w:val="706"/>
          <w:marRight w:val="0"/>
          <w:marTop w:val="48"/>
          <w:marBottom w:val="48"/>
          <w:divBdr>
            <w:top w:val="none" w:sz="0" w:space="0" w:color="auto"/>
            <w:left w:val="none" w:sz="0" w:space="0" w:color="auto"/>
            <w:bottom w:val="none" w:sz="0" w:space="0" w:color="auto"/>
            <w:right w:val="none" w:sz="0" w:space="0" w:color="auto"/>
          </w:divBdr>
        </w:div>
      </w:divsChild>
    </w:div>
    <w:div w:id="697242444">
      <w:bodyDiv w:val="1"/>
      <w:marLeft w:val="0"/>
      <w:marRight w:val="0"/>
      <w:marTop w:val="0"/>
      <w:marBottom w:val="0"/>
      <w:divBdr>
        <w:top w:val="none" w:sz="0" w:space="0" w:color="auto"/>
        <w:left w:val="none" w:sz="0" w:space="0" w:color="auto"/>
        <w:bottom w:val="none" w:sz="0" w:space="0" w:color="auto"/>
        <w:right w:val="none" w:sz="0" w:space="0" w:color="auto"/>
      </w:divBdr>
    </w:div>
    <w:div w:id="720783984">
      <w:bodyDiv w:val="1"/>
      <w:marLeft w:val="0"/>
      <w:marRight w:val="0"/>
      <w:marTop w:val="0"/>
      <w:marBottom w:val="0"/>
      <w:divBdr>
        <w:top w:val="none" w:sz="0" w:space="0" w:color="auto"/>
        <w:left w:val="none" w:sz="0" w:space="0" w:color="auto"/>
        <w:bottom w:val="none" w:sz="0" w:space="0" w:color="auto"/>
        <w:right w:val="none" w:sz="0" w:space="0" w:color="auto"/>
      </w:divBdr>
    </w:div>
    <w:div w:id="738601681">
      <w:bodyDiv w:val="1"/>
      <w:marLeft w:val="0"/>
      <w:marRight w:val="0"/>
      <w:marTop w:val="0"/>
      <w:marBottom w:val="0"/>
      <w:divBdr>
        <w:top w:val="none" w:sz="0" w:space="0" w:color="auto"/>
        <w:left w:val="none" w:sz="0" w:space="0" w:color="auto"/>
        <w:bottom w:val="none" w:sz="0" w:space="0" w:color="auto"/>
        <w:right w:val="none" w:sz="0" w:space="0" w:color="auto"/>
      </w:divBdr>
    </w:div>
    <w:div w:id="791098573">
      <w:bodyDiv w:val="1"/>
      <w:marLeft w:val="0"/>
      <w:marRight w:val="0"/>
      <w:marTop w:val="0"/>
      <w:marBottom w:val="0"/>
      <w:divBdr>
        <w:top w:val="none" w:sz="0" w:space="0" w:color="auto"/>
        <w:left w:val="none" w:sz="0" w:space="0" w:color="auto"/>
        <w:bottom w:val="none" w:sz="0" w:space="0" w:color="auto"/>
        <w:right w:val="none" w:sz="0" w:space="0" w:color="auto"/>
      </w:divBdr>
    </w:div>
    <w:div w:id="797652209">
      <w:bodyDiv w:val="1"/>
      <w:marLeft w:val="0"/>
      <w:marRight w:val="0"/>
      <w:marTop w:val="0"/>
      <w:marBottom w:val="0"/>
      <w:divBdr>
        <w:top w:val="none" w:sz="0" w:space="0" w:color="auto"/>
        <w:left w:val="none" w:sz="0" w:space="0" w:color="auto"/>
        <w:bottom w:val="none" w:sz="0" w:space="0" w:color="auto"/>
        <w:right w:val="none" w:sz="0" w:space="0" w:color="auto"/>
      </w:divBdr>
    </w:div>
    <w:div w:id="837114297">
      <w:bodyDiv w:val="1"/>
      <w:marLeft w:val="0"/>
      <w:marRight w:val="0"/>
      <w:marTop w:val="0"/>
      <w:marBottom w:val="0"/>
      <w:divBdr>
        <w:top w:val="none" w:sz="0" w:space="0" w:color="auto"/>
        <w:left w:val="none" w:sz="0" w:space="0" w:color="auto"/>
        <w:bottom w:val="none" w:sz="0" w:space="0" w:color="auto"/>
        <w:right w:val="none" w:sz="0" w:space="0" w:color="auto"/>
      </w:divBdr>
    </w:div>
    <w:div w:id="871959358">
      <w:bodyDiv w:val="1"/>
      <w:marLeft w:val="0"/>
      <w:marRight w:val="0"/>
      <w:marTop w:val="0"/>
      <w:marBottom w:val="0"/>
      <w:divBdr>
        <w:top w:val="none" w:sz="0" w:space="0" w:color="auto"/>
        <w:left w:val="none" w:sz="0" w:space="0" w:color="auto"/>
        <w:bottom w:val="none" w:sz="0" w:space="0" w:color="auto"/>
        <w:right w:val="none" w:sz="0" w:space="0" w:color="auto"/>
      </w:divBdr>
    </w:div>
    <w:div w:id="881480516">
      <w:bodyDiv w:val="1"/>
      <w:marLeft w:val="0"/>
      <w:marRight w:val="0"/>
      <w:marTop w:val="0"/>
      <w:marBottom w:val="0"/>
      <w:divBdr>
        <w:top w:val="none" w:sz="0" w:space="0" w:color="auto"/>
        <w:left w:val="none" w:sz="0" w:space="0" w:color="auto"/>
        <w:bottom w:val="none" w:sz="0" w:space="0" w:color="auto"/>
        <w:right w:val="none" w:sz="0" w:space="0" w:color="auto"/>
      </w:divBdr>
    </w:div>
    <w:div w:id="893539184">
      <w:bodyDiv w:val="1"/>
      <w:marLeft w:val="0"/>
      <w:marRight w:val="0"/>
      <w:marTop w:val="0"/>
      <w:marBottom w:val="0"/>
      <w:divBdr>
        <w:top w:val="none" w:sz="0" w:space="0" w:color="auto"/>
        <w:left w:val="none" w:sz="0" w:space="0" w:color="auto"/>
        <w:bottom w:val="none" w:sz="0" w:space="0" w:color="auto"/>
        <w:right w:val="none" w:sz="0" w:space="0" w:color="auto"/>
      </w:divBdr>
    </w:div>
    <w:div w:id="902909150">
      <w:bodyDiv w:val="1"/>
      <w:marLeft w:val="0"/>
      <w:marRight w:val="0"/>
      <w:marTop w:val="0"/>
      <w:marBottom w:val="0"/>
      <w:divBdr>
        <w:top w:val="none" w:sz="0" w:space="0" w:color="auto"/>
        <w:left w:val="none" w:sz="0" w:space="0" w:color="auto"/>
        <w:bottom w:val="none" w:sz="0" w:space="0" w:color="auto"/>
        <w:right w:val="none" w:sz="0" w:space="0" w:color="auto"/>
      </w:divBdr>
    </w:div>
    <w:div w:id="940600586">
      <w:bodyDiv w:val="1"/>
      <w:marLeft w:val="0"/>
      <w:marRight w:val="0"/>
      <w:marTop w:val="0"/>
      <w:marBottom w:val="0"/>
      <w:divBdr>
        <w:top w:val="none" w:sz="0" w:space="0" w:color="auto"/>
        <w:left w:val="none" w:sz="0" w:space="0" w:color="auto"/>
        <w:bottom w:val="none" w:sz="0" w:space="0" w:color="auto"/>
        <w:right w:val="none" w:sz="0" w:space="0" w:color="auto"/>
      </w:divBdr>
      <w:divsChild>
        <w:div w:id="685713437">
          <w:marLeft w:val="274"/>
          <w:marRight w:val="0"/>
          <w:marTop w:val="230"/>
          <w:marBottom w:val="0"/>
          <w:divBdr>
            <w:top w:val="none" w:sz="0" w:space="0" w:color="auto"/>
            <w:left w:val="none" w:sz="0" w:space="0" w:color="auto"/>
            <w:bottom w:val="none" w:sz="0" w:space="0" w:color="auto"/>
            <w:right w:val="none" w:sz="0" w:space="0" w:color="auto"/>
          </w:divBdr>
        </w:div>
        <w:div w:id="1421756699">
          <w:marLeft w:val="274"/>
          <w:marRight w:val="0"/>
          <w:marTop w:val="230"/>
          <w:marBottom w:val="0"/>
          <w:divBdr>
            <w:top w:val="none" w:sz="0" w:space="0" w:color="auto"/>
            <w:left w:val="none" w:sz="0" w:space="0" w:color="auto"/>
            <w:bottom w:val="none" w:sz="0" w:space="0" w:color="auto"/>
            <w:right w:val="none" w:sz="0" w:space="0" w:color="auto"/>
          </w:divBdr>
        </w:div>
        <w:div w:id="1801337001">
          <w:marLeft w:val="274"/>
          <w:marRight w:val="0"/>
          <w:marTop w:val="230"/>
          <w:marBottom w:val="0"/>
          <w:divBdr>
            <w:top w:val="none" w:sz="0" w:space="0" w:color="auto"/>
            <w:left w:val="none" w:sz="0" w:space="0" w:color="auto"/>
            <w:bottom w:val="none" w:sz="0" w:space="0" w:color="auto"/>
            <w:right w:val="none" w:sz="0" w:space="0" w:color="auto"/>
          </w:divBdr>
        </w:div>
        <w:div w:id="2051221482">
          <w:marLeft w:val="274"/>
          <w:marRight w:val="0"/>
          <w:marTop w:val="230"/>
          <w:marBottom w:val="0"/>
          <w:divBdr>
            <w:top w:val="none" w:sz="0" w:space="0" w:color="auto"/>
            <w:left w:val="none" w:sz="0" w:space="0" w:color="auto"/>
            <w:bottom w:val="none" w:sz="0" w:space="0" w:color="auto"/>
            <w:right w:val="none" w:sz="0" w:space="0" w:color="auto"/>
          </w:divBdr>
        </w:div>
      </w:divsChild>
    </w:div>
    <w:div w:id="1001588602">
      <w:bodyDiv w:val="1"/>
      <w:marLeft w:val="0"/>
      <w:marRight w:val="0"/>
      <w:marTop w:val="0"/>
      <w:marBottom w:val="0"/>
      <w:divBdr>
        <w:top w:val="none" w:sz="0" w:space="0" w:color="auto"/>
        <w:left w:val="none" w:sz="0" w:space="0" w:color="auto"/>
        <w:bottom w:val="none" w:sz="0" w:space="0" w:color="auto"/>
        <w:right w:val="none" w:sz="0" w:space="0" w:color="auto"/>
      </w:divBdr>
    </w:div>
    <w:div w:id="1009023771">
      <w:bodyDiv w:val="1"/>
      <w:marLeft w:val="0"/>
      <w:marRight w:val="0"/>
      <w:marTop w:val="0"/>
      <w:marBottom w:val="0"/>
      <w:divBdr>
        <w:top w:val="none" w:sz="0" w:space="0" w:color="auto"/>
        <w:left w:val="none" w:sz="0" w:space="0" w:color="auto"/>
        <w:bottom w:val="none" w:sz="0" w:space="0" w:color="auto"/>
        <w:right w:val="none" w:sz="0" w:space="0" w:color="auto"/>
      </w:divBdr>
    </w:div>
    <w:div w:id="1121798214">
      <w:bodyDiv w:val="1"/>
      <w:marLeft w:val="0"/>
      <w:marRight w:val="0"/>
      <w:marTop w:val="0"/>
      <w:marBottom w:val="0"/>
      <w:divBdr>
        <w:top w:val="none" w:sz="0" w:space="0" w:color="auto"/>
        <w:left w:val="none" w:sz="0" w:space="0" w:color="auto"/>
        <w:bottom w:val="none" w:sz="0" w:space="0" w:color="auto"/>
        <w:right w:val="none" w:sz="0" w:space="0" w:color="auto"/>
      </w:divBdr>
      <w:divsChild>
        <w:div w:id="297299776">
          <w:marLeft w:val="274"/>
          <w:marRight w:val="0"/>
          <w:marTop w:val="230"/>
          <w:marBottom w:val="0"/>
          <w:divBdr>
            <w:top w:val="none" w:sz="0" w:space="0" w:color="auto"/>
            <w:left w:val="none" w:sz="0" w:space="0" w:color="auto"/>
            <w:bottom w:val="none" w:sz="0" w:space="0" w:color="auto"/>
            <w:right w:val="none" w:sz="0" w:space="0" w:color="auto"/>
          </w:divBdr>
        </w:div>
        <w:div w:id="432825960">
          <w:marLeft w:val="274"/>
          <w:marRight w:val="0"/>
          <w:marTop w:val="230"/>
          <w:marBottom w:val="0"/>
          <w:divBdr>
            <w:top w:val="none" w:sz="0" w:space="0" w:color="auto"/>
            <w:left w:val="none" w:sz="0" w:space="0" w:color="auto"/>
            <w:bottom w:val="none" w:sz="0" w:space="0" w:color="auto"/>
            <w:right w:val="none" w:sz="0" w:space="0" w:color="auto"/>
          </w:divBdr>
        </w:div>
        <w:div w:id="568224936">
          <w:marLeft w:val="274"/>
          <w:marRight w:val="0"/>
          <w:marTop w:val="230"/>
          <w:marBottom w:val="0"/>
          <w:divBdr>
            <w:top w:val="none" w:sz="0" w:space="0" w:color="auto"/>
            <w:left w:val="none" w:sz="0" w:space="0" w:color="auto"/>
            <w:bottom w:val="none" w:sz="0" w:space="0" w:color="auto"/>
            <w:right w:val="none" w:sz="0" w:space="0" w:color="auto"/>
          </w:divBdr>
        </w:div>
        <w:div w:id="1568761805">
          <w:marLeft w:val="274"/>
          <w:marRight w:val="0"/>
          <w:marTop w:val="230"/>
          <w:marBottom w:val="0"/>
          <w:divBdr>
            <w:top w:val="none" w:sz="0" w:space="0" w:color="auto"/>
            <w:left w:val="none" w:sz="0" w:space="0" w:color="auto"/>
            <w:bottom w:val="none" w:sz="0" w:space="0" w:color="auto"/>
            <w:right w:val="none" w:sz="0" w:space="0" w:color="auto"/>
          </w:divBdr>
        </w:div>
      </w:divsChild>
    </w:div>
    <w:div w:id="1152059375">
      <w:bodyDiv w:val="1"/>
      <w:marLeft w:val="0"/>
      <w:marRight w:val="0"/>
      <w:marTop w:val="0"/>
      <w:marBottom w:val="0"/>
      <w:divBdr>
        <w:top w:val="none" w:sz="0" w:space="0" w:color="auto"/>
        <w:left w:val="none" w:sz="0" w:space="0" w:color="auto"/>
        <w:bottom w:val="none" w:sz="0" w:space="0" w:color="auto"/>
        <w:right w:val="none" w:sz="0" w:space="0" w:color="auto"/>
      </w:divBdr>
      <w:divsChild>
        <w:div w:id="686950709">
          <w:marLeft w:val="706"/>
          <w:marRight w:val="0"/>
          <w:marTop w:val="48"/>
          <w:marBottom w:val="48"/>
          <w:divBdr>
            <w:top w:val="none" w:sz="0" w:space="0" w:color="auto"/>
            <w:left w:val="none" w:sz="0" w:space="0" w:color="auto"/>
            <w:bottom w:val="none" w:sz="0" w:space="0" w:color="auto"/>
            <w:right w:val="none" w:sz="0" w:space="0" w:color="auto"/>
          </w:divBdr>
        </w:div>
        <w:div w:id="846940370">
          <w:marLeft w:val="706"/>
          <w:marRight w:val="0"/>
          <w:marTop w:val="48"/>
          <w:marBottom w:val="48"/>
          <w:divBdr>
            <w:top w:val="none" w:sz="0" w:space="0" w:color="auto"/>
            <w:left w:val="none" w:sz="0" w:space="0" w:color="auto"/>
            <w:bottom w:val="none" w:sz="0" w:space="0" w:color="auto"/>
            <w:right w:val="none" w:sz="0" w:space="0" w:color="auto"/>
          </w:divBdr>
        </w:div>
        <w:div w:id="2132630532">
          <w:marLeft w:val="274"/>
          <w:marRight w:val="0"/>
          <w:marTop w:val="230"/>
          <w:marBottom w:val="0"/>
          <w:divBdr>
            <w:top w:val="none" w:sz="0" w:space="0" w:color="auto"/>
            <w:left w:val="none" w:sz="0" w:space="0" w:color="auto"/>
            <w:bottom w:val="none" w:sz="0" w:space="0" w:color="auto"/>
            <w:right w:val="none" w:sz="0" w:space="0" w:color="auto"/>
          </w:divBdr>
        </w:div>
      </w:divsChild>
    </w:div>
    <w:div w:id="1179193230">
      <w:bodyDiv w:val="1"/>
      <w:marLeft w:val="0"/>
      <w:marRight w:val="0"/>
      <w:marTop w:val="0"/>
      <w:marBottom w:val="0"/>
      <w:divBdr>
        <w:top w:val="none" w:sz="0" w:space="0" w:color="auto"/>
        <w:left w:val="none" w:sz="0" w:space="0" w:color="auto"/>
        <w:bottom w:val="none" w:sz="0" w:space="0" w:color="auto"/>
        <w:right w:val="none" w:sz="0" w:space="0" w:color="auto"/>
      </w:divBdr>
      <w:divsChild>
        <w:div w:id="285744520">
          <w:marLeft w:val="0"/>
          <w:marRight w:val="0"/>
          <w:marTop w:val="0"/>
          <w:marBottom w:val="0"/>
          <w:divBdr>
            <w:top w:val="none" w:sz="0" w:space="0" w:color="auto"/>
            <w:left w:val="none" w:sz="0" w:space="0" w:color="auto"/>
            <w:bottom w:val="none" w:sz="0" w:space="0" w:color="auto"/>
            <w:right w:val="none" w:sz="0" w:space="0" w:color="auto"/>
          </w:divBdr>
          <w:divsChild>
            <w:div w:id="976257013">
              <w:marLeft w:val="0"/>
              <w:marRight w:val="0"/>
              <w:marTop w:val="0"/>
              <w:marBottom w:val="0"/>
              <w:divBdr>
                <w:top w:val="none" w:sz="0" w:space="0" w:color="auto"/>
                <w:left w:val="none" w:sz="0" w:space="0" w:color="auto"/>
                <w:bottom w:val="none" w:sz="0" w:space="0" w:color="auto"/>
                <w:right w:val="none" w:sz="0" w:space="0" w:color="auto"/>
              </w:divBdr>
              <w:divsChild>
                <w:div w:id="1938446263">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992445562">
          <w:marLeft w:val="0"/>
          <w:marRight w:val="0"/>
          <w:marTop w:val="0"/>
          <w:marBottom w:val="0"/>
          <w:divBdr>
            <w:top w:val="none" w:sz="0" w:space="0" w:color="auto"/>
            <w:left w:val="none" w:sz="0" w:space="0" w:color="auto"/>
            <w:bottom w:val="none" w:sz="0" w:space="0" w:color="auto"/>
            <w:right w:val="none" w:sz="0" w:space="0" w:color="auto"/>
          </w:divBdr>
          <w:divsChild>
            <w:div w:id="1903828850">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261795551">
      <w:bodyDiv w:val="1"/>
      <w:marLeft w:val="0"/>
      <w:marRight w:val="0"/>
      <w:marTop w:val="0"/>
      <w:marBottom w:val="0"/>
      <w:divBdr>
        <w:top w:val="none" w:sz="0" w:space="0" w:color="auto"/>
        <w:left w:val="none" w:sz="0" w:space="0" w:color="auto"/>
        <w:bottom w:val="none" w:sz="0" w:space="0" w:color="auto"/>
        <w:right w:val="none" w:sz="0" w:space="0" w:color="auto"/>
      </w:divBdr>
    </w:div>
    <w:div w:id="1277367805">
      <w:bodyDiv w:val="1"/>
      <w:marLeft w:val="0"/>
      <w:marRight w:val="0"/>
      <w:marTop w:val="0"/>
      <w:marBottom w:val="0"/>
      <w:divBdr>
        <w:top w:val="none" w:sz="0" w:space="0" w:color="auto"/>
        <w:left w:val="none" w:sz="0" w:space="0" w:color="auto"/>
        <w:bottom w:val="none" w:sz="0" w:space="0" w:color="auto"/>
        <w:right w:val="none" w:sz="0" w:space="0" w:color="auto"/>
      </w:divBdr>
      <w:divsChild>
        <w:div w:id="438455100">
          <w:marLeft w:val="706"/>
          <w:marRight w:val="0"/>
          <w:marTop w:val="48"/>
          <w:marBottom w:val="48"/>
          <w:divBdr>
            <w:top w:val="none" w:sz="0" w:space="0" w:color="auto"/>
            <w:left w:val="none" w:sz="0" w:space="0" w:color="auto"/>
            <w:bottom w:val="none" w:sz="0" w:space="0" w:color="auto"/>
            <w:right w:val="none" w:sz="0" w:space="0" w:color="auto"/>
          </w:divBdr>
        </w:div>
        <w:div w:id="1654990817">
          <w:marLeft w:val="274"/>
          <w:marRight w:val="0"/>
          <w:marTop w:val="230"/>
          <w:marBottom w:val="0"/>
          <w:divBdr>
            <w:top w:val="none" w:sz="0" w:space="0" w:color="auto"/>
            <w:left w:val="none" w:sz="0" w:space="0" w:color="auto"/>
            <w:bottom w:val="none" w:sz="0" w:space="0" w:color="auto"/>
            <w:right w:val="none" w:sz="0" w:space="0" w:color="auto"/>
          </w:divBdr>
        </w:div>
        <w:div w:id="2136605333">
          <w:marLeft w:val="706"/>
          <w:marRight w:val="0"/>
          <w:marTop w:val="48"/>
          <w:marBottom w:val="48"/>
          <w:divBdr>
            <w:top w:val="none" w:sz="0" w:space="0" w:color="auto"/>
            <w:left w:val="none" w:sz="0" w:space="0" w:color="auto"/>
            <w:bottom w:val="none" w:sz="0" w:space="0" w:color="auto"/>
            <w:right w:val="none" w:sz="0" w:space="0" w:color="auto"/>
          </w:divBdr>
        </w:div>
      </w:divsChild>
    </w:div>
    <w:div w:id="1288777689">
      <w:bodyDiv w:val="1"/>
      <w:marLeft w:val="0"/>
      <w:marRight w:val="0"/>
      <w:marTop w:val="0"/>
      <w:marBottom w:val="0"/>
      <w:divBdr>
        <w:top w:val="none" w:sz="0" w:space="0" w:color="auto"/>
        <w:left w:val="none" w:sz="0" w:space="0" w:color="auto"/>
        <w:bottom w:val="none" w:sz="0" w:space="0" w:color="auto"/>
        <w:right w:val="none" w:sz="0" w:space="0" w:color="auto"/>
      </w:divBdr>
      <w:divsChild>
        <w:div w:id="866069382">
          <w:marLeft w:val="706"/>
          <w:marRight w:val="0"/>
          <w:marTop w:val="120"/>
          <w:marBottom w:val="60"/>
          <w:divBdr>
            <w:top w:val="none" w:sz="0" w:space="0" w:color="auto"/>
            <w:left w:val="none" w:sz="0" w:space="0" w:color="auto"/>
            <w:bottom w:val="none" w:sz="0" w:space="0" w:color="auto"/>
            <w:right w:val="none" w:sz="0" w:space="0" w:color="auto"/>
          </w:divBdr>
        </w:div>
        <w:div w:id="1753355283">
          <w:marLeft w:val="274"/>
          <w:marRight w:val="0"/>
          <w:marTop w:val="120"/>
          <w:marBottom w:val="60"/>
          <w:divBdr>
            <w:top w:val="none" w:sz="0" w:space="0" w:color="auto"/>
            <w:left w:val="none" w:sz="0" w:space="0" w:color="auto"/>
            <w:bottom w:val="none" w:sz="0" w:space="0" w:color="auto"/>
            <w:right w:val="none" w:sz="0" w:space="0" w:color="auto"/>
          </w:divBdr>
        </w:div>
      </w:divsChild>
    </w:div>
    <w:div w:id="1346784064">
      <w:bodyDiv w:val="1"/>
      <w:marLeft w:val="0"/>
      <w:marRight w:val="0"/>
      <w:marTop w:val="0"/>
      <w:marBottom w:val="0"/>
      <w:divBdr>
        <w:top w:val="none" w:sz="0" w:space="0" w:color="auto"/>
        <w:left w:val="none" w:sz="0" w:space="0" w:color="auto"/>
        <w:bottom w:val="none" w:sz="0" w:space="0" w:color="auto"/>
        <w:right w:val="none" w:sz="0" w:space="0" w:color="auto"/>
      </w:divBdr>
    </w:div>
    <w:div w:id="1481770443">
      <w:bodyDiv w:val="1"/>
      <w:marLeft w:val="0"/>
      <w:marRight w:val="0"/>
      <w:marTop w:val="0"/>
      <w:marBottom w:val="0"/>
      <w:divBdr>
        <w:top w:val="none" w:sz="0" w:space="0" w:color="auto"/>
        <w:left w:val="none" w:sz="0" w:space="0" w:color="auto"/>
        <w:bottom w:val="none" w:sz="0" w:space="0" w:color="auto"/>
        <w:right w:val="none" w:sz="0" w:space="0" w:color="auto"/>
      </w:divBdr>
    </w:div>
    <w:div w:id="1496534071">
      <w:bodyDiv w:val="1"/>
      <w:marLeft w:val="0"/>
      <w:marRight w:val="0"/>
      <w:marTop w:val="0"/>
      <w:marBottom w:val="0"/>
      <w:divBdr>
        <w:top w:val="none" w:sz="0" w:space="0" w:color="auto"/>
        <w:left w:val="none" w:sz="0" w:space="0" w:color="auto"/>
        <w:bottom w:val="none" w:sz="0" w:space="0" w:color="auto"/>
        <w:right w:val="none" w:sz="0" w:space="0" w:color="auto"/>
      </w:divBdr>
    </w:div>
    <w:div w:id="1538080595">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 w:id="1613129973">
      <w:bodyDiv w:val="1"/>
      <w:marLeft w:val="0"/>
      <w:marRight w:val="0"/>
      <w:marTop w:val="0"/>
      <w:marBottom w:val="0"/>
      <w:divBdr>
        <w:top w:val="none" w:sz="0" w:space="0" w:color="auto"/>
        <w:left w:val="none" w:sz="0" w:space="0" w:color="auto"/>
        <w:bottom w:val="none" w:sz="0" w:space="0" w:color="auto"/>
        <w:right w:val="none" w:sz="0" w:space="0" w:color="auto"/>
      </w:divBdr>
    </w:div>
    <w:div w:id="1756051548">
      <w:bodyDiv w:val="1"/>
      <w:marLeft w:val="0"/>
      <w:marRight w:val="0"/>
      <w:marTop w:val="0"/>
      <w:marBottom w:val="0"/>
      <w:divBdr>
        <w:top w:val="none" w:sz="0" w:space="0" w:color="auto"/>
        <w:left w:val="none" w:sz="0" w:space="0" w:color="auto"/>
        <w:bottom w:val="none" w:sz="0" w:space="0" w:color="auto"/>
        <w:right w:val="none" w:sz="0" w:space="0" w:color="auto"/>
      </w:divBdr>
    </w:div>
    <w:div w:id="1763062437">
      <w:bodyDiv w:val="1"/>
      <w:marLeft w:val="0"/>
      <w:marRight w:val="0"/>
      <w:marTop w:val="0"/>
      <w:marBottom w:val="0"/>
      <w:divBdr>
        <w:top w:val="none" w:sz="0" w:space="0" w:color="auto"/>
        <w:left w:val="none" w:sz="0" w:space="0" w:color="auto"/>
        <w:bottom w:val="none" w:sz="0" w:space="0" w:color="auto"/>
        <w:right w:val="none" w:sz="0" w:space="0" w:color="auto"/>
      </w:divBdr>
    </w:div>
    <w:div w:id="1769696400">
      <w:bodyDiv w:val="1"/>
      <w:marLeft w:val="0"/>
      <w:marRight w:val="0"/>
      <w:marTop w:val="0"/>
      <w:marBottom w:val="0"/>
      <w:divBdr>
        <w:top w:val="none" w:sz="0" w:space="0" w:color="auto"/>
        <w:left w:val="none" w:sz="0" w:space="0" w:color="auto"/>
        <w:bottom w:val="none" w:sz="0" w:space="0" w:color="auto"/>
        <w:right w:val="none" w:sz="0" w:space="0" w:color="auto"/>
      </w:divBdr>
    </w:div>
    <w:div w:id="1808863129">
      <w:bodyDiv w:val="1"/>
      <w:marLeft w:val="0"/>
      <w:marRight w:val="0"/>
      <w:marTop w:val="0"/>
      <w:marBottom w:val="0"/>
      <w:divBdr>
        <w:top w:val="none" w:sz="0" w:space="0" w:color="auto"/>
        <w:left w:val="none" w:sz="0" w:space="0" w:color="auto"/>
        <w:bottom w:val="none" w:sz="0" w:space="0" w:color="auto"/>
        <w:right w:val="none" w:sz="0" w:space="0" w:color="auto"/>
      </w:divBdr>
      <w:divsChild>
        <w:div w:id="807934884">
          <w:marLeft w:val="1066"/>
          <w:marRight w:val="0"/>
          <w:marTop w:val="120"/>
          <w:marBottom w:val="60"/>
          <w:divBdr>
            <w:top w:val="none" w:sz="0" w:space="0" w:color="auto"/>
            <w:left w:val="none" w:sz="0" w:space="0" w:color="auto"/>
            <w:bottom w:val="none" w:sz="0" w:space="0" w:color="auto"/>
            <w:right w:val="none" w:sz="0" w:space="0" w:color="auto"/>
          </w:divBdr>
        </w:div>
        <w:div w:id="1763725537">
          <w:marLeft w:val="706"/>
          <w:marRight w:val="0"/>
          <w:marTop w:val="120"/>
          <w:marBottom w:val="60"/>
          <w:divBdr>
            <w:top w:val="none" w:sz="0" w:space="0" w:color="auto"/>
            <w:left w:val="none" w:sz="0" w:space="0" w:color="auto"/>
            <w:bottom w:val="none" w:sz="0" w:space="0" w:color="auto"/>
            <w:right w:val="none" w:sz="0" w:space="0" w:color="auto"/>
          </w:divBdr>
        </w:div>
        <w:div w:id="1793740843">
          <w:marLeft w:val="1066"/>
          <w:marRight w:val="0"/>
          <w:marTop w:val="120"/>
          <w:marBottom w:val="60"/>
          <w:divBdr>
            <w:top w:val="none" w:sz="0" w:space="0" w:color="auto"/>
            <w:left w:val="none" w:sz="0" w:space="0" w:color="auto"/>
            <w:bottom w:val="none" w:sz="0" w:space="0" w:color="auto"/>
            <w:right w:val="none" w:sz="0" w:space="0" w:color="auto"/>
          </w:divBdr>
        </w:div>
      </w:divsChild>
    </w:div>
    <w:div w:id="1866940456">
      <w:bodyDiv w:val="1"/>
      <w:marLeft w:val="0"/>
      <w:marRight w:val="0"/>
      <w:marTop w:val="0"/>
      <w:marBottom w:val="0"/>
      <w:divBdr>
        <w:top w:val="none" w:sz="0" w:space="0" w:color="auto"/>
        <w:left w:val="none" w:sz="0" w:space="0" w:color="auto"/>
        <w:bottom w:val="none" w:sz="0" w:space="0" w:color="auto"/>
        <w:right w:val="none" w:sz="0" w:space="0" w:color="auto"/>
      </w:divBdr>
    </w:div>
    <w:div w:id="1871919248">
      <w:bodyDiv w:val="1"/>
      <w:marLeft w:val="0"/>
      <w:marRight w:val="0"/>
      <w:marTop w:val="0"/>
      <w:marBottom w:val="0"/>
      <w:divBdr>
        <w:top w:val="none" w:sz="0" w:space="0" w:color="auto"/>
        <w:left w:val="none" w:sz="0" w:space="0" w:color="auto"/>
        <w:bottom w:val="none" w:sz="0" w:space="0" w:color="auto"/>
        <w:right w:val="none" w:sz="0" w:space="0" w:color="auto"/>
      </w:divBdr>
    </w:div>
    <w:div w:id="1918587862">
      <w:bodyDiv w:val="1"/>
      <w:marLeft w:val="0"/>
      <w:marRight w:val="0"/>
      <w:marTop w:val="0"/>
      <w:marBottom w:val="0"/>
      <w:divBdr>
        <w:top w:val="none" w:sz="0" w:space="0" w:color="auto"/>
        <w:left w:val="none" w:sz="0" w:space="0" w:color="auto"/>
        <w:bottom w:val="none" w:sz="0" w:space="0" w:color="auto"/>
        <w:right w:val="none" w:sz="0" w:space="0" w:color="auto"/>
      </w:divBdr>
    </w:div>
    <w:div w:id="1976444286">
      <w:bodyDiv w:val="1"/>
      <w:marLeft w:val="0"/>
      <w:marRight w:val="0"/>
      <w:marTop w:val="0"/>
      <w:marBottom w:val="0"/>
      <w:divBdr>
        <w:top w:val="none" w:sz="0" w:space="0" w:color="auto"/>
        <w:left w:val="none" w:sz="0" w:space="0" w:color="auto"/>
        <w:bottom w:val="none" w:sz="0" w:space="0" w:color="auto"/>
        <w:right w:val="none" w:sz="0" w:space="0" w:color="auto"/>
      </w:divBdr>
    </w:div>
    <w:div w:id="2030568522">
      <w:bodyDiv w:val="1"/>
      <w:marLeft w:val="0"/>
      <w:marRight w:val="0"/>
      <w:marTop w:val="0"/>
      <w:marBottom w:val="0"/>
      <w:divBdr>
        <w:top w:val="none" w:sz="0" w:space="0" w:color="auto"/>
        <w:left w:val="none" w:sz="0" w:space="0" w:color="auto"/>
        <w:bottom w:val="none" w:sz="0" w:space="0" w:color="auto"/>
        <w:right w:val="none" w:sz="0" w:space="0" w:color="auto"/>
      </w:divBdr>
    </w:div>
    <w:div w:id="205923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hesource.cvshealth.com/nuxeo/thesource/"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10" Type="http://schemas.openxmlformats.org/officeDocument/2006/relationships/image" Target="media/image5.png"/><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EA1847-2649-4289-A3E2-CF34A6F42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49</TotalTime>
  <Pages>1</Pages>
  <Words>1320</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9216</CharactersWithSpaces>
  <SharedDoc>false</SharedDoc>
  <HLinks>
    <vt:vector size="84" baseType="variant">
      <vt:variant>
        <vt:i4>262192</vt:i4>
      </vt:variant>
      <vt:variant>
        <vt:i4>48</vt:i4>
      </vt:variant>
      <vt:variant>
        <vt:i4>0</vt:i4>
      </vt:variant>
      <vt:variant>
        <vt:i4>5</vt:i4>
      </vt:variant>
      <vt:variant>
        <vt:lpwstr/>
      </vt:variant>
      <vt:variant>
        <vt:lpwstr>_top</vt:lpwstr>
      </vt:variant>
      <vt:variant>
        <vt:i4>262192</vt:i4>
      </vt:variant>
      <vt:variant>
        <vt:i4>42</vt:i4>
      </vt:variant>
      <vt:variant>
        <vt:i4>0</vt:i4>
      </vt:variant>
      <vt:variant>
        <vt:i4>5</vt:i4>
      </vt:variant>
      <vt:variant>
        <vt:lpwstr/>
      </vt:variant>
      <vt:variant>
        <vt:lpwstr>_top</vt:lpwstr>
      </vt:variant>
      <vt:variant>
        <vt:i4>262192</vt:i4>
      </vt:variant>
      <vt:variant>
        <vt:i4>39</vt:i4>
      </vt:variant>
      <vt:variant>
        <vt:i4>0</vt:i4>
      </vt:variant>
      <vt:variant>
        <vt:i4>5</vt:i4>
      </vt:variant>
      <vt:variant>
        <vt:lpwstr/>
      </vt:variant>
      <vt:variant>
        <vt:lpwstr>_top</vt:lpwstr>
      </vt: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262192</vt:i4>
      </vt:variant>
      <vt:variant>
        <vt:i4>30</vt:i4>
      </vt:variant>
      <vt:variant>
        <vt:i4>0</vt:i4>
      </vt:variant>
      <vt:variant>
        <vt:i4>5</vt:i4>
      </vt:variant>
      <vt:variant>
        <vt:lpwstr/>
      </vt:variant>
      <vt:variant>
        <vt:lpwstr>_top</vt:lpwstr>
      </vt:variant>
      <vt:variant>
        <vt:i4>2424887</vt:i4>
      </vt:variant>
      <vt:variant>
        <vt:i4>24</vt:i4>
      </vt:variant>
      <vt:variant>
        <vt:i4>0</vt:i4>
      </vt:variant>
      <vt:variant>
        <vt:i4>5</vt:i4>
      </vt:variant>
      <vt:variant>
        <vt:lpwstr>https://policy.corp.cvscaremark.com/pnp/faces/DocRenderer?documentId=CALL-0049</vt:lpwstr>
      </vt:variant>
      <vt:variant>
        <vt:lpwstr/>
      </vt:variant>
      <vt:variant>
        <vt:i4>5242903</vt:i4>
      </vt:variant>
      <vt:variant>
        <vt:i4>21</vt:i4>
      </vt:variant>
      <vt:variant>
        <vt:i4>0</vt:i4>
      </vt:variant>
      <vt:variant>
        <vt:i4>5</vt:i4>
      </vt:variant>
      <vt:variant>
        <vt:lpwstr>CMS-2-017428</vt:lpwstr>
      </vt:variant>
      <vt:variant>
        <vt:lpwstr/>
      </vt:variant>
      <vt:variant>
        <vt:i4>1703984</vt:i4>
      </vt:variant>
      <vt:variant>
        <vt:i4>17</vt:i4>
      </vt:variant>
      <vt:variant>
        <vt:i4>0</vt:i4>
      </vt:variant>
      <vt:variant>
        <vt:i4>5</vt:i4>
      </vt:variant>
      <vt:variant>
        <vt:lpwstr/>
      </vt:variant>
      <vt:variant>
        <vt:lpwstr>_Toc485114002</vt:lpwstr>
      </vt:variant>
      <vt:variant>
        <vt:i4>1703984</vt:i4>
      </vt:variant>
      <vt:variant>
        <vt:i4>14</vt:i4>
      </vt:variant>
      <vt:variant>
        <vt:i4>0</vt:i4>
      </vt:variant>
      <vt:variant>
        <vt:i4>5</vt:i4>
      </vt:variant>
      <vt:variant>
        <vt:lpwstr/>
      </vt:variant>
      <vt:variant>
        <vt:lpwstr>_Toc485114001</vt:lpwstr>
      </vt:variant>
      <vt:variant>
        <vt:i4>1703984</vt:i4>
      </vt:variant>
      <vt:variant>
        <vt:i4>11</vt:i4>
      </vt:variant>
      <vt:variant>
        <vt:i4>0</vt:i4>
      </vt:variant>
      <vt:variant>
        <vt:i4>5</vt:i4>
      </vt:variant>
      <vt:variant>
        <vt:lpwstr/>
      </vt:variant>
      <vt:variant>
        <vt:lpwstr>_Toc485114000</vt:lpwstr>
      </vt:variant>
      <vt:variant>
        <vt:i4>1310777</vt:i4>
      </vt:variant>
      <vt:variant>
        <vt:i4>8</vt:i4>
      </vt:variant>
      <vt:variant>
        <vt:i4>0</vt:i4>
      </vt:variant>
      <vt:variant>
        <vt:i4>5</vt:i4>
      </vt:variant>
      <vt:variant>
        <vt:lpwstr/>
      </vt:variant>
      <vt:variant>
        <vt:lpwstr>_Toc485113999</vt:lpwstr>
      </vt:variant>
      <vt:variant>
        <vt:i4>1310777</vt:i4>
      </vt:variant>
      <vt:variant>
        <vt:i4>5</vt:i4>
      </vt:variant>
      <vt:variant>
        <vt:i4>0</vt:i4>
      </vt:variant>
      <vt:variant>
        <vt:i4>5</vt:i4>
      </vt:variant>
      <vt:variant>
        <vt:lpwstr/>
      </vt:variant>
      <vt:variant>
        <vt:lpwstr>_Toc485113998</vt:lpwstr>
      </vt:variant>
      <vt:variant>
        <vt:i4>1310777</vt:i4>
      </vt:variant>
      <vt:variant>
        <vt:i4>2</vt:i4>
      </vt:variant>
      <vt:variant>
        <vt:i4>0</vt:i4>
      </vt:variant>
      <vt:variant>
        <vt:i4>5</vt:i4>
      </vt:variant>
      <vt:variant>
        <vt:lpwstr/>
      </vt:variant>
      <vt:variant>
        <vt:lpwstr>_Toc485113997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Davis, David P.</cp:lastModifiedBy>
  <cp:revision>53</cp:revision>
  <dcterms:created xsi:type="dcterms:W3CDTF">2022-11-12T04:20:00Z</dcterms:created>
  <dcterms:modified xsi:type="dcterms:W3CDTF">2024-03-27T13:18:00Z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2021-10-06T16:54:11Z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03113566-e3d1-4cec-87ea-8a582c80023d</vt:lpwstr>
  </property>
  <property fmtid="{D5CDD505-2E9C-101B-9397-08002B2CF9AE}" pid="8" name="MSIP_Label_67599526-06ca-49cc-9fa9-5307800a949a_ContentBits">
    <vt:lpwstr>0</vt:lpwstr>
  </property>
</Properties>
</file>