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94F1B" w14:textId="77777777" w:rsidR="00255C6B" w:rsidRPr="0058134F" w:rsidRDefault="00433FEE" w:rsidP="00255C6B">
      <w:pPr>
        <w:pStyle w:val="Heading1"/>
        <w:rPr>
          <w:rFonts w:ascii="Verdana" w:hAnsi="Verdana"/>
          <w:color w:val="000000"/>
          <w:sz w:val="36"/>
          <w:szCs w:val="36"/>
        </w:rPr>
      </w:pPr>
      <w:bookmarkStart w:id="0" w:name="_top"/>
      <w:bookmarkEnd w:id="0"/>
      <w:r w:rsidRPr="00433FEE">
        <w:rPr>
          <w:rFonts w:ascii="Verdana" w:hAnsi="Verdana"/>
          <w:color w:val="000000"/>
          <w:sz w:val="36"/>
          <w:szCs w:val="36"/>
        </w:rPr>
        <w:t xml:space="preserve">Breast Cancer Prevention: </w:t>
      </w:r>
      <w:r w:rsidR="00977647">
        <w:rPr>
          <w:rFonts w:ascii="Verdana" w:hAnsi="Verdana"/>
          <w:color w:val="000000"/>
          <w:sz w:val="36"/>
          <w:szCs w:val="36"/>
        </w:rPr>
        <w:t xml:space="preserve"> </w:t>
      </w:r>
      <w:r w:rsidRPr="00433FEE">
        <w:rPr>
          <w:rFonts w:ascii="Verdana" w:hAnsi="Verdana"/>
          <w:color w:val="000000"/>
          <w:sz w:val="36"/>
          <w:szCs w:val="36"/>
        </w:rPr>
        <w:t xml:space="preserve">Addition to ACA Preventive Services </w:t>
      </w:r>
    </w:p>
    <w:p w14:paraId="60A0BDEE" w14:textId="11A34B20" w:rsidR="004F38A2" w:rsidRDefault="004F38A2">
      <w:pPr>
        <w:pStyle w:val="TOC2"/>
        <w:tabs>
          <w:tab w:val="right" w:leader="dot" w:pos="12950"/>
        </w:tabs>
      </w:pPr>
    </w:p>
    <w:p w14:paraId="48607684" w14:textId="4D89B124" w:rsidR="00360FA8" w:rsidRDefault="0058134F" w:rsidP="00C26971">
      <w:pPr>
        <w:rPr>
          <w:rFonts w:asciiTheme="minorHAnsi" w:eastAsiaTheme="minorEastAsia" w:hAnsiTheme="minorHAnsi" w:cstheme="minorBidi"/>
          <w:noProof/>
          <w:sz w:val="22"/>
          <w:szCs w:val="22"/>
        </w:rPr>
      </w:pPr>
      <w:r>
        <w:rPr>
          <w:color w:val="0000FF"/>
          <w:u w:val="single"/>
        </w:rPr>
        <w:fldChar w:fldCharType="begin"/>
      </w:r>
      <w:r>
        <w:instrText xml:space="preserve"> TOC \o "2-2" \n \h \z \u </w:instrText>
      </w:r>
      <w:r>
        <w:rPr>
          <w:color w:val="0000FF"/>
          <w:u w:val="single"/>
        </w:rPr>
        <w:fldChar w:fldCharType="separate"/>
      </w:r>
      <w:hyperlink w:anchor="_Toc130278533" w:history="1">
        <w:r w:rsidR="00360FA8" w:rsidRPr="00247AA1">
          <w:rPr>
            <w:rStyle w:val="Hyperlink"/>
            <w:noProof/>
          </w:rPr>
          <w:t>Breast Cance</w:t>
        </w:r>
        <w:r w:rsidR="00360FA8" w:rsidRPr="00247AA1">
          <w:rPr>
            <w:rStyle w:val="Hyperlink"/>
            <w:noProof/>
          </w:rPr>
          <w:t>r</w:t>
        </w:r>
        <w:r w:rsidR="00360FA8" w:rsidRPr="00247AA1">
          <w:rPr>
            <w:rStyle w:val="Hyperlink"/>
            <w:noProof/>
          </w:rPr>
          <w:t xml:space="preserve"> Prevention (BCP) Options</w:t>
        </w:r>
      </w:hyperlink>
    </w:p>
    <w:p w14:paraId="37AF9140" w14:textId="3EB65D91" w:rsidR="00360FA8" w:rsidRDefault="00000000" w:rsidP="00C26971">
      <w:pPr>
        <w:rPr>
          <w:rFonts w:asciiTheme="minorHAnsi" w:eastAsiaTheme="minorEastAsia" w:hAnsiTheme="minorHAnsi" w:cstheme="minorBidi"/>
          <w:noProof/>
          <w:sz w:val="22"/>
          <w:szCs w:val="22"/>
        </w:rPr>
      </w:pPr>
      <w:hyperlink w:anchor="_Toc130278534" w:history="1">
        <w:r w:rsidR="00360FA8" w:rsidRPr="00247AA1">
          <w:rPr>
            <w:rStyle w:val="Hyperlink"/>
            <w:noProof/>
          </w:rPr>
          <w:t>Breast Cancer Prevention Communica</w:t>
        </w:r>
        <w:r w:rsidR="00360FA8" w:rsidRPr="00247AA1">
          <w:rPr>
            <w:rStyle w:val="Hyperlink"/>
            <w:noProof/>
          </w:rPr>
          <w:t>t</w:t>
        </w:r>
        <w:r w:rsidR="00360FA8" w:rsidRPr="00247AA1">
          <w:rPr>
            <w:rStyle w:val="Hyperlink"/>
            <w:noProof/>
          </w:rPr>
          <w:t>ions</w:t>
        </w:r>
      </w:hyperlink>
    </w:p>
    <w:p w14:paraId="65642248" w14:textId="4814B67D" w:rsidR="00360FA8" w:rsidRDefault="00000000" w:rsidP="00C26971">
      <w:pPr>
        <w:rPr>
          <w:rFonts w:asciiTheme="minorHAnsi" w:eastAsiaTheme="minorEastAsia" w:hAnsiTheme="minorHAnsi" w:cstheme="minorBidi"/>
          <w:noProof/>
          <w:sz w:val="22"/>
          <w:szCs w:val="22"/>
        </w:rPr>
      </w:pPr>
      <w:hyperlink w:anchor="_Toc130278535" w:history="1">
        <w:r w:rsidR="00360FA8" w:rsidRPr="00247AA1">
          <w:rPr>
            <w:rStyle w:val="Hyperlink"/>
            <w:noProof/>
          </w:rPr>
          <w:t>Frequently A</w:t>
        </w:r>
        <w:r w:rsidR="00360FA8" w:rsidRPr="00247AA1">
          <w:rPr>
            <w:rStyle w:val="Hyperlink"/>
            <w:noProof/>
          </w:rPr>
          <w:t>s</w:t>
        </w:r>
        <w:r w:rsidR="00360FA8" w:rsidRPr="00247AA1">
          <w:rPr>
            <w:rStyle w:val="Hyperlink"/>
            <w:noProof/>
          </w:rPr>
          <w:t>ked Questions</w:t>
        </w:r>
      </w:hyperlink>
    </w:p>
    <w:p w14:paraId="4D8422C9" w14:textId="11CF1CDC" w:rsidR="00360FA8" w:rsidRDefault="00000000" w:rsidP="00C26971">
      <w:pPr>
        <w:rPr>
          <w:rFonts w:asciiTheme="minorHAnsi" w:eastAsiaTheme="minorEastAsia" w:hAnsiTheme="minorHAnsi" w:cstheme="minorBidi"/>
          <w:noProof/>
          <w:sz w:val="22"/>
          <w:szCs w:val="22"/>
        </w:rPr>
      </w:pPr>
      <w:hyperlink w:anchor="_Toc130278536" w:history="1">
        <w:r w:rsidR="00360FA8" w:rsidRPr="00247AA1">
          <w:rPr>
            <w:rStyle w:val="Hyperlink"/>
            <w:noProof/>
          </w:rPr>
          <w:t>Related</w:t>
        </w:r>
        <w:r w:rsidR="00360FA8" w:rsidRPr="00247AA1">
          <w:rPr>
            <w:rStyle w:val="Hyperlink"/>
            <w:noProof/>
          </w:rPr>
          <w:t xml:space="preserve"> </w:t>
        </w:r>
        <w:r w:rsidR="00360FA8" w:rsidRPr="00247AA1">
          <w:rPr>
            <w:rStyle w:val="Hyperlink"/>
            <w:noProof/>
          </w:rPr>
          <w:t>Documents</w:t>
        </w:r>
      </w:hyperlink>
    </w:p>
    <w:p w14:paraId="1811CE9A" w14:textId="613751CF" w:rsidR="0058134F" w:rsidRPr="0058134F" w:rsidRDefault="0058134F" w:rsidP="00C26971">
      <w:r>
        <w:fldChar w:fldCharType="end"/>
      </w:r>
    </w:p>
    <w:p w14:paraId="144E9151" w14:textId="77777777" w:rsidR="000F21FB" w:rsidRDefault="000F21FB" w:rsidP="00EB1F94">
      <w:pPr>
        <w:rPr>
          <w:b/>
          <w:bCs/>
        </w:rPr>
      </w:pPr>
      <w:bookmarkStart w:id="1" w:name="_Overview"/>
      <w:bookmarkEnd w:id="1"/>
    </w:p>
    <w:p w14:paraId="5368DE31" w14:textId="474752BA" w:rsidR="00EB1F94" w:rsidRPr="0058134F" w:rsidRDefault="00080366" w:rsidP="004F38A2">
      <w:r>
        <w:rPr>
          <w:b/>
          <w:bCs/>
        </w:rPr>
        <w:t xml:space="preserve">Description:  </w:t>
      </w:r>
      <w:bookmarkStart w:id="2" w:name="OLE_LINK107"/>
      <w:r w:rsidR="00433FEE" w:rsidRPr="00433FEE">
        <w:t xml:space="preserve">Breast cancer prevention has been added to Affordable Care Act preventive service requirements. Clients are now required to select one of two options to add generic </w:t>
      </w:r>
      <w:r w:rsidR="00A90FF9">
        <w:t>r</w:t>
      </w:r>
      <w:r w:rsidR="00433FEE" w:rsidRPr="00433FEE">
        <w:t>aloxifene</w:t>
      </w:r>
      <w:r w:rsidR="00A90FF9">
        <w:t xml:space="preserve">, </w:t>
      </w:r>
      <w:r w:rsidR="00433FEE" w:rsidRPr="00433FEE">
        <w:t xml:space="preserve">generic </w:t>
      </w:r>
      <w:r w:rsidR="00A90FF9">
        <w:t>t</w:t>
      </w:r>
      <w:r w:rsidR="00433FEE" w:rsidRPr="00433FEE">
        <w:t xml:space="preserve">amoxifen </w:t>
      </w:r>
      <w:r w:rsidR="00A90FF9">
        <w:t>c</w:t>
      </w:r>
      <w:r w:rsidR="00433FEE" w:rsidRPr="00433FEE">
        <w:t xml:space="preserve">itrate </w:t>
      </w:r>
      <w:r w:rsidR="00A90FF9">
        <w:t>and the aromatase inhibitors exemestane 25 mg</w:t>
      </w:r>
      <w:r w:rsidR="00F308EE">
        <w:t xml:space="preserve"> (milligram)</w:t>
      </w:r>
      <w:r w:rsidR="00A90FF9">
        <w:t xml:space="preserve"> and anastrozole 1 mg </w:t>
      </w:r>
      <w:r w:rsidR="00433FEE" w:rsidRPr="00433FEE">
        <w:t xml:space="preserve">at no cost to female members age 35 and older when their doctor has </w:t>
      </w:r>
      <w:r w:rsidR="00817508" w:rsidRPr="00433FEE">
        <w:t>recommended,</w:t>
      </w:r>
      <w:r w:rsidR="00433FEE" w:rsidRPr="00433FEE">
        <w:t xml:space="preserve"> they take the medication to reduce their risk of developing breast cancer in the future.</w:t>
      </w:r>
    </w:p>
    <w:bookmarkEnd w:id="2"/>
    <w:p w14:paraId="7920D95D" w14:textId="77777777" w:rsidR="00AA2252" w:rsidRPr="0058134F" w:rsidRDefault="00AA2252" w:rsidP="00EB1F9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D7AB4" w:rsidRPr="0058134F" w14:paraId="6E61BF31" w14:textId="77777777" w:rsidTr="00DF75D9">
        <w:tc>
          <w:tcPr>
            <w:tcW w:w="5000" w:type="pct"/>
            <w:shd w:val="clear" w:color="auto" w:fill="C0C0C0"/>
          </w:tcPr>
          <w:p w14:paraId="52C1C2F9" w14:textId="074FE949" w:rsidR="00AD7AB4" w:rsidRPr="0058134F" w:rsidRDefault="00433FEE" w:rsidP="004F38A2">
            <w:pPr>
              <w:pStyle w:val="Heading2"/>
              <w:tabs>
                <w:tab w:val="left" w:pos="11985"/>
              </w:tabs>
              <w:spacing w:before="120" w:after="120"/>
              <w:rPr>
                <w:rFonts w:ascii="Verdana" w:hAnsi="Verdana"/>
                <w:i w:val="0"/>
                <w:iCs w:val="0"/>
              </w:rPr>
            </w:pPr>
            <w:bookmarkStart w:id="3" w:name="_Toc130278533"/>
            <w:r w:rsidRPr="00433FEE">
              <w:rPr>
                <w:rFonts w:ascii="Verdana" w:hAnsi="Verdana"/>
                <w:i w:val="0"/>
                <w:iCs w:val="0"/>
              </w:rPr>
              <w:t xml:space="preserve">Breast Cancer Prevention </w:t>
            </w:r>
            <w:r>
              <w:rPr>
                <w:rFonts w:ascii="Verdana" w:hAnsi="Verdana"/>
                <w:i w:val="0"/>
                <w:iCs w:val="0"/>
              </w:rPr>
              <w:t xml:space="preserve">(BCP) </w:t>
            </w:r>
            <w:r w:rsidRPr="00433FEE">
              <w:rPr>
                <w:rFonts w:ascii="Verdana" w:hAnsi="Verdana"/>
                <w:i w:val="0"/>
                <w:iCs w:val="0"/>
              </w:rPr>
              <w:t>Options</w:t>
            </w:r>
            <w:bookmarkEnd w:id="3"/>
          </w:p>
        </w:tc>
      </w:tr>
    </w:tbl>
    <w:p w14:paraId="36F0BADB" w14:textId="77777777" w:rsidR="00433FEE" w:rsidRDefault="00433FEE" w:rsidP="004F38A2">
      <w:r w:rsidRPr="00433FEE">
        <w:t>There are two different BCP options that a client may choose from.</w:t>
      </w:r>
    </w:p>
    <w:p w14:paraId="4C3D275E" w14:textId="77777777" w:rsidR="00433FEE" w:rsidRPr="00433FEE" w:rsidRDefault="00433FEE" w:rsidP="004F38A2"/>
    <w:p w14:paraId="611C29BF" w14:textId="7744E965" w:rsidR="00433FEE" w:rsidRDefault="00433FEE" w:rsidP="004F38A2">
      <w:r w:rsidRPr="00433FEE">
        <w:rPr>
          <w:b/>
          <w:bCs/>
        </w:rPr>
        <w:t xml:space="preserve">Option #1: </w:t>
      </w:r>
      <w:r w:rsidRPr="00433FEE">
        <w:t xml:space="preserve"> Automatic zero copay for all women ages 35 and older using generic </w:t>
      </w:r>
      <w:r w:rsidR="00A90FF9">
        <w:t>r</w:t>
      </w:r>
      <w:r w:rsidRPr="00433FEE">
        <w:t>aloxifene</w:t>
      </w:r>
      <w:r w:rsidR="00A90FF9">
        <w:t xml:space="preserve">, </w:t>
      </w:r>
      <w:r w:rsidR="00080366">
        <w:t>g</w:t>
      </w:r>
      <w:r w:rsidRPr="00433FEE">
        <w:t xml:space="preserve">eneric </w:t>
      </w:r>
      <w:r w:rsidR="00A90FF9">
        <w:t>t</w:t>
      </w:r>
      <w:r w:rsidRPr="00433FEE">
        <w:t xml:space="preserve">amoxifen </w:t>
      </w:r>
      <w:r w:rsidR="00A90FF9">
        <w:t>c</w:t>
      </w:r>
      <w:r w:rsidRPr="00433FEE">
        <w:t>itrate</w:t>
      </w:r>
      <w:r w:rsidR="00A90FF9">
        <w:t xml:space="preserve">, exemestane 25 </w:t>
      </w:r>
      <w:hyperlink r:id="rId11" w:anchor="!/view?docid=89507380-dd73-4c92-9fee-ec1bde688dd6" w:history="1">
        <w:r w:rsidR="00A90FF9" w:rsidRPr="000B1E7C">
          <w:rPr>
            <w:rStyle w:val="Hyperlink"/>
          </w:rPr>
          <w:t>mg</w:t>
        </w:r>
      </w:hyperlink>
      <w:r w:rsidR="000B1E7C">
        <w:t xml:space="preserve"> (milligram)</w:t>
      </w:r>
      <w:r w:rsidR="00A90FF9">
        <w:t xml:space="preserve"> or anastrozole 1 mg</w:t>
      </w:r>
      <w:r w:rsidRPr="00433FEE">
        <w:t xml:space="preserve"> regardless of diagnosis. No action required by the member. Zero copay will be coded into plan.</w:t>
      </w:r>
    </w:p>
    <w:p w14:paraId="107A741C" w14:textId="77777777" w:rsidR="00433FEE" w:rsidRPr="00433FEE" w:rsidRDefault="00433FEE" w:rsidP="004F38A2"/>
    <w:p w14:paraId="44C502FB" w14:textId="24474E52" w:rsidR="002C7CA4" w:rsidRDefault="00433FEE" w:rsidP="004F38A2">
      <w:r w:rsidRPr="00433FEE">
        <w:rPr>
          <w:b/>
          <w:bCs/>
        </w:rPr>
        <w:t>Option #2</w:t>
      </w:r>
      <w:r w:rsidRPr="00433FEE">
        <w:rPr>
          <w:b/>
        </w:rPr>
        <w:t>:</w:t>
      </w:r>
      <w:r w:rsidRPr="00433FEE">
        <w:t xml:space="preserve">  Medical Copay Exception Process for women ages 35 and older using Generic Raloxifene</w:t>
      </w:r>
      <w:r w:rsidR="00A90FF9">
        <w:t xml:space="preserve">, </w:t>
      </w:r>
      <w:r w:rsidRPr="00433FEE">
        <w:t xml:space="preserve"> Generic Tamoxifen Citrat</w:t>
      </w:r>
      <w:r w:rsidR="00A90FF9">
        <w:t>e, exemestane 25 mg or anastrozole 1 mg</w:t>
      </w:r>
      <w:r w:rsidRPr="00433FEE">
        <w:t xml:space="preserve"> for primary prevention of breast cancer. Member will need to have doctor submit a Copay Exception form for approval to qualify for zero copay. If the exception is not approved, the medication will still pay at normal benefit copay.</w:t>
      </w:r>
    </w:p>
    <w:p w14:paraId="5510227C" w14:textId="77777777" w:rsidR="00433FEE" w:rsidRPr="0058134F" w:rsidRDefault="00433FEE" w:rsidP="00AD7AB4"/>
    <w:p w14:paraId="6707DDF0" w14:textId="19D975D0" w:rsidR="0069216F" w:rsidRPr="0058134F" w:rsidRDefault="00000000" w:rsidP="0069216F">
      <w:pPr>
        <w:jc w:val="right"/>
      </w:pPr>
      <w:hyperlink w:anchor="_top" w:history="1">
        <w:r w:rsidR="0069216F" w:rsidRPr="0069216F">
          <w:rPr>
            <w:rStyle w:val="Hyperlink"/>
          </w:rPr>
          <w:t>Top of the</w:t>
        </w:r>
        <w:r w:rsidR="0069216F" w:rsidRPr="0069216F">
          <w:rPr>
            <w:rStyle w:val="Hyperlink"/>
          </w:rPr>
          <w:t xml:space="preserve"> </w:t>
        </w:r>
        <w:r w:rsidR="0069216F" w:rsidRPr="0069216F">
          <w:rPr>
            <w:rStyle w:val="Hyperlink"/>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81783" w:rsidRPr="0058134F" w14:paraId="44228903" w14:textId="77777777" w:rsidTr="00B829F9">
        <w:tc>
          <w:tcPr>
            <w:tcW w:w="5000" w:type="pct"/>
            <w:shd w:val="clear" w:color="auto" w:fill="C0C0C0"/>
          </w:tcPr>
          <w:p w14:paraId="55E81961" w14:textId="77777777" w:rsidR="00F81783" w:rsidRPr="0058134F" w:rsidRDefault="00433FEE" w:rsidP="004F38A2">
            <w:pPr>
              <w:pStyle w:val="Heading2"/>
              <w:tabs>
                <w:tab w:val="left" w:pos="11985"/>
              </w:tabs>
              <w:spacing w:before="120" w:after="120"/>
              <w:rPr>
                <w:rFonts w:ascii="Verdana" w:hAnsi="Verdana"/>
                <w:i w:val="0"/>
                <w:iCs w:val="0"/>
              </w:rPr>
            </w:pPr>
            <w:bookmarkStart w:id="4" w:name="_Toc130278534"/>
            <w:r w:rsidRPr="00433FEE">
              <w:rPr>
                <w:rFonts w:ascii="Verdana" w:hAnsi="Verdana"/>
                <w:i w:val="0"/>
                <w:iCs w:val="0"/>
              </w:rPr>
              <w:t>Breast Cancer Prevention Communications</w:t>
            </w:r>
            <w:bookmarkEnd w:id="4"/>
          </w:p>
        </w:tc>
      </w:tr>
    </w:tbl>
    <w:p w14:paraId="7BEF0BB5" w14:textId="203D55C9" w:rsidR="00433FEE" w:rsidRDefault="00433FEE" w:rsidP="004F38A2">
      <w:r>
        <w:t>Communication about the breast cancer prevention addition will come to the member directly from the Client. Each client is responsible for notifying their membership so the members may call in with a varied understanding of the benefit. Be sensitive to this and reference the below Q&amp;A to help answer some common inquiries.</w:t>
      </w:r>
    </w:p>
    <w:p w14:paraId="1CA113DF" w14:textId="77777777" w:rsidR="00433FEE" w:rsidRDefault="00433FEE" w:rsidP="004F38A2"/>
    <w:p w14:paraId="6A8401E3" w14:textId="6C10B750" w:rsidR="00784935" w:rsidRDefault="00433FEE" w:rsidP="004F38A2">
      <w:r w:rsidRPr="00433FEE">
        <w:rPr>
          <w:b/>
        </w:rPr>
        <w:t>Note</w:t>
      </w:r>
      <w:r w:rsidR="00784935">
        <w:rPr>
          <w:b/>
        </w:rPr>
        <w:t>s</w:t>
      </w:r>
      <w:r w:rsidRPr="00433FEE">
        <w:rPr>
          <w:b/>
        </w:rPr>
        <w:t>:</w:t>
      </w:r>
      <w:r>
        <w:t xml:space="preserve"> </w:t>
      </w:r>
    </w:p>
    <w:p w14:paraId="6549644A" w14:textId="77777777" w:rsidR="00784935" w:rsidRPr="00784935" w:rsidRDefault="00784935" w:rsidP="004F38A2">
      <w:pPr>
        <w:numPr>
          <w:ilvl w:val="0"/>
          <w:numId w:val="16"/>
        </w:numPr>
      </w:pPr>
      <w:r w:rsidRPr="00784935">
        <w:t xml:space="preserve">The date </w:t>
      </w:r>
      <w:r>
        <w:t>when</w:t>
      </w:r>
      <w:r w:rsidRPr="00784935">
        <w:t xml:space="preserve"> the information will be available will vary based </w:t>
      </w:r>
      <w:r>
        <w:t>on</w:t>
      </w:r>
      <w:r w:rsidRPr="00784935">
        <w:t xml:space="preserve"> the individual client.</w:t>
      </w:r>
    </w:p>
    <w:p w14:paraId="4B994A44" w14:textId="58557A36" w:rsidR="00433FEE" w:rsidRPr="00784935" w:rsidRDefault="00433FEE" w:rsidP="004F38A2">
      <w:pPr>
        <w:numPr>
          <w:ilvl w:val="0"/>
          <w:numId w:val="16"/>
        </w:numPr>
        <w:rPr>
          <w:b/>
        </w:rPr>
      </w:pPr>
      <w:r>
        <w:t xml:space="preserve">If the client has chosen to implement option #2, the member will need to refer to the benefits office for the appropriate exception form. </w:t>
      </w:r>
      <w:r w:rsidR="00783F10">
        <w:t>The PBM</w:t>
      </w:r>
      <w:r>
        <w:t xml:space="preserve"> will NOT be distributing exception forms for this purpose.</w:t>
      </w:r>
    </w:p>
    <w:p w14:paraId="52C2F54F" w14:textId="77777777" w:rsidR="00433FEE" w:rsidRDefault="00433FEE" w:rsidP="00F81783">
      <w:pPr>
        <w:jc w:val="right"/>
      </w:pPr>
    </w:p>
    <w:p w14:paraId="1C49B30A" w14:textId="12EA4A6B" w:rsidR="0069216F" w:rsidRPr="0058134F" w:rsidRDefault="00000000" w:rsidP="0069216F">
      <w:pPr>
        <w:jc w:val="right"/>
      </w:pPr>
      <w:hyperlink w:anchor="_top" w:history="1">
        <w:r w:rsidR="0069216F" w:rsidRPr="0069216F">
          <w:rPr>
            <w:rStyle w:val="Hyperlink"/>
          </w:rPr>
          <w:t>Top of the Doc</w:t>
        </w:r>
        <w:r w:rsidR="0069216F" w:rsidRPr="0069216F">
          <w:rPr>
            <w:rStyle w:val="Hyperlink"/>
          </w:rPr>
          <w:t>u</w:t>
        </w:r>
        <w:r w:rsidR="0069216F" w:rsidRPr="0069216F">
          <w:rPr>
            <w:rStyle w:val="Hyperlink"/>
          </w:rPr>
          <w:t>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86108" w:rsidRPr="0058134F" w14:paraId="0505C75B" w14:textId="77777777" w:rsidTr="00B829F9">
        <w:tc>
          <w:tcPr>
            <w:tcW w:w="5000" w:type="pct"/>
            <w:shd w:val="clear" w:color="auto" w:fill="C0C0C0"/>
          </w:tcPr>
          <w:p w14:paraId="393A1A0A" w14:textId="0355F90A" w:rsidR="00486108" w:rsidRPr="0058134F" w:rsidRDefault="00433FEE" w:rsidP="004F38A2">
            <w:pPr>
              <w:pStyle w:val="Heading2"/>
              <w:tabs>
                <w:tab w:val="left" w:pos="11985"/>
              </w:tabs>
              <w:spacing w:before="120" w:after="120"/>
              <w:rPr>
                <w:rFonts w:ascii="Verdana" w:hAnsi="Verdana"/>
                <w:i w:val="0"/>
                <w:iCs w:val="0"/>
              </w:rPr>
            </w:pPr>
            <w:bookmarkStart w:id="5" w:name="_Toc130278535"/>
            <w:r w:rsidRPr="00433FEE">
              <w:rPr>
                <w:rFonts w:ascii="Verdana" w:hAnsi="Verdana"/>
                <w:i w:val="0"/>
                <w:iCs w:val="0"/>
              </w:rPr>
              <w:t>Frequently Asked Questions</w:t>
            </w:r>
            <w:bookmarkEnd w:id="5"/>
          </w:p>
        </w:tc>
      </w:tr>
    </w:tbl>
    <w:p w14:paraId="219681D0" w14:textId="08382444" w:rsidR="00C837BA" w:rsidRPr="00080366" w:rsidRDefault="00433FEE" w:rsidP="004F38A2">
      <w:pPr>
        <w:textAlignment w:val="top"/>
        <w:rPr>
          <w:rFonts w:cs="Arial"/>
          <w:bCs/>
        </w:rPr>
      </w:pPr>
      <w:r w:rsidRPr="00080366">
        <w:rPr>
          <w:rFonts w:cs="Arial"/>
          <w:bCs/>
        </w:rPr>
        <w:t xml:space="preserve">Refer to </w:t>
      </w:r>
      <w:r w:rsidR="00526059">
        <w:rPr>
          <w:rFonts w:cs="Arial"/>
          <w:bCs/>
        </w:rPr>
        <w:t>as needed</w:t>
      </w:r>
      <w:r w:rsidR="00C837BA" w:rsidRPr="00080366">
        <w:rPr>
          <w:rFonts w:cs="Arial"/>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61"/>
        <w:gridCol w:w="7889"/>
      </w:tblGrid>
      <w:tr w:rsidR="00080366" w:rsidRPr="00080366" w14:paraId="0F1DEE92" w14:textId="77777777" w:rsidTr="004F38A2">
        <w:tc>
          <w:tcPr>
            <w:tcW w:w="1954" w:type="pct"/>
            <w:shd w:val="clear" w:color="auto" w:fill="D9D9D9" w:themeFill="background1" w:themeFillShade="D9"/>
          </w:tcPr>
          <w:p w14:paraId="25FED631" w14:textId="77777777" w:rsidR="00486108" w:rsidRPr="00080366" w:rsidRDefault="00433FEE" w:rsidP="004F38A2">
            <w:pPr>
              <w:spacing w:line="240" w:lineRule="atLeast"/>
              <w:jc w:val="center"/>
              <w:textAlignment w:val="top"/>
              <w:rPr>
                <w:rFonts w:cs="Arial"/>
                <w:b/>
                <w:bCs/>
              </w:rPr>
            </w:pPr>
            <w:r w:rsidRPr="00080366">
              <w:rPr>
                <w:rFonts w:cs="Arial"/>
                <w:b/>
                <w:bCs/>
              </w:rPr>
              <w:t>Question</w:t>
            </w:r>
          </w:p>
        </w:tc>
        <w:tc>
          <w:tcPr>
            <w:tcW w:w="3046" w:type="pct"/>
            <w:shd w:val="clear" w:color="auto" w:fill="D9D9D9" w:themeFill="background1" w:themeFillShade="D9"/>
          </w:tcPr>
          <w:p w14:paraId="3C6BD02C" w14:textId="77777777" w:rsidR="00486108" w:rsidRPr="00080366" w:rsidRDefault="00433FEE" w:rsidP="004F38A2">
            <w:pPr>
              <w:spacing w:line="240" w:lineRule="atLeast"/>
              <w:jc w:val="center"/>
              <w:textAlignment w:val="top"/>
              <w:rPr>
                <w:rFonts w:cs="Arial"/>
                <w:b/>
                <w:bCs/>
              </w:rPr>
            </w:pPr>
            <w:r w:rsidRPr="00080366">
              <w:rPr>
                <w:rFonts w:cs="Arial"/>
                <w:b/>
                <w:bCs/>
              </w:rPr>
              <w:t>Answer</w:t>
            </w:r>
          </w:p>
        </w:tc>
      </w:tr>
      <w:tr w:rsidR="00080366" w:rsidRPr="00080366" w14:paraId="287C989D" w14:textId="77777777" w:rsidTr="00490CDB">
        <w:tc>
          <w:tcPr>
            <w:tcW w:w="1954" w:type="pct"/>
          </w:tcPr>
          <w:p w14:paraId="0A560E91" w14:textId="77777777" w:rsidR="00486108" w:rsidRPr="00080366" w:rsidRDefault="00433FEE" w:rsidP="004F38A2">
            <w:pPr>
              <w:spacing w:line="240" w:lineRule="atLeast"/>
              <w:textAlignment w:val="top"/>
              <w:rPr>
                <w:rFonts w:cs="Arial"/>
                <w:b/>
                <w:bCs/>
              </w:rPr>
            </w:pPr>
            <w:r w:rsidRPr="00080366">
              <w:rPr>
                <w:rFonts w:cs="Arial"/>
                <w:b/>
                <w:bCs/>
              </w:rPr>
              <w:t>What medications are covered by the BCP?</w:t>
            </w:r>
          </w:p>
        </w:tc>
        <w:tc>
          <w:tcPr>
            <w:tcW w:w="3046" w:type="pct"/>
          </w:tcPr>
          <w:p w14:paraId="227974A5" w14:textId="429B87CD" w:rsidR="00486108" w:rsidRPr="00080366" w:rsidRDefault="00080366" w:rsidP="004F38A2">
            <w:pPr>
              <w:spacing w:line="240" w:lineRule="atLeast"/>
              <w:textAlignment w:val="top"/>
              <w:rPr>
                <w:rFonts w:cs="Arial"/>
                <w:bCs/>
              </w:rPr>
            </w:pPr>
            <w:r>
              <w:rPr>
                <w:rFonts w:cs="Arial"/>
                <w:bCs/>
                <w:noProof/>
              </w:rPr>
              <w:drawing>
                <wp:inline distT="0" distB="0" distL="0" distR="0" wp14:anchorId="3BE7A387" wp14:editId="0DB0E9D6">
                  <wp:extent cx="238125" cy="209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cs="Arial"/>
                <w:bCs/>
              </w:rPr>
              <w:t xml:space="preserve"> </w:t>
            </w:r>
            <w:r w:rsidR="00433FEE" w:rsidRPr="00080366">
              <w:rPr>
                <w:rFonts w:cs="Arial"/>
                <w:bCs/>
              </w:rPr>
              <w:t xml:space="preserve">The BCP covers generic </w:t>
            </w:r>
            <w:r w:rsidR="00A90FF9">
              <w:rPr>
                <w:rFonts w:cs="Arial"/>
                <w:bCs/>
              </w:rPr>
              <w:t>r</w:t>
            </w:r>
            <w:r w:rsidR="00433FEE" w:rsidRPr="00080366">
              <w:rPr>
                <w:rFonts w:cs="Arial"/>
                <w:bCs/>
              </w:rPr>
              <w:t>aloxifene</w:t>
            </w:r>
            <w:r w:rsidR="00A90FF9">
              <w:rPr>
                <w:rFonts w:cs="Arial"/>
                <w:bCs/>
              </w:rPr>
              <w:t>,</w:t>
            </w:r>
            <w:r w:rsidR="00433FEE" w:rsidRPr="00080366">
              <w:rPr>
                <w:rFonts w:cs="Arial"/>
                <w:bCs/>
              </w:rPr>
              <w:t xml:space="preserve"> generic </w:t>
            </w:r>
            <w:r w:rsidR="00A90FF9">
              <w:rPr>
                <w:rFonts w:cs="Arial"/>
                <w:bCs/>
              </w:rPr>
              <w:t>t</w:t>
            </w:r>
            <w:r w:rsidR="00433FEE" w:rsidRPr="00080366">
              <w:rPr>
                <w:rFonts w:cs="Arial"/>
                <w:bCs/>
              </w:rPr>
              <w:t xml:space="preserve">amoxifen </w:t>
            </w:r>
            <w:r w:rsidR="00A90FF9">
              <w:rPr>
                <w:rFonts w:cs="Arial"/>
                <w:bCs/>
              </w:rPr>
              <w:t>c</w:t>
            </w:r>
            <w:r w:rsidR="00433FEE" w:rsidRPr="00080366">
              <w:rPr>
                <w:rFonts w:cs="Arial"/>
                <w:bCs/>
              </w:rPr>
              <w:t>itrate</w:t>
            </w:r>
            <w:r w:rsidR="00A90FF9">
              <w:rPr>
                <w:rFonts w:cs="Arial"/>
                <w:bCs/>
              </w:rPr>
              <w:t>, exemestane 25 mg and anastrozole 1 mg</w:t>
            </w:r>
            <w:r w:rsidR="00360FA8">
              <w:rPr>
                <w:rFonts w:cs="Arial"/>
                <w:bCs/>
              </w:rPr>
              <w:t>.</w:t>
            </w:r>
          </w:p>
        </w:tc>
      </w:tr>
      <w:tr w:rsidR="00080366" w:rsidRPr="00080366" w14:paraId="4E833A86" w14:textId="77777777" w:rsidTr="00490CDB">
        <w:tc>
          <w:tcPr>
            <w:tcW w:w="1954" w:type="pct"/>
          </w:tcPr>
          <w:p w14:paraId="4EF77B21" w14:textId="77777777" w:rsidR="00EB1F94" w:rsidRPr="00080366" w:rsidRDefault="00433FEE" w:rsidP="004F38A2">
            <w:pPr>
              <w:spacing w:line="240" w:lineRule="atLeast"/>
              <w:textAlignment w:val="top"/>
              <w:rPr>
                <w:rFonts w:cs="Arial"/>
                <w:b/>
                <w:bCs/>
              </w:rPr>
            </w:pPr>
            <w:r w:rsidRPr="00080366">
              <w:rPr>
                <w:rFonts w:cs="Arial"/>
                <w:b/>
                <w:bCs/>
              </w:rPr>
              <w:t>I have to take the brand name medication; can I get it covered at zero copay?</w:t>
            </w:r>
          </w:p>
        </w:tc>
        <w:tc>
          <w:tcPr>
            <w:tcW w:w="3046" w:type="pct"/>
            <w:shd w:val="clear" w:color="auto" w:fill="auto"/>
          </w:tcPr>
          <w:p w14:paraId="073B6E65" w14:textId="537A5513" w:rsidR="00EB1F94" w:rsidRPr="00080366" w:rsidRDefault="00080366" w:rsidP="004F38A2">
            <w:pPr>
              <w:spacing w:line="240" w:lineRule="atLeast"/>
              <w:textAlignment w:val="top"/>
              <w:rPr>
                <w:rFonts w:cs="Arial"/>
                <w:bCs/>
              </w:rPr>
            </w:pPr>
            <w:r>
              <w:rPr>
                <w:rFonts w:cs="Arial"/>
                <w:bCs/>
                <w:noProof/>
              </w:rPr>
              <w:drawing>
                <wp:inline distT="0" distB="0" distL="0" distR="0" wp14:anchorId="049F3CF5" wp14:editId="613543E3">
                  <wp:extent cx="238125" cy="2095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cs="Arial"/>
                <w:bCs/>
              </w:rPr>
              <w:t xml:space="preserve"> </w:t>
            </w:r>
            <w:r w:rsidR="00EC14D1" w:rsidRPr="00080366">
              <w:rPr>
                <w:rFonts w:cs="Arial"/>
                <w:bCs/>
              </w:rPr>
              <w:t xml:space="preserve">If taking the brand name medication is medically necessary, you can have your doctor submit a letter of medical necessity to our exceptions team for consideration. Please have your doctor fax the letter to </w:t>
            </w:r>
            <w:r w:rsidR="009C6BF4" w:rsidRPr="00080366">
              <w:rPr>
                <w:rFonts w:cs="Arial"/>
                <w:bCs/>
              </w:rPr>
              <w:t>1-</w:t>
            </w:r>
            <w:r w:rsidR="00EC14D1" w:rsidRPr="00080366">
              <w:rPr>
                <w:rFonts w:cs="Arial"/>
                <w:bCs/>
              </w:rPr>
              <w:t>888-487-9257.</w:t>
            </w:r>
          </w:p>
          <w:p w14:paraId="0E06BE29" w14:textId="77777777" w:rsidR="00EC14D1" w:rsidRPr="00080366" w:rsidRDefault="00EC14D1" w:rsidP="004F38A2">
            <w:pPr>
              <w:spacing w:line="240" w:lineRule="atLeast"/>
              <w:textAlignment w:val="top"/>
              <w:rPr>
                <w:rFonts w:cs="Arial"/>
                <w:bCs/>
              </w:rPr>
            </w:pPr>
          </w:p>
          <w:p w14:paraId="33B9D77A" w14:textId="5BA10A02" w:rsidR="00EC14D1" w:rsidRPr="00080366" w:rsidRDefault="00EC14D1" w:rsidP="004F38A2">
            <w:pPr>
              <w:spacing w:line="240" w:lineRule="atLeast"/>
              <w:textAlignment w:val="top"/>
              <w:rPr>
                <w:rFonts w:cs="Arial"/>
                <w:bCs/>
              </w:rPr>
            </w:pPr>
            <w:r w:rsidRPr="00080366">
              <w:rPr>
                <w:rFonts w:cs="Arial"/>
                <w:b/>
                <w:bCs/>
              </w:rPr>
              <w:t>CCR:</w:t>
            </w:r>
            <w:r w:rsidRPr="00080366">
              <w:rPr>
                <w:rFonts w:cs="Arial"/>
                <w:bCs/>
              </w:rPr>
              <w:t xml:space="preserve"> </w:t>
            </w:r>
            <w:r w:rsidR="00080366">
              <w:rPr>
                <w:rFonts w:cs="Arial"/>
                <w:bCs/>
              </w:rPr>
              <w:t xml:space="preserve"> </w:t>
            </w:r>
            <w:r w:rsidRPr="00080366">
              <w:rPr>
                <w:rFonts w:cs="Arial"/>
                <w:bCs/>
              </w:rPr>
              <w:t xml:space="preserve">You could potentially see an override for the generics to be approved at a zero copay and the brand name to be denied. This means that the </w:t>
            </w:r>
            <w:r w:rsidR="00977647" w:rsidRPr="00080366">
              <w:rPr>
                <w:rFonts w:cs="Arial"/>
                <w:bCs/>
              </w:rPr>
              <w:t xml:space="preserve">member </w:t>
            </w:r>
            <w:r w:rsidRPr="00080366">
              <w:rPr>
                <w:rFonts w:cs="Arial"/>
                <w:bCs/>
              </w:rPr>
              <w:t>can receive the generic at the zero copay, but not the brand. Generic approval/denials are listed in the generic names (Tamoxifen or Raloxifen</w:t>
            </w:r>
            <w:r w:rsidR="00AF7A04" w:rsidRPr="00080366">
              <w:rPr>
                <w:rFonts w:cs="Arial"/>
                <w:bCs/>
              </w:rPr>
              <w:t>e</w:t>
            </w:r>
            <w:r w:rsidRPr="00080366">
              <w:rPr>
                <w:rFonts w:cs="Arial"/>
                <w:bCs/>
              </w:rPr>
              <w:t>) and Brand approval/denials are listed in the brand names (Nolvadex, Evista &amp; Soltamox).</w:t>
            </w:r>
          </w:p>
          <w:p w14:paraId="7B8C4014" w14:textId="77777777" w:rsidR="002755EE" w:rsidRPr="00080366" w:rsidRDefault="002755EE" w:rsidP="004F38A2">
            <w:pPr>
              <w:spacing w:line="240" w:lineRule="atLeast"/>
              <w:textAlignment w:val="top"/>
              <w:rPr>
                <w:rFonts w:cs="Arial"/>
                <w:bCs/>
              </w:rPr>
            </w:pPr>
          </w:p>
        </w:tc>
      </w:tr>
      <w:tr w:rsidR="00080366" w:rsidRPr="00080366" w14:paraId="2E8FFD91" w14:textId="77777777" w:rsidTr="00490CDB">
        <w:tc>
          <w:tcPr>
            <w:tcW w:w="1954" w:type="pct"/>
          </w:tcPr>
          <w:p w14:paraId="1B68F8E1" w14:textId="77777777" w:rsidR="00433FEE" w:rsidRPr="00080366" w:rsidRDefault="00433FEE" w:rsidP="004F38A2">
            <w:pPr>
              <w:spacing w:line="240" w:lineRule="atLeast"/>
              <w:textAlignment w:val="top"/>
              <w:rPr>
                <w:rFonts w:cs="Arial"/>
                <w:b/>
                <w:bCs/>
              </w:rPr>
            </w:pPr>
            <w:r w:rsidRPr="00080366">
              <w:rPr>
                <w:rFonts w:cs="Arial"/>
                <w:b/>
                <w:bCs/>
              </w:rPr>
              <w:t>What do I need to do to get my Raloxifene/Tamoxifen Citrate at a zero copay?</w:t>
            </w:r>
          </w:p>
        </w:tc>
        <w:tc>
          <w:tcPr>
            <w:tcW w:w="3046" w:type="pct"/>
            <w:shd w:val="clear" w:color="auto" w:fill="auto"/>
          </w:tcPr>
          <w:p w14:paraId="25208D2E" w14:textId="77777777" w:rsidR="00433FEE" w:rsidRPr="00080366" w:rsidRDefault="002755EE" w:rsidP="004F38A2">
            <w:pPr>
              <w:spacing w:line="240" w:lineRule="atLeast"/>
              <w:textAlignment w:val="top"/>
              <w:rPr>
                <w:rFonts w:cs="Arial"/>
                <w:bCs/>
              </w:rPr>
            </w:pPr>
            <w:r w:rsidRPr="00080366">
              <w:rPr>
                <w:rFonts w:cs="Arial"/>
                <w:bCs/>
              </w:rPr>
              <w:t>Review</w:t>
            </w:r>
            <w:r w:rsidR="00433FEE" w:rsidRPr="00080366">
              <w:rPr>
                <w:rFonts w:cs="Arial"/>
                <w:bCs/>
              </w:rPr>
              <w:t xml:space="preserve"> the CIF for which option the Client has chosen for BCP</w:t>
            </w:r>
            <w:r w:rsidR="00977647" w:rsidRPr="00080366">
              <w:rPr>
                <w:rFonts w:cs="Arial"/>
                <w:bCs/>
              </w:rPr>
              <w:t>.</w:t>
            </w:r>
          </w:p>
          <w:p w14:paraId="6CD4F573" w14:textId="77777777" w:rsidR="00433FEE" w:rsidRPr="00080366" w:rsidRDefault="00433FEE" w:rsidP="004F38A2">
            <w:pPr>
              <w:spacing w:line="240" w:lineRule="atLeast"/>
              <w:textAlignment w:val="top"/>
              <w:rPr>
                <w:rFonts w:cs="Arial"/>
                <w:bCs/>
              </w:rPr>
            </w:pPr>
          </w:p>
          <w:p w14:paraId="40D93184" w14:textId="639D16F1" w:rsidR="00433FEE" w:rsidRPr="00080366" w:rsidRDefault="00433FEE" w:rsidP="004F38A2">
            <w:pPr>
              <w:numPr>
                <w:ilvl w:val="0"/>
                <w:numId w:val="17"/>
              </w:numPr>
              <w:spacing w:line="240" w:lineRule="atLeast"/>
              <w:textAlignment w:val="top"/>
              <w:rPr>
                <w:rFonts w:cs="Arial"/>
                <w:bCs/>
              </w:rPr>
            </w:pPr>
            <w:r w:rsidRPr="00080366">
              <w:rPr>
                <w:rFonts w:cs="Arial"/>
                <w:bCs/>
              </w:rPr>
              <w:t>If Option #1</w:t>
            </w:r>
            <w:r w:rsidR="00080366">
              <w:rPr>
                <w:rFonts w:cs="Arial"/>
                <w:bCs/>
              </w:rPr>
              <w:t xml:space="preserve"> </w:t>
            </w:r>
            <w:r w:rsidRPr="00080366">
              <w:rPr>
                <w:rFonts w:cs="Arial"/>
                <w:bCs/>
              </w:rPr>
              <w:t xml:space="preserve">- </w:t>
            </w:r>
            <w:r w:rsidR="00490CDB">
              <w:rPr>
                <w:noProof/>
              </w:rPr>
              <w:drawing>
                <wp:inline distT="0" distB="0" distL="0" distR="0" wp14:anchorId="1C860773" wp14:editId="18C4A76C">
                  <wp:extent cx="238158" cy="20957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002755EE" w:rsidRPr="00080366">
              <w:rPr>
                <w:noProof/>
              </w:rPr>
              <w:t xml:space="preserve"> </w:t>
            </w:r>
            <w:r w:rsidRPr="00080366">
              <w:rPr>
                <w:rFonts w:cs="Arial"/>
                <w:bCs/>
              </w:rPr>
              <w:t xml:space="preserve">Nothing, it’s built into your plan. </w:t>
            </w:r>
          </w:p>
          <w:p w14:paraId="674D6ECA" w14:textId="77777777" w:rsidR="00433FEE" w:rsidRPr="00080366" w:rsidRDefault="00433FEE" w:rsidP="004F38A2">
            <w:pPr>
              <w:spacing w:line="240" w:lineRule="atLeast"/>
              <w:textAlignment w:val="top"/>
              <w:rPr>
                <w:rFonts w:cs="Arial"/>
                <w:bCs/>
              </w:rPr>
            </w:pPr>
          </w:p>
          <w:p w14:paraId="20A0336C" w14:textId="6FCB1993" w:rsidR="00433FEE" w:rsidRPr="00080366" w:rsidRDefault="00433FEE" w:rsidP="004F38A2">
            <w:pPr>
              <w:numPr>
                <w:ilvl w:val="0"/>
                <w:numId w:val="17"/>
              </w:numPr>
              <w:spacing w:line="240" w:lineRule="atLeast"/>
              <w:textAlignment w:val="top"/>
              <w:rPr>
                <w:rFonts w:cs="Arial"/>
                <w:bCs/>
              </w:rPr>
            </w:pPr>
            <w:r w:rsidRPr="00080366">
              <w:rPr>
                <w:rFonts w:cs="Arial"/>
                <w:bCs/>
              </w:rPr>
              <w:t>If Option #2 –</w:t>
            </w:r>
            <w:r w:rsidR="002755EE" w:rsidRPr="00080366">
              <w:rPr>
                <w:noProof/>
              </w:rPr>
              <w:t xml:space="preserve"> </w:t>
            </w:r>
            <w:r w:rsidR="00490CDB">
              <w:rPr>
                <w:noProof/>
              </w:rPr>
              <w:drawing>
                <wp:inline distT="0" distB="0" distL="0" distR="0" wp14:anchorId="30F2875D" wp14:editId="633FC590">
                  <wp:extent cx="238125" cy="209550"/>
                  <wp:effectExtent l="0" t="0" r="9525" b="0"/>
                  <wp:docPr id="8" name="Picture 8"/>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00490CDB">
              <w:rPr>
                <w:noProof/>
              </w:rPr>
              <w:t xml:space="preserve"> </w:t>
            </w:r>
            <w:r w:rsidRPr="00080366">
              <w:rPr>
                <w:rFonts w:cs="Arial"/>
                <w:bCs/>
              </w:rPr>
              <w:t xml:space="preserve">If you are using </w:t>
            </w:r>
            <w:r w:rsidR="00080366">
              <w:rPr>
                <w:rFonts w:cs="Arial"/>
                <w:bCs/>
              </w:rPr>
              <w:t>R</w:t>
            </w:r>
            <w:r w:rsidRPr="00080366">
              <w:rPr>
                <w:rFonts w:cs="Arial"/>
                <w:bCs/>
              </w:rPr>
              <w:t>aloxifene/</w:t>
            </w:r>
            <w:r w:rsidR="00080366">
              <w:rPr>
                <w:rFonts w:cs="Arial"/>
                <w:bCs/>
              </w:rPr>
              <w:t>T</w:t>
            </w:r>
            <w:r w:rsidRPr="00080366">
              <w:rPr>
                <w:rFonts w:cs="Arial"/>
                <w:bCs/>
              </w:rPr>
              <w:t xml:space="preserve">amoxifen as primary prevention therapy and meet the plan criteria, please have your doctor complete the exception form and fax to our authorization team at 1-888-487-9257. </w:t>
            </w:r>
          </w:p>
          <w:p w14:paraId="3CE16943" w14:textId="77777777" w:rsidR="00433FEE" w:rsidRPr="00080366" w:rsidRDefault="00433FEE" w:rsidP="004F38A2">
            <w:pPr>
              <w:spacing w:line="240" w:lineRule="atLeast"/>
              <w:textAlignment w:val="top"/>
              <w:rPr>
                <w:rFonts w:cs="Arial"/>
                <w:bCs/>
              </w:rPr>
            </w:pPr>
          </w:p>
        </w:tc>
      </w:tr>
      <w:tr w:rsidR="00080366" w:rsidRPr="00080366" w14:paraId="20FAE90F" w14:textId="77777777" w:rsidTr="00490CDB">
        <w:tc>
          <w:tcPr>
            <w:tcW w:w="1954" w:type="pct"/>
          </w:tcPr>
          <w:p w14:paraId="64FF6F6D" w14:textId="77777777" w:rsidR="00433FEE" w:rsidRPr="00080366" w:rsidRDefault="00433FEE" w:rsidP="004F38A2">
            <w:pPr>
              <w:spacing w:line="240" w:lineRule="atLeast"/>
              <w:textAlignment w:val="top"/>
              <w:rPr>
                <w:rFonts w:cs="Arial"/>
                <w:b/>
                <w:bCs/>
              </w:rPr>
            </w:pPr>
            <w:r w:rsidRPr="00080366">
              <w:rPr>
                <w:rFonts w:cs="Arial"/>
                <w:b/>
                <w:bCs/>
              </w:rPr>
              <w:t>How do I get an Exception Form?</w:t>
            </w:r>
          </w:p>
        </w:tc>
        <w:tc>
          <w:tcPr>
            <w:tcW w:w="3046" w:type="pct"/>
            <w:shd w:val="clear" w:color="auto" w:fill="auto"/>
          </w:tcPr>
          <w:p w14:paraId="36629AF0" w14:textId="0538A7DF" w:rsidR="00433FEE" w:rsidRPr="00080366" w:rsidRDefault="002755EE" w:rsidP="004F38A2">
            <w:pPr>
              <w:spacing w:line="240" w:lineRule="atLeast"/>
              <w:textAlignment w:val="top"/>
              <w:rPr>
                <w:rFonts w:cs="Arial"/>
                <w:bCs/>
              </w:rPr>
            </w:pPr>
            <w:r w:rsidRPr="00080366">
              <w:rPr>
                <w:rFonts w:cs="Arial"/>
                <w:bCs/>
              </w:rPr>
              <w:t xml:space="preserve">Refer to </w:t>
            </w:r>
            <w:r w:rsidR="00433FEE" w:rsidRPr="00080366">
              <w:rPr>
                <w:rFonts w:cs="Arial"/>
                <w:bCs/>
              </w:rPr>
              <w:t xml:space="preserve">client specific contact information in </w:t>
            </w:r>
            <w:r w:rsidR="001558ED">
              <w:rPr>
                <w:rFonts w:cs="Arial"/>
                <w:bCs/>
              </w:rPr>
              <w:t>Client Information Form</w:t>
            </w:r>
            <w:r w:rsidR="008501C6">
              <w:rPr>
                <w:rFonts w:cs="Arial"/>
                <w:bCs/>
              </w:rPr>
              <w:t xml:space="preserve"> (</w:t>
            </w:r>
            <w:hyperlink r:id="rId13" w:anchor="!/view?docid=82474eaf-9267-4d49-b352-1ce9b8a78cff" w:history="1">
              <w:r w:rsidR="00B829F9">
                <w:rPr>
                  <w:rStyle w:val="Hyperlink"/>
                  <w:rFonts w:cs="Arial"/>
                  <w:bCs/>
                </w:rPr>
                <w:t>CIF (051667)</w:t>
              </w:r>
            </w:hyperlink>
            <w:r w:rsidR="008501C6">
              <w:rPr>
                <w:rFonts w:cs="Arial"/>
                <w:bCs/>
              </w:rPr>
              <w:t>)</w:t>
            </w:r>
            <w:r w:rsidR="00977647" w:rsidRPr="00080366">
              <w:rPr>
                <w:rFonts w:cs="Arial"/>
                <w:bCs/>
              </w:rPr>
              <w:t>.</w:t>
            </w:r>
          </w:p>
          <w:p w14:paraId="7FDECA11" w14:textId="77777777" w:rsidR="002755EE" w:rsidRPr="00080366" w:rsidRDefault="002755EE" w:rsidP="004F38A2">
            <w:pPr>
              <w:spacing w:line="240" w:lineRule="atLeast"/>
              <w:textAlignment w:val="top"/>
              <w:rPr>
                <w:rFonts w:cs="Arial"/>
                <w:bCs/>
              </w:rPr>
            </w:pPr>
          </w:p>
        </w:tc>
      </w:tr>
      <w:tr w:rsidR="00080366" w:rsidRPr="00080366" w14:paraId="411E37B1" w14:textId="77777777" w:rsidTr="00490CDB">
        <w:tc>
          <w:tcPr>
            <w:tcW w:w="1954" w:type="pct"/>
          </w:tcPr>
          <w:p w14:paraId="54CBBA17" w14:textId="77777777" w:rsidR="00433FEE" w:rsidRPr="00080366" w:rsidRDefault="00433FEE" w:rsidP="004F38A2">
            <w:pPr>
              <w:spacing w:line="240" w:lineRule="atLeast"/>
              <w:textAlignment w:val="top"/>
              <w:rPr>
                <w:rFonts w:cs="Arial"/>
                <w:b/>
                <w:bCs/>
              </w:rPr>
            </w:pPr>
            <w:r w:rsidRPr="00080366">
              <w:rPr>
                <w:rFonts w:cs="Arial"/>
                <w:b/>
                <w:bCs/>
              </w:rPr>
              <w:t>How long will it take to get approved?</w:t>
            </w:r>
          </w:p>
        </w:tc>
        <w:tc>
          <w:tcPr>
            <w:tcW w:w="3046" w:type="pct"/>
            <w:shd w:val="clear" w:color="auto" w:fill="auto"/>
          </w:tcPr>
          <w:p w14:paraId="26AEF5CC" w14:textId="2479CD70" w:rsidR="00433FEE" w:rsidRPr="00080366" w:rsidRDefault="00080366" w:rsidP="004F38A2">
            <w:pPr>
              <w:spacing w:line="240" w:lineRule="atLeast"/>
              <w:textAlignment w:val="top"/>
              <w:rPr>
                <w:rFonts w:cs="Arial"/>
                <w:bCs/>
              </w:rPr>
            </w:pPr>
            <w:r>
              <w:rPr>
                <w:rFonts w:cs="Arial"/>
                <w:bCs/>
                <w:noProof/>
              </w:rPr>
              <w:drawing>
                <wp:inline distT="0" distB="0" distL="0" distR="0" wp14:anchorId="0CD90D48" wp14:editId="67CC1DD1">
                  <wp:extent cx="238125" cy="20955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cs="Arial"/>
                <w:bCs/>
              </w:rPr>
              <w:t xml:space="preserve"> </w:t>
            </w:r>
            <w:r w:rsidR="00433FEE" w:rsidRPr="00080366">
              <w:rPr>
                <w:rFonts w:cs="Arial"/>
                <w:bCs/>
              </w:rPr>
              <w:t xml:space="preserve">Once we receive the fax from your physician, a decision will be made within </w:t>
            </w:r>
            <w:r w:rsidR="00653B88">
              <w:rPr>
                <w:rFonts w:cs="Arial"/>
                <w:bCs/>
              </w:rPr>
              <w:t>3 business days</w:t>
            </w:r>
            <w:r w:rsidR="00433FEE" w:rsidRPr="00080366">
              <w:rPr>
                <w:rFonts w:cs="Arial"/>
                <w:bCs/>
              </w:rPr>
              <w:t>.</w:t>
            </w:r>
          </w:p>
          <w:p w14:paraId="21186D1A" w14:textId="77777777" w:rsidR="002755EE" w:rsidRPr="00080366" w:rsidRDefault="002755EE" w:rsidP="004F38A2">
            <w:pPr>
              <w:spacing w:line="240" w:lineRule="atLeast"/>
              <w:textAlignment w:val="top"/>
              <w:rPr>
                <w:rFonts w:cs="Arial"/>
                <w:bCs/>
              </w:rPr>
            </w:pPr>
          </w:p>
        </w:tc>
      </w:tr>
      <w:tr w:rsidR="00080366" w:rsidRPr="00080366" w14:paraId="41F1CBC8" w14:textId="77777777" w:rsidTr="00490CDB">
        <w:tc>
          <w:tcPr>
            <w:tcW w:w="1954" w:type="pct"/>
          </w:tcPr>
          <w:p w14:paraId="3F4B5273" w14:textId="77777777" w:rsidR="00433FEE" w:rsidRPr="00080366" w:rsidRDefault="00433FEE" w:rsidP="004F38A2">
            <w:pPr>
              <w:spacing w:line="240" w:lineRule="atLeast"/>
              <w:textAlignment w:val="top"/>
              <w:rPr>
                <w:rFonts w:cs="Arial"/>
                <w:b/>
                <w:bCs/>
              </w:rPr>
            </w:pPr>
            <w:r w:rsidRPr="00080366">
              <w:rPr>
                <w:rFonts w:cs="Arial"/>
                <w:b/>
                <w:bCs/>
              </w:rPr>
              <w:t>How will I be notified?</w:t>
            </w:r>
          </w:p>
        </w:tc>
        <w:tc>
          <w:tcPr>
            <w:tcW w:w="3046" w:type="pct"/>
            <w:shd w:val="clear" w:color="auto" w:fill="auto"/>
          </w:tcPr>
          <w:p w14:paraId="47A6D4C0" w14:textId="54D67A91" w:rsidR="00433FEE" w:rsidRPr="00080366" w:rsidRDefault="00080366" w:rsidP="004F38A2">
            <w:pPr>
              <w:spacing w:line="240" w:lineRule="atLeast"/>
              <w:textAlignment w:val="top"/>
              <w:rPr>
                <w:rFonts w:cs="Arial"/>
                <w:bCs/>
              </w:rPr>
            </w:pPr>
            <w:r>
              <w:rPr>
                <w:rFonts w:cs="Arial"/>
                <w:bCs/>
                <w:noProof/>
              </w:rPr>
              <w:drawing>
                <wp:inline distT="0" distB="0" distL="0" distR="0" wp14:anchorId="30EEEABB" wp14:editId="5B4DDAF9">
                  <wp:extent cx="238125" cy="20955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755EE" w:rsidRPr="00080366">
              <w:rPr>
                <w:noProof/>
              </w:rPr>
              <w:t xml:space="preserve"> </w:t>
            </w:r>
            <w:r w:rsidR="00433FEE" w:rsidRPr="00080366">
              <w:rPr>
                <w:rFonts w:cs="Arial"/>
                <w:bCs/>
              </w:rPr>
              <w:t>You will be notified by mail with the decision on coverage.</w:t>
            </w:r>
            <w:r>
              <w:rPr>
                <w:rFonts w:cs="Arial"/>
                <w:bCs/>
              </w:rPr>
              <w:t xml:space="preserve"> </w:t>
            </w:r>
            <w:r w:rsidR="00433FEE" w:rsidRPr="00080366">
              <w:rPr>
                <w:rFonts w:cs="Arial"/>
                <w:bCs/>
              </w:rPr>
              <w:t>Your physician will also receive a fax confirmation with the approval or denial.</w:t>
            </w:r>
          </w:p>
          <w:p w14:paraId="663CB4D2" w14:textId="77777777" w:rsidR="002755EE" w:rsidRPr="00080366" w:rsidRDefault="002755EE" w:rsidP="004F38A2">
            <w:pPr>
              <w:spacing w:line="240" w:lineRule="atLeast"/>
              <w:textAlignment w:val="top"/>
              <w:rPr>
                <w:rFonts w:cs="Arial"/>
                <w:bCs/>
              </w:rPr>
            </w:pPr>
          </w:p>
        </w:tc>
      </w:tr>
      <w:tr w:rsidR="00080366" w:rsidRPr="00080366" w14:paraId="7D6C32A0" w14:textId="77777777" w:rsidTr="00490CDB">
        <w:tc>
          <w:tcPr>
            <w:tcW w:w="1954" w:type="pct"/>
          </w:tcPr>
          <w:p w14:paraId="74239C48" w14:textId="5C4D015C" w:rsidR="00433FEE" w:rsidRPr="00080366" w:rsidRDefault="00433FEE" w:rsidP="004F38A2">
            <w:pPr>
              <w:spacing w:line="240" w:lineRule="atLeast"/>
              <w:textAlignment w:val="top"/>
              <w:rPr>
                <w:rFonts w:cs="Arial"/>
                <w:b/>
                <w:bCs/>
              </w:rPr>
            </w:pPr>
            <w:r w:rsidRPr="00080366">
              <w:rPr>
                <w:rFonts w:cs="Arial"/>
                <w:b/>
                <w:bCs/>
              </w:rPr>
              <w:t>I’ve been paying my copay for these medications in the past and now I’m finding out I can get them for free. Will I be reimbursed?</w:t>
            </w:r>
          </w:p>
        </w:tc>
        <w:tc>
          <w:tcPr>
            <w:tcW w:w="3046" w:type="pct"/>
            <w:shd w:val="clear" w:color="auto" w:fill="auto"/>
          </w:tcPr>
          <w:p w14:paraId="152F7430" w14:textId="4DA2504D" w:rsidR="00433FEE" w:rsidRPr="00080366" w:rsidRDefault="00080366" w:rsidP="004F38A2">
            <w:pPr>
              <w:spacing w:line="240" w:lineRule="atLeast"/>
              <w:textAlignment w:val="top"/>
              <w:rPr>
                <w:rFonts w:cs="Arial"/>
                <w:bCs/>
              </w:rPr>
            </w:pPr>
            <w:r>
              <w:rPr>
                <w:rFonts w:cs="Arial"/>
                <w:bCs/>
                <w:noProof/>
              </w:rPr>
              <w:drawing>
                <wp:inline distT="0" distB="0" distL="0" distR="0" wp14:anchorId="663E596F" wp14:editId="78E03D73">
                  <wp:extent cx="238125" cy="20955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755EE" w:rsidRPr="00080366">
              <w:rPr>
                <w:noProof/>
              </w:rPr>
              <w:t xml:space="preserve"> </w:t>
            </w:r>
            <w:r w:rsidR="00433FEE" w:rsidRPr="00080366">
              <w:rPr>
                <w:rFonts w:cs="Arial"/>
                <w:bCs/>
              </w:rPr>
              <w:t>You are eligible for reimbursement for any claims paid since your plan implemented the zero copay benefit. You will need to submit a paper claim to receive your refund.</w:t>
            </w:r>
          </w:p>
          <w:p w14:paraId="58891CFE" w14:textId="77777777" w:rsidR="00433FEE" w:rsidRPr="00080366" w:rsidRDefault="00433FEE" w:rsidP="004F38A2">
            <w:pPr>
              <w:spacing w:line="240" w:lineRule="atLeast"/>
              <w:textAlignment w:val="top"/>
              <w:rPr>
                <w:rFonts w:cs="Arial"/>
                <w:bCs/>
              </w:rPr>
            </w:pPr>
          </w:p>
          <w:p w14:paraId="2F4E294D" w14:textId="09B5ECEA" w:rsidR="00433FEE" w:rsidRPr="00080366" w:rsidRDefault="00433FEE" w:rsidP="004F38A2">
            <w:pPr>
              <w:spacing w:line="240" w:lineRule="atLeast"/>
              <w:textAlignment w:val="top"/>
              <w:rPr>
                <w:rFonts w:cs="Arial"/>
                <w:bCs/>
              </w:rPr>
            </w:pPr>
            <w:r w:rsidRPr="00080366">
              <w:rPr>
                <w:rFonts w:cs="Arial"/>
                <w:b/>
                <w:bCs/>
              </w:rPr>
              <w:t>Note:</w:t>
            </w:r>
            <w:r w:rsidR="00080366">
              <w:rPr>
                <w:rFonts w:cs="Arial"/>
                <w:b/>
                <w:bCs/>
              </w:rPr>
              <w:t xml:space="preserve"> </w:t>
            </w:r>
            <w:r w:rsidRPr="00080366">
              <w:rPr>
                <w:rFonts w:cs="Arial"/>
                <w:bCs/>
              </w:rPr>
              <w:t xml:space="preserve"> Follow standard </w:t>
            </w:r>
            <w:hyperlink r:id="rId14" w:anchor="!/view?docid=c519df4e-f8c0-4bb2-88e1-a761524b9516" w:history="1">
              <w:r w:rsidR="00511ECF">
                <w:rPr>
                  <w:rStyle w:val="Hyperlink"/>
                  <w:rFonts w:cs="Arial"/>
                  <w:bCs/>
                </w:rPr>
                <w:t>Paper Claims (PCL) (051692)</w:t>
              </w:r>
            </w:hyperlink>
            <w:r w:rsidRPr="00080366">
              <w:rPr>
                <w:rFonts w:cs="Arial"/>
                <w:bCs/>
              </w:rPr>
              <w:t xml:space="preserve"> processes for the client. If override needs backdated to encompass past claims, contact Senior Team for assistance.</w:t>
            </w:r>
          </w:p>
          <w:p w14:paraId="64932E83" w14:textId="77777777" w:rsidR="00433FEE" w:rsidRPr="00080366" w:rsidRDefault="00433FEE" w:rsidP="004F38A2">
            <w:pPr>
              <w:spacing w:line="240" w:lineRule="atLeast"/>
              <w:textAlignment w:val="top"/>
              <w:rPr>
                <w:rFonts w:cs="Arial"/>
                <w:bCs/>
              </w:rPr>
            </w:pPr>
          </w:p>
        </w:tc>
      </w:tr>
      <w:tr w:rsidR="00080366" w:rsidRPr="00080366" w14:paraId="6A5CE5BB" w14:textId="77777777" w:rsidTr="00490CDB">
        <w:tc>
          <w:tcPr>
            <w:tcW w:w="1954" w:type="pct"/>
          </w:tcPr>
          <w:p w14:paraId="3ADF1890" w14:textId="34E8AD03" w:rsidR="00433FEE" w:rsidRPr="00080366" w:rsidRDefault="00433FEE" w:rsidP="004F38A2">
            <w:pPr>
              <w:spacing w:line="240" w:lineRule="atLeast"/>
              <w:textAlignment w:val="top"/>
              <w:rPr>
                <w:rFonts w:cs="Arial"/>
                <w:b/>
                <w:bCs/>
              </w:rPr>
            </w:pPr>
            <w:r w:rsidRPr="00080366">
              <w:rPr>
                <w:rFonts w:cs="Arial"/>
                <w:b/>
                <w:bCs/>
              </w:rPr>
              <w:t>I’ve been previously diagnosed with cancer, but I am in remission and using these meds as preventive therapy. Do I qualify?</w:t>
            </w:r>
          </w:p>
        </w:tc>
        <w:tc>
          <w:tcPr>
            <w:tcW w:w="3046" w:type="pct"/>
            <w:shd w:val="clear" w:color="auto" w:fill="auto"/>
          </w:tcPr>
          <w:p w14:paraId="1BBE30A5" w14:textId="77777777" w:rsidR="00433FEE" w:rsidRPr="00080366" w:rsidRDefault="00433FEE" w:rsidP="004F38A2">
            <w:pPr>
              <w:spacing w:line="240" w:lineRule="atLeast"/>
              <w:textAlignment w:val="top"/>
              <w:rPr>
                <w:rFonts w:cs="Arial"/>
                <w:bCs/>
              </w:rPr>
            </w:pPr>
            <w:r w:rsidRPr="00080366">
              <w:rPr>
                <w:rFonts w:cs="Arial"/>
                <w:bCs/>
              </w:rPr>
              <w:t xml:space="preserve">The Affordable Care Act zero copay coverage only applies to primary prevention treatment </w:t>
            </w:r>
            <w:r w:rsidR="00977647" w:rsidRPr="00080366">
              <w:rPr>
                <w:rFonts w:cs="Arial"/>
                <w:bCs/>
              </w:rPr>
              <w:t>for members</w:t>
            </w:r>
            <w:r w:rsidRPr="00080366">
              <w:rPr>
                <w:rFonts w:cs="Arial"/>
                <w:bCs/>
              </w:rPr>
              <w:t xml:space="preserve"> who have not been diagnosed in the past with breast cancer.</w:t>
            </w:r>
          </w:p>
        </w:tc>
      </w:tr>
    </w:tbl>
    <w:p w14:paraId="08E63531" w14:textId="77777777" w:rsidR="00486108" w:rsidRDefault="00486108" w:rsidP="00486108">
      <w:pPr>
        <w:rPr>
          <w:rFonts w:cs="Arial"/>
          <w:bCs/>
          <w:color w:val="333333"/>
        </w:rPr>
      </w:pPr>
    </w:p>
    <w:p w14:paraId="02934EC1" w14:textId="618363C7" w:rsidR="00977647" w:rsidRPr="0058134F" w:rsidRDefault="00000000" w:rsidP="00977647">
      <w:pPr>
        <w:jc w:val="right"/>
      </w:pPr>
      <w:hyperlink w:anchor="_top" w:history="1">
        <w:r w:rsidR="00977647" w:rsidRPr="0069216F">
          <w:rPr>
            <w:rStyle w:val="Hyperlink"/>
          </w:rPr>
          <w:t>Top of</w:t>
        </w:r>
        <w:r w:rsidR="00977647" w:rsidRPr="0069216F">
          <w:rPr>
            <w:rStyle w:val="Hyperlink"/>
          </w:rPr>
          <w:t xml:space="preserve"> </w:t>
        </w:r>
        <w:r w:rsidR="00977647" w:rsidRPr="0069216F">
          <w:rPr>
            <w:rStyle w:val="Hyperlink"/>
          </w:rPr>
          <w:t>the Document</w:t>
        </w:r>
      </w:hyperlink>
    </w:p>
    <w:p w14:paraId="6840ED32" w14:textId="77777777" w:rsidR="00977647" w:rsidRPr="0058134F" w:rsidRDefault="00977647" w:rsidP="00977647">
      <w:pPr>
        <w:jc w:val="righ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977647" w:rsidRPr="0058134F" w14:paraId="16009EAF" w14:textId="77777777" w:rsidTr="00350AB4">
        <w:tc>
          <w:tcPr>
            <w:tcW w:w="5000" w:type="pct"/>
            <w:shd w:val="clear" w:color="auto" w:fill="C0C0C0"/>
          </w:tcPr>
          <w:p w14:paraId="1DD88204" w14:textId="77777777" w:rsidR="00977647" w:rsidRPr="0058134F" w:rsidRDefault="00977647" w:rsidP="004F38A2">
            <w:pPr>
              <w:pStyle w:val="Heading2"/>
              <w:tabs>
                <w:tab w:val="left" w:pos="11985"/>
              </w:tabs>
              <w:spacing w:before="120" w:after="120"/>
              <w:rPr>
                <w:rFonts w:ascii="Verdana" w:hAnsi="Verdana"/>
                <w:i w:val="0"/>
                <w:iCs w:val="0"/>
              </w:rPr>
            </w:pPr>
            <w:bookmarkStart w:id="6" w:name="_Toc130278536"/>
            <w:r>
              <w:rPr>
                <w:rFonts w:ascii="Verdana" w:hAnsi="Verdana"/>
                <w:i w:val="0"/>
                <w:iCs w:val="0"/>
              </w:rPr>
              <w:t>Related Documents</w:t>
            </w:r>
            <w:bookmarkEnd w:id="6"/>
          </w:p>
        </w:tc>
      </w:tr>
    </w:tbl>
    <w:p w14:paraId="5E9F5314" w14:textId="77777777" w:rsidR="00977647" w:rsidRPr="0058134F" w:rsidRDefault="00977647" w:rsidP="004F38A2">
      <w:pPr>
        <w:rPr>
          <w:rFonts w:cs="Arial"/>
          <w:bCs/>
          <w:color w:val="333333"/>
        </w:rPr>
      </w:pPr>
      <w:r w:rsidRPr="00002AF0">
        <w:rPr>
          <w:b/>
        </w:rPr>
        <w:t>Parent Document</w:t>
      </w:r>
      <w:r>
        <w:rPr>
          <w:b/>
        </w:rPr>
        <w:t>s</w:t>
      </w:r>
      <w:r w:rsidRPr="00002AF0">
        <w:rPr>
          <w:b/>
        </w:rPr>
        <w:t>:</w:t>
      </w:r>
      <w:r>
        <w:t xml:space="preserve">  </w:t>
      </w:r>
      <w:hyperlink r:id="rId15" w:tgtFrame="_blank" w:history="1">
        <w:r w:rsidRPr="00B704FA">
          <w:rPr>
            <w:color w:val="0000FF"/>
            <w:u w:val="single"/>
          </w:rPr>
          <w:t>CALL 0049 Customer Care Internal and External Call Handling</w:t>
        </w:r>
      </w:hyperlink>
    </w:p>
    <w:p w14:paraId="21431E87" w14:textId="35033945" w:rsidR="00977647" w:rsidRDefault="00000000" w:rsidP="004F38A2">
      <w:hyperlink r:id="rId16" w:anchor="!/view?docid=c1f1028b-e42c-4b4f-a4cf-cc0b42c91606" w:history="1">
        <w:r w:rsidR="00AB4C6A">
          <w:rPr>
            <w:rFonts w:cs="Verdana"/>
            <w:color w:val="0000FF"/>
            <w:u w:val="single"/>
          </w:rPr>
          <w:t>Customer Care Abbreviations, Definitions, and Terms Index (017428)</w:t>
        </w:r>
      </w:hyperlink>
    </w:p>
    <w:p w14:paraId="695480AE" w14:textId="69CE6E66" w:rsidR="007A403E" w:rsidRPr="0058134F" w:rsidRDefault="00000000" w:rsidP="007A403E">
      <w:pPr>
        <w:jc w:val="right"/>
      </w:pPr>
      <w:hyperlink w:anchor="_top" w:history="1">
        <w:r w:rsidR="0069216F" w:rsidRPr="0069216F">
          <w:rPr>
            <w:rStyle w:val="Hyperlink"/>
          </w:rPr>
          <w:t>Top of the</w:t>
        </w:r>
        <w:r w:rsidR="0069216F" w:rsidRPr="0069216F">
          <w:rPr>
            <w:rStyle w:val="Hyperlink"/>
          </w:rPr>
          <w:t xml:space="preserve"> </w:t>
        </w:r>
        <w:r w:rsidR="0069216F" w:rsidRPr="0069216F">
          <w:rPr>
            <w:rStyle w:val="Hyperlink"/>
          </w:rPr>
          <w:t>Document</w:t>
        </w:r>
      </w:hyperlink>
    </w:p>
    <w:p w14:paraId="69D98673" w14:textId="77777777" w:rsidR="00710E68" w:rsidRPr="0058134F" w:rsidRDefault="00710E68" w:rsidP="00C247CB">
      <w:pPr>
        <w:jc w:val="center"/>
        <w:rPr>
          <w:sz w:val="16"/>
          <w:szCs w:val="16"/>
        </w:rPr>
      </w:pPr>
      <w:r w:rsidRPr="0058134F">
        <w:rPr>
          <w:sz w:val="16"/>
          <w:szCs w:val="16"/>
        </w:rPr>
        <w:t xml:space="preserve">Not </w:t>
      </w:r>
      <w:r w:rsidR="00977647" w:rsidRPr="0058134F">
        <w:rPr>
          <w:sz w:val="16"/>
          <w:szCs w:val="16"/>
        </w:rPr>
        <w:t>to</w:t>
      </w:r>
      <w:r w:rsidRPr="0058134F">
        <w:rPr>
          <w:sz w:val="16"/>
          <w:szCs w:val="16"/>
        </w:rPr>
        <w:t xml:space="preserve"> Be Reproduced </w:t>
      </w:r>
      <w:r w:rsidR="00977647" w:rsidRPr="0058134F">
        <w:rPr>
          <w:sz w:val="16"/>
          <w:szCs w:val="16"/>
        </w:rPr>
        <w:t>or</w:t>
      </w:r>
      <w:r w:rsidRPr="0058134F">
        <w:rPr>
          <w:sz w:val="16"/>
          <w:szCs w:val="16"/>
        </w:rPr>
        <w:t xml:space="preserve"> Disclosed to Others </w:t>
      </w:r>
      <w:r w:rsidR="00977647" w:rsidRPr="0058134F">
        <w:rPr>
          <w:sz w:val="16"/>
          <w:szCs w:val="16"/>
        </w:rPr>
        <w:t>without</w:t>
      </w:r>
      <w:r w:rsidRPr="0058134F">
        <w:rPr>
          <w:sz w:val="16"/>
          <w:szCs w:val="16"/>
        </w:rPr>
        <w:t xml:space="preserve"> Prior Written Approval</w:t>
      </w:r>
    </w:p>
    <w:p w14:paraId="1BFEFE05" w14:textId="2F6E3E36" w:rsidR="005A64DA" w:rsidRPr="0058134F" w:rsidRDefault="00710E68" w:rsidP="00C247CB">
      <w:pPr>
        <w:jc w:val="center"/>
        <w:rPr>
          <w:sz w:val="16"/>
          <w:szCs w:val="16"/>
        </w:rPr>
      </w:pPr>
      <w:r w:rsidRPr="0058134F">
        <w:rPr>
          <w:b/>
          <w:color w:val="000000"/>
          <w:sz w:val="16"/>
          <w:szCs w:val="16"/>
        </w:rPr>
        <w:t>ELECTRONIC DATA = OFFICIAL VERSION – PAPER COPY – INFORMATIONAL ONLY</w:t>
      </w:r>
    </w:p>
    <w:sectPr w:rsidR="005A64DA" w:rsidRPr="0058134F" w:rsidSect="00EB1F94">
      <w:footerReference w:type="default" r:id="rId17"/>
      <w:headerReference w:type="first" r:id="rId18"/>
      <w:footerReference w:type="first" r:id="rId19"/>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F04B7" w14:textId="77777777" w:rsidR="00104884" w:rsidRDefault="00104884">
      <w:r>
        <w:separator/>
      </w:r>
    </w:p>
  </w:endnote>
  <w:endnote w:type="continuationSeparator" w:id="0">
    <w:p w14:paraId="6D62162E" w14:textId="77777777" w:rsidR="00104884" w:rsidRDefault="00104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CAB97" w14:textId="77777777" w:rsidR="00C476E1" w:rsidRPr="00C32D18" w:rsidRDefault="00C32D18" w:rsidP="00C32D18">
    <w:pPr>
      <w:pStyle w:val="Footer"/>
      <w:jc w:val="right"/>
      <w:rPr>
        <w:szCs w:val="18"/>
      </w:rPr>
    </w:pPr>
    <w:r>
      <w:rPr>
        <w:rStyle w:val="PageNumber"/>
      </w:rPr>
      <w:fldChar w:fldCharType="begin"/>
    </w:r>
    <w:r>
      <w:rPr>
        <w:rStyle w:val="PageNumber"/>
      </w:rPr>
      <w:instrText xml:space="preserve"> PAGE </w:instrText>
    </w:r>
    <w:r>
      <w:rPr>
        <w:rStyle w:val="PageNumber"/>
      </w:rPr>
      <w:fldChar w:fldCharType="separate"/>
    </w:r>
    <w:r w:rsidR="00977647">
      <w:rPr>
        <w:rStyle w:val="PageNumber"/>
        <w:noProof/>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B73C4"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8F825" w14:textId="77777777" w:rsidR="00104884" w:rsidRDefault="00104884">
      <w:r>
        <w:separator/>
      </w:r>
    </w:p>
  </w:footnote>
  <w:footnote w:type="continuationSeparator" w:id="0">
    <w:p w14:paraId="65B8F657" w14:textId="77777777" w:rsidR="00104884" w:rsidRDefault="001048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238A3"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8.4pt;height:16.75pt" o:bullet="t">
        <v:imagedata r:id="rId1" o:title="Icon_-_Conversation"/>
      </v:shape>
    </w:pict>
  </w:numPicBullet>
  <w:abstractNum w:abstractNumId="0" w15:restartNumberingAfterBreak="0">
    <w:nsid w:val="0B557571"/>
    <w:multiLevelType w:val="hybridMultilevel"/>
    <w:tmpl w:val="987AFDFA"/>
    <w:lvl w:ilvl="0" w:tplc="D77EA342">
      <w:start w:val="1"/>
      <w:numFmt w:val="bullet"/>
      <w:lvlText w:val=""/>
      <w:lvlJc w:val="left"/>
      <w:pPr>
        <w:tabs>
          <w:tab w:val="num" w:pos="440"/>
        </w:tabs>
        <w:ind w:left="440" w:hanging="360"/>
      </w:pPr>
      <w:rPr>
        <w:rFonts w:ascii="Symbol" w:hAnsi="Symbol" w:hint="default"/>
        <w:color w:val="auto"/>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abstractNum w:abstractNumId="1"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2" w15:restartNumberingAfterBreak="0">
    <w:nsid w:val="15995224"/>
    <w:multiLevelType w:val="hybridMultilevel"/>
    <w:tmpl w:val="2A28A3B4"/>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9F4BA4"/>
    <w:multiLevelType w:val="hybridMultilevel"/>
    <w:tmpl w:val="1DC2F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B55B2F"/>
    <w:multiLevelType w:val="hybridMultilevel"/>
    <w:tmpl w:val="B798E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DA3AB6"/>
    <w:multiLevelType w:val="hybridMultilevel"/>
    <w:tmpl w:val="2B50E18A"/>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3801EE"/>
    <w:multiLevelType w:val="hybridMultilevel"/>
    <w:tmpl w:val="5084270E"/>
    <w:lvl w:ilvl="0" w:tplc="BFC2E8A6">
      <w:start w:val="1"/>
      <w:numFmt w:val="decimal"/>
      <w:lvlText w:val="%1."/>
      <w:lvlJc w:val="left"/>
      <w:pPr>
        <w:tabs>
          <w:tab w:val="num" w:pos="720"/>
        </w:tabs>
        <w:ind w:left="720" w:hanging="360"/>
      </w:pPr>
      <w:rPr>
        <w:position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25B84971"/>
    <w:multiLevelType w:val="hybridMultilevel"/>
    <w:tmpl w:val="80026C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E36786F"/>
    <w:multiLevelType w:val="hybridMultilevel"/>
    <w:tmpl w:val="472CDEC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3E6017CB"/>
    <w:multiLevelType w:val="hybridMultilevel"/>
    <w:tmpl w:val="E012C512"/>
    <w:lvl w:ilvl="0" w:tplc="7FD6A68C">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4017703A"/>
    <w:multiLevelType w:val="hybridMultilevel"/>
    <w:tmpl w:val="754E8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F91C1D"/>
    <w:multiLevelType w:val="hybridMultilevel"/>
    <w:tmpl w:val="E1B8E304"/>
    <w:lvl w:ilvl="0" w:tplc="8BD8586C">
      <w:start w:val="1"/>
      <w:numFmt w:val="bullet"/>
      <w:lvlText w:val=""/>
      <w:lvlJc w:val="left"/>
      <w:pPr>
        <w:tabs>
          <w:tab w:val="num" w:pos="720"/>
        </w:tabs>
        <w:ind w:left="720" w:hanging="360"/>
      </w:pPr>
      <w:rPr>
        <w:rFonts w:ascii="Symbol" w:hAnsi="Symbol" w:hint="default"/>
        <w:color w:val="auto"/>
      </w:rPr>
    </w:lvl>
    <w:lvl w:ilvl="1" w:tplc="06A40C36">
      <w:start w:val="1"/>
      <w:numFmt w:val="bullet"/>
      <w:lvlText w:val="o"/>
      <w:lvlJc w:val="left"/>
      <w:pPr>
        <w:tabs>
          <w:tab w:val="num" w:pos="1440"/>
        </w:tabs>
        <w:ind w:left="1440" w:hanging="360"/>
      </w:pPr>
      <w:rPr>
        <w:rFonts w:ascii="Courier New" w:hAnsi="Courier New" w:cs="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62C2157"/>
    <w:multiLevelType w:val="hybridMultilevel"/>
    <w:tmpl w:val="A26EC0FE"/>
    <w:lvl w:ilvl="0" w:tplc="3B6E5224">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2F698C"/>
    <w:multiLevelType w:val="hybridMultilevel"/>
    <w:tmpl w:val="DAC675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B5F79B2"/>
    <w:multiLevelType w:val="hybridMultilevel"/>
    <w:tmpl w:val="D3666E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741C14E7"/>
    <w:multiLevelType w:val="hybridMultilevel"/>
    <w:tmpl w:val="3B48BE0E"/>
    <w:lvl w:ilvl="0" w:tplc="BFC2E8A6">
      <w:start w:val="1"/>
      <w:numFmt w:val="decimal"/>
      <w:lvlText w:val="%1."/>
      <w:lvlJc w:val="left"/>
      <w:pPr>
        <w:tabs>
          <w:tab w:val="num" w:pos="720"/>
        </w:tabs>
        <w:ind w:left="720" w:hanging="360"/>
      </w:pPr>
      <w:rPr>
        <w:rFonts w:hint="default"/>
        <w:position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47655182">
    <w:abstractNumId w:val="11"/>
  </w:num>
  <w:num w:numId="2" w16cid:durableId="224805839">
    <w:abstractNumId w:val="4"/>
  </w:num>
  <w:num w:numId="3" w16cid:durableId="2103335467">
    <w:abstractNumId w:val="13"/>
  </w:num>
  <w:num w:numId="4" w16cid:durableId="1453010651">
    <w:abstractNumId w:val="14"/>
  </w:num>
  <w:num w:numId="5" w16cid:durableId="602807980">
    <w:abstractNumId w:val="1"/>
  </w:num>
  <w:num w:numId="6" w16cid:durableId="1158231498">
    <w:abstractNumId w:val="15"/>
  </w:num>
  <w:num w:numId="7" w16cid:durableId="1906378171">
    <w:abstractNumId w:val="9"/>
  </w:num>
  <w:num w:numId="8" w16cid:durableId="7570980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75013667">
    <w:abstractNumId w:val="6"/>
  </w:num>
  <w:num w:numId="10" w16cid:durableId="857043235">
    <w:abstractNumId w:val="0"/>
  </w:num>
  <w:num w:numId="11" w16cid:durableId="359353551">
    <w:abstractNumId w:val="5"/>
  </w:num>
  <w:num w:numId="12" w16cid:durableId="702631644">
    <w:abstractNumId w:val="2"/>
  </w:num>
  <w:num w:numId="13" w16cid:durableId="1233076698">
    <w:abstractNumId w:val="8"/>
  </w:num>
  <w:num w:numId="14" w16cid:durableId="711809118">
    <w:abstractNumId w:val="7"/>
  </w:num>
  <w:num w:numId="15" w16cid:durableId="2003966914">
    <w:abstractNumId w:val="12"/>
  </w:num>
  <w:num w:numId="16" w16cid:durableId="1808353358">
    <w:abstractNumId w:val="10"/>
  </w:num>
  <w:num w:numId="17" w16cid:durableId="20725799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view w:val="web"/>
  <w:zoom w:percent="90"/>
  <w:doNotDisplayPageBoundaries/>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6B55"/>
    <w:rsid w:val="00015A2E"/>
    <w:rsid w:val="00035BED"/>
    <w:rsid w:val="0004181B"/>
    <w:rsid w:val="00061AD2"/>
    <w:rsid w:val="000706D4"/>
    <w:rsid w:val="00077558"/>
    <w:rsid w:val="00080366"/>
    <w:rsid w:val="000863D4"/>
    <w:rsid w:val="0008665F"/>
    <w:rsid w:val="00095AB5"/>
    <w:rsid w:val="000A4D2C"/>
    <w:rsid w:val="000A5798"/>
    <w:rsid w:val="000A6B88"/>
    <w:rsid w:val="000B1E7C"/>
    <w:rsid w:val="000B3C4C"/>
    <w:rsid w:val="000B656F"/>
    <w:rsid w:val="000B72DF"/>
    <w:rsid w:val="000D1870"/>
    <w:rsid w:val="000D2E81"/>
    <w:rsid w:val="000D4BA2"/>
    <w:rsid w:val="000D6714"/>
    <w:rsid w:val="000F0D1B"/>
    <w:rsid w:val="000F21FB"/>
    <w:rsid w:val="000F54AF"/>
    <w:rsid w:val="00104884"/>
    <w:rsid w:val="00104CDE"/>
    <w:rsid w:val="00115944"/>
    <w:rsid w:val="0012373E"/>
    <w:rsid w:val="001360A5"/>
    <w:rsid w:val="001558ED"/>
    <w:rsid w:val="0016273A"/>
    <w:rsid w:val="00181B1A"/>
    <w:rsid w:val="001838FE"/>
    <w:rsid w:val="0019130B"/>
    <w:rsid w:val="001A5256"/>
    <w:rsid w:val="001B3879"/>
    <w:rsid w:val="001C7977"/>
    <w:rsid w:val="001E7746"/>
    <w:rsid w:val="001F0774"/>
    <w:rsid w:val="001F1218"/>
    <w:rsid w:val="001F5947"/>
    <w:rsid w:val="002016B4"/>
    <w:rsid w:val="002055CF"/>
    <w:rsid w:val="002374BA"/>
    <w:rsid w:val="00243EBB"/>
    <w:rsid w:val="00255C6B"/>
    <w:rsid w:val="00265D86"/>
    <w:rsid w:val="0027196C"/>
    <w:rsid w:val="002750DC"/>
    <w:rsid w:val="002755EE"/>
    <w:rsid w:val="00291CE8"/>
    <w:rsid w:val="00296127"/>
    <w:rsid w:val="00296765"/>
    <w:rsid w:val="002A673F"/>
    <w:rsid w:val="002B593E"/>
    <w:rsid w:val="002C7CA4"/>
    <w:rsid w:val="002D0E97"/>
    <w:rsid w:val="002E6E58"/>
    <w:rsid w:val="002F1F92"/>
    <w:rsid w:val="002F6F9E"/>
    <w:rsid w:val="0030258D"/>
    <w:rsid w:val="0033143E"/>
    <w:rsid w:val="0034318F"/>
    <w:rsid w:val="00343EFE"/>
    <w:rsid w:val="0034552B"/>
    <w:rsid w:val="00350AB4"/>
    <w:rsid w:val="00360FA8"/>
    <w:rsid w:val="003725A1"/>
    <w:rsid w:val="003868A2"/>
    <w:rsid w:val="00392A5B"/>
    <w:rsid w:val="003A6D70"/>
    <w:rsid w:val="003B1F86"/>
    <w:rsid w:val="003B30A3"/>
    <w:rsid w:val="003C4627"/>
    <w:rsid w:val="003E6C1A"/>
    <w:rsid w:val="003F778E"/>
    <w:rsid w:val="0040640A"/>
    <w:rsid w:val="00406DB5"/>
    <w:rsid w:val="0042336D"/>
    <w:rsid w:val="00433FEE"/>
    <w:rsid w:val="00441D24"/>
    <w:rsid w:val="00457EAE"/>
    <w:rsid w:val="004768BE"/>
    <w:rsid w:val="00477F73"/>
    <w:rsid w:val="0048355A"/>
    <w:rsid w:val="00484781"/>
    <w:rsid w:val="00486108"/>
    <w:rsid w:val="00490CDB"/>
    <w:rsid w:val="004A4742"/>
    <w:rsid w:val="004B5E9A"/>
    <w:rsid w:val="004D0AF2"/>
    <w:rsid w:val="004D2CE6"/>
    <w:rsid w:val="004D3C53"/>
    <w:rsid w:val="004F38A2"/>
    <w:rsid w:val="004F7F34"/>
    <w:rsid w:val="00505588"/>
    <w:rsid w:val="00511ECF"/>
    <w:rsid w:val="00512486"/>
    <w:rsid w:val="0052465B"/>
    <w:rsid w:val="00524CDD"/>
    <w:rsid w:val="00526059"/>
    <w:rsid w:val="00547C68"/>
    <w:rsid w:val="00551629"/>
    <w:rsid w:val="00565A58"/>
    <w:rsid w:val="00577002"/>
    <w:rsid w:val="00577909"/>
    <w:rsid w:val="0058134F"/>
    <w:rsid w:val="00582E85"/>
    <w:rsid w:val="00587EE4"/>
    <w:rsid w:val="005910B5"/>
    <w:rsid w:val="005A6118"/>
    <w:rsid w:val="005A64DA"/>
    <w:rsid w:val="005B446E"/>
    <w:rsid w:val="005C1D83"/>
    <w:rsid w:val="005E650E"/>
    <w:rsid w:val="0062203F"/>
    <w:rsid w:val="00622D77"/>
    <w:rsid w:val="00627F34"/>
    <w:rsid w:val="00636B18"/>
    <w:rsid w:val="00637CA1"/>
    <w:rsid w:val="00640B0C"/>
    <w:rsid w:val="00647CDD"/>
    <w:rsid w:val="00653B88"/>
    <w:rsid w:val="00662334"/>
    <w:rsid w:val="0066617F"/>
    <w:rsid w:val="00674A16"/>
    <w:rsid w:val="00691E10"/>
    <w:rsid w:val="0069216F"/>
    <w:rsid w:val="00693DF6"/>
    <w:rsid w:val="006A0481"/>
    <w:rsid w:val="006A1B4A"/>
    <w:rsid w:val="006C653F"/>
    <w:rsid w:val="006F7DFC"/>
    <w:rsid w:val="00704AF2"/>
    <w:rsid w:val="0070776C"/>
    <w:rsid w:val="00710E68"/>
    <w:rsid w:val="00714BA0"/>
    <w:rsid w:val="00725B82"/>
    <w:rsid w:val="007269B6"/>
    <w:rsid w:val="00726E7A"/>
    <w:rsid w:val="0073294A"/>
    <w:rsid w:val="00732E52"/>
    <w:rsid w:val="00736607"/>
    <w:rsid w:val="00752801"/>
    <w:rsid w:val="00762003"/>
    <w:rsid w:val="00783F10"/>
    <w:rsid w:val="00784935"/>
    <w:rsid w:val="00785118"/>
    <w:rsid w:val="00785C47"/>
    <w:rsid w:val="00786BEB"/>
    <w:rsid w:val="007A403E"/>
    <w:rsid w:val="007A75EA"/>
    <w:rsid w:val="007B710F"/>
    <w:rsid w:val="007C2536"/>
    <w:rsid w:val="007C77DD"/>
    <w:rsid w:val="007E3EA6"/>
    <w:rsid w:val="007F04AB"/>
    <w:rsid w:val="007F7DC4"/>
    <w:rsid w:val="00803AE3"/>
    <w:rsid w:val="008042E1"/>
    <w:rsid w:val="00804D63"/>
    <w:rsid w:val="00806B9D"/>
    <w:rsid w:val="00812777"/>
    <w:rsid w:val="00817508"/>
    <w:rsid w:val="008230FA"/>
    <w:rsid w:val="00835380"/>
    <w:rsid w:val="00840136"/>
    <w:rsid w:val="0084129E"/>
    <w:rsid w:val="00843390"/>
    <w:rsid w:val="00846373"/>
    <w:rsid w:val="00846ECB"/>
    <w:rsid w:val="008501C6"/>
    <w:rsid w:val="0085626F"/>
    <w:rsid w:val="008568AE"/>
    <w:rsid w:val="00860590"/>
    <w:rsid w:val="00861316"/>
    <w:rsid w:val="008614E8"/>
    <w:rsid w:val="00867EDF"/>
    <w:rsid w:val="008734D7"/>
    <w:rsid w:val="00875F0D"/>
    <w:rsid w:val="00877414"/>
    <w:rsid w:val="008825E7"/>
    <w:rsid w:val="008A03B7"/>
    <w:rsid w:val="008C2197"/>
    <w:rsid w:val="008C3493"/>
    <w:rsid w:val="008D11A6"/>
    <w:rsid w:val="008D1F7B"/>
    <w:rsid w:val="008D2D64"/>
    <w:rsid w:val="008E21BE"/>
    <w:rsid w:val="00902E07"/>
    <w:rsid w:val="00913B1B"/>
    <w:rsid w:val="00927861"/>
    <w:rsid w:val="0094148C"/>
    <w:rsid w:val="00942635"/>
    <w:rsid w:val="00947783"/>
    <w:rsid w:val="00954FE8"/>
    <w:rsid w:val="0096376D"/>
    <w:rsid w:val="00967866"/>
    <w:rsid w:val="009726E0"/>
    <w:rsid w:val="00977647"/>
    <w:rsid w:val="00984FC8"/>
    <w:rsid w:val="00990822"/>
    <w:rsid w:val="00992936"/>
    <w:rsid w:val="009A058A"/>
    <w:rsid w:val="009B26EC"/>
    <w:rsid w:val="009C4A31"/>
    <w:rsid w:val="009C6BF4"/>
    <w:rsid w:val="009E00C2"/>
    <w:rsid w:val="009F6FD2"/>
    <w:rsid w:val="009F78D3"/>
    <w:rsid w:val="00A13AA1"/>
    <w:rsid w:val="00A31F37"/>
    <w:rsid w:val="00A4732A"/>
    <w:rsid w:val="00A52C29"/>
    <w:rsid w:val="00A53727"/>
    <w:rsid w:val="00A57D26"/>
    <w:rsid w:val="00A7166B"/>
    <w:rsid w:val="00A71B4C"/>
    <w:rsid w:val="00A72DEB"/>
    <w:rsid w:val="00A816B8"/>
    <w:rsid w:val="00A83BA0"/>
    <w:rsid w:val="00A84F18"/>
    <w:rsid w:val="00A85045"/>
    <w:rsid w:val="00A90A8D"/>
    <w:rsid w:val="00A90FF9"/>
    <w:rsid w:val="00A95738"/>
    <w:rsid w:val="00A97B7D"/>
    <w:rsid w:val="00AA009A"/>
    <w:rsid w:val="00AA2252"/>
    <w:rsid w:val="00AA4825"/>
    <w:rsid w:val="00AB33E1"/>
    <w:rsid w:val="00AB4C6A"/>
    <w:rsid w:val="00AC1C3B"/>
    <w:rsid w:val="00AC25BF"/>
    <w:rsid w:val="00AC4214"/>
    <w:rsid w:val="00AC6E70"/>
    <w:rsid w:val="00AD1646"/>
    <w:rsid w:val="00AD7AB4"/>
    <w:rsid w:val="00AE60B8"/>
    <w:rsid w:val="00AF038B"/>
    <w:rsid w:val="00AF78FA"/>
    <w:rsid w:val="00AF7A04"/>
    <w:rsid w:val="00B078F6"/>
    <w:rsid w:val="00B26045"/>
    <w:rsid w:val="00B44C55"/>
    <w:rsid w:val="00B46A95"/>
    <w:rsid w:val="00B5114C"/>
    <w:rsid w:val="00B5123C"/>
    <w:rsid w:val="00B544C2"/>
    <w:rsid w:val="00B5566F"/>
    <w:rsid w:val="00B630A6"/>
    <w:rsid w:val="00B70CC4"/>
    <w:rsid w:val="00B829F9"/>
    <w:rsid w:val="00BB02DE"/>
    <w:rsid w:val="00BB371A"/>
    <w:rsid w:val="00BD5E06"/>
    <w:rsid w:val="00BD7B25"/>
    <w:rsid w:val="00BE1AFF"/>
    <w:rsid w:val="00BF1603"/>
    <w:rsid w:val="00BF74E9"/>
    <w:rsid w:val="00C033FA"/>
    <w:rsid w:val="00C247CB"/>
    <w:rsid w:val="00C26971"/>
    <w:rsid w:val="00C300A8"/>
    <w:rsid w:val="00C32D18"/>
    <w:rsid w:val="00C360BD"/>
    <w:rsid w:val="00C476E1"/>
    <w:rsid w:val="00C52E77"/>
    <w:rsid w:val="00C566B3"/>
    <w:rsid w:val="00C65249"/>
    <w:rsid w:val="00C67B32"/>
    <w:rsid w:val="00C72007"/>
    <w:rsid w:val="00C75C83"/>
    <w:rsid w:val="00C80F5D"/>
    <w:rsid w:val="00C837BA"/>
    <w:rsid w:val="00C95346"/>
    <w:rsid w:val="00CA3B23"/>
    <w:rsid w:val="00CA62F6"/>
    <w:rsid w:val="00CB0C1D"/>
    <w:rsid w:val="00CC055F"/>
    <w:rsid w:val="00CC5AA2"/>
    <w:rsid w:val="00CC721A"/>
    <w:rsid w:val="00CD0963"/>
    <w:rsid w:val="00CD5C71"/>
    <w:rsid w:val="00CE3D42"/>
    <w:rsid w:val="00CE53E6"/>
    <w:rsid w:val="00CE53F7"/>
    <w:rsid w:val="00CE66B6"/>
    <w:rsid w:val="00CF539A"/>
    <w:rsid w:val="00CF6131"/>
    <w:rsid w:val="00D06EAA"/>
    <w:rsid w:val="00D36733"/>
    <w:rsid w:val="00D471B5"/>
    <w:rsid w:val="00D471C4"/>
    <w:rsid w:val="00D571DB"/>
    <w:rsid w:val="00D6774D"/>
    <w:rsid w:val="00D75191"/>
    <w:rsid w:val="00D76195"/>
    <w:rsid w:val="00D80929"/>
    <w:rsid w:val="00D85254"/>
    <w:rsid w:val="00D92FCF"/>
    <w:rsid w:val="00DA0D4D"/>
    <w:rsid w:val="00DC1D2F"/>
    <w:rsid w:val="00DC4FFC"/>
    <w:rsid w:val="00DE2DB4"/>
    <w:rsid w:val="00DE79F7"/>
    <w:rsid w:val="00DF1D9B"/>
    <w:rsid w:val="00DF6BE4"/>
    <w:rsid w:val="00DF75D9"/>
    <w:rsid w:val="00E157BC"/>
    <w:rsid w:val="00E20744"/>
    <w:rsid w:val="00E414EC"/>
    <w:rsid w:val="00E50E4A"/>
    <w:rsid w:val="00E56C3F"/>
    <w:rsid w:val="00E650D0"/>
    <w:rsid w:val="00E76334"/>
    <w:rsid w:val="00E91F5F"/>
    <w:rsid w:val="00EB12DD"/>
    <w:rsid w:val="00EB153E"/>
    <w:rsid w:val="00EB1F94"/>
    <w:rsid w:val="00EB57EB"/>
    <w:rsid w:val="00EC14D1"/>
    <w:rsid w:val="00EC4F9E"/>
    <w:rsid w:val="00ED1311"/>
    <w:rsid w:val="00ED50CF"/>
    <w:rsid w:val="00F1152F"/>
    <w:rsid w:val="00F207B3"/>
    <w:rsid w:val="00F308EE"/>
    <w:rsid w:val="00F50D62"/>
    <w:rsid w:val="00F5486B"/>
    <w:rsid w:val="00F62BC4"/>
    <w:rsid w:val="00F658E0"/>
    <w:rsid w:val="00F6686D"/>
    <w:rsid w:val="00F81783"/>
    <w:rsid w:val="00F859B7"/>
    <w:rsid w:val="00F877B4"/>
    <w:rsid w:val="00FB0924"/>
    <w:rsid w:val="00FB2D67"/>
    <w:rsid w:val="00FB3DBC"/>
    <w:rsid w:val="00FC1C44"/>
    <w:rsid w:val="00FC21EA"/>
    <w:rsid w:val="00FC60DF"/>
    <w:rsid w:val="00FF6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730529"/>
  <w15:chartTrackingRefBased/>
  <w15:docId w15:val="{B642B935-73E5-4B52-AA33-214F8E7FF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6971"/>
    <w:pPr>
      <w:spacing w:before="120" w:after="120"/>
    </w:pPr>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rsid w:val="00255C6B"/>
    <w:pPr>
      <w:spacing w:before="100" w:beforeAutospacing="1" w:after="100" w:afterAutospacing="1"/>
    </w:pPr>
  </w:style>
  <w:style w:type="paragraph" w:customStyle="1" w:styleId="Dotbullet">
    <w:name w:val="Dot bullet"/>
    <w:basedOn w:val="Normal"/>
    <w:rsid w:val="00725B82"/>
    <w:pPr>
      <w:widowControl w:val="0"/>
      <w:numPr>
        <w:numId w:val="5"/>
      </w:numPr>
      <w:tabs>
        <w:tab w:val="clear" w:pos="360"/>
        <w:tab w:val="num" w:pos="720"/>
      </w:tabs>
      <w:ind w:left="720"/>
    </w:pPr>
    <w:rPr>
      <w:snapToGrid w:val="0"/>
      <w:szCs w:val="20"/>
    </w:rPr>
  </w:style>
  <w:style w:type="character" w:customStyle="1" w:styleId="Heading2Char">
    <w:name w:val="Heading 2 Char"/>
    <w:link w:val="Heading2"/>
    <w:semiHidden/>
    <w:locked/>
    <w:rsid w:val="00AD7AB4"/>
    <w:rPr>
      <w:rFonts w:ascii="Arial" w:hAnsi="Arial" w:cs="Arial"/>
      <w:b/>
      <w:bCs/>
      <w:i/>
      <w:iCs/>
      <w:sz w:val="28"/>
      <w:szCs w:val="28"/>
      <w:lang w:val="en-US" w:eastAsia="en-US" w:bidi="ar-SA"/>
    </w:rPr>
  </w:style>
  <w:style w:type="character" w:styleId="PageNumber">
    <w:name w:val="page number"/>
    <w:basedOn w:val="DefaultParagraphFont"/>
    <w:rsid w:val="00C32D18"/>
  </w:style>
  <w:style w:type="paragraph" w:styleId="TOC2">
    <w:name w:val="toc 2"/>
    <w:basedOn w:val="Normal"/>
    <w:next w:val="Normal"/>
    <w:autoRedefine/>
    <w:uiPriority w:val="39"/>
    <w:rsid w:val="0058134F"/>
    <w:rPr>
      <w:color w:val="0000FF"/>
      <w:u w:val="single"/>
    </w:rPr>
  </w:style>
  <w:style w:type="character" w:styleId="UnresolvedMention">
    <w:name w:val="Unresolved Mention"/>
    <w:basedOn w:val="DefaultParagraphFont"/>
    <w:uiPriority w:val="99"/>
    <w:semiHidden/>
    <w:unhideWhenUsed/>
    <w:rsid w:val="00984FC8"/>
    <w:rPr>
      <w:color w:val="605E5C"/>
      <w:shd w:val="clear" w:color="auto" w:fill="E1DFDD"/>
    </w:rPr>
  </w:style>
  <w:style w:type="paragraph" w:styleId="Revision">
    <w:name w:val="Revision"/>
    <w:hidden/>
    <w:uiPriority w:val="99"/>
    <w:semiHidden/>
    <w:rsid w:val="0030258D"/>
    <w:rPr>
      <w:rFonts w:ascii="Verdana" w:hAnsi="Verdana"/>
      <w:sz w:val="24"/>
      <w:szCs w:val="24"/>
    </w:rPr>
  </w:style>
  <w:style w:type="character" w:styleId="CommentReference">
    <w:name w:val="annotation reference"/>
    <w:basedOn w:val="DefaultParagraphFont"/>
    <w:rsid w:val="0030258D"/>
    <w:rPr>
      <w:sz w:val="16"/>
      <w:szCs w:val="16"/>
    </w:rPr>
  </w:style>
  <w:style w:type="paragraph" w:styleId="CommentText">
    <w:name w:val="annotation text"/>
    <w:basedOn w:val="Normal"/>
    <w:link w:val="CommentTextChar"/>
    <w:rsid w:val="0030258D"/>
    <w:rPr>
      <w:sz w:val="20"/>
      <w:szCs w:val="20"/>
    </w:rPr>
  </w:style>
  <w:style w:type="character" w:customStyle="1" w:styleId="CommentTextChar">
    <w:name w:val="Comment Text Char"/>
    <w:basedOn w:val="DefaultParagraphFont"/>
    <w:link w:val="CommentText"/>
    <w:rsid w:val="0030258D"/>
    <w:rPr>
      <w:rFonts w:ascii="Verdana" w:hAnsi="Verdana"/>
    </w:rPr>
  </w:style>
  <w:style w:type="paragraph" w:styleId="CommentSubject">
    <w:name w:val="annotation subject"/>
    <w:basedOn w:val="CommentText"/>
    <w:next w:val="CommentText"/>
    <w:link w:val="CommentSubjectChar"/>
    <w:rsid w:val="0030258D"/>
    <w:rPr>
      <w:b/>
      <w:bCs/>
    </w:rPr>
  </w:style>
  <w:style w:type="character" w:customStyle="1" w:styleId="CommentSubjectChar">
    <w:name w:val="Comment Subject Char"/>
    <w:basedOn w:val="CommentTextChar"/>
    <w:link w:val="CommentSubject"/>
    <w:rsid w:val="0030258D"/>
    <w:rPr>
      <w:rFonts w:ascii="Verdana" w:hAnsi="Verdana"/>
      <w:b/>
      <w:bCs/>
    </w:rPr>
  </w:style>
  <w:style w:type="character" w:styleId="Mention">
    <w:name w:val="Mention"/>
    <w:basedOn w:val="DefaultParagraphFont"/>
    <w:uiPriority w:val="99"/>
    <w:unhideWhenUsed/>
    <w:rsid w:val="0030258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78263119">
      <w:bodyDiv w:val="1"/>
      <w:marLeft w:val="0"/>
      <w:marRight w:val="0"/>
      <w:marTop w:val="0"/>
      <w:marBottom w:val="0"/>
      <w:divBdr>
        <w:top w:val="none" w:sz="0" w:space="0" w:color="auto"/>
        <w:left w:val="none" w:sz="0" w:space="0" w:color="auto"/>
        <w:bottom w:val="none" w:sz="0" w:space="0" w:color="auto"/>
        <w:right w:val="none" w:sz="0" w:space="0" w:color="auto"/>
      </w:divBdr>
    </w:div>
    <w:div w:id="1063067771">
      <w:bodyDiv w:val="1"/>
      <w:marLeft w:val="0"/>
      <w:marRight w:val="0"/>
      <w:marTop w:val="0"/>
      <w:marBottom w:val="0"/>
      <w:divBdr>
        <w:top w:val="none" w:sz="0" w:space="0" w:color="auto"/>
        <w:left w:val="none" w:sz="0" w:space="0" w:color="auto"/>
        <w:bottom w:val="none" w:sz="0" w:space="0" w:color="auto"/>
        <w:right w:val="none" w:sz="0" w:space="0" w:color="auto"/>
      </w:divBdr>
    </w:div>
    <w:div w:id="1082945819">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331640898">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88208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hyperlink" Target="https://policy.corp.cvscaremark.com/pnp/faces/DocRenderer?documentId=CALL-0049"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05b4efb-3be6-4b39-a776-8a7d43adc0ca">
      <Terms xmlns="http://schemas.microsoft.com/office/infopath/2007/PartnerControls"/>
    </lcf76f155ced4ddcb4097134ff3c332f>
    <TaxCatchAll xmlns="c3b1ca30-2eb1-4a7b-bdb7-8ec24a26985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CB49505AAF66544B3991E59A726D05A" ma:contentTypeVersion="13" ma:contentTypeDescription="Create a new document." ma:contentTypeScope="" ma:versionID="c82a4c7a2de90141a70b338a4045ba53">
  <xsd:schema xmlns:xsd="http://www.w3.org/2001/XMLSchema" xmlns:xs="http://www.w3.org/2001/XMLSchema" xmlns:p="http://schemas.microsoft.com/office/2006/metadata/properties" xmlns:ns2="105b4efb-3be6-4b39-a776-8a7d43adc0ca" xmlns:ns3="c3b1ca30-2eb1-4a7b-bdb7-8ec24a269858" targetNamespace="http://schemas.microsoft.com/office/2006/metadata/properties" ma:root="true" ma:fieldsID="5ae03433158953222c8205a2ce6981a3" ns2:_="" ns3:_="">
    <xsd:import namespace="105b4efb-3be6-4b39-a776-8a7d43adc0ca"/>
    <xsd:import namespace="c3b1ca30-2eb1-4a7b-bdb7-8ec24a26985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5b4efb-3be6-4b39-a776-8a7d43adc0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b1ca30-2eb1-4a7b-bdb7-8ec24a2698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a3c050b-2e66-47aa-9da7-d15fa225ee29}" ma:internalName="TaxCatchAll" ma:showField="CatchAllData" ma:web="c3b1ca30-2eb1-4a7b-bdb7-8ec24a2698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A8811A-2112-4D07-8ED7-027698AAF0FA}">
  <ds:schemaRefs>
    <ds:schemaRef ds:uri="http://schemas.openxmlformats.org/officeDocument/2006/bibliography"/>
  </ds:schemaRefs>
</ds:datastoreItem>
</file>

<file path=customXml/itemProps2.xml><?xml version="1.0" encoding="utf-8"?>
<ds:datastoreItem xmlns:ds="http://schemas.openxmlformats.org/officeDocument/2006/customXml" ds:itemID="{EAE2CB0C-3491-4A8E-846A-61A5E79E101A}">
  <ds:schemaRefs>
    <ds:schemaRef ds:uri="http://schemas.microsoft.com/office/2006/metadata/properties"/>
    <ds:schemaRef ds:uri="http://schemas.microsoft.com/office/infopath/2007/PartnerControls"/>
    <ds:schemaRef ds:uri="105b4efb-3be6-4b39-a776-8a7d43adc0ca"/>
    <ds:schemaRef ds:uri="c3b1ca30-2eb1-4a7b-bdb7-8ec24a269858"/>
  </ds:schemaRefs>
</ds:datastoreItem>
</file>

<file path=customXml/itemProps3.xml><?xml version="1.0" encoding="utf-8"?>
<ds:datastoreItem xmlns:ds="http://schemas.openxmlformats.org/officeDocument/2006/customXml" ds:itemID="{209CDB93-B700-4D2E-AC01-ED04ECF151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5b4efb-3be6-4b39-a776-8a7d43adc0ca"/>
    <ds:schemaRef ds:uri="c3b1ca30-2eb1-4a7b-bdb7-8ec24a2698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6FEE64-742D-4EFE-A061-FB1A2D5B93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1481</TotalTime>
  <Pages>1</Pages>
  <Words>868</Words>
  <Characters>4951</Characters>
  <Application>Microsoft Office Word</Application>
  <DocSecurity>2</DocSecurity>
  <Lines>41</Lines>
  <Paragraphs>11</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5808</CharactersWithSpaces>
  <SharedDoc>false</SharedDoc>
  <HLinks>
    <vt:vector size="78" baseType="variant">
      <vt:variant>
        <vt:i4>262192</vt:i4>
      </vt:variant>
      <vt:variant>
        <vt:i4>60</vt:i4>
      </vt:variant>
      <vt:variant>
        <vt:i4>0</vt:i4>
      </vt:variant>
      <vt:variant>
        <vt:i4>5</vt:i4>
      </vt:variant>
      <vt:variant>
        <vt:lpwstr/>
      </vt:variant>
      <vt:variant>
        <vt:lpwstr>_top</vt:lpwstr>
      </vt:variant>
      <vt:variant>
        <vt:i4>5242903</vt:i4>
      </vt:variant>
      <vt:variant>
        <vt:i4>57</vt:i4>
      </vt:variant>
      <vt:variant>
        <vt:i4>0</vt:i4>
      </vt:variant>
      <vt:variant>
        <vt:i4>5</vt:i4>
      </vt:variant>
      <vt:variant>
        <vt:lpwstr>CMS-2-017428</vt:lpwstr>
      </vt:variant>
      <vt:variant>
        <vt:lpwstr/>
      </vt:variant>
      <vt:variant>
        <vt:i4>8323159</vt:i4>
      </vt:variant>
      <vt:variant>
        <vt:i4>54</vt:i4>
      </vt:variant>
      <vt:variant>
        <vt:i4>0</vt:i4>
      </vt:variant>
      <vt:variant>
        <vt:i4>5</vt:i4>
      </vt:variant>
      <vt:variant>
        <vt:lpwstr>C:\Users\UJ30FJ4\Desktop\Native Files\Customer Care\Subcommittee Review\cMS-2-017428</vt:lpwstr>
      </vt:variant>
      <vt:variant>
        <vt:lpwstr/>
      </vt:variant>
      <vt:variant>
        <vt:i4>2424887</vt:i4>
      </vt:variant>
      <vt:variant>
        <vt:i4>51</vt:i4>
      </vt:variant>
      <vt:variant>
        <vt:i4>0</vt:i4>
      </vt:variant>
      <vt:variant>
        <vt:i4>5</vt:i4>
      </vt:variant>
      <vt:variant>
        <vt:lpwstr>https://policy.corp.cvscaremark.com/pnp/faces/DocRenderer?documentId=CALL-0049</vt:lpwstr>
      </vt:variant>
      <vt:variant>
        <vt:lpwstr/>
      </vt:variant>
      <vt:variant>
        <vt:i4>262192</vt:i4>
      </vt:variant>
      <vt:variant>
        <vt:i4>48</vt:i4>
      </vt:variant>
      <vt:variant>
        <vt:i4>0</vt:i4>
      </vt:variant>
      <vt:variant>
        <vt:i4>5</vt:i4>
      </vt:variant>
      <vt:variant>
        <vt:lpwstr/>
      </vt:variant>
      <vt:variant>
        <vt:lpwstr>_top</vt:lpwstr>
      </vt:variant>
      <vt:variant>
        <vt:i4>262192</vt:i4>
      </vt:variant>
      <vt:variant>
        <vt:i4>24</vt:i4>
      </vt:variant>
      <vt:variant>
        <vt:i4>0</vt:i4>
      </vt:variant>
      <vt:variant>
        <vt:i4>5</vt:i4>
      </vt:variant>
      <vt:variant>
        <vt:lpwstr/>
      </vt:variant>
      <vt:variant>
        <vt:lpwstr>_top</vt:lpwstr>
      </vt:variant>
      <vt:variant>
        <vt:i4>262192</vt:i4>
      </vt:variant>
      <vt:variant>
        <vt:i4>21</vt:i4>
      </vt:variant>
      <vt:variant>
        <vt:i4>0</vt:i4>
      </vt:variant>
      <vt:variant>
        <vt:i4>5</vt:i4>
      </vt:variant>
      <vt:variant>
        <vt:lpwstr/>
      </vt:variant>
      <vt:variant>
        <vt:lpwstr>_top</vt:lpwstr>
      </vt:variant>
      <vt:variant>
        <vt:i4>262192</vt:i4>
      </vt:variant>
      <vt:variant>
        <vt:i4>18</vt:i4>
      </vt:variant>
      <vt:variant>
        <vt:i4>0</vt:i4>
      </vt:variant>
      <vt:variant>
        <vt:i4>5</vt:i4>
      </vt:variant>
      <vt:variant>
        <vt:lpwstr/>
      </vt:variant>
      <vt:variant>
        <vt:lpwstr>_top</vt:lpwstr>
      </vt:variant>
      <vt:variant>
        <vt:i4>1507379</vt:i4>
      </vt:variant>
      <vt:variant>
        <vt:i4>14</vt:i4>
      </vt:variant>
      <vt:variant>
        <vt:i4>0</vt:i4>
      </vt:variant>
      <vt:variant>
        <vt:i4>5</vt:i4>
      </vt:variant>
      <vt:variant>
        <vt:lpwstr/>
      </vt:variant>
      <vt:variant>
        <vt:lpwstr>_Toc20212514</vt:lpwstr>
      </vt:variant>
      <vt:variant>
        <vt:i4>1048627</vt:i4>
      </vt:variant>
      <vt:variant>
        <vt:i4>11</vt:i4>
      </vt:variant>
      <vt:variant>
        <vt:i4>0</vt:i4>
      </vt:variant>
      <vt:variant>
        <vt:i4>5</vt:i4>
      </vt:variant>
      <vt:variant>
        <vt:lpwstr/>
      </vt:variant>
      <vt:variant>
        <vt:lpwstr>_Toc20212513</vt:lpwstr>
      </vt:variant>
      <vt:variant>
        <vt:i4>1114163</vt:i4>
      </vt:variant>
      <vt:variant>
        <vt:i4>8</vt:i4>
      </vt:variant>
      <vt:variant>
        <vt:i4>0</vt:i4>
      </vt:variant>
      <vt:variant>
        <vt:i4>5</vt:i4>
      </vt:variant>
      <vt:variant>
        <vt:lpwstr/>
      </vt:variant>
      <vt:variant>
        <vt:lpwstr>_Toc20212512</vt:lpwstr>
      </vt:variant>
      <vt:variant>
        <vt:i4>1179699</vt:i4>
      </vt:variant>
      <vt:variant>
        <vt:i4>5</vt:i4>
      </vt:variant>
      <vt:variant>
        <vt:i4>0</vt:i4>
      </vt:variant>
      <vt:variant>
        <vt:i4>5</vt:i4>
      </vt:variant>
      <vt:variant>
        <vt:lpwstr/>
      </vt:variant>
      <vt:variant>
        <vt:lpwstr>_Toc20212511</vt:lpwstr>
      </vt:variant>
      <vt:variant>
        <vt:i4>1245235</vt:i4>
      </vt:variant>
      <vt:variant>
        <vt:i4>2</vt:i4>
      </vt:variant>
      <vt:variant>
        <vt:i4>0</vt:i4>
      </vt:variant>
      <vt:variant>
        <vt:i4>5</vt:i4>
      </vt:variant>
      <vt:variant>
        <vt:lpwstr/>
      </vt:variant>
      <vt:variant>
        <vt:lpwstr>_Toc20212510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dc:description/>
  <cp:lastModifiedBy>Shirey, Keith W</cp:lastModifiedBy>
  <cp:revision>6</cp:revision>
  <cp:lastPrinted>2007-01-03T16:56:00Z</cp:lastPrinted>
  <dcterms:created xsi:type="dcterms:W3CDTF">2024-09-24T12:17:00Z</dcterms:created>
  <dcterms:modified xsi:type="dcterms:W3CDTF">2024-09-25T12:52:00Z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2022-06-08T11:55:21Z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b5670439-d285-484c-ae7a-9ee6275d23d9</vt:lpwstr>
  </property>
  <property fmtid="{D5CDD505-2E9C-101B-9397-08002B2CF9AE}" pid="8" name="MSIP_Label_67599526-06ca-49cc-9fa9-5307800a949a_ContentBits">
    <vt:lpwstr>0</vt:lpwstr>
  </property>
  <property fmtid="{D5CDD505-2E9C-101B-9397-08002B2CF9AE}" pid="9" name="ContentTypeId">
    <vt:lpwstr>0x010100ACB49505AAF66544B3991E59A726D05A</vt:lpwstr>
  </property>
  <property fmtid="{D5CDD505-2E9C-101B-9397-08002B2CF9AE}" pid="10" name="MediaServiceImageTags">
    <vt:lpwstr/>
  </property>
</Properties>
</file>