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7DFF" w14:textId="77777777" w:rsidR="00255C6B" w:rsidRPr="0058134F" w:rsidRDefault="00302558" w:rsidP="00D34DC7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Targeted Generic Alternative Messaging (TGAM)</w:t>
      </w:r>
      <w:r w:rsidRPr="008924D8">
        <w:rPr>
          <w:rFonts w:ascii="Verdana" w:hAnsi="Verdana"/>
          <w:color w:val="000000"/>
          <w:sz w:val="36"/>
          <w:szCs w:val="36"/>
        </w:rPr>
        <w:t xml:space="preserve"> </w:t>
      </w:r>
      <w:r w:rsidR="000C0376">
        <w:rPr>
          <w:rFonts w:ascii="Verdana" w:hAnsi="Verdana"/>
          <w:color w:val="000000"/>
          <w:sz w:val="36"/>
          <w:szCs w:val="36"/>
        </w:rPr>
        <w:t>– Overcoming Objections</w:t>
      </w:r>
    </w:p>
    <w:p w14:paraId="17921B9F" w14:textId="77777777" w:rsidR="006A1BFF" w:rsidRDefault="006A1BFF" w:rsidP="00D34DC7">
      <w:pPr>
        <w:pStyle w:val="TOC2"/>
        <w:tabs>
          <w:tab w:val="right" w:leader="dot" w:pos="12950"/>
        </w:tabs>
        <w:spacing w:before="120" w:after="120"/>
        <w:rPr>
          <w:rFonts w:cs="Arial"/>
          <w:bCs/>
          <w:color w:val="333333"/>
        </w:rPr>
      </w:pPr>
    </w:p>
    <w:p w14:paraId="53D6D6CA" w14:textId="77777777" w:rsidR="00D34DC7" w:rsidRPr="00D34DC7" w:rsidRDefault="00D34DC7" w:rsidP="00D34DC7"/>
    <w:p w14:paraId="55275354" w14:textId="2921FA75" w:rsidR="00247BCE" w:rsidRPr="000816BC" w:rsidRDefault="00652663" w:rsidP="00D34DC7">
      <w:pPr>
        <w:pStyle w:val="TOC2"/>
        <w:tabs>
          <w:tab w:val="right" w:leader="dot" w:pos="12950"/>
        </w:tabs>
        <w:spacing w:before="120" w:after="120"/>
        <w:contextualSpacing/>
        <w:rPr>
          <w:rFonts w:ascii="Calibri" w:hAnsi="Calibri"/>
          <w:noProof/>
          <w:color w:val="auto"/>
          <w:sz w:val="22"/>
          <w:szCs w:val="22"/>
          <w:u w:val="none"/>
        </w:rPr>
      </w:pPr>
      <w:r>
        <w:rPr>
          <w:rFonts w:cs="Arial"/>
          <w:bCs/>
          <w:color w:val="333333"/>
        </w:rPr>
        <w:fldChar w:fldCharType="begin"/>
      </w:r>
      <w:r>
        <w:rPr>
          <w:rFonts w:cs="Arial"/>
          <w:bCs/>
          <w:color w:val="333333"/>
        </w:rPr>
        <w:instrText xml:space="preserve"> TOC \o "2-2" \n \h \z \u </w:instrText>
      </w:r>
      <w:r>
        <w:rPr>
          <w:rFonts w:cs="Arial"/>
          <w:bCs/>
          <w:color w:val="333333"/>
        </w:rPr>
        <w:fldChar w:fldCharType="separate"/>
      </w:r>
      <w:hyperlink w:anchor="_Toc82083400" w:history="1">
        <w:r w:rsidR="00247BCE" w:rsidRPr="00D114AE">
          <w:rPr>
            <w:rStyle w:val="Hyperlink"/>
            <w:noProof/>
          </w:rPr>
          <w:t>Objections: Generic Drugs are Not as Effective as Brand Drugs</w:t>
        </w:r>
      </w:hyperlink>
    </w:p>
    <w:p w14:paraId="60B4A284" w14:textId="77777777" w:rsidR="00247BCE" w:rsidRPr="000816BC" w:rsidRDefault="00000000" w:rsidP="00D34DC7">
      <w:pPr>
        <w:pStyle w:val="TOC2"/>
        <w:tabs>
          <w:tab w:val="right" w:leader="dot" w:pos="12950"/>
        </w:tabs>
        <w:spacing w:before="120" w:after="120"/>
        <w:contextualSpacing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82083401" w:history="1">
        <w:r w:rsidR="00247BCE" w:rsidRPr="00D114AE">
          <w:rPr>
            <w:rStyle w:val="Hyperlink"/>
            <w:noProof/>
          </w:rPr>
          <w:t>Objections: Generic Alternative Drug is Not the Same Drug</w:t>
        </w:r>
      </w:hyperlink>
    </w:p>
    <w:p w14:paraId="0CCB9C77" w14:textId="77777777" w:rsidR="00247BCE" w:rsidRPr="000816BC" w:rsidRDefault="00000000" w:rsidP="00D34DC7">
      <w:pPr>
        <w:pStyle w:val="TOC2"/>
        <w:tabs>
          <w:tab w:val="right" w:leader="dot" w:pos="12950"/>
        </w:tabs>
        <w:spacing w:before="120" w:after="120"/>
        <w:contextualSpacing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82083402" w:history="1">
        <w:r w:rsidR="00247BCE" w:rsidRPr="00D114AE">
          <w:rPr>
            <w:rStyle w:val="Hyperlink"/>
            <w:noProof/>
          </w:rPr>
          <w:t>Related Documents</w:t>
        </w:r>
      </w:hyperlink>
    </w:p>
    <w:p w14:paraId="1B19DA96" w14:textId="7A3E3407" w:rsidR="00DC795D" w:rsidRDefault="00652663" w:rsidP="00D34DC7">
      <w:p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fldChar w:fldCharType="end"/>
      </w:r>
    </w:p>
    <w:p w14:paraId="0DDDEB95" w14:textId="77777777" w:rsidR="00D34DC7" w:rsidRDefault="00D34DC7" w:rsidP="00D34DC7">
      <w:pPr>
        <w:spacing w:before="120" w:after="120"/>
        <w:rPr>
          <w:rFonts w:cs="Arial"/>
          <w:bCs/>
          <w:color w:val="333333"/>
        </w:rPr>
      </w:pPr>
    </w:p>
    <w:p w14:paraId="2CF4D670" w14:textId="6722E000" w:rsidR="00D608B4" w:rsidRDefault="00247BCE" w:rsidP="00D34DC7">
      <w:pPr>
        <w:spacing w:before="120" w:after="120"/>
        <w:textAlignment w:val="top"/>
        <w:rPr>
          <w:rFonts w:cs="Arial"/>
          <w:bCs/>
          <w:color w:val="333333"/>
        </w:rPr>
      </w:pPr>
      <w:r w:rsidRPr="00247BCE">
        <w:rPr>
          <w:rFonts w:cs="Arial"/>
          <w:b/>
          <w:color w:val="333333"/>
        </w:rPr>
        <w:t>Description:</w:t>
      </w:r>
      <w:r>
        <w:rPr>
          <w:rFonts w:cs="Arial"/>
          <w:bCs/>
          <w:color w:val="333333"/>
        </w:rPr>
        <w:t xml:space="preserve">  </w:t>
      </w:r>
      <w:r w:rsidR="000A2EB3">
        <w:rPr>
          <w:rFonts w:cs="Arial"/>
          <w:bCs/>
          <w:color w:val="333333"/>
        </w:rPr>
        <w:t>M</w:t>
      </w:r>
      <w:r w:rsidR="007904D7">
        <w:rPr>
          <w:rFonts w:cs="Arial"/>
          <w:bCs/>
          <w:color w:val="333333"/>
        </w:rPr>
        <w:t>embers may have objections to generics</w:t>
      </w:r>
      <w:r w:rsidR="00D2007D">
        <w:rPr>
          <w:rFonts w:cs="Arial"/>
          <w:bCs/>
          <w:color w:val="333333"/>
        </w:rPr>
        <w:t xml:space="preserve"> along with</w:t>
      </w:r>
      <w:r w:rsidR="007904D7">
        <w:rPr>
          <w:rFonts w:cs="Arial"/>
          <w:bCs/>
          <w:color w:val="333333"/>
        </w:rPr>
        <w:t xml:space="preserve"> appropriate responses for these objections.</w:t>
      </w:r>
    </w:p>
    <w:p w14:paraId="3C35D475" w14:textId="77777777" w:rsidR="00D768AB" w:rsidRPr="0058134F" w:rsidRDefault="00D768AB" w:rsidP="00D34DC7">
      <w:pPr>
        <w:spacing w:before="120" w:after="120"/>
        <w:textAlignment w:val="top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10AFA94D" w14:textId="77777777" w:rsidTr="00D34DC7">
        <w:tc>
          <w:tcPr>
            <w:tcW w:w="5000" w:type="pct"/>
            <w:shd w:val="clear" w:color="auto" w:fill="BFBFBF" w:themeFill="background1" w:themeFillShade="BF"/>
          </w:tcPr>
          <w:p w14:paraId="47D34FF8" w14:textId="77777777" w:rsidR="00D608B4" w:rsidRPr="0058134F" w:rsidRDefault="00D608B4" w:rsidP="00D34D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Toc387643510"/>
            <w:bookmarkStart w:id="2" w:name="_Toc82083400"/>
            <w:r>
              <w:rPr>
                <w:rFonts w:ascii="Verdana" w:hAnsi="Verdana"/>
                <w:i w:val="0"/>
                <w:iCs w:val="0"/>
              </w:rPr>
              <w:t>Objections</w:t>
            </w:r>
            <w:r w:rsidR="007904D7">
              <w:rPr>
                <w:rFonts w:ascii="Verdana" w:hAnsi="Verdana"/>
                <w:i w:val="0"/>
                <w:iCs w:val="0"/>
              </w:rPr>
              <w:t>: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302558" w:rsidRPr="00302558">
              <w:rPr>
                <w:rFonts w:ascii="Verdana" w:hAnsi="Verdana"/>
                <w:i w:val="0"/>
                <w:iCs w:val="0"/>
              </w:rPr>
              <w:t>Generic</w:t>
            </w:r>
            <w:bookmarkEnd w:id="1"/>
            <w:r w:rsidR="007904D7">
              <w:rPr>
                <w:rFonts w:ascii="Verdana" w:hAnsi="Verdana"/>
                <w:i w:val="0"/>
                <w:iCs w:val="0"/>
              </w:rPr>
              <w:t xml:space="preserve"> Drugs are Not as Effective as Brand D</w:t>
            </w:r>
            <w:r w:rsidR="00302558">
              <w:rPr>
                <w:rFonts w:ascii="Verdana" w:hAnsi="Verdana"/>
                <w:i w:val="0"/>
                <w:iCs w:val="0"/>
              </w:rPr>
              <w:t>rugs</w:t>
            </w:r>
            <w:bookmarkEnd w:id="2"/>
          </w:p>
        </w:tc>
      </w:tr>
    </w:tbl>
    <w:p w14:paraId="3EF3D8A8" w14:textId="77777777" w:rsidR="00D34DC7" w:rsidRDefault="00D34DC7" w:rsidP="00D34DC7">
      <w:pPr>
        <w:spacing w:before="120" w:after="120"/>
        <w:rPr>
          <w:b/>
          <w:bCs/>
        </w:rPr>
      </w:pPr>
    </w:p>
    <w:p w14:paraId="6B1B596C" w14:textId="58DD5ADE" w:rsidR="00D608B4" w:rsidRDefault="009C5183" w:rsidP="00D34DC7">
      <w:pPr>
        <w:spacing w:before="120" w:after="120"/>
      </w:pPr>
      <w:r w:rsidRPr="00D768AB">
        <w:rPr>
          <w:b/>
          <w:bCs/>
        </w:rPr>
        <w:t>Example:</w:t>
      </w:r>
      <w:r>
        <w:t xml:space="preserve">  T</w:t>
      </w:r>
      <w:r w:rsidR="00D608B4">
        <w:t xml:space="preserve">he member is expressing concerns about </w:t>
      </w:r>
      <w:r w:rsidR="00302558">
        <w:t>generics not being as effective as brand drugs</w:t>
      </w:r>
      <w:r w:rsidR="007904D7">
        <w:t>.</w:t>
      </w:r>
      <w:r w:rsidR="00302558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5"/>
        <w:gridCol w:w="9495"/>
      </w:tblGrid>
      <w:tr w:rsidR="008230FA" w:rsidRPr="0058134F" w14:paraId="6B954D67" w14:textId="77777777" w:rsidTr="00D34DC7">
        <w:tc>
          <w:tcPr>
            <w:tcW w:w="1334" w:type="pct"/>
            <w:shd w:val="clear" w:color="auto" w:fill="D9D9D9" w:themeFill="background1" w:themeFillShade="D9"/>
          </w:tcPr>
          <w:p w14:paraId="7969B3CF" w14:textId="77777777" w:rsidR="008230FA" w:rsidRPr="0058134F" w:rsidRDefault="00DC795D" w:rsidP="00D34DC7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Objection</w:t>
            </w:r>
          </w:p>
        </w:tc>
        <w:tc>
          <w:tcPr>
            <w:tcW w:w="3666" w:type="pct"/>
            <w:shd w:val="clear" w:color="auto" w:fill="D9D9D9" w:themeFill="background1" w:themeFillShade="D9"/>
          </w:tcPr>
          <w:p w14:paraId="67240309" w14:textId="77777777" w:rsidR="008230FA" w:rsidRPr="0058134F" w:rsidRDefault="00DC795D" w:rsidP="00D34DC7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Response</w:t>
            </w:r>
          </w:p>
        </w:tc>
      </w:tr>
      <w:tr w:rsidR="008230FA" w:rsidRPr="0058134F" w14:paraId="083516D0" w14:textId="77777777" w:rsidTr="006A1BFF">
        <w:tc>
          <w:tcPr>
            <w:tcW w:w="1334" w:type="pct"/>
          </w:tcPr>
          <w:p w14:paraId="59C76027" w14:textId="0FA789EE" w:rsidR="008230FA" w:rsidRPr="00DC795D" w:rsidRDefault="00302558" w:rsidP="00D34DC7">
            <w:pPr>
              <w:pStyle w:val="Heading4"/>
              <w:spacing w:before="120" w:after="120"/>
            </w:pPr>
            <w:r>
              <w:t xml:space="preserve">Generic drugs </w:t>
            </w:r>
            <w:r w:rsidR="00247BCE">
              <w:t>do not</w:t>
            </w:r>
            <w:r>
              <w:t xml:space="preserve"> work as well as brand drugs</w:t>
            </w:r>
            <w:r w:rsidR="007A2D90">
              <w:t>.</w:t>
            </w:r>
          </w:p>
        </w:tc>
        <w:tc>
          <w:tcPr>
            <w:tcW w:w="3666" w:type="pct"/>
          </w:tcPr>
          <w:p w14:paraId="50C09C32" w14:textId="024BAF16" w:rsidR="008230FA" w:rsidRPr="0058134F" w:rsidRDefault="00302558" w:rsidP="00D34DC7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302558">
              <w:rPr>
                <w:bCs/>
                <w:szCs w:val="28"/>
              </w:rPr>
              <w:t xml:space="preserve">Generics are safe and </w:t>
            </w:r>
            <w:r w:rsidR="00D34DC7" w:rsidRPr="00302558">
              <w:rPr>
                <w:bCs/>
                <w:szCs w:val="28"/>
              </w:rPr>
              <w:t>effective,</w:t>
            </w:r>
            <w:r w:rsidRPr="00302558">
              <w:rPr>
                <w:bCs/>
                <w:szCs w:val="28"/>
              </w:rPr>
              <w:t xml:space="preserve"> and you should discuss your concerns with your doctor</w:t>
            </w:r>
            <w:r w:rsidR="007904D7">
              <w:rPr>
                <w:bCs/>
                <w:szCs w:val="28"/>
              </w:rPr>
              <w:t>.</w:t>
            </w:r>
          </w:p>
        </w:tc>
      </w:tr>
    </w:tbl>
    <w:p w14:paraId="77B8EB92" w14:textId="77777777" w:rsidR="00DC795D" w:rsidRDefault="00DC795D" w:rsidP="00D34DC7">
      <w:pPr>
        <w:spacing w:before="120" w:after="120"/>
      </w:pPr>
    </w:p>
    <w:p w14:paraId="7EFCBA83" w14:textId="17D4EDEE" w:rsidR="00D608B4" w:rsidRPr="0058134F" w:rsidRDefault="00000000" w:rsidP="00D34DC7">
      <w:pPr>
        <w:spacing w:before="120" w:after="120"/>
        <w:jc w:val="right"/>
      </w:pPr>
      <w:hyperlink w:anchor="_top" w:history="1">
        <w:r w:rsidR="003A0E7E" w:rsidRPr="003A0E7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5B52FF98" w14:textId="77777777" w:rsidTr="00F7587A">
        <w:tc>
          <w:tcPr>
            <w:tcW w:w="5000" w:type="pct"/>
            <w:shd w:val="clear" w:color="auto" w:fill="C0C0C0"/>
          </w:tcPr>
          <w:p w14:paraId="408C2422" w14:textId="77777777" w:rsidR="00D608B4" w:rsidRPr="0058134F" w:rsidRDefault="00D608B4" w:rsidP="00D34D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387643511"/>
            <w:bookmarkStart w:id="4" w:name="_Toc522520734"/>
            <w:bookmarkStart w:id="5" w:name="_Toc82083401"/>
            <w:r>
              <w:rPr>
                <w:rFonts w:ascii="Verdana" w:hAnsi="Verdana"/>
                <w:i w:val="0"/>
                <w:iCs w:val="0"/>
              </w:rPr>
              <w:t>Objections</w:t>
            </w:r>
            <w:bookmarkEnd w:id="3"/>
            <w:r w:rsidR="00467598">
              <w:rPr>
                <w:rFonts w:ascii="Verdana" w:hAnsi="Verdana"/>
                <w:i w:val="0"/>
                <w:iCs w:val="0"/>
              </w:rPr>
              <w:t xml:space="preserve">: </w:t>
            </w:r>
            <w:r w:rsidR="007904D7">
              <w:rPr>
                <w:rFonts w:ascii="Verdana" w:hAnsi="Verdana"/>
                <w:i w:val="0"/>
                <w:iCs w:val="0"/>
              </w:rPr>
              <w:t>Generic Alternative Drug is Not the Same D</w:t>
            </w:r>
            <w:r w:rsidR="00302558">
              <w:rPr>
                <w:rFonts w:ascii="Verdana" w:hAnsi="Verdana"/>
                <w:i w:val="0"/>
                <w:iCs w:val="0"/>
              </w:rPr>
              <w:t>rug</w:t>
            </w:r>
            <w:bookmarkEnd w:id="4"/>
            <w:bookmarkEnd w:id="5"/>
            <w:r w:rsidR="00302558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13C2BF7" w14:textId="77777777" w:rsidR="00D34DC7" w:rsidRDefault="00D34DC7" w:rsidP="00D34DC7">
      <w:pPr>
        <w:spacing w:before="120" w:after="120"/>
        <w:rPr>
          <w:b/>
          <w:bCs/>
        </w:rPr>
      </w:pPr>
    </w:p>
    <w:p w14:paraId="00F12FF9" w14:textId="600EC22D" w:rsidR="00302558" w:rsidRPr="00DC795D" w:rsidRDefault="009C5183" w:rsidP="00D34DC7">
      <w:pPr>
        <w:spacing w:before="120" w:after="120"/>
      </w:pPr>
      <w:r w:rsidRPr="00D768AB">
        <w:rPr>
          <w:b/>
          <w:bCs/>
        </w:rPr>
        <w:t>Example</w:t>
      </w:r>
      <w:r w:rsidRPr="00D34DC7">
        <w:rPr>
          <w:b/>
          <w:bCs/>
        </w:rPr>
        <w:t>:</w:t>
      </w:r>
      <w:r>
        <w:t xml:space="preserve">  T</w:t>
      </w:r>
      <w:r w:rsidR="00302558">
        <w:t>he member is expressing concerns about generic alternatives not being the same drug</w:t>
      </w:r>
      <w:r w:rsidR="007904D7">
        <w:t>.</w:t>
      </w:r>
      <w:r w:rsidR="00302558"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5"/>
        <w:gridCol w:w="9495"/>
      </w:tblGrid>
      <w:tr w:rsidR="00DC795D" w:rsidRPr="0058134F" w14:paraId="020131A8" w14:textId="77777777" w:rsidTr="00D34DC7">
        <w:tc>
          <w:tcPr>
            <w:tcW w:w="1334" w:type="pct"/>
            <w:shd w:val="clear" w:color="auto" w:fill="D9D9D9" w:themeFill="background1" w:themeFillShade="D9"/>
          </w:tcPr>
          <w:p w14:paraId="45F00B3B" w14:textId="77777777" w:rsidR="00DC795D" w:rsidRPr="0058134F" w:rsidRDefault="00DC795D" w:rsidP="00D34DC7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Objection</w:t>
            </w:r>
          </w:p>
        </w:tc>
        <w:tc>
          <w:tcPr>
            <w:tcW w:w="3666" w:type="pct"/>
            <w:shd w:val="clear" w:color="auto" w:fill="D9D9D9" w:themeFill="background1" w:themeFillShade="D9"/>
          </w:tcPr>
          <w:p w14:paraId="24EBB811" w14:textId="77777777" w:rsidR="00DC795D" w:rsidRPr="0058134F" w:rsidRDefault="00DC795D" w:rsidP="00D34DC7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Response</w:t>
            </w:r>
          </w:p>
        </w:tc>
      </w:tr>
      <w:tr w:rsidR="0049433E" w:rsidRPr="0058134F" w14:paraId="23930664" w14:textId="77777777" w:rsidTr="006A1BFF">
        <w:trPr>
          <w:trHeight w:val="20"/>
        </w:trPr>
        <w:tc>
          <w:tcPr>
            <w:tcW w:w="1334" w:type="pct"/>
          </w:tcPr>
          <w:p w14:paraId="02DAA678" w14:textId="63C836E9" w:rsidR="0049433E" w:rsidRPr="0049433E" w:rsidRDefault="00302558" w:rsidP="00D34DC7">
            <w:pPr>
              <w:spacing w:before="120" w:after="120"/>
            </w:pPr>
            <w:bookmarkStart w:id="6" w:name="_I_prefer_to"/>
            <w:bookmarkEnd w:id="6"/>
            <w:r>
              <w:t>I do not want to take a different drug; it is not the same</w:t>
            </w:r>
            <w:r w:rsidR="00247BCE">
              <w:t>.</w:t>
            </w:r>
          </w:p>
        </w:tc>
        <w:tc>
          <w:tcPr>
            <w:tcW w:w="3666" w:type="pct"/>
          </w:tcPr>
          <w:p w14:paraId="05C2F739" w14:textId="3E9DA751" w:rsidR="0049433E" w:rsidRPr="0058134F" w:rsidRDefault="00477811" w:rsidP="00D34DC7">
            <w:pPr>
              <w:shd w:val="clear" w:color="auto" w:fill="FFFFFF"/>
              <w:spacing w:before="120" w:after="120" w:line="285" w:lineRule="atLeast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Yes</w:t>
            </w:r>
            <w:r w:rsidR="007A2D90">
              <w:rPr>
                <w:rFonts w:cs="Arial"/>
                <w:bCs/>
                <w:color w:val="333333"/>
              </w:rPr>
              <w:t>,</w:t>
            </w:r>
            <w:r>
              <w:rPr>
                <w:rFonts w:cs="Arial"/>
                <w:bCs/>
                <w:color w:val="333333"/>
              </w:rPr>
              <w:t xml:space="preserve"> it is a different drug</w:t>
            </w:r>
            <w:r w:rsidR="007A2D90">
              <w:rPr>
                <w:rFonts w:cs="Arial"/>
                <w:bCs/>
                <w:color w:val="333333"/>
              </w:rPr>
              <w:t>;</w:t>
            </w:r>
            <w:r>
              <w:rPr>
                <w:rFonts w:cs="Arial"/>
                <w:bCs/>
                <w:color w:val="333333"/>
              </w:rPr>
              <w:t xml:space="preserve"> however, you can still discuss this option with your doctor because the generic alternative is within the same therapeutic drug class and can be prescribed </w:t>
            </w:r>
            <w:r w:rsidR="00A33C84">
              <w:rPr>
                <w:rFonts w:cs="Arial"/>
                <w:bCs/>
                <w:color w:val="333333"/>
              </w:rPr>
              <w:t xml:space="preserve">for </w:t>
            </w:r>
            <w:r>
              <w:rPr>
                <w:rFonts w:cs="Arial"/>
                <w:bCs/>
                <w:color w:val="333333"/>
              </w:rPr>
              <w:t>your condition.  If you like</w:t>
            </w:r>
            <w:r w:rsidR="007A2D90">
              <w:rPr>
                <w:rFonts w:cs="Arial"/>
                <w:bCs/>
                <w:color w:val="333333"/>
              </w:rPr>
              <w:t>,</w:t>
            </w:r>
            <w:r>
              <w:rPr>
                <w:rFonts w:cs="Arial"/>
                <w:bCs/>
                <w:color w:val="333333"/>
              </w:rPr>
              <w:t xml:space="preserve"> you can speak to one of</w:t>
            </w:r>
            <w:r w:rsidR="007A2D90">
              <w:rPr>
                <w:rFonts w:cs="Arial"/>
                <w:bCs/>
                <w:color w:val="333333"/>
              </w:rPr>
              <w:t xml:space="preserve"> our </w:t>
            </w:r>
            <w:r>
              <w:rPr>
                <w:rFonts w:cs="Arial"/>
                <w:bCs/>
                <w:color w:val="333333"/>
              </w:rPr>
              <w:t xml:space="preserve">pharmacists. </w:t>
            </w:r>
          </w:p>
        </w:tc>
      </w:tr>
    </w:tbl>
    <w:p w14:paraId="5A68F2F3" w14:textId="77777777" w:rsidR="00DC795D" w:rsidRDefault="00DC795D" w:rsidP="00D34DC7">
      <w:pPr>
        <w:spacing w:before="120" w:after="120"/>
      </w:pPr>
      <w:bookmarkStart w:id="7" w:name="_I_don’t_want"/>
      <w:bookmarkEnd w:id="7"/>
    </w:p>
    <w:p w14:paraId="55BF5149" w14:textId="5EB886E5" w:rsidR="00652663" w:rsidRPr="0058134F" w:rsidRDefault="00000000" w:rsidP="00D34DC7">
      <w:pPr>
        <w:spacing w:before="120" w:after="120"/>
        <w:jc w:val="right"/>
      </w:pPr>
      <w:hyperlink w:anchor="_top" w:history="1">
        <w:r w:rsidR="003A0E7E" w:rsidRPr="003A0E7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52663" w:rsidRPr="0058134F" w14:paraId="7FF1A5B9" w14:textId="77777777" w:rsidTr="005A6843">
        <w:tc>
          <w:tcPr>
            <w:tcW w:w="5000" w:type="pct"/>
            <w:shd w:val="clear" w:color="auto" w:fill="C0C0C0"/>
          </w:tcPr>
          <w:p w14:paraId="279E5362" w14:textId="77777777" w:rsidR="00652663" w:rsidRPr="0058134F" w:rsidRDefault="0061185C" w:rsidP="00D34D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82083402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652663">
              <w:rPr>
                <w:rFonts w:ascii="Verdana" w:hAnsi="Verdana"/>
                <w:i w:val="0"/>
                <w:iCs w:val="0"/>
              </w:rPr>
              <w:t>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8"/>
          </w:p>
        </w:tc>
      </w:tr>
    </w:tbl>
    <w:p w14:paraId="746FA337" w14:textId="0C944A4B" w:rsidR="0061185C" w:rsidRDefault="00AA48B7" w:rsidP="00D34DC7">
      <w:pPr>
        <w:autoSpaceDE w:val="0"/>
        <w:autoSpaceDN w:val="0"/>
        <w:adjustRightInd w:val="0"/>
        <w:spacing w:before="120" w:after="120"/>
        <w:rPr>
          <w:rFonts w:cs="Verdana"/>
        </w:rPr>
      </w:pPr>
      <w:hyperlink r:id="rId11" w:anchor="!/view?docid=c1f1028b-e42c-4b4f-a4cf-cc0b42c91606" w:history="1">
        <w:r w:rsidR="009B28B9">
          <w:rPr>
            <w:rFonts w:cs="Verdana"/>
            <w:color w:val="0000FF"/>
            <w:u w:val="single"/>
          </w:rPr>
          <w:t>Customer Care Abbreviations, Definitions, and Terms Index</w:t>
        </w:r>
        <w:r w:rsidR="009B28B9">
          <w:rPr>
            <w:rFonts w:cs="Verdana"/>
            <w:color w:val="0000FF"/>
            <w:u w:val="single"/>
          </w:rPr>
          <w:t xml:space="preserve"> </w:t>
        </w:r>
        <w:r w:rsidR="009B28B9">
          <w:rPr>
            <w:rFonts w:cs="Verdana"/>
            <w:color w:val="0000FF"/>
            <w:u w:val="single"/>
          </w:rPr>
          <w:t>(017428)</w:t>
        </w:r>
      </w:hyperlink>
    </w:p>
    <w:p w14:paraId="094308C3" w14:textId="31ED3118" w:rsidR="00652663" w:rsidRPr="004C6742" w:rsidRDefault="00813276" w:rsidP="00D34DC7">
      <w:pPr>
        <w:spacing w:before="120" w:after="120"/>
      </w:pPr>
      <w:r>
        <w:t xml:space="preserve"> </w:t>
      </w:r>
    </w:p>
    <w:p w14:paraId="6BB3CE05" w14:textId="77777777" w:rsidR="003A0E7E" w:rsidRPr="0058134F" w:rsidRDefault="00000000" w:rsidP="00D34DC7">
      <w:pPr>
        <w:spacing w:before="120" w:after="120"/>
        <w:jc w:val="right"/>
      </w:pPr>
      <w:hyperlink w:anchor="_top" w:history="1">
        <w:r w:rsidR="003A0E7E" w:rsidRPr="003A0E7E">
          <w:rPr>
            <w:rStyle w:val="Hyperlink"/>
          </w:rPr>
          <w:t>Top of the Document</w:t>
        </w:r>
      </w:hyperlink>
    </w:p>
    <w:p w14:paraId="6BF383F5" w14:textId="77777777" w:rsidR="007A403E" w:rsidRPr="0058134F" w:rsidRDefault="007A403E" w:rsidP="00D34DC7">
      <w:pPr>
        <w:spacing w:before="120" w:after="120"/>
        <w:jc w:val="right"/>
      </w:pPr>
    </w:p>
    <w:p w14:paraId="781A4ECD" w14:textId="77777777" w:rsidR="00710E68" w:rsidRPr="0058134F" w:rsidRDefault="00710E68" w:rsidP="00D34DC7">
      <w:pPr>
        <w:spacing w:before="120" w:after="120"/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61185C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61185C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61185C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244E17F8" w14:textId="77777777" w:rsidR="00710E68" w:rsidRPr="0058134F" w:rsidRDefault="00710E68" w:rsidP="00D34DC7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62FA448E" w14:textId="77777777" w:rsidR="005A64DA" w:rsidRPr="0058134F" w:rsidRDefault="005A64DA" w:rsidP="00D34DC7">
      <w:pPr>
        <w:spacing w:before="120" w:after="120"/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79EF" w14:textId="77777777" w:rsidR="00EF1732" w:rsidRDefault="00EF1732">
      <w:r>
        <w:separator/>
      </w:r>
    </w:p>
  </w:endnote>
  <w:endnote w:type="continuationSeparator" w:id="0">
    <w:p w14:paraId="5294E3D7" w14:textId="77777777" w:rsidR="00EF1732" w:rsidRDefault="00EF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B04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2D9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1B4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C855" w14:textId="77777777" w:rsidR="00EF1732" w:rsidRDefault="00EF1732">
      <w:r>
        <w:separator/>
      </w:r>
    </w:p>
  </w:footnote>
  <w:footnote w:type="continuationSeparator" w:id="0">
    <w:p w14:paraId="10B24EEF" w14:textId="77777777" w:rsidR="00EF1732" w:rsidRDefault="00EF1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64A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7964332">
    <w:abstractNumId w:val="9"/>
  </w:num>
  <w:num w:numId="2" w16cid:durableId="476800290">
    <w:abstractNumId w:val="3"/>
  </w:num>
  <w:num w:numId="3" w16cid:durableId="1950508951">
    <w:abstractNumId w:val="11"/>
  </w:num>
  <w:num w:numId="4" w16cid:durableId="304698379">
    <w:abstractNumId w:val="12"/>
  </w:num>
  <w:num w:numId="5" w16cid:durableId="869755565">
    <w:abstractNumId w:val="1"/>
  </w:num>
  <w:num w:numId="6" w16cid:durableId="68889375">
    <w:abstractNumId w:val="13"/>
  </w:num>
  <w:num w:numId="7" w16cid:durableId="1186558410">
    <w:abstractNumId w:val="8"/>
  </w:num>
  <w:num w:numId="8" w16cid:durableId="3209371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9996914">
    <w:abstractNumId w:val="5"/>
  </w:num>
  <w:num w:numId="10" w16cid:durableId="1037896905">
    <w:abstractNumId w:val="0"/>
  </w:num>
  <w:num w:numId="11" w16cid:durableId="1149203048">
    <w:abstractNumId w:val="4"/>
  </w:num>
  <w:num w:numId="12" w16cid:durableId="1237322350">
    <w:abstractNumId w:val="2"/>
  </w:num>
  <w:num w:numId="13" w16cid:durableId="1608851617">
    <w:abstractNumId w:val="7"/>
  </w:num>
  <w:num w:numId="14" w16cid:durableId="1695111160">
    <w:abstractNumId w:val="6"/>
  </w:num>
  <w:num w:numId="15" w16cid:durableId="1467771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1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64F2"/>
    <w:rsid w:val="00035BED"/>
    <w:rsid w:val="00043CCD"/>
    <w:rsid w:val="00061AD2"/>
    <w:rsid w:val="00077558"/>
    <w:rsid w:val="000816BC"/>
    <w:rsid w:val="000863D4"/>
    <w:rsid w:val="0008665F"/>
    <w:rsid w:val="00095AB5"/>
    <w:rsid w:val="000A2EB3"/>
    <w:rsid w:val="000A6B88"/>
    <w:rsid w:val="000B3C4C"/>
    <w:rsid w:val="000B656F"/>
    <w:rsid w:val="000B72DF"/>
    <w:rsid w:val="000C0376"/>
    <w:rsid w:val="000D1870"/>
    <w:rsid w:val="000D2E81"/>
    <w:rsid w:val="000D4BA2"/>
    <w:rsid w:val="000D6714"/>
    <w:rsid w:val="000E7F1F"/>
    <w:rsid w:val="000F0D1B"/>
    <w:rsid w:val="000F54AF"/>
    <w:rsid w:val="00104CDE"/>
    <w:rsid w:val="00115944"/>
    <w:rsid w:val="0012373E"/>
    <w:rsid w:val="001360A5"/>
    <w:rsid w:val="00150F54"/>
    <w:rsid w:val="0016273A"/>
    <w:rsid w:val="00181B1A"/>
    <w:rsid w:val="0019130B"/>
    <w:rsid w:val="001A3C66"/>
    <w:rsid w:val="001A5256"/>
    <w:rsid w:val="001B3879"/>
    <w:rsid w:val="001E7746"/>
    <w:rsid w:val="001F0774"/>
    <w:rsid w:val="001F1218"/>
    <w:rsid w:val="001F5947"/>
    <w:rsid w:val="002016B4"/>
    <w:rsid w:val="002055CF"/>
    <w:rsid w:val="00243EBB"/>
    <w:rsid w:val="00247BCE"/>
    <w:rsid w:val="00255C6B"/>
    <w:rsid w:val="00257FBF"/>
    <w:rsid w:val="00265D86"/>
    <w:rsid w:val="00267CEF"/>
    <w:rsid w:val="0027426D"/>
    <w:rsid w:val="002750DC"/>
    <w:rsid w:val="00291C1F"/>
    <w:rsid w:val="00291CE8"/>
    <w:rsid w:val="00296127"/>
    <w:rsid w:val="00296765"/>
    <w:rsid w:val="002B593E"/>
    <w:rsid w:val="002B6100"/>
    <w:rsid w:val="002C7CA4"/>
    <w:rsid w:val="002D0E97"/>
    <w:rsid w:val="002E6E58"/>
    <w:rsid w:val="002F1F92"/>
    <w:rsid w:val="002F6F9E"/>
    <w:rsid w:val="00302558"/>
    <w:rsid w:val="0031726D"/>
    <w:rsid w:val="0033143E"/>
    <w:rsid w:val="00334998"/>
    <w:rsid w:val="0034318F"/>
    <w:rsid w:val="0034552B"/>
    <w:rsid w:val="00365D6D"/>
    <w:rsid w:val="003725A1"/>
    <w:rsid w:val="003868A2"/>
    <w:rsid w:val="00392A5B"/>
    <w:rsid w:val="003A0E7E"/>
    <w:rsid w:val="003A4884"/>
    <w:rsid w:val="003A6D70"/>
    <w:rsid w:val="003B1F86"/>
    <w:rsid w:val="003C4627"/>
    <w:rsid w:val="003C748D"/>
    <w:rsid w:val="003E6C1A"/>
    <w:rsid w:val="003E7D1F"/>
    <w:rsid w:val="003F778E"/>
    <w:rsid w:val="00401061"/>
    <w:rsid w:val="0040640A"/>
    <w:rsid w:val="00406DB5"/>
    <w:rsid w:val="004120F9"/>
    <w:rsid w:val="0042336D"/>
    <w:rsid w:val="00440647"/>
    <w:rsid w:val="00457EAE"/>
    <w:rsid w:val="00467598"/>
    <w:rsid w:val="004768BE"/>
    <w:rsid w:val="00477811"/>
    <w:rsid w:val="00477F73"/>
    <w:rsid w:val="0048355A"/>
    <w:rsid w:val="00484781"/>
    <w:rsid w:val="00486108"/>
    <w:rsid w:val="0049433E"/>
    <w:rsid w:val="004D0AF2"/>
    <w:rsid w:val="004D3C53"/>
    <w:rsid w:val="004F7A49"/>
    <w:rsid w:val="004F7F34"/>
    <w:rsid w:val="00505588"/>
    <w:rsid w:val="00512486"/>
    <w:rsid w:val="0052465B"/>
    <w:rsid w:val="00524CDD"/>
    <w:rsid w:val="005453AB"/>
    <w:rsid w:val="00547C68"/>
    <w:rsid w:val="00565A58"/>
    <w:rsid w:val="00575A58"/>
    <w:rsid w:val="00577909"/>
    <w:rsid w:val="00577F73"/>
    <w:rsid w:val="0058134F"/>
    <w:rsid w:val="00582E85"/>
    <w:rsid w:val="00587EE4"/>
    <w:rsid w:val="005910B5"/>
    <w:rsid w:val="005A6118"/>
    <w:rsid w:val="005A64DA"/>
    <w:rsid w:val="005A6843"/>
    <w:rsid w:val="005B446E"/>
    <w:rsid w:val="005C1D83"/>
    <w:rsid w:val="005D3F48"/>
    <w:rsid w:val="005D491A"/>
    <w:rsid w:val="005E650E"/>
    <w:rsid w:val="0061185C"/>
    <w:rsid w:val="0062203F"/>
    <w:rsid w:val="00622D77"/>
    <w:rsid w:val="00627F34"/>
    <w:rsid w:val="00631F52"/>
    <w:rsid w:val="00636B18"/>
    <w:rsid w:val="00637CA1"/>
    <w:rsid w:val="00640B0C"/>
    <w:rsid w:val="00647CDD"/>
    <w:rsid w:val="00647F34"/>
    <w:rsid w:val="00652663"/>
    <w:rsid w:val="006600AB"/>
    <w:rsid w:val="00662334"/>
    <w:rsid w:val="0066617F"/>
    <w:rsid w:val="00674A16"/>
    <w:rsid w:val="00691E10"/>
    <w:rsid w:val="006A0481"/>
    <w:rsid w:val="006A1BFF"/>
    <w:rsid w:val="006C653F"/>
    <w:rsid w:val="006F7A95"/>
    <w:rsid w:val="006F7DFC"/>
    <w:rsid w:val="00704AF2"/>
    <w:rsid w:val="0070776C"/>
    <w:rsid w:val="00710089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904D7"/>
    <w:rsid w:val="007A15A4"/>
    <w:rsid w:val="007A2D90"/>
    <w:rsid w:val="007A403E"/>
    <w:rsid w:val="007A75EA"/>
    <w:rsid w:val="007B710F"/>
    <w:rsid w:val="007C77DD"/>
    <w:rsid w:val="007E2F5F"/>
    <w:rsid w:val="007E3EA6"/>
    <w:rsid w:val="007F04AB"/>
    <w:rsid w:val="007F6052"/>
    <w:rsid w:val="00803AE3"/>
    <w:rsid w:val="008042E1"/>
    <w:rsid w:val="00804D63"/>
    <w:rsid w:val="00806B9D"/>
    <w:rsid w:val="00812777"/>
    <w:rsid w:val="00813276"/>
    <w:rsid w:val="008230FA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6997"/>
    <w:rsid w:val="00877414"/>
    <w:rsid w:val="008825E7"/>
    <w:rsid w:val="00885F3A"/>
    <w:rsid w:val="008A03B7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7783"/>
    <w:rsid w:val="00954FE8"/>
    <w:rsid w:val="009726E0"/>
    <w:rsid w:val="00990822"/>
    <w:rsid w:val="009974D7"/>
    <w:rsid w:val="009A058A"/>
    <w:rsid w:val="009B28B9"/>
    <w:rsid w:val="009C4A31"/>
    <w:rsid w:val="009C5183"/>
    <w:rsid w:val="009C5502"/>
    <w:rsid w:val="009E00C2"/>
    <w:rsid w:val="009E2C83"/>
    <w:rsid w:val="009F6FD2"/>
    <w:rsid w:val="009F78D3"/>
    <w:rsid w:val="00A03395"/>
    <w:rsid w:val="00A31F37"/>
    <w:rsid w:val="00A33C84"/>
    <w:rsid w:val="00A4732A"/>
    <w:rsid w:val="00A502FE"/>
    <w:rsid w:val="00A57D26"/>
    <w:rsid w:val="00A7166B"/>
    <w:rsid w:val="00A72DEB"/>
    <w:rsid w:val="00A816B8"/>
    <w:rsid w:val="00A83BA0"/>
    <w:rsid w:val="00A84F18"/>
    <w:rsid w:val="00A85045"/>
    <w:rsid w:val="00A854D2"/>
    <w:rsid w:val="00A95738"/>
    <w:rsid w:val="00A97B7D"/>
    <w:rsid w:val="00AA2252"/>
    <w:rsid w:val="00AA4825"/>
    <w:rsid w:val="00AA48B7"/>
    <w:rsid w:val="00AB33E1"/>
    <w:rsid w:val="00AC1C3B"/>
    <w:rsid w:val="00AC4214"/>
    <w:rsid w:val="00AC6E70"/>
    <w:rsid w:val="00AD1646"/>
    <w:rsid w:val="00AD7AB4"/>
    <w:rsid w:val="00AF038B"/>
    <w:rsid w:val="00AF78FA"/>
    <w:rsid w:val="00B0074B"/>
    <w:rsid w:val="00B078F6"/>
    <w:rsid w:val="00B26045"/>
    <w:rsid w:val="00B27586"/>
    <w:rsid w:val="00B34592"/>
    <w:rsid w:val="00B44C55"/>
    <w:rsid w:val="00B46A95"/>
    <w:rsid w:val="00B5114C"/>
    <w:rsid w:val="00B5123C"/>
    <w:rsid w:val="00B544C2"/>
    <w:rsid w:val="00B5566F"/>
    <w:rsid w:val="00B630A6"/>
    <w:rsid w:val="00B70CC4"/>
    <w:rsid w:val="00B972D0"/>
    <w:rsid w:val="00BB02DE"/>
    <w:rsid w:val="00BB371A"/>
    <w:rsid w:val="00BD5E06"/>
    <w:rsid w:val="00BD7B25"/>
    <w:rsid w:val="00BE1AFF"/>
    <w:rsid w:val="00BF74E9"/>
    <w:rsid w:val="00C247CB"/>
    <w:rsid w:val="00C301A8"/>
    <w:rsid w:val="00C32D18"/>
    <w:rsid w:val="00C35B18"/>
    <w:rsid w:val="00C360BD"/>
    <w:rsid w:val="00C476E1"/>
    <w:rsid w:val="00C52E77"/>
    <w:rsid w:val="00C566B3"/>
    <w:rsid w:val="00C65249"/>
    <w:rsid w:val="00C67B32"/>
    <w:rsid w:val="00C72007"/>
    <w:rsid w:val="00C75C83"/>
    <w:rsid w:val="00C80F5D"/>
    <w:rsid w:val="00C83543"/>
    <w:rsid w:val="00C837BA"/>
    <w:rsid w:val="00C95346"/>
    <w:rsid w:val="00CA3B23"/>
    <w:rsid w:val="00CA62F6"/>
    <w:rsid w:val="00CB0C1D"/>
    <w:rsid w:val="00CC5AA2"/>
    <w:rsid w:val="00CC6844"/>
    <w:rsid w:val="00CC721A"/>
    <w:rsid w:val="00CD0963"/>
    <w:rsid w:val="00CD5C71"/>
    <w:rsid w:val="00CE3D42"/>
    <w:rsid w:val="00CE53E6"/>
    <w:rsid w:val="00CE66B6"/>
    <w:rsid w:val="00CF539A"/>
    <w:rsid w:val="00CF6131"/>
    <w:rsid w:val="00D06EAA"/>
    <w:rsid w:val="00D2007D"/>
    <w:rsid w:val="00D34DC7"/>
    <w:rsid w:val="00D36733"/>
    <w:rsid w:val="00D471B5"/>
    <w:rsid w:val="00D474C8"/>
    <w:rsid w:val="00D571DB"/>
    <w:rsid w:val="00D608B4"/>
    <w:rsid w:val="00D644C3"/>
    <w:rsid w:val="00D6774D"/>
    <w:rsid w:val="00D75191"/>
    <w:rsid w:val="00D76195"/>
    <w:rsid w:val="00D768AB"/>
    <w:rsid w:val="00D80929"/>
    <w:rsid w:val="00D85254"/>
    <w:rsid w:val="00D92FCF"/>
    <w:rsid w:val="00D95912"/>
    <w:rsid w:val="00DC1D2F"/>
    <w:rsid w:val="00DC4FFC"/>
    <w:rsid w:val="00DC795D"/>
    <w:rsid w:val="00DE79F7"/>
    <w:rsid w:val="00DF6BE4"/>
    <w:rsid w:val="00E10214"/>
    <w:rsid w:val="00E157BC"/>
    <w:rsid w:val="00E20744"/>
    <w:rsid w:val="00E414EC"/>
    <w:rsid w:val="00E50E4A"/>
    <w:rsid w:val="00E650D0"/>
    <w:rsid w:val="00E76334"/>
    <w:rsid w:val="00E77B52"/>
    <w:rsid w:val="00E91F5F"/>
    <w:rsid w:val="00EB12DD"/>
    <w:rsid w:val="00EB153E"/>
    <w:rsid w:val="00EB1F94"/>
    <w:rsid w:val="00EB57EB"/>
    <w:rsid w:val="00ED50CF"/>
    <w:rsid w:val="00EE0A9A"/>
    <w:rsid w:val="00EE1C1E"/>
    <w:rsid w:val="00EF1732"/>
    <w:rsid w:val="00F1152F"/>
    <w:rsid w:val="00F11B37"/>
    <w:rsid w:val="00F16978"/>
    <w:rsid w:val="00F207B3"/>
    <w:rsid w:val="00F5486B"/>
    <w:rsid w:val="00F62BC4"/>
    <w:rsid w:val="00F658E0"/>
    <w:rsid w:val="00F65A14"/>
    <w:rsid w:val="00F6686D"/>
    <w:rsid w:val="00F7587A"/>
    <w:rsid w:val="00F81783"/>
    <w:rsid w:val="00F859B7"/>
    <w:rsid w:val="00F877B4"/>
    <w:rsid w:val="00FA5F0F"/>
    <w:rsid w:val="00FB0924"/>
    <w:rsid w:val="00FB2D67"/>
    <w:rsid w:val="00FB3DBC"/>
    <w:rsid w:val="00FC1C44"/>
    <w:rsid w:val="00FD09F5"/>
    <w:rsid w:val="00FE0ABD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D9C89"/>
  <w15:chartTrackingRefBased/>
  <w15:docId w15:val="{E4926FEB-0E00-4DA0-B607-6A0B0CFB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795D"/>
    <w:pPr>
      <w:keepNext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C795D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DC795D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DC795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DC79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DC795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DC795D"/>
    <w:pPr>
      <w:ind w:left="360"/>
    </w:pPr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608B4"/>
  </w:style>
  <w:style w:type="paragraph" w:styleId="Revision">
    <w:name w:val="Revision"/>
    <w:hidden/>
    <w:uiPriority w:val="99"/>
    <w:semiHidden/>
    <w:rsid w:val="00B34592"/>
    <w:rPr>
      <w:rFonts w:ascii="Verdana" w:hAnsi="Verdana"/>
      <w:sz w:val="24"/>
      <w:szCs w:val="24"/>
    </w:rPr>
  </w:style>
  <w:style w:type="character" w:styleId="CommentReference">
    <w:name w:val="annotation reference"/>
    <w:basedOn w:val="DefaultParagraphFont"/>
    <w:rsid w:val="00AA48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4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48B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AA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48B7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AA48B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004C8-F804-4BBA-B7B0-CE6147A97BDC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2.xml><?xml version="1.0" encoding="utf-8"?>
<ds:datastoreItem xmlns:ds="http://schemas.openxmlformats.org/officeDocument/2006/customXml" ds:itemID="{9DD44B1F-4FC5-4795-9452-84F9E6758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2276F-0E67-47AF-87AF-CCD2E4F2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261</Words>
  <Characters>1490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1748</CharactersWithSpaces>
  <SharedDoc>false</SharedDoc>
  <HLinks>
    <vt:vector size="60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2818166</vt:i4>
      </vt:variant>
      <vt:variant>
        <vt:i4>30</vt:i4>
      </vt:variant>
      <vt:variant>
        <vt:i4>0</vt:i4>
      </vt:variant>
      <vt:variant>
        <vt:i4>5</vt:i4>
      </vt:variant>
      <vt:variant>
        <vt:lpwstr>C:\Users\UJ30FJ4\Desktop\Native Files\AppData\Local\Microsoft\Windows\Temporary Internet Files\Content.Outlook\AppData\Local\Microsoft\Windows\Temporary Internet Files\Content.Outlook\CGH65MWN\CMS-2-017428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_Toc35236002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_Toc35236001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_Toc35236000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_Toc35235999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Brown, Heather K</cp:lastModifiedBy>
  <cp:revision>3</cp:revision>
  <cp:lastPrinted>2007-01-03T17:56:00Z</cp:lastPrinted>
  <dcterms:created xsi:type="dcterms:W3CDTF">2024-09-25T18:57:00Z</dcterms:created>
  <dcterms:modified xsi:type="dcterms:W3CDTF">2024-09-25T18:57:00Z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2021-09-09T17:33:56Z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7e008001-2bca-42ba-b0dc-54c6623d5ad0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