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DF51A" w14:textId="77777777" w:rsidR="00255C6B" w:rsidRPr="0058134F" w:rsidRDefault="00520F10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Generic Copay Incentive (GCI</w:t>
      </w:r>
      <w:r w:rsidR="00302558">
        <w:rPr>
          <w:rFonts w:ascii="Verdana" w:hAnsi="Verdana"/>
          <w:color w:val="000000"/>
          <w:sz w:val="36"/>
          <w:szCs w:val="36"/>
        </w:rPr>
        <w:t>)</w:t>
      </w:r>
      <w:r w:rsidR="00302558" w:rsidRPr="008924D8">
        <w:rPr>
          <w:rFonts w:ascii="Verdana" w:hAnsi="Verdana"/>
          <w:color w:val="000000"/>
          <w:sz w:val="36"/>
          <w:szCs w:val="36"/>
        </w:rPr>
        <w:t xml:space="preserve"> </w:t>
      </w:r>
      <w:r w:rsidR="00DC795D">
        <w:rPr>
          <w:rFonts w:ascii="Verdana" w:hAnsi="Verdana"/>
          <w:color w:val="000000"/>
          <w:sz w:val="36"/>
          <w:szCs w:val="36"/>
        </w:rPr>
        <w:t xml:space="preserve">Overcoming Objections </w:t>
      </w:r>
    </w:p>
    <w:p w14:paraId="5E80A875" w14:textId="77777777" w:rsidR="000B7FF1" w:rsidRDefault="000B7FF1">
      <w:pPr>
        <w:pStyle w:val="TOC2"/>
        <w:tabs>
          <w:tab w:val="right" w:leader="dot" w:pos="12950"/>
        </w:tabs>
        <w:rPr>
          <w:rFonts w:cs="Arial"/>
          <w:bCs/>
          <w:color w:val="333333"/>
        </w:rPr>
      </w:pPr>
    </w:p>
    <w:p w14:paraId="08CB6B52" w14:textId="77777777" w:rsidR="000B7FF1" w:rsidRPr="00DA6DEC" w:rsidRDefault="00CF239B">
      <w:pPr>
        <w:pStyle w:val="TOC2"/>
        <w:tabs>
          <w:tab w:val="right" w:leader="dot" w:pos="12950"/>
        </w:tabs>
        <w:rPr>
          <w:rFonts w:ascii="Aptos" w:hAnsi="Aptos"/>
          <w:noProof/>
          <w:color w:val="auto"/>
          <w:kern w:val="2"/>
          <w:u w:val="none"/>
        </w:rPr>
      </w:pPr>
      <w:r>
        <w:rPr>
          <w:rFonts w:cs="Arial"/>
          <w:bCs/>
          <w:color w:val="333333"/>
        </w:rPr>
        <w:fldChar w:fldCharType="begin"/>
      </w:r>
      <w:r>
        <w:rPr>
          <w:rFonts w:cs="Arial"/>
          <w:bCs/>
          <w:color w:val="333333"/>
        </w:rPr>
        <w:instrText xml:space="preserve"> TOC \o "2-2" \n \p " " \h \z \u </w:instrText>
      </w:r>
      <w:r>
        <w:rPr>
          <w:rFonts w:cs="Arial"/>
          <w:bCs/>
          <w:color w:val="333333"/>
        </w:rPr>
        <w:fldChar w:fldCharType="separate"/>
      </w:r>
      <w:hyperlink w:anchor="_Toc169610274" w:history="1">
        <w:r w:rsidR="000B7FF1" w:rsidRPr="009807ED">
          <w:rPr>
            <w:rStyle w:val="Hyperlink"/>
            <w:noProof/>
          </w:rPr>
          <w:t>Objections:  Generic Drugs are Not as Effective as Brand Drugs</w:t>
        </w:r>
      </w:hyperlink>
    </w:p>
    <w:p w14:paraId="7EE0E1F5" w14:textId="77777777" w:rsidR="000B7FF1" w:rsidRPr="00DA6DEC" w:rsidRDefault="000B7FF1">
      <w:pPr>
        <w:pStyle w:val="TOC2"/>
        <w:tabs>
          <w:tab w:val="right" w:leader="dot" w:pos="12950"/>
        </w:tabs>
        <w:rPr>
          <w:rFonts w:ascii="Aptos" w:hAnsi="Aptos"/>
          <w:noProof/>
          <w:color w:val="auto"/>
          <w:kern w:val="2"/>
          <w:u w:val="none"/>
        </w:rPr>
      </w:pPr>
      <w:hyperlink w:anchor="_Toc169610275" w:history="1">
        <w:r w:rsidRPr="009807ED">
          <w:rPr>
            <w:rStyle w:val="Hyperlink"/>
            <w:noProof/>
          </w:rPr>
          <w:t>Objections:  Generic Drug is Not the Same Drug</w:t>
        </w:r>
      </w:hyperlink>
    </w:p>
    <w:p w14:paraId="1449648D" w14:textId="77777777" w:rsidR="000B7FF1" w:rsidRPr="00DA6DEC" w:rsidRDefault="000B7FF1">
      <w:pPr>
        <w:pStyle w:val="TOC2"/>
        <w:tabs>
          <w:tab w:val="right" w:leader="dot" w:pos="12950"/>
        </w:tabs>
        <w:rPr>
          <w:rFonts w:ascii="Aptos" w:hAnsi="Aptos"/>
          <w:noProof/>
          <w:color w:val="auto"/>
          <w:kern w:val="2"/>
          <w:u w:val="none"/>
        </w:rPr>
      </w:pPr>
      <w:hyperlink w:anchor="_Toc169610276" w:history="1">
        <w:r w:rsidRPr="009807ED">
          <w:rPr>
            <w:rStyle w:val="Hyperlink"/>
            <w:noProof/>
          </w:rPr>
          <w:t>Related Document</w:t>
        </w:r>
      </w:hyperlink>
    </w:p>
    <w:p w14:paraId="5EA3221A" w14:textId="77777777" w:rsidR="00CF239B" w:rsidRDefault="00CF239B" w:rsidP="0027557A">
      <w:pPr>
        <w:rPr>
          <w:rFonts w:cs="Arial"/>
          <w:bCs/>
          <w:color w:val="333333"/>
          <w:u w:val="single"/>
        </w:rPr>
      </w:pPr>
      <w:r>
        <w:rPr>
          <w:rFonts w:cs="Arial"/>
          <w:bCs/>
          <w:color w:val="333333"/>
          <w:u w:val="single"/>
        </w:rPr>
        <w:fldChar w:fldCharType="end"/>
      </w:r>
    </w:p>
    <w:p w14:paraId="33603815" w14:textId="77777777" w:rsidR="00DC795D" w:rsidRDefault="00DC795D" w:rsidP="00D608B4">
      <w:pPr>
        <w:pStyle w:val="TOC2"/>
        <w:tabs>
          <w:tab w:val="right" w:leader="dot" w:pos="12950"/>
        </w:tabs>
        <w:rPr>
          <w:rFonts w:cs="Arial"/>
          <w:bCs/>
          <w:color w:val="333333"/>
        </w:rPr>
      </w:pPr>
    </w:p>
    <w:p w14:paraId="0D54420B" w14:textId="77777777" w:rsidR="000F0A57" w:rsidRPr="000F0A57" w:rsidRDefault="000D03C0" w:rsidP="000F0A57">
      <w:bookmarkStart w:id="1" w:name="_Overview"/>
      <w:bookmarkEnd w:id="1"/>
      <w:r w:rsidRPr="000D03C0">
        <w:rPr>
          <w:b/>
          <w:bCs/>
        </w:rPr>
        <w:t>Description:</w:t>
      </w:r>
      <w:r>
        <w:t xml:space="preserve">  </w:t>
      </w:r>
      <w:r w:rsidR="000F0A57" w:rsidRPr="000F0A57">
        <w:t>Members may have objections to generics. The table below provides examples of appropriate responses for these objections.</w:t>
      </w:r>
    </w:p>
    <w:p w14:paraId="74764D40" w14:textId="77777777" w:rsidR="00D608B4" w:rsidRPr="0058134F" w:rsidRDefault="00D608B4" w:rsidP="00D608B4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05CF1708" w14:textId="77777777" w:rsidTr="00F7587A">
        <w:tc>
          <w:tcPr>
            <w:tcW w:w="5000" w:type="pct"/>
            <w:shd w:val="clear" w:color="auto" w:fill="C0C0C0"/>
          </w:tcPr>
          <w:p w14:paraId="797E855C" w14:textId="77777777" w:rsidR="00D608B4" w:rsidRPr="0058134F" w:rsidRDefault="00D608B4" w:rsidP="000D03C0">
            <w:pPr>
              <w:pStyle w:val="Heading2"/>
              <w:tabs>
                <w:tab w:val="left" w:pos="11985"/>
              </w:tabs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" w:name="_Toc387643510"/>
            <w:bookmarkStart w:id="3" w:name="_Toc169610274"/>
            <w:r>
              <w:rPr>
                <w:rFonts w:ascii="Verdana" w:hAnsi="Verdana"/>
                <w:i w:val="0"/>
                <w:iCs w:val="0"/>
              </w:rPr>
              <w:t>Objections</w:t>
            </w:r>
            <w:r w:rsidR="000F0A57">
              <w:rPr>
                <w:rFonts w:ascii="Verdana" w:hAnsi="Verdana"/>
                <w:i w:val="0"/>
                <w:iCs w:val="0"/>
              </w:rPr>
              <w:t>:</w:t>
            </w:r>
            <w:r w:rsidR="00126D88">
              <w:rPr>
                <w:rFonts w:ascii="Verdana" w:hAnsi="Verdana"/>
                <w:i w:val="0"/>
                <w:iCs w:val="0"/>
              </w:rPr>
              <w:t xml:space="preserve">  </w:t>
            </w:r>
            <w:r w:rsidR="00302558" w:rsidRPr="00302558">
              <w:rPr>
                <w:rFonts w:ascii="Verdana" w:hAnsi="Verdana"/>
                <w:i w:val="0"/>
                <w:iCs w:val="0"/>
              </w:rPr>
              <w:t>Generic</w:t>
            </w:r>
            <w:bookmarkEnd w:id="2"/>
            <w:r w:rsidR="00302558">
              <w:rPr>
                <w:rFonts w:ascii="Verdana" w:hAnsi="Verdana"/>
                <w:i w:val="0"/>
                <w:iCs w:val="0"/>
              </w:rPr>
              <w:t xml:space="preserve"> </w:t>
            </w:r>
            <w:r w:rsidR="000F0A57">
              <w:rPr>
                <w:rFonts w:ascii="Verdana" w:hAnsi="Verdana"/>
                <w:i w:val="0"/>
                <w:iCs w:val="0"/>
              </w:rPr>
              <w:t>Drugs are Not as E</w:t>
            </w:r>
            <w:r w:rsidR="00302558">
              <w:rPr>
                <w:rFonts w:ascii="Verdana" w:hAnsi="Verdana"/>
                <w:i w:val="0"/>
                <w:iCs w:val="0"/>
              </w:rPr>
              <w:t xml:space="preserve">ffective as </w:t>
            </w:r>
            <w:r w:rsidR="000F0A57">
              <w:rPr>
                <w:rFonts w:ascii="Verdana" w:hAnsi="Verdana"/>
                <w:i w:val="0"/>
                <w:iCs w:val="0"/>
              </w:rPr>
              <w:t>Brand D</w:t>
            </w:r>
            <w:r w:rsidR="00302558">
              <w:rPr>
                <w:rFonts w:ascii="Verdana" w:hAnsi="Verdana"/>
                <w:i w:val="0"/>
                <w:iCs w:val="0"/>
              </w:rPr>
              <w:t>rugs</w:t>
            </w:r>
            <w:bookmarkEnd w:id="3"/>
          </w:p>
        </w:tc>
      </w:tr>
    </w:tbl>
    <w:p w14:paraId="74B34414" w14:textId="77777777" w:rsidR="00D608B4" w:rsidRPr="00DC795D" w:rsidRDefault="00D608B4" w:rsidP="000D03C0">
      <w:pPr>
        <w:spacing w:before="120" w:after="120"/>
      </w:pPr>
      <w:r>
        <w:t xml:space="preserve">In the example below, the member is expressing concerns about </w:t>
      </w:r>
      <w:r w:rsidR="00302558">
        <w:t>generics not being as</w:t>
      </w:r>
      <w:r w:rsidR="000F0A57">
        <w:t xml:space="preserve"> effective as brand drugs.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8230FA" w:rsidRPr="0058134F" w14:paraId="1B49198F" w14:textId="77777777" w:rsidTr="008B5A75">
        <w:tc>
          <w:tcPr>
            <w:tcW w:w="1988" w:type="pct"/>
            <w:shd w:val="clear" w:color="auto" w:fill="F2F2F2"/>
          </w:tcPr>
          <w:p w14:paraId="1C47999F" w14:textId="77777777" w:rsidR="008230FA" w:rsidRPr="0058134F" w:rsidRDefault="00DC795D" w:rsidP="000D03C0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Objection</w:t>
            </w:r>
          </w:p>
        </w:tc>
        <w:tc>
          <w:tcPr>
            <w:tcW w:w="3012" w:type="pct"/>
            <w:shd w:val="clear" w:color="auto" w:fill="F2F2F2"/>
          </w:tcPr>
          <w:p w14:paraId="01DD2109" w14:textId="77777777" w:rsidR="00126D88" w:rsidRPr="0058134F" w:rsidRDefault="00DC795D" w:rsidP="000D03C0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Response</w:t>
            </w:r>
          </w:p>
        </w:tc>
      </w:tr>
      <w:tr w:rsidR="008230FA" w:rsidRPr="0058134F" w14:paraId="25FD376A" w14:textId="77777777" w:rsidTr="008B5A75">
        <w:tc>
          <w:tcPr>
            <w:tcW w:w="1988" w:type="pct"/>
          </w:tcPr>
          <w:p w14:paraId="5E663AC6" w14:textId="77777777" w:rsidR="008230FA" w:rsidRPr="00DC795D" w:rsidRDefault="00302558" w:rsidP="000D03C0">
            <w:pPr>
              <w:pStyle w:val="Heading4"/>
              <w:spacing w:before="120" w:after="120"/>
            </w:pPr>
            <w:r>
              <w:t xml:space="preserve">Generic drugs </w:t>
            </w:r>
            <w:r w:rsidR="000B7FF1">
              <w:t>do not</w:t>
            </w:r>
            <w:r>
              <w:t xml:space="preserve"> work as well as brand drugs</w:t>
            </w:r>
          </w:p>
        </w:tc>
        <w:tc>
          <w:tcPr>
            <w:tcW w:w="3012" w:type="pct"/>
          </w:tcPr>
          <w:p w14:paraId="12E994C6" w14:textId="52392106" w:rsidR="00126D88" w:rsidRPr="0058134F" w:rsidRDefault="0097707A" w:rsidP="000D03C0">
            <w:pPr>
              <w:spacing w:before="120" w:after="120" w:line="240" w:lineRule="atLeast"/>
              <w:textAlignment w:val="top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589B9A62" wp14:editId="76D7DCA8">
                  <wp:extent cx="238125" cy="209550"/>
                  <wp:effectExtent l="0" t="0" r="0" b="0"/>
                  <wp:docPr id="53185160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2DE20E2A" wp14:editId="6B148AD7">
                  <wp:extent cx="304800" cy="304800"/>
                  <wp:effectExtent l="0" t="0" r="0" b="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C795D">
              <w:rPr>
                <w:rFonts w:cs="Arial"/>
                <w:bCs/>
                <w:color w:val="333333"/>
              </w:rPr>
              <w:t xml:space="preserve"> </w:t>
            </w:r>
            <w:r w:rsidR="00302558" w:rsidRPr="00302558">
              <w:rPr>
                <w:bCs/>
                <w:szCs w:val="28"/>
              </w:rPr>
              <w:t xml:space="preserve">Generics </w:t>
            </w:r>
            <w:r w:rsidR="002B2CF4">
              <w:rPr>
                <w:bCs/>
                <w:szCs w:val="28"/>
              </w:rPr>
              <w:t xml:space="preserve">offer quality, safe and effective treatment options that have no clinically meaningful difference from their branded reference product. I encourage you to speak to your doctor regarding your concerns. I can also let you speak to one of our pharmacists. They will be able to answer any additional questions that you may have. </w:t>
            </w:r>
          </w:p>
        </w:tc>
      </w:tr>
    </w:tbl>
    <w:p w14:paraId="7E439BEB" w14:textId="77777777" w:rsidR="00DC795D" w:rsidRDefault="00DC795D"/>
    <w:p w14:paraId="02C19257" w14:textId="77777777" w:rsidR="00D608B4" w:rsidRPr="0058134F" w:rsidRDefault="000A1295" w:rsidP="00D608B4">
      <w:pPr>
        <w:jc w:val="right"/>
      </w:pPr>
      <w:hyperlink w:anchor="_top" w:history="1">
        <w:r w:rsidRPr="000A129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D608B4" w:rsidRPr="0058134F" w14:paraId="47FDAE21" w14:textId="77777777" w:rsidTr="00F7587A">
        <w:tc>
          <w:tcPr>
            <w:tcW w:w="5000" w:type="pct"/>
            <w:shd w:val="clear" w:color="auto" w:fill="C0C0C0"/>
          </w:tcPr>
          <w:p w14:paraId="5717D2C5" w14:textId="77777777" w:rsidR="00D608B4" w:rsidRPr="0058134F" w:rsidRDefault="00D608B4" w:rsidP="000F0A57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4" w:name="_Toc387643511"/>
            <w:bookmarkStart w:id="5" w:name="_Toc169610275"/>
            <w:r>
              <w:rPr>
                <w:rFonts w:ascii="Verdana" w:hAnsi="Verdana"/>
                <w:i w:val="0"/>
                <w:iCs w:val="0"/>
              </w:rPr>
              <w:t>Objections</w:t>
            </w:r>
            <w:bookmarkEnd w:id="4"/>
            <w:r w:rsidR="000F0A57">
              <w:rPr>
                <w:rFonts w:ascii="Verdana" w:hAnsi="Verdana"/>
                <w:i w:val="0"/>
                <w:iCs w:val="0"/>
              </w:rPr>
              <w:t xml:space="preserve">: </w:t>
            </w:r>
            <w:r w:rsidR="000D03C0">
              <w:rPr>
                <w:rFonts w:ascii="Verdana" w:hAnsi="Verdana"/>
                <w:i w:val="0"/>
                <w:iCs w:val="0"/>
              </w:rPr>
              <w:t xml:space="preserve"> </w:t>
            </w:r>
            <w:r w:rsidR="000F0A57">
              <w:rPr>
                <w:rFonts w:ascii="Verdana" w:hAnsi="Verdana"/>
                <w:i w:val="0"/>
                <w:iCs w:val="0"/>
              </w:rPr>
              <w:t>G</w:t>
            </w:r>
            <w:r w:rsidR="00520F10">
              <w:rPr>
                <w:rFonts w:ascii="Verdana" w:hAnsi="Verdana"/>
                <w:i w:val="0"/>
                <w:iCs w:val="0"/>
              </w:rPr>
              <w:t>eneric</w:t>
            </w:r>
            <w:r w:rsidR="000F0A57">
              <w:rPr>
                <w:rFonts w:ascii="Verdana" w:hAnsi="Verdana"/>
                <w:i w:val="0"/>
                <w:iCs w:val="0"/>
              </w:rPr>
              <w:t xml:space="preserve"> D</w:t>
            </w:r>
            <w:r w:rsidR="00302558">
              <w:rPr>
                <w:rFonts w:ascii="Verdana" w:hAnsi="Verdana"/>
                <w:i w:val="0"/>
                <w:iCs w:val="0"/>
              </w:rPr>
              <w:t>ru</w:t>
            </w:r>
            <w:r w:rsidR="000F0A57">
              <w:rPr>
                <w:rFonts w:ascii="Verdana" w:hAnsi="Verdana"/>
                <w:i w:val="0"/>
                <w:iCs w:val="0"/>
              </w:rPr>
              <w:t>g is Not the Same D</w:t>
            </w:r>
            <w:r w:rsidR="00302558">
              <w:rPr>
                <w:rFonts w:ascii="Verdana" w:hAnsi="Verdana"/>
                <w:i w:val="0"/>
                <w:iCs w:val="0"/>
              </w:rPr>
              <w:t>rug</w:t>
            </w:r>
            <w:bookmarkEnd w:id="5"/>
            <w:r w:rsidR="00302558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6A0DFB4E" w14:textId="77777777" w:rsidR="0049433E" w:rsidRDefault="00302558" w:rsidP="000D03C0">
      <w:pPr>
        <w:spacing w:before="120" w:after="120"/>
      </w:pPr>
      <w:r>
        <w:t>In the examples below, the member is expressing con</w:t>
      </w:r>
      <w:r w:rsidR="00520F10">
        <w:t>cerns about generics</w:t>
      </w:r>
      <w:r>
        <w:t xml:space="preserve"> not being the same drug</w:t>
      </w:r>
      <w:r w:rsidR="000F0A57">
        <w:t>.</w:t>
      </w:r>
      <w: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9"/>
        <w:gridCol w:w="7801"/>
      </w:tblGrid>
      <w:tr w:rsidR="00DC795D" w:rsidRPr="0058134F" w14:paraId="2CADA31A" w14:textId="77777777" w:rsidTr="000B7FF1">
        <w:tc>
          <w:tcPr>
            <w:tcW w:w="1988" w:type="pct"/>
            <w:shd w:val="clear" w:color="auto" w:fill="F2F2F2"/>
          </w:tcPr>
          <w:p w14:paraId="356EDEF1" w14:textId="77777777" w:rsidR="00DC795D" w:rsidRPr="0058134F" w:rsidRDefault="00DC795D" w:rsidP="000D03C0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Objection</w:t>
            </w:r>
          </w:p>
        </w:tc>
        <w:tc>
          <w:tcPr>
            <w:tcW w:w="3012" w:type="pct"/>
            <w:shd w:val="clear" w:color="auto" w:fill="F2F2F2"/>
          </w:tcPr>
          <w:p w14:paraId="796B83D6" w14:textId="77777777" w:rsidR="00126D88" w:rsidRPr="0058134F" w:rsidRDefault="00DC795D" w:rsidP="000D03C0">
            <w:pPr>
              <w:spacing w:before="120" w:after="120" w:line="240" w:lineRule="atLeast"/>
              <w:jc w:val="center"/>
              <w:textAlignment w:val="top"/>
              <w:rPr>
                <w:rFonts w:cs="Arial"/>
                <w:b/>
                <w:bCs/>
                <w:color w:val="333333"/>
              </w:rPr>
            </w:pPr>
            <w:r>
              <w:rPr>
                <w:rFonts w:cs="Arial"/>
                <w:b/>
                <w:bCs/>
                <w:color w:val="333333"/>
              </w:rPr>
              <w:t>Response</w:t>
            </w:r>
          </w:p>
        </w:tc>
      </w:tr>
      <w:tr w:rsidR="0049433E" w:rsidRPr="0058134F" w14:paraId="660A9266" w14:textId="77777777" w:rsidTr="000B7FF1">
        <w:trPr>
          <w:trHeight w:val="20"/>
        </w:trPr>
        <w:tc>
          <w:tcPr>
            <w:tcW w:w="1988" w:type="pct"/>
          </w:tcPr>
          <w:p w14:paraId="1C56E7C0" w14:textId="77777777" w:rsidR="0049433E" w:rsidRPr="0049433E" w:rsidRDefault="00302558" w:rsidP="000D03C0">
            <w:pPr>
              <w:spacing w:before="120" w:after="120"/>
            </w:pPr>
            <w:bookmarkStart w:id="6" w:name="_I_prefer_to"/>
            <w:bookmarkEnd w:id="6"/>
            <w:r>
              <w:t>I do not want to take a different drug</w:t>
            </w:r>
            <w:r w:rsidR="0042693B">
              <w:t xml:space="preserve"> (generic alternative)</w:t>
            </w:r>
            <w:r>
              <w:t>; it is not the same thing</w:t>
            </w:r>
            <w:r w:rsidR="00126D88">
              <w:t>.</w:t>
            </w:r>
          </w:p>
        </w:tc>
        <w:tc>
          <w:tcPr>
            <w:tcW w:w="3012" w:type="pct"/>
          </w:tcPr>
          <w:p w14:paraId="4D057948" w14:textId="4C0D616A" w:rsidR="0049433E" w:rsidRPr="0058134F" w:rsidRDefault="0097707A" w:rsidP="000D03C0">
            <w:pPr>
              <w:shd w:val="clear" w:color="auto" w:fill="FFFFFF"/>
              <w:spacing w:before="120" w:after="120" w:line="285" w:lineRule="atLeast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6263F175" wp14:editId="4C03E24C">
                  <wp:extent cx="238125" cy="209550"/>
                  <wp:effectExtent l="0" t="0" r="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54461C60" wp14:editId="7BD2635E">
                  <wp:extent cx="304800" cy="304800"/>
                  <wp:effectExtent l="0" t="0" r="0" b="0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239B">
              <w:rPr>
                <w:rFonts w:cs="Arial"/>
                <w:bCs/>
                <w:color w:val="333333"/>
              </w:rPr>
              <w:t xml:space="preserve"> </w:t>
            </w:r>
            <w:r w:rsidR="00C25A31">
              <w:rPr>
                <w:rFonts w:cs="Arial"/>
                <w:bCs/>
                <w:color w:val="333333"/>
              </w:rPr>
              <w:t xml:space="preserve">I completely understand your concerns. I can absolutely let you speak to one of our pharmacists. They will be able to discuss the similarities as well as differences between your prescription and the generic alternative. </w:t>
            </w:r>
            <w:r w:rsidR="00477811">
              <w:rPr>
                <w:rFonts w:cs="Arial"/>
                <w:bCs/>
                <w:color w:val="333333"/>
              </w:rPr>
              <w:t xml:space="preserve"> </w:t>
            </w:r>
          </w:p>
        </w:tc>
      </w:tr>
      <w:tr w:rsidR="00520F10" w:rsidRPr="0058134F" w14:paraId="07DADEBE" w14:textId="77777777" w:rsidTr="000B7FF1">
        <w:trPr>
          <w:trHeight w:val="20"/>
        </w:trPr>
        <w:tc>
          <w:tcPr>
            <w:tcW w:w="1988" w:type="pct"/>
          </w:tcPr>
          <w:p w14:paraId="3E9F4BB1" w14:textId="77777777" w:rsidR="00520F10" w:rsidRPr="0049433E" w:rsidRDefault="00520F10" w:rsidP="000D03C0">
            <w:pPr>
              <w:spacing w:before="120" w:after="120"/>
            </w:pPr>
            <w:bookmarkStart w:id="7" w:name="_I_don’t_want"/>
            <w:bookmarkEnd w:id="7"/>
            <w:r>
              <w:t>I do not want to take a different drug</w:t>
            </w:r>
            <w:r w:rsidR="0042693B">
              <w:t xml:space="preserve"> (generic equivalent</w:t>
            </w:r>
            <w:r>
              <w:t>; it is not the same thing</w:t>
            </w:r>
            <w:r w:rsidR="00126D88">
              <w:t>.</w:t>
            </w:r>
          </w:p>
        </w:tc>
        <w:tc>
          <w:tcPr>
            <w:tcW w:w="3012" w:type="pct"/>
          </w:tcPr>
          <w:p w14:paraId="002789B7" w14:textId="05BAB8B7" w:rsidR="00520F10" w:rsidRPr="0058134F" w:rsidRDefault="0097707A" w:rsidP="000D03C0">
            <w:pPr>
              <w:shd w:val="clear" w:color="auto" w:fill="FFFFFF"/>
              <w:spacing w:before="120" w:after="120" w:line="285" w:lineRule="atLeast"/>
              <w:rPr>
                <w:rFonts w:cs="Arial"/>
                <w:bCs/>
                <w:color w:val="333333"/>
              </w:rPr>
            </w:pP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53EBE869" wp14:editId="5F2ABDA8">
                  <wp:extent cx="238125" cy="209550"/>
                  <wp:effectExtent l="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F239B">
              <w:rPr>
                <w:rFonts w:cs="Arial"/>
                <w:bCs/>
                <w:color w:val="333333"/>
              </w:rPr>
              <w:t xml:space="preserve"> </w:t>
            </w:r>
            <w:r>
              <w:rPr>
                <w:rFonts w:cs="Arial"/>
                <w:bCs/>
                <w:noProof/>
                <w:color w:val="333333"/>
              </w:rPr>
              <w:drawing>
                <wp:inline distT="0" distB="0" distL="0" distR="0" wp14:anchorId="20BB74C8" wp14:editId="05FDDF96">
                  <wp:extent cx="304800" cy="304800"/>
                  <wp:effectExtent l="0" t="0" r="0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25A31">
              <w:rPr>
                <w:rFonts w:cs="Arial"/>
                <w:bCs/>
                <w:color w:val="333333"/>
              </w:rPr>
              <w:t xml:space="preserve"> I completely understand your concerns and encourage you to speak to your doctor about your concerns. I can also let you speak to one of our pharmacists. They will be able to discuss the </w:t>
            </w:r>
            <w:r w:rsidR="002B2CF4">
              <w:rPr>
                <w:rFonts w:cs="Arial"/>
                <w:bCs/>
                <w:color w:val="333333"/>
              </w:rPr>
              <w:t xml:space="preserve">similarities as well as differences between your prescription and the generic equivalent. </w:t>
            </w:r>
          </w:p>
        </w:tc>
      </w:tr>
    </w:tbl>
    <w:p w14:paraId="729FC769" w14:textId="77777777" w:rsidR="00C35B18" w:rsidRDefault="00C35B18" w:rsidP="00EB1F94">
      <w:pPr>
        <w:rPr>
          <w:b/>
        </w:rPr>
      </w:pPr>
    </w:p>
    <w:p w14:paraId="76B1EBB0" w14:textId="77777777" w:rsidR="000A1295" w:rsidRPr="0058134F" w:rsidRDefault="000A1295" w:rsidP="000A1295">
      <w:pPr>
        <w:jc w:val="right"/>
      </w:pPr>
      <w:hyperlink w:anchor="_top" w:history="1">
        <w:r w:rsidRPr="000A1295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126D88" w:rsidRPr="0058134F" w14:paraId="2E2D43BA" w14:textId="77777777" w:rsidTr="00392F4D">
        <w:tc>
          <w:tcPr>
            <w:tcW w:w="5000" w:type="pct"/>
            <w:shd w:val="clear" w:color="auto" w:fill="C0C0C0"/>
          </w:tcPr>
          <w:p w14:paraId="22ABA6DD" w14:textId="77777777" w:rsidR="00126D88" w:rsidRPr="0058134F" w:rsidRDefault="00126D88" w:rsidP="00392F4D">
            <w:pPr>
              <w:pStyle w:val="Heading2"/>
              <w:tabs>
                <w:tab w:val="left" w:pos="11985"/>
              </w:tabs>
              <w:rPr>
                <w:rFonts w:ascii="Verdana" w:hAnsi="Verdana"/>
                <w:i w:val="0"/>
                <w:iCs w:val="0"/>
              </w:rPr>
            </w:pPr>
            <w:bookmarkStart w:id="8" w:name="_Toc169610276"/>
            <w:r>
              <w:rPr>
                <w:rFonts w:ascii="Verdana" w:hAnsi="Verdana"/>
                <w:i w:val="0"/>
                <w:iCs w:val="0"/>
              </w:rPr>
              <w:t>Related Document</w:t>
            </w:r>
            <w:bookmarkEnd w:id="8"/>
            <w:r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198C0F70" w14:textId="77777777" w:rsidR="000B7FF1" w:rsidRDefault="000B7FF1" w:rsidP="00126D88">
      <w:pPr>
        <w:rPr>
          <w:rFonts w:cs="Arial"/>
          <w:bCs/>
          <w:color w:val="333333"/>
          <w:u w:val="single"/>
        </w:rPr>
      </w:pPr>
    </w:p>
    <w:p w14:paraId="2D38FF80" w14:textId="77777777" w:rsidR="00126D88" w:rsidRPr="00C41EE5" w:rsidRDefault="00C41EE5" w:rsidP="00126D88">
      <w:pPr>
        <w:rPr>
          <w:rStyle w:val="Hyperlink"/>
          <w:rFonts w:cs="Arial"/>
          <w:bCs/>
        </w:rPr>
      </w:pPr>
      <w:r>
        <w:rPr>
          <w:rFonts w:cs="Arial"/>
          <w:bCs/>
          <w:color w:val="333333"/>
          <w:u w:val="single"/>
        </w:rPr>
        <w:fldChar w:fldCharType="begin"/>
      </w:r>
      <w:r w:rsidR="000B7FF1">
        <w:rPr>
          <w:rFonts w:cs="Arial"/>
          <w:bCs/>
          <w:color w:val="333333"/>
          <w:u w:val="single"/>
        </w:rPr>
        <w:instrText>HYPERLINK "https://thesource.cvshealth.com/nuxeo/thesource/" \l "!/view?docid=c1f1028b-e42c-4b4f-a4cf-cc0b42c91606"</w:instrText>
      </w:r>
      <w:r w:rsidR="000B7FF1">
        <w:rPr>
          <w:rFonts w:cs="Arial"/>
          <w:bCs/>
          <w:color w:val="333333"/>
          <w:u w:val="single"/>
        </w:rPr>
      </w:r>
      <w:r>
        <w:rPr>
          <w:rFonts w:cs="Arial"/>
          <w:bCs/>
          <w:color w:val="333333"/>
          <w:u w:val="single"/>
        </w:rPr>
        <w:fldChar w:fldCharType="separate"/>
      </w:r>
      <w:r w:rsidR="00126D88" w:rsidRPr="00C41EE5">
        <w:rPr>
          <w:rStyle w:val="Hyperlink"/>
          <w:rFonts w:cs="Arial"/>
          <w:bCs/>
        </w:rPr>
        <w:t>Customer Care Abbreviations and Definitions and Terms</w:t>
      </w:r>
      <w:r w:rsidRPr="00C41EE5">
        <w:rPr>
          <w:rStyle w:val="Hyperlink"/>
          <w:rFonts w:cs="Arial"/>
          <w:bCs/>
        </w:rPr>
        <w:t xml:space="preserve"> Index (017428)</w:t>
      </w:r>
    </w:p>
    <w:p w14:paraId="7EAE93BC" w14:textId="77777777" w:rsidR="000A1295" w:rsidRPr="0058134F" w:rsidRDefault="00C41EE5" w:rsidP="000A1295">
      <w:pPr>
        <w:jc w:val="right"/>
      </w:pPr>
      <w:r>
        <w:rPr>
          <w:rFonts w:cs="Arial"/>
          <w:bCs/>
          <w:color w:val="333333"/>
          <w:u w:val="single"/>
        </w:rPr>
        <w:fldChar w:fldCharType="end"/>
      </w:r>
      <w:hyperlink w:anchor="_top" w:history="1">
        <w:r w:rsidR="000A1295" w:rsidRPr="000A1295">
          <w:rPr>
            <w:rStyle w:val="Hyperlink"/>
          </w:rPr>
          <w:t>Top of the Document</w:t>
        </w:r>
      </w:hyperlink>
    </w:p>
    <w:p w14:paraId="0A668305" w14:textId="77777777" w:rsidR="00710E68" w:rsidRPr="0058134F" w:rsidRDefault="00710E68" w:rsidP="00C247CB">
      <w:pPr>
        <w:jc w:val="center"/>
        <w:rPr>
          <w:sz w:val="16"/>
          <w:szCs w:val="16"/>
        </w:rPr>
      </w:pPr>
      <w:r w:rsidRPr="0058134F">
        <w:rPr>
          <w:sz w:val="16"/>
          <w:szCs w:val="16"/>
        </w:rPr>
        <w:t xml:space="preserve">Not </w:t>
      </w:r>
      <w:r w:rsidR="00126D88" w:rsidRPr="0058134F">
        <w:rPr>
          <w:sz w:val="16"/>
          <w:szCs w:val="16"/>
        </w:rPr>
        <w:t>to</w:t>
      </w:r>
      <w:r w:rsidRPr="0058134F">
        <w:rPr>
          <w:sz w:val="16"/>
          <w:szCs w:val="16"/>
        </w:rPr>
        <w:t xml:space="preserve"> Be Reproduced </w:t>
      </w:r>
      <w:r w:rsidR="00126D88" w:rsidRPr="0058134F">
        <w:rPr>
          <w:sz w:val="16"/>
          <w:szCs w:val="16"/>
        </w:rPr>
        <w:t>or</w:t>
      </w:r>
      <w:r w:rsidRPr="0058134F">
        <w:rPr>
          <w:sz w:val="16"/>
          <w:szCs w:val="16"/>
        </w:rPr>
        <w:t xml:space="preserve"> Disclosed to Others </w:t>
      </w:r>
      <w:r w:rsidR="00126D88" w:rsidRPr="0058134F">
        <w:rPr>
          <w:sz w:val="16"/>
          <w:szCs w:val="16"/>
        </w:rPr>
        <w:t>without</w:t>
      </w:r>
      <w:r w:rsidRPr="0058134F">
        <w:rPr>
          <w:sz w:val="16"/>
          <w:szCs w:val="16"/>
        </w:rPr>
        <w:t xml:space="preserve"> Prior Written Approval</w:t>
      </w:r>
    </w:p>
    <w:p w14:paraId="19BD03B3" w14:textId="77777777" w:rsidR="00710E68" w:rsidRPr="0058134F" w:rsidRDefault="00710E68" w:rsidP="00C247CB">
      <w:pPr>
        <w:jc w:val="center"/>
        <w:rPr>
          <w:b/>
          <w:color w:val="000000"/>
          <w:sz w:val="16"/>
          <w:szCs w:val="16"/>
        </w:rPr>
      </w:pPr>
      <w:r w:rsidRPr="0058134F">
        <w:rPr>
          <w:b/>
          <w:color w:val="000000"/>
          <w:sz w:val="16"/>
          <w:szCs w:val="16"/>
        </w:rPr>
        <w:t>ELECTRONIC DATA = OFFICIAL VERSION – PAPER COPY – INFORMATIONAL ONLY</w:t>
      </w:r>
    </w:p>
    <w:p w14:paraId="0343BC4D" w14:textId="77777777" w:rsidR="005A64DA" w:rsidRPr="0058134F" w:rsidRDefault="005A64DA" w:rsidP="00C247CB">
      <w:pPr>
        <w:jc w:val="center"/>
        <w:rPr>
          <w:sz w:val="16"/>
          <w:szCs w:val="16"/>
        </w:rPr>
      </w:pPr>
    </w:p>
    <w:sectPr w:rsidR="005A64DA" w:rsidRPr="0058134F" w:rsidSect="00EB1F94">
      <w:footerReference w:type="default" r:id="rId13"/>
      <w:headerReference w:type="first" r:id="rId14"/>
      <w:footerReference w:type="first" r:id="rId1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849D4F" w14:textId="77777777" w:rsidR="00DA6DEC" w:rsidRDefault="00DA6DEC">
      <w:r>
        <w:separator/>
      </w:r>
    </w:p>
  </w:endnote>
  <w:endnote w:type="continuationSeparator" w:id="0">
    <w:p w14:paraId="641C0AEE" w14:textId="77777777" w:rsidR="00DA6DEC" w:rsidRDefault="00DA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6A60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26D88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7B190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58B7A" w14:textId="77777777" w:rsidR="00DA6DEC" w:rsidRDefault="00DA6DEC">
      <w:r>
        <w:separator/>
      </w:r>
    </w:p>
  </w:footnote>
  <w:footnote w:type="continuationSeparator" w:id="0">
    <w:p w14:paraId="7BEAFB53" w14:textId="77777777" w:rsidR="00DA6DEC" w:rsidRDefault="00DA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5E8DC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28022539">
    <w:abstractNumId w:val="9"/>
  </w:num>
  <w:num w:numId="2" w16cid:durableId="1165898223">
    <w:abstractNumId w:val="3"/>
  </w:num>
  <w:num w:numId="3" w16cid:durableId="1548106477">
    <w:abstractNumId w:val="11"/>
  </w:num>
  <w:num w:numId="4" w16cid:durableId="1673146744">
    <w:abstractNumId w:val="12"/>
  </w:num>
  <w:num w:numId="5" w16cid:durableId="1947078898">
    <w:abstractNumId w:val="1"/>
  </w:num>
  <w:num w:numId="6" w16cid:durableId="1287079189">
    <w:abstractNumId w:val="13"/>
  </w:num>
  <w:num w:numId="7" w16cid:durableId="2125154730">
    <w:abstractNumId w:val="8"/>
  </w:num>
  <w:num w:numId="8" w16cid:durableId="11172195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55630353">
    <w:abstractNumId w:val="5"/>
  </w:num>
  <w:num w:numId="10" w16cid:durableId="1105731151">
    <w:abstractNumId w:val="0"/>
  </w:num>
  <w:num w:numId="11" w16cid:durableId="46728723">
    <w:abstractNumId w:val="4"/>
  </w:num>
  <w:num w:numId="12" w16cid:durableId="979842411">
    <w:abstractNumId w:val="2"/>
  </w:num>
  <w:num w:numId="13" w16cid:durableId="1983072874">
    <w:abstractNumId w:val="7"/>
  </w:num>
  <w:num w:numId="14" w16cid:durableId="2097626663">
    <w:abstractNumId w:val="6"/>
  </w:num>
  <w:num w:numId="15" w16cid:durableId="3073675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view w:val="web"/>
  <w:zoom w:percent="100"/>
  <w:displayBackgroundShape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43CCD"/>
    <w:rsid w:val="0005341D"/>
    <w:rsid w:val="00061AD2"/>
    <w:rsid w:val="00077558"/>
    <w:rsid w:val="000863D4"/>
    <w:rsid w:val="0008665F"/>
    <w:rsid w:val="00095AB5"/>
    <w:rsid w:val="000A1295"/>
    <w:rsid w:val="000A6B88"/>
    <w:rsid w:val="000B3C4C"/>
    <w:rsid w:val="000B656F"/>
    <w:rsid w:val="000B72DF"/>
    <w:rsid w:val="000B7FF1"/>
    <w:rsid w:val="000D03C0"/>
    <w:rsid w:val="000D1870"/>
    <w:rsid w:val="000D2E81"/>
    <w:rsid w:val="000D4BA2"/>
    <w:rsid w:val="000D6714"/>
    <w:rsid w:val="000E7F1F"/>
    <w:rsid w:val="000F0A57"/>
    <w:rsid w:val="000F0D1B"/>
    <w:rsid w:val="000F14F4"/>
    <w:rsid w:val="000F54AF"/>
    <w:rsid w:val="00104CDE"/>
    <w:rsid w:val="00115944"/>
    <w:rsid w:val="0012373E"/>
    <w:rsid w:val="00126D88"/>
    <w:rsid w:val="001360A5"/>
    <w:rsid w:val="0016273A"/>
    <w:rsid w:val="00181B1A"/>
    <w:rsid w:val="0019130B"/>
    <w:rsid w:val="001A5256"/>
    <w:rsid w:val="001B3879"/>
    <w:rsid w:val="001E7746"/>
    <w:rsid w:val="001F0774"/>
    <w:rsid w:val="001F1218"/>
    <w:rsid w:val="001F5947"/>
    <w:rsid w:val="002016B4"/>
    <w:rsid w:val="002055CF"/>
    <w:rsid w:val="00243EBB"/>
    <w:rsid w:val="00255C6B"/>
    <w:rsid w:val="002570C7"/>
    <w:rsid w:val="00265D86"/>
    <w:rsid w:val="00267CEF"/>
    <w:rsid w:val="0027426D"/>
    <w:rsid w:val="002750DC"/>
    <w:rsid w:val="0027557A"/>
    <w:rsid w:val="00283EE0"/>
    <w:rsid w:val="00291C1F"/>
    <w:rsid w:val="00291CE8"/>
    <w:rsid w:val="00296127"/>
    <w:rsid w:val="00296765"/>
    <w:rsid w:val="002A473C"/>
    <w:rsid w:val="002B2CF4"/>
    <w:rsid w:val="002B593E"/>
    <w:rsid w:val="002B6100"/>
    <w:rsid w:val="002C7CA4"/>
    <w:rsid w:val="002D0E97"/>
    <w:rsid w:val="002E5703"/>
    <w:rsid w:val="002E6E58"/>
    <w:rsid w:val="002F1F92"/>
    <w:rsid w:val="002F6F9E"/>
    <w:rsid w:val="00302558"/>
    <w:rsid w:val="0031726D"/>
    <w:rsid w:val="0033143E"/>
    <w:rsid w:val="0034318F"/>
    <w:rsid w:val="0034552B"/>
    <w:rsid w:val="003725A1"/>
    <w:rsid w:val="003868A2"/>
    <w:rsid w:val="00392A5B"/>
    <w:rsid w:val="00392F4D"/>
    <w:rsid w:val="003A6D70"/>
    <w:rsid w:val="003B1F86"/>
    <w:rsid w:val="003C4627"/>
    <w:rsid w:val="003E6C1A"/>
    <w:rsid w:val="003E7D1F"/>
    <w:rsid w:val="003F778E"/>
    <w:rsid w:val="00401061"/>
    <w:rsid w:val="0040640A"/>
    <w:rsid w:val="00406DB5"/>
    <w:rsid w:val="0042336D"/>
    <w:rsid w:val="0042693B"/>
    <w:rsid w:val="00440647"/>
    <w:rsid w:val="00447DD4"/>
    <w:rsid w:val="00457EAE"/>
    <w:rsid w:val="004768BE"/>
    <w:rsid w:val="00477811"/>
    <w:rsid w:val="00477F73"/>
    <w:rsid w:val="0048355A"/>
    <w:rsid w:val="00484781"/>
    <w:rsid w:val="00486108"/>
    <w:rsid w:val="0049433E"/>
    <w:rsid w:val="004A080E"/>
    <w:rsid w:val="004D0AF2"/>
    <w:rsid w:val="004D2EF6"/>
    <w:rsid w:val="004D3C53"/>
    <w:rsid w:val="004F7F34"/>
    <w:rsid w:val="00505588"/>
    <w:rsid w:val="00512486"/>
    <w:rsid w:val="00520F10"/>
    <w:rsid w:val="0052465B"/>
    <w:rsid w:val="00524CDD"/>
    <w:rsid w:val="00547C68"/>
    <w:rsid w:val="00555619"/>
    <w:rsid w:val="00565A58"/>
    <w:rsid w:val="00575A58"/>
    <w:rsid w:val="00577909"/>
    <w:rsid w:val="0058134F"/>
    <w:rsid w:val="00582E85"/>
    <w:rsid w:val="00587EE4"/>
    <w:rsid w:val="005910B5"/>
    <w:rsid w:val="005A6118"/>
    <w:rsid w:val="005A64DA"/>
    <w:rsid w:val="005B446E"/>
    <w:rsid w:val="005C1D83"/>
    <w:rsid w:val="005D3F48"/>
    <w:rsid w:val="005E650E"/>
    <w:rsid w:val="0062203F"/>
    <w:rsid w:val="00622D77"/>
    <w:rsid w:val="00627F34"/>
    <w:rsid w:val="00631F52"/>
    <w:rsid w:val="00636B18"/>
    <w:rsid w:val="00637CA1"/>
    <w:rsid w:val="00640B0C"/>
    <w:rsid w:val="00647CDD"/>
    <w:rsid w:val="00647F34"/>
    <w:rsid w:val="00662334"/>
    <w:rsid w:val="0066617F"/>
    <w:rsid w:val="00674A16"/>
    <w:rsid w:val="006825DD"/>
    <w:rsid w:val="00691E10"/>
    <w:rsid w:val="006A0481"/>
    <w:rsid w:val="006C653F"/>
    <w:rsid w:val="006F646F"/>
    <w:rsid w:val="006F7DFC"/>
    <w:rsid w:val="00704AF2"/>
    <w:rsid w:val="0070776C"/>
    <w:rsid w:val="00710089"/>
    <w:rsid w:val="00710E68"/>
    <w:rsid w:val="00714BA0"/>
    <w:rsid w:val="00725B82"/>
    <w:rsid w:val="007269B6"/>
    <w:rsid w:val="00726E7A"/>
    <w:rsid w:val="0073294A"/>
    <w:rsid w:val="00732E52"/>
    <w:rsid w:val="00736607"/>
    <w:rsid w:val="00752801"/>
    <w:rsid w:val="00760FD2"/>
    <w:rsid w:val="00785118"/>
    <w:rsid w:val="00785C47"/>
    <w:rsid w:val="00786BEB"/>
    <w:rsid w:val="007928BC"/>
    <w:rsid w:val="007A403E"/>
    <w:rsid w:val="007A75EA"/>
    <w:rsid w:val="007B710F"/>
    <w:rsid w:val="007C71C0"/>
    <w:rsid w:val="007C77DD"/>
    <w:rsid w:val="007E3EA6"/>
    <w:rsid w:val="007F04AB"/>
    <w:rsid w:val="00803AE3"/>
    <w:rsid w:val="008042E1"/>
    <w:rsid w:val="00804D63"/>
    <w:rsid w:val="00806B9D"/>
    <w:rsid w:val="00806E6D"/>
    <w:rsid w:val="00812777"/>
    <w:rsid w:val="008230FA"/>
    <w:rsid w:val="0084129E"/>
    <w:rsid w:val="00843390"/>
    <w:rsid w:val="00846373"/>
    <w:rsid w:val="00846ECB"/>
    <w:rsid w:val="008568AE"/>
    <w:rsid w:val="00860590"/>
    <w:rsid w:val="00861316"/>
    <w:rsid w:val="008614E8"/>
    <w:rsid w:val="00867EDF"/>
    <w:rsid w:val="008734D7"/>
    <w:rsid w:val="00875F0D"/>
    <w:rsid w:val="00876997"/>
    <w:rsid w:val="00877414"/>
    <w:rsid w:val="008825E7"/>
    <w:rsid w:val="00885F3A"/>
    <w:rsid w:val="008A03B7"/>
    <w:rsid w:val="008B5A75"/>
    <w:rsid w:val="008C2197"/>
    <w:rsid w:val="008C3493"/>
    <w:rsid w:val="008D11A6"/>
    <w:rsid w:val="008D1F7B"/>
    <w:rsid w:val="008D2D64"/>
    <w:rsid w:val="008E21BE"/>
    <w:rsid w:val="00902E07"/>
    <w:rsid w:val="00913B1B"/>
    <w:rsid w:val="00927861"/>
    <w:rsid w:val="0094148C"/>
    <w:rsid w:val="00947783"/>
    <w:rsid w:val="00954FE8"/>
    <w:rsid w:val="009726E0"/>
    <w:rsid w:val="0097707A"/>
    <w:rsid w:val="00990822"/>
    <w:rsid w:val="00993365"/>
    <w:rsid w:val="009974D7"/>
    <w:rsid w:val="009A058A"/>
    <w:rsid w:val="009C4A31"/>
    <w:rsid w:val="009C5502"/>
    <w:rsid w:val="009E00C2"/>
    <w:rsid w:val="009E2C83"/>
    <w:rsid w:val="009F6FD2"/>
    <w:rsid w:val="009F78D3"/>
    <w:rsid w:val="00A03395"/>
    <w:rsid w:val="00A145DA"/>
    <w:rsid w:val="00A31F37"/>
    <w:rsid w:val="00A4732A"/>
    <w:rsid w:val="00A57D26"/>
    <w:rsid w:val="00A7166B"/>
    <w:rsid w:val="00A72DEB"/>
    <w:rsid w:val="00A816B8"/>
    <w:rsid w:val="00A83BA0"/>
    <w:rsid w:val="00A84F18"/>
    <w:rsid w:val="00A85045"/>
    <w:rsid w:val="00A95738"/>
    <w:rsid w:val="00A97B7D"/>
    <w:rsid w:val="00AA2252"/>
    <w:rsid w:val="00AA4825"/>
    <w:rsid w:val="00AB33E1"/>
    <w:rsid w:val="00AC1C3B"/>
    <w:rsid w:val="00AC4214"/>
    <w:rsid w:val="00AC6E70"/>
    <w:rsid w:val="00AD1646"/>
    <w:rsid w:val="00AD7AB4"/>
    <w:rsid w:val="00AF038B"/>
    <w:rsid w:val="00AF272F"/>
    <w:rsid w:val="00AF78FA"/>
    <w:rsid w:val="00B0074B"/>
    <w:rsid w:val="00B078F6"/>
    <w:rsid w:val="00B26045"/>
    <w:rsid w:val="00B27586"/>
    <w:rsid w:val="00B44C55"/>
    <w:rsid w:val="00B46A95"/>
    <w:rsid w:val="00B5114C"/>
    <w:rsid w:val="00B5123C"/>
    <w:rsid w:val="00B544C2"/>
    <w:rsid w:val="00B5566F"/>
    <w:rsid w:val="00B630A6"/>
    <w:rsid w:val="00B66F20"/>
    <w:rsid w:val="00B70CC4"/>
    <w:rsid w:val="00BB02DE"/>
    <w:rsid w:val="00BB371A"/>
    <w:rsid w:val="00BD5E06"/>
    <w:rsid w:val="00BD7B25"/>
    <w:rsid w:val="00BE1AFF"/>
    <w:rsid w:val="00BF74E9"/>
    <w:rsid w:val="00C247CB"/>
    <w:rsid w:val="00C25A31"/>
    <w:rsid w:val="00C32D18"/>
    <w:rsid w:val="00C35B18"/>
    <w:rsid w:val="00C360BD"/>
    <w:rsid w:val="00C41EE5"/>
    <w:rsid w:val="00C476E1"/>
    <w:rsid w:val="00C52E77"/>
    <w:rsid w:val="00C566B3"/>
    <w:rsid w:val="00C65249"/>
    <w:rsid w:val="00C67B32"/>
    <w:rsid w:val="00C72007"/>
    <w:rsid w:val="00C75C83"/>
    <w:rsid w:val="00C80F5D"/>
    <w:rsid w:val="00C83543"/>
    <w:rsid w:val="00C837BA"/>
    <w:rsid w:val="00C95346"/>
    <w:rsid w:val="00CA3B23"/>
    <w:rsid w:val="00CA62F6"/>
    <w:rsid w:val="00CB0C1D"/>
    <w:rsid w:val="00CC5AA2"/>
    <w:rsid w:val="00CC6844"/>
    <w:rsid w:val="00CC721A"/>
    <w:rsid w:val="00CD0963"/>
    <w:rsid w:val="00CD5C71"/>
    <w:rsid w:val="00CE3D42"/>
    <w:rsid w:val="00CE53E6"/>
    <w:rsid w:val="00CE66B6"/>
    <w:rsid w:val="00CF239B"/>
    <w:rsid w:val="00CF539A"/>
    <w:rsid w:val="00CF6131"/>
    <w:rsid w:val="00D06EAA"/>
    <w:rsid w:val="00D2585A"/>
    <w:rsid w:val="00D36733"/>
    <w:rsid w:val="00D471B5"/>
    <w:rsid w:val="00D474C8"/>
    <w:rsid w:val="00D571DB"/>
    <w:rsid w:val="00D608B4"/>
    <w:rsid w:val="00D6774D"/>
    <w:rsid w:val="00D75191"/>
    <w:rsid w:val="00D76195"/>
    <w:rsid w:val="00D80929"/>
    <w:rsid w:val="00D85254"/>
    <w:rsid w:val="00D92FCF"/>
    <w:rsid w:val="00D95912"/>
    <w:rsid w:val="00DA6DEC"/>
    <w:rsid w:val="00DC1D2F"/>
    <w:rsid w:val="00DC4FFC"/>
    <w:rsid w:val="00DC795D"/>
    <w:rsid w:val="00DE6C03"/>
    <w:rsid w:val="00DE79F7"/>
    <w:rsid w:val="00DF6BE4"/>
    <w:rsid w:val="00E157BC"/>
    <w:rsid w:val="00E20744"/>
    <w:rsid w:val="00E414EC"/>
    <w:rsid w:val="00E50E4A"/>
    <w:rsid w:val="00E650D0"/>
    <w:rsid w:val="00E76334"/>
    <w:rsid w:val="00E91F5F"/>
    <w:rsid w:val="00EB12DD"/>
    <w:rsid w:val="00EB153E"/>
    <w:rsid w:val="00EB1F94"/>
    <w:rsid w:val="00EB57EB"/>
    <w:rsid w:val="00ED50CF"/>
    <w:rsid w:val="00F1152F"/>
    <w:rsid w:val="00F16978"/>
    <w:rsid w:val="00F207B3"/>
    <w:rsid w:val="00F5486B"/>
    <w:rsid w:val="00F62BC4"/>
    <w:rsid w:val="00F658E0"/>
    <w:rsid w:val="00F65A14"/>
    <w:rsid w:val="00F6686D"/>
    <w:rsid w:val="00F7587A"/>
    <w:rsid w:val="00F81783"/>
    <w:rsid w:val="00F859B7"/>
    <w:rsid w:val="00F877B4"/>
    <w:rsid w:val="00FB0924"/>
    <w:rsid w:val="00FB2D67"/>
    <w:rsid w:val="00FB3DBC"/>
    <w:rsid w:val="00FB5B51"/>
    <w:rsid w:val="00FC1C44"/>
    <w:rsid w:val="00FD09F5"/>
    <w:rsid w:val="00FE0ABD"/>
    <w:rsid w:val="00FE2011"/>
    <w:rsid w:val="00FF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EAF8083"/>
  <w15:chartTrackingRefBased/>
  <w15:docId w15:val="{029995BA-C588-488C-A6CD-160EE2FB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74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DC795D"/>
    <w:pPr>
      <w:keepNext/>
      <w:outlineLvl w:val="2"/>
    </w:pPr>
    <w:rPr>
      <w:rFonts w:cs="Arial"/>
      <w:bCs/>
      <w:szCs w:val="26"/>
    </w:rPr>
  </w:style>
  <w:style w:type="paragraph" w:styleId="Heading4">
    <w:name w:val="heading 4"/>
    <w:basedOn w:val="Normal"/>
    <w:next w:val="Normal"/>
    <w:qFormat/>
    <w:rsid w:val="00DC795D"/>
    <w:pPr>
      <w:keepNext/>
      <w:outlineLvl w:val="3"/>
    </w:pPr>
    <w:rPr>
      <w:bCs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DC795D"/>
    <w:rPr>
      <w:rFonts w:ascii="Verdana" w:hAnsi="Verdana" w:cs="Arial"/>
      <w:bCs/>
      <w:sz w:val="24"/>
      <w:szCs w:val="26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AD7AB4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DC795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58134F"/>
    <w:rPr>
      <w:color w:val="0000FF"/>
      <w:u w:val="single"/>
    </w:rPr>
  </w:style>
  <w:style w:type="character" w:customStyle="1" w:styleId="BalloonTextChar">
    <w:name w:val="Balloon Text Char"/>
    <w:link w:val="BalloonText"/>
    <w:rsid w:val="00DC795D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0A1295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rsid w:val="00DC795D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DC795D"/>
    <w:pPr>
      <w:ind w:left="360"/>
    </w:pPr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608B4"/>
  </w:style>
  <w:style w:type="paragraph" w:styleId="Revision">
    <w:name w:val="Revision"/>
    <w:hidden/>
    <w:uiPriority w:val="99"/>
    <w:semiHidden/>
    <w:rsid w:val="00C25A31"/>
    <w:rPr>
      <w:rFonts w:ascii="Verdana" w:hAnsi="Verdan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B49505AAF66544B3991E59A726D05A" ma:contentTypeVersion="13" ma:contentTypeDescription="Create a new document." ma:contentTypeScope="" ma:versionID="c82a4c7a2de90141a70b338a4045ba53">
  <xsd:schema xmlns:xsd="http://www.w3.org/2001/XMLSchema" xmlns:xs="http://www.w3.org/2001/XMLSchema" xmlns:p="http://schemas.microsoft.com/office/2006/metadata/properties" xmlns:ns2="105b4efb-3be6-4b39-a776-8a7d43adc0ca" xmlns:ns3="c3b1ca30-2eb1-4a7b-bdb7-8ec24a269858" targetNamespace="http://schemas.microsoft.com/office/2006/metadata/properties" ma:root="true" ma:fieldsID="5ae03433158953222c8205a2ce6981a3" ns2:_="" ns3:_="">
    <xsd:import namespace="105b4efb-3be6-4b39-a776-8a7d43adc0ca"/>
    <xsd:import namespace="c3b1ca30-2eb1-4a7b-bdb7-8ec24a2698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5b4efb-3be6-4b39-a776-8a7d43adc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1ca30-2eb1-4a7b-bdb7-8ec24a269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a3c050b-2e66-47aa-9da7-d15fa225ee29}" ma:internalName="TaxCatchAll" ma:showField="CatchAllData" ma:web="c3b1ca30-2eb1-4a7b-bdb7-8ec24a2698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5b4efb-3be6-4b39-a776-8a7d43adc0ca">
      <Terms xmlns="http://schemas.microsoft.com/office/infopath/2007/PartnerControls"/>
    </lcf76f155ced4ddcb4097134ff3c332f>
    <TaxCatchAll xmlns="c3b1ca30-2eb1-4a7b-bdb7-8ec24a269858"/>
  </documentManagement>
</p:properties>
</file>

<file path=customXml/itemProps1.xml><?xml version="1.0" encoding="utf-8"?>
<ds:datastoreItem xmlns:ds="http://schemas.openxmlformats.org/officeDocument/2006/customXml" ds:itemID="{4C2BF906-3A12-4109-9F41-807BFA4EEF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1DE791-7765-4953-A8FC-2512D4A35A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F014B3-D1B5-4693-8C88-03A52F8691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5b4efb-3be6-4b39-a776-8a7d43adc0ca"/>
    <ds:schemaRef ds:uri="c3b1ca30-2eb1-4a7b-bdb7-8ec24a269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5D11AD-D14C-4627-9D9C-BB03CDF490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0</TotalTime>
  <Pages>1</Pages>
  <Words>355</Words>
  <Characters>2028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2379</CharactersWithSpaces>
  <SharedDoc>false</SharedDoc>
  <HLinks>
    <vt:vector size="42" baseType="variant">
      <vt:variant>
        <vt:i4>262192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1376333</vt:i4>
      </vt:variant>
      <vt:variant>
        <vt:i4>27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!/view?docid=c1f1028b-e42c-4b4f-a4cf-cc0b42c91606</vt:lpwstr>
      </vt:variant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_Toc169610276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_Toc169610275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_Toc169610274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Davis, David P.</cp:lastModifiedBy>
  <cp:revision>2</cp:revision>
  <cp:lastPrinted>2007-01-03T17:56:00Z</cp:lastPrinted>
  <dcterms:created xsi:type="dcterms:W3CDTF">2024-06-18T18:38:00Z</dcterms:created>
  <dcterms:modified xsi:type="dcterms:W3CDTF">2024-06-18T18:38:00Z</dcterms:modified>
</cp:coreProperties>
</file>